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686CB1BD" w14:textId="77777777" w:rsidTr="00BF1190">
        <w:trPr>
          <w:trHeight w:val="1863"/>
        </w:trPr>
        <w:tc>
          <w:tcPr>
            <w:tcW w:w="3652" w:type="dxa"/>
            <w:tcBorders>
              <w:top w:val="nil"/>
              <w:left w:val="nil"/>
              <w:bottom w:val="nil"/>
              <w:right w:val="nil"/>
            </w:tcBorders>
          </w:tcPr>
          <w:p w14:paraId="6E55B0CE" w14:textId="39E0C668" w:rsidR="008E7846" w:rsidRPr="00096AA7" w:rsidRDefault="00571879" w:rsidP="00F038D1">
            <w:pPr>
              <w:rPr>
                <w:rFonts w:ascii="Arial" w:hAnsi="Arial" w:cs="Arial"/>
                <w:b/>
                <w:color w:val="002C47"/>
                <w:sz w:val="36"/>
                <w:szCs w:val="36"/>
              </w:rPr>
            </w:pPr>
            <w:r>
              <w:rPr>
                <w:rFonts w:ascii="Arial" w:hAnsi="Arial" w:cs="Arial"/>
                <w:b/>
                <w:color w:val="002C47"/>
                <w:sz w:val="36"/>
                <w:szCs w:val="36"/>
              </w:rPr>
              <w:t>February</w:t>
            </w:r>
            <w:r w:rsidR="00902BFA">
              <w:rPr>
                <w:rFonts w:ascii="Arial" w:hAnsi="Arial" w:cs="Arial"/>
                <w:b/>
                <w:color w:val="002C47"/>
                <w:sz w:val="36"/>
                <w:szCs w:val="36"/>
              </w:rPr>
              <w:t xml:space="preserve"> 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6507C279" w14:textId="77777777" w:rsidTr="004A4114">
        <w:trPr>
          <w:trHeight w:val="868"/>
        </w:trPr>
        <w:tc>
          <w:tcPr>
            <w:tcW w:w="9079" w:type="dxa"/>
          </w:tcPr>
          <w:p w14:paraId="2CEB96DF" w14:textId="5F42399A" w:rsidR="0032583B" w:rsidRPr="00A964D1" w:rsidRDefault="0032583B" w:rsidP="00CF1C93">
            <w:pPr>
              <w:pStyle w:val="Title"/>
              <w:rPr>
                <w:color w:val="FFFFFF" w:themeColor="background1"/>
              </w:rPr>
            </w:pPr>
            <w:r w:rsidRPr="00A964D1">
              <w:rPr>
                <w:color w:val="FFFFFF" w:themeColor="background1"/>
              </w:rPr>
              <w:t xml:space="preserve">Australian Public Assessment Report for </w:t>
            </w:r>
            <w:r w:rsidR="00F038D1">
              <w:rPr>
                <w:color w:val="FFFFFF" w:themeColor="background1"/>
              </w:rPr>
              <w:t>Ertugliflozin</w:t>
            </w:r>
            <w:r w:rsidR="00952A33">
              <w:rPr>
                <w:color w:val="FFFFFF" w:themeColor="background1"/>
              </w:rPr>
              <w:t xml:space="preserve">, </w:t>
            </w:r>
            <w:r w:rsidR="00CF1C93">
              <w:rPr>
                <w:color w:val="FFFFFF" w:themeColor="background1"/>
              </w:rPr>
              <w:t>E</w:t>
            </w:r>
            <w:r w:rsidR="00952A33" w:rsidRPr="008A6789">
              <w:rPr>
                <w:color w:val="FFFFFF" w:themeColor="background1"/>
              </w:rPr>
              <w:t>rtugliflozin</w:t>
            </w:r>
            <w:r w:rsidR="00902BFA">
              <w:rPr>
                <w:color w:val="FFFFFF" w:themeColor="background1"/>
              </w:rPr>
              <w:t xml:space="preserve"> </w:t>
            </w:r>
            <w:r w:rsidR="00952A33" w:rsidRPr="008A6789">
              <w:rPr>
                <w:color w:val="FFFFFF" w:themeColor="background1"/>
              </w:rPr>
              <w:t>/</w:t>
            </w:r>
            <w:r w:rsidR="00902BFA">
              <w:rPr>
                <w:color w:val="FFFFFF" w:themeColor="background1"/>
              </w:rPr>
              <w:t xml:space="preserve"> S</w:t>
            </w:r>
            <w:r w:rsidR="00952A33" w:rsidRPr="008A6789">
              <w:rPr>
                <w:color w:val="FFFFFF" w:themeColor="background1"/>
              </w:rPr>
              <w:t>itagliptin</w:t>
            </w:r>
            <w:r w:rsidR="00952A33">
              <w:rPr>
                <w:color w:val="FFFFFF" w:themeColor="background1"/>
              </w:rPr>
              <w:t>,</w:t>
            </w:r>
            <w:r w:rsidR="00952A33" w:rsidRPr="008A6789">
              <w:rPr>
                <w:color w:val="FFFFFF" w:themeColor="background1"/>
              </w:rPr>
              <w:t xml:space="preserve"> Ertugliflozin</w:t>
            </w:r>
            <w:r w:rsidR="00902BFA">
              <w:rPr>
                <w:color w:val="FFFFFF" w:themeColor="background1"/>
              </w:rPr>
              <w:t xml:space="preserve"> </w:t>
            </w:r>
            <w:r w:rsidR="00952A33" w:rsidRPr="008A6789">
              <w:rPr>
                <w:color w:val="FFFFFF" w:themeColor="background1"/>
              </w:rPr>
              <w:t>/</w:t>
            </w:r>
            <w:r w:rsidR="00902BFA">
              <w:rPr>
                <w:color w:val="FFFFFF" w:themeColor="background1"/>
              </w:rPr>
              <w:t xml:space="preserve"> M</w:t>
            </w:r>
            <w:r w:rsidR="00952A33" w:rsidRPr="008A6789">
              <w:rPr>
                <w:color w:val="FFFFFF" w:themeColor="background1"/>
              </w:rPr>
              <w:t>etformin</w:t>
            </w:r>
          </w:p>
        </w:tc>
      </w:tr>
      <w:tr w:rsidR="0032583B" w:rsidRPr="00B64760" w14:paraId="5F0D6A95" w14:textId="5763BD50" w:rsidTr="004A4114">
        <w:tc>
          <w:tcPr>
            <w:tcW w:w="9079" w:type="dxa"/>
          </w:tcPr>
          <w:p w14:paraId="75BC9783" w14:textId="3FB3CB42" w:rsidR="0032583B" w:rsidRPr="008A6789" w:rsidRDefault="0032583B" w:rsidP="00CF1C93">
            <w:pPr>
              <w:pStyle w:val="Subtitle"/>
              <w:rPr>
                <w:color w:val="FFFFFF" w:themeColor="background1"/>
              </w:rPr>
            </w:pPr>
            <w:r w:rsidRPr="008A6789">
              <w:rPr>
                <w:color w:val="FFFFFF" w:themeColor="background1"/>
              </w:rPr>
              <w:t>Proprietary Product Name</w:t>
            </w:r>
            <w:r w:rsidR="004875DA">
              <w:rPr>
                <w:color w:val="FFFFFF" w:themeColor="background1"/>
              </w:rPr>
              <w:t>s</w:t>
            </w:r>
            <w:r w:rsidRPr="008A6789">
              <w:rPr>
                <w:color w:val="FFFFFF" w:themeColor="background1"/>
              </w:rPr>
              <w:t xml:space="preserve">: </w:t>
            </w:r>
            <w:r w:rsidR="00F038D1" w:rsidRPr="008A6789">
              <w:rPr>
                <w:color w:val="FFFFFF" w:themeColor="background1"/>
              </w:rPr>
              <w:t>Steglatro</w:t>
            </w:r>
            <w:r w:rsidR="00952A33">
              <w:rPr>
                <w:color w:val="FFFFFF" w:themeColor="background1"/>
              </w:rPr>
              <w:t>, Steglujan,</w:t>
            </w:r>
            <w:r w:rsidR="00952A33" w:rsidRPr="00656CB0">
              <w:rPr>
                <w:color w:val="FFFFFF" w:themeColor="background1"/>
              </w:rPr>
              <w:t xml:space="preserve"> Segluromet</w:t>
            </w:r>
          </w:p>
        </w:tc>
      </w:tr>
      <w:tr w:rsidR="0032583B" w:rsidRPr="00B64760" w14:paraId="522BE3D4" w14:textId="01064B2A" w:rsidTr="004A4114">
        <w:trPr>
          <w:trHeight w:val="486"/>
        </w:trPr>
        <w:tc>
          <w:tcPr>
            <w:tcW w:w="9079" w:type="dxa"/>
          </w:tcPr>
          <w:p w14:paraId="20BEC8D9" w14:textId="697E43BA" w:rsidR="0032583B" w:rsidRPr="008A6789" w:rsidRDefault="0032583B" w:rsidP="00F038D1">
            <w:pPr>
              <w:pStyle w:val="Subtitle"/>
              <w:rPr>
                <w:color w:val="FFFFFF" w:themeColor="background1"/>
              </w:rPr>
            </w:pPr>
            <w:r w:rsidRPr="00F3446D">
              <w:rPr>
                <w:color w:val="FFFFFF" w:themeColor="background1"/>
              </w:rPr>
              <w:t xml:space="preserve">Sponsor: </w:t>
            </w:r>
            <w:r w:rsidR="00F038D1" w:rsidRPr="004433CF">
              <w:rPr>
                <w:color w:val="FFFFFF" w:themeColor="background1"/>
              </w:rPr>
              <w:t>Merck Sharpe and Dohme Pty Ltd</w:t>
            </w:r>
          </w:p>
        </w:tc>
      </w:tr>
    </w:tbl>
    <w:p w14:paraId="78D0224A" w14:textId="77777777" w:rsidR="008E7846" w:rsidRPr="0085156D" w:rsidRDefault="008E7846" w:rsidP="0085156D">
      <w:r w:rsidRPr="0085156D">
        <w:br w:type="page"/>
      </w:r>
    </w:p>
    <w:p w14:paraId="63C06EC3" w14:textId="77777777" w:rsidR="008E7846" w:rsidRPr="001F6CBA" w:rsidRDefault="008E7846" w:rsidP="008E7846">
      <w:pPr>
        <w:pStyle w:val="NonTOCHeading2"/>
      </w:pPr>
      <w:r w:rsidRPr="001F6CBA">
        <w:lastRenderedPageBreak/>
        <w:t>About the Therapeutic Goods Administration (TGA)</w:t>
      </w:r>
    </w:p>
    <w:p w14:paraId="68660EAC" w14:textId="77777777" w:rsidR="008E7846" w:rsidRDefault="008E7846" w:rsidP="0096579A">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2E4DC28A" w14:textId="77777777" w:rsidR="008E7846" w:rsidRDefault="00C80137" w:rsidP="0096579A">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782CEABE" w14:textId="77777777" w:rsidR="008E7846" w:rsidRDefault="008E7846" w:rsidP="0096579A">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6E366738" w14:textId="77777777" w:rsidR="008E7846" w:rsidRDefault="008E7846" w:rsidP="0096579A">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3822B446" w14:textId="12AF67F6" w:rsidR="00441C3F" w:rsidRDefault="008E7846" w:rsidP="0096579A">
      <w:pPr>
        <w:pStyle w:val="ListBullet"/>
        <w:numPr>
          <w:ilvl w:val="0"/>
          <w:numId w:val="1"/>
        </w:numPr>
        <w:ind w:left="357" w:hanging="357"/>
      </w:pPr>
      <w:r>
        <w:t xml:space="preserve">To report a problem with a medicine or medical device, please see the information on </w:t>
      </w:r>
      <w:r w:rsidR="00441C3F">
        <w:t>the TGA website &lt;</w:t>
      </w:r>
      <w:hyperlink r:id="rId14" w:history="1">
        <w:r w:rsidR="00441C3F">
          <w:rPr>
            <w:rStyle w:val="Hyperlink"/>
          </w:rPr>
          <w:t>https://www.tga.gov.au</w:t>
        </w:r>
      </w:hyperlink>
      <w:proofErr w:type="gramStart"/>
      <w:r w:rsidR="00AD51CF">
        <w:t xml:space="preserve">&gt; </w:t>
      </w:r>
      <w:r w:rsidR="00441C3F">
        <w:t>.</w:t>
      </w:r>
      <w:proofErr w:type="gramEnd"/>
    </w:p>
    <w:p w14:paraId="266AAEAF" w14:textId="77777777" w:rsidR="008E7846" w:rsidRDefault="008E7846" w:rsidP="00875A6B">
      <w:pPr>
        <w:pStyle w:val="NonTOCHeading2"/>
      </w:pPr>
      <w:r>
        <w:t>About AusPARs</w:t>
      </w:r>
    </w:p>
    <w:p w14:paraId="65BC2D77" w14:textId="77777777" w:rsidR="008E7846" w:rsidRDefault="008E7846" w:rsidP="0096579A">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7F29096A" w14:textId="77777777" w:rsidR="008E7846" w:rsidRDefault="008E7846" w:rsidP="0096579A">
      <w:pPr>
        <w:pStyle w:val="ListBullet"/>
        <w:numPr>
          <w:ilvl w:val="0"/>
          <w:numId w:val="1"/>
        </w:numPr>
        <w:ind w:left="357" w:hanging="357"/>
      </w:pPr>
      <w:r>
        <w:t>AusPARs are prepared and published by the TGA.</w:t>
      </w:r>
    </w:p>
    <w:p w14:paraId="645B29E2" w14:textId="77777777" w:rsidR="008E7846" w:rsidRDefault="008E7846" w:rsidP="0096579A">
      <w:pPr>
        <w:pStyle w:val="ListBullet"/>
        <w:numPr>
          <w:ilvl w:val="0"/>
          <w:numId w:val="1"/>
        </w:numPr>
        <w:ind w:left="357" w:hanging="357"/>
      </w:pPr>
      <w:r>
        <w:t>An AusPAR is prepared for submissions that relate to new chemical entities, generic medicines, major variations and extensions of indications.</w:t>
      </w:r>
    </w:p>
    <w:p w14:paraId="18629F0B" w14:textId="77777777" w:rsidR="008E7846" w:rsidRDefault="008E7846" w:rsidP="0096579A">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1A7C179B" w14:textId="77777777" w:rsidR="00B452CE" w:rsidRDefault="008E7846" w:rsidP="0096579A">
      <w:pPr>
        <w:pStyle w:val="ListBullet"/>
        <w:numPr>
          <w:ilvl w:val="0"/>
          <w:numId w:val="1"/>
        </w:numPr>
        <w:ind w:left="357" w:hanging="357"/>
      </w:pPr>
      <w:r>
        <w:t>A new AusPAR will be developed to reflect changes to indications and/or major variations to a prescription medicine subject to evaluation by the TGA.</w:t>
      </w:r>
    </w:p>
    <w:p w14:paraId="25A24809" w14:textId="77777777" w:rsidR="00924482" w:rsidRPr="00DF1D7F" w:rsidRDefault="00924482" w:rsidP="00F038D1">
      <w:pPr>
        <w:pStyle w:val="LegalSubheading"/>
        <w:spacing w:before="2880"/>
      </w:pPr>
      <w:r w:rsidRPr="00DF1D7F">
        <w:t>Copyright</w:t>
      </w:r>
    </w:p>
    <w:p w14:paraId="5DB259FC" w14:textId="5C11F679" w:rsidR="00924482" w:rsidRDefault="00924482" w:rsidP="00924482">
      <w:pPr>
        <w:pStyle w:val="LegalCopy"/>
      </w:pPr>
      <w:r w:rsidRPr="00191B3B">
        <w:rPr>
          <w:rFonts w:cs="Arial"/>
          <w:lang w:val="en-GB"/>
        </w:rPr>
        <w:t>© Comm</w:t>
      </w:r>
      <w:r>
        <w:rPr>
          <w:rFonts w:cs="Arial"/>
          <w:lang w:val="en-GB"/>
        </w:rPr>
        <w:t>onwealth of Australia 201</w:t>
      </w:r>
      <w:r w:rsidR="00902BFA">
        <w:rPr>
          <w:rFonts w:cs="Arial"/>
          <w:lang w:val="en-GB"/>
        </w:rPr>
        <w:t>9</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5" w:history="1">
        <w:r w:rsidRPr="00191B3B">
          <w:rPr>
            <w:rStyle w:val="Hyperlink"/>
            <w:rFonts w:cs="Arial"/>
            <w:lang w:val="en-GB"/>
          </w:rPr>
          <w:t>tga.copyright@tga.gov.au</w:t>
        </w:r>
      </w:hyperlink>
      <w:proofErr w:type="gramStart"/>
      <w:r w:rsidR="00AD51CF">
        <w:rPr>
          <w:rFonts w:cs="Arial"/>
        </w:rPr>
        <w:t xml:space="preserve">&gt; </w:t>
      </w:r>
      <w:r w:rsidRPr="00191B3B">
        <w:rPr>
          <w:rFonts w:cs="Arial"/>
        </w:rPr>
        <w:t>.</w:t>
      </w:r>
      <w:proofErr w:type="gramEnd"/>
    </w:p>
    <w:p w14:paraId="1E32F4C9" w14:textId="77777777" w:rsidR="00924482" w:rsidRDefault="00924482" w:rsidP="00924482">
      <w:pPr>
        <w:pStyle w:val="LegalCopy"/>
        <w:sectPr w:rsidR="00924482" w:rsidSect="003D1E62">
          <w:headerReference w:type="default" r:id="rId16"/>
          <w:footerReference w:type="default" r:id="rId17"/>
          <w:headerReference w:type="first" r:id="rId18"/>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3E58D80" w14:textId="77777777" w:rsidR="0089635C" w:rsidRPr="0089635C" w:rsidRDefault="0089635C" w:rsidP="0010788A">
          <w:pPr>
            <w:pStyle w:val="Contents"/>
          </w:pPr>
          <w:r w:rsidRPr="0010788A">
            <w:t>Con</w:t>
          </w:r>
          <w:bookmarkStart w:id="2" w:name="_GoBack"/>
          <w:bookmarkEnd w:id="2"/>
          <w:r w:rsidRPr="0010788A">
            <w:t>tents</w:t>
          </w:r>
        </w:p>
        <w:p w14:paraId="207C4EC5" w14:textId="77777777" w:rsidR="00127692"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405811" w:history="1">
            <w:r w:rsidR="00127692" w:rsidRPr="00062EA9">
              <w:rPr>
                <w:rStyle w:val="Hyperlink"/>
                <w:noProof/>
              </w:rPr>
              <w:t>Common abbreviations</w:t>
            </w:r>
            <w:r w:rsidR="00127692">
              <w:rPr>
                <w:noProof/>
                <w:webHidden/>
              </w:rPr>
              <w:tab/>
            </w:r>
            <w:r w:rsidR="00127692">
              <w:rPr>
                <w:noProof/>
                <w:webHidden/>
              </w:rPr>
              <w:fldChar w:fldCharType="begin"/>
            </w:r>
            <w:r w:rsidR="00127692">
              <w:rPr>
                <w:noProof/>
                <w:webHidden/>
              </w:rPr>
              <w:instrText xml:space="preserve"> PAGEREF _Toc4405811 \h </w:instrText>
            </w:r>
            <w:r w:rsidR="00127692">
              <w:rPr>
                <w:noProof/>
                <w:webHidden/>
              </w:rPr>
            </w:r>
            <w:r w:rsidR="00127692">
              <w:rPr>
                <w:noProof/>
                <w:webHidden/>
              </w:rPr>
              <w:fldChar w:fldCharType="separate"/>
            </w:r>
            <w:r w:rsidR="00127692">
              <w:rPr>
                <w:noProof/>
                <w:webHidden/>
              </w:rPr>
              <w:t>5</w:t>
            </w:r>
            <w:r w:rsidR="00127692">
              <w:rPr>
                <w:noProof/>
                <w:webHidden/>
              </w:rPr>
              <w:fldChar w:fldCharType="end"/>
            </w:r>
          </w:hyperlink>
        </w:p>
        <w:p w14:paraId="5BE6909D" w14:textId="77777777" w:rsidR="00127692" w:rsidRDefault="00127692">
          <w:pPr>
            <w:pStyle w:val="TOC2"/>
            <w:rPr>
              <w:rFonts w:asciiTheme="minorHAnsi" w:eastAsiaTheme="minorEastAsia" w:hAnsiTheme="minorHAnsi" w:cstheme="minorBidi"/>
              <w:b w:val="0"/>
              <w:noProof/>
              <w:sz w:val="22"/>
              <w:lang w:eastAsia="en-AU"/>
            </w:rPr>
          </w:pPr>
          <w:hyperlink w:anchor="_Toc4405812" w:history="1">
            <w:r w:rsidRPr="00062EA9">
              <w:rPr>
                <w:rStyle w:val="Hyperlink"/>
                <w:noProof/>
              </w:rPr>
              <w:t>I. Introduction to product submission</w:t>
            </w:r>
            <w:r>
              <w:rPr>
                <w:noProof/>
                <w:webHidden/>
              </w:rPr>
              <w:tab/>
            </w:r>
            <w:r>
              <w:rPr>
                <w:noProof/>
                <w:webHidden/>
              </w:rPr>
              <w:fldChar w:fldCharType="begin"/>
            </w:r>
            <w:r>
              <w:rPr>
                <w:noProof/>
                <w:webHidden/>
              </w:rPr>
              <w:instrText xml:space="preserve"> PAGEREF _Toc4405812 \h </w:instrText>
            </w:r>
            <w:r>
              <w:rPr>
                <w:noProof/>
                <w:webHidden/>
              </w:rPr>
            </w:r>
            <w:r>
              <w:rPr>
                <w:noProof/>
                <w:webHidden/>
              </w:rPr>
              <w:fldChar w:fldCharType="separate"/>
            </w:r>
            <w:r>
              <w:rPr>
                <w:noProof/>
                <w:webHidden/>
              </w:rPr>
              <w:t>10</w:t>
            </w:r>
            <w:r>
              <w:rPr>
                <w:noProof/>
                <w:webHidden/>
              </w:rPr>
              <w:fldChar w:fldCharType="end"/>
            </w:r>
          </w:hyperlink>
        </w:p>
        <w:p w14:paraId="3746C7F4" w14:textId="77777777" w:rsidR="00127692" w:rsidRDefault="00127692">
          <w:pPr>
            <w:pStyle w:val="TOC3"/>
            <w:rPr>
              <w:rFonts w:asciiTheme="minorHAnsi" w:eastAsiaTheme="minorEastAsia" w:hAnsiTheme="minorHAnsi" w:cstheme="minorBidi"/>
              <w:noProof/>
              <w:lang w:eastAsia="en-AU"/>
            </w:rPr>
          </w:pPr>
          <w:hyperlink w:anchor="_Toc4405813" w:history="1">
            <w:r w:rsidRPr="00062EA9">
              <w:rPr>
                <w:rStyle w:val="Hyperlink"/>
                <w:noProof/>
                <w:lang w:eastAsia="en-AU"/>
              </w:rPr>
              <w:t>Submission details</w:t>
            </w:r>
            <w:r>
              <w:rPr>
                <w:noProof/>
                <w:webHidden/>
              </w:rPr>
              <w:tab/>
            </w:r>
            <w:r>
              <w:rPr>
                <w:noProof/>
                <w:webHidden/>
              </w:rPr>
              <w:fldChar w:fldCharType="begin"/>
            </w:r>
            <w:r>
              <w:rPr>
                <w:noProof/>
                <w:webHidden/>
              </w:rPr>
              <w:instrText xml:space="preserve"> PAGEREF _Toc4405813 \h </w:instrText>
            </w:r>
            <w:r>
              <w:rPr>
                <w:noProof/>
                <w:webHidden/>
              </w:rPr>
            </w:r>
            <w:r>
              <w:rPr>
                <w:noProof/>
                <w:webHidden/>
              </w:rPr>
              <w:fldChar w:fldCharType="separate"/>
            </w:r>
            <w:r>
              <w:rPr>
                <w:noProof/>
                <w:webHidden/>
              </w:rPr>
              <w:t>10</w:t>
            </w:r>
            <w:r>
              <w:rPr>
                <w:noProof/>
                <w:webHidden/>
              </w:rPr>
              <w:fldChar w:fldCharType="end"/>
            </w:r>
          </w:hyperlink>
        </w:p>
        <w:p w14:paraId="3171AB37" w14:textId="77777777" w:rsidR="00127692" w:rsidRDefault="00127692">
          <w:pPr>
            <w:pStyle w:val="TOC3"/>
            <w:rPr>
              <w:rFonts w:asciiTheme="minorHAnsi" w:eastAsiaTheme="minorEastAsia" w:hAnsiTheme="minorHAnsi" w:cstheme="minorBidi"/>
              <w:noProof/>
              <w:lang w:eastAsia="en-AU"/>
            </w:rPr>
          </w:pPr>
          <w:hyperlink w:anchor="_Toc4405814" w:history="1">
            <w:r w:rsidRPr="00062EA9">
              <w:rPr>
                <w:rStyle w:val="Hyperlink"/>
                <w:noProof/>
              </w:rPr>
              <w:t>Product background</w:t>
            </w:r>
            <w:r>
              <w:rPr>
                <w:noProof/>
                <w:webHidden/>
              </w:rPr>
              <w:tab/>
            </w:r>
            <w:r>
              <w:rPr>
                <w:noProof/>
                <w:webHidden/>
              </w:rPr>
              <w:fldChar w:fldCharType="begin"/>
            </w:r>
            <w:r>
              <w:rPr>
                <w:noProof/>
                <w:webHidden/>
              </w:rPr>
              <w:instrText xml:space="preserve"> PAGEREF _Toc4405814 \h </w:instrText>
            </w:r>
            <w:r>
              <w:rPr>
                <w:noProof/>
                <w:webHidden/>
              </w:rPr>
            </w:r>
            <w:r>
              <w:rPr>
                <w:noProof/>
                <w:webHidden/>
              </w:rPr>
              <w:fldChar w:fldCharType="separate"/>
            </w:r>
            <w:r>
              <w:rPr>
                <w:noProof/>
                <w:webHidden/>
              </w:rPr>
              <w:t>11</w:t>
            </w:r>
            <w:r>
              <w:rPr>
                <w:noProof/>
                <w:webHidden/>
              </w:rPr>
              <w:fldChar w:fldCharType="end"/>
            </w:r>
          </w:hyperlink>
        </w:p>
        <w:p w14:paraId="70C23312" w14:textId="77777777" w:rsidR="00127692" w:rsidRDefault="00127692">
          <w:pPr>
            <w:pStyle w:val="TOC3"/>
            <w:rPr>
              <w:rFonts w:asciiTheme="minorHAnsi" w:eastAsiaTheme="minorEastAsia" w:hAnsiTheme="minorHAnsi" w:cstheme="minorBidi"/>
              <w:noProof/>
              <w:lang w:eastAsia="en-AU"/>
            </w:rPr>
          </w:pPr>
          <w:hyperlink w:anchor="_Toc4405815" w:history="1">
            <w:r w:rsidRPr="00062EA9">
              <w:rPr>
                <w:rStyle w:val="Hyperlink"/>
                <w:noProof/>
              </w:rPr>
              <w:t>Regulatory status</w:t>
            </w:r>
            <w:r>
              <w:rPr>
                <w:noProof/>
                <w:webHidden/>
              </w:rPr>
              <w:tab/>
            </w:r>
            <w:r>
              <w:rPr>
                <w:noProof/>
                <w:webHidden/>
              </w:rPr>
              <w:fldChar w:fldCharType="begin"/>
            </w:r>
            <w:r>
              <w:rPr>
                <w:noProof/>
                <w:webHidden/>
              </w:rPr>
              <w:instrText xml:space="preserve"> PAGEREF _Toc4405815 \h </w:instrText>
            </w:r>
            <w:r>
              <w:rPr>
                <w:noProof/>
                <w:webHidden/>
              </w:rPr>
            </w:r>
            <w:r>
              <w:rPr>
                <w:noProof/>
                <w:webHidden/>
              </w:rPr>
              <w:fldChar w:fldCharType="separate"/>
            </w:r>
            <w:r>
              <w:rPr>
                <w:noProof/>
                <w:webHidden/>
              </w:rPr>
              <w:t>16</w:t>
            </w:r>
            <w:r>
              <w:rPr>
                <w:noProof/>
                <w:webHidden/>
              </w:rPr>
              <w:fldChar w:fldCharType="end"/>
            </w:r>
          </w:hyperlink>
        </w:p>
        <w:p w14:paraId="652E2E6D" w14:textId="77777777" w:rsidR="00127692" w:rsidRDefault="00127692">
          <w:pPr>
            <w:pStyle w:val="TOC3"/>
            <w:rPr>
              <w:rFonts w:asciiTheme="minorHAnsi" w:eastAsiaTheme="minorEastAsia" w:hAnsiTheme="minorHAnsi" w:cstheme="minorBidi"/>
              <w:noProof/>
              <w:lang w:eastAsia="en-AU"/>
            </w:rPr>
          </w:pPr>
          <w:hyperlink w:anchor="_Toc4405816" w:history="1">
            <w:r w:rsidRPr="00062EA9">
              <w:rPr>
                <w:rStyle w:val="Hyperlink"/>
                <w:noProof/>
              </w:rPr>
              <w:t>Product Information</w:t>
            </w:r>
            <w:r>
              <w:rPr>
                <w:noProof/>
                <w:webHidden/>
              </w:rPr>
              <w:tab/>
            </w:r>
            <w:r>
              <w:rPr>
                <w:noProof/>
                <w:webHidden/>
              </w:rPr>
              <w:fldChar w:fldCharType="begin"/>
            </w:r>
            <w:r>
              <w:rPr>
                <w:noProof/>
                <w:webHidden/>
              </w:rPr>
              <w:instrText xml:space="preserve"> PAGEREF _Toc4405816 \h </w:instrText>
            </w:r>
            <w:r>
              <w:rPr>
                <w:noProof/>
                <w:webHidden/>
              </w:rPr>
            </w:r>
            <w:r>
              <w:rPr>
                <w:noProof/>
                <w:webHidden/>
              </w:rPr>
              <w:fldChar w:fldCharType="separate"/>
            </w:r>
            <w:r>
              <w:rPr>
                <w:noProof/>
                <w:webHidden/>
              </w:rPr>
              <w:t>17</w:t>
            </w:r>
            <w:r>
              <w:rPr>
                <w:noProof/>
                <w:webHidden/>
              </w:rPr>
              <w:fldChar w:fldCharType="end"/>
            </w:r>
          </w:hyperlink>
        </w:p>
        <w:p w14:paraId="37B7F339" w14:textId="77777777" w:rsidR="00127692" w:rsidRDefault="00127692">
          <w:pPr>
            <w:pStyle w:val="TOC2"/>
            <w:rPr>
              <w:rFonts w:asciiTheme="minorHAnsi" w:eastAsiaTheme="minorEastAsia" w:hAnsiTheme="minorHAnsi" w:cstheme="minorBidi"/>
              <w:b w:val="0"/>
              <w:noProof/>
              <w:sz w:val="22"/>
              <w:lang w:eastAsia="en-AU"/>
            </w:rPr>
          </w:pPr>
          <w:hyperlink w:anchor="_Toc4405817" w:history="1">
            <w:r w:rsidRPr="00062EA9">
              <w:rPr>
                <w:rStyle w:val="Hyperlink"/>
                <w:noProof/>
              </w:rPr>
              <w:t>II. Registration time line</w:t>
            </w:r>
            <w:r>
              <w:rPr>
                <w:noProof/>
                <w:webHidden/>
              </w:rPr>
              <w:tab/>
            </w:r>
            <w:r>
              <w:rPr>
                <w:noProof/>
                <w:webHidden/>
              </w:rPr>
              <w:fldChar w:fldCharType="begin"/>
            </w:r>
            <w:r>
              <w:rPr>
                <w:noProof/>
                <w:webHidden/>
              </w:rPr>
              <w:instrText xml:space="preserve"> PAGEREF _Toc4405817 \h </w:instrText>
            </w:r>
            <w:r>
              <w:rPr>
                <w:noProof/>
                <w:webHidden/>
              </w:rPr>
            </w:r>
            <w:r>
              <w:rPr>
                <w:noProof/>
                <w:webHidden/>
              </w:rPr>
              <w:fldChar w:fldCharType="separate"/>
            </w:r>
            <w:r>
              <w:rPr>
                <w:noProof/>
                <w:webHidden/>
              </w:rPr>
              <w:t>17</w:t>
            </w:r>
            <w:r>
              <w:rPr>
                <w:noProof/>
                <w:webHidden/>
              </w:rPr>
              <w:fldChar w:fldCharType="end"/>
            </w:r>
          </w:hyperlink>
        </w:p>
        <w:p w14:paraId="26FAB391" w14:textId="77777777" w:rsidR="00127692" w:rsidRDefault="00127692">
          <w:pPr>
            <w:pStyle w:val="TOC2"/>
            <w:rPr>
              <w:rFonts w:asciiTheme="minorHAnsi" w:eastAsiaTheme="minorEastAsia" w:hAnsiTheme="minorHAnsi" w:cstheme="minorBidi"/>
              <w:b w:val="0"/>
              <w:noProof/>
              <w:sz w:val="22"/>
              <w:lang w:eastAsia="en-AU"/>
            </w:rPr>
          </w:pPr>
          <w:hyperlink w:anchor="_Toc4405818" w:history="1">
            <w:r w:rsidRPr="00062EA9">
              <w:rPr>
                <w:rStyle w:val="Hyperlink"/>
                <w:noProof/>
              </w:rPr>
              <w:t>III. Quality findings</w:t>
            </w:r>
            <w:r>
              <w:rPr>
                <w:noProof/>
                <w:webHidden/>
              </w:rPr>
              <w:tab/>
            </w:r>
            <w:r>
              <w:rPr>
                <w:noProof/>
                <w:webHidden/>
              </w:rPr>
              <w:fldChar w:fldCharType="begin"/>
            </w:r>
            <w:r>
              <w:rPr>
                <w:noProof/>
                <w:webHidden/>
              </w:rPr>
              <w:instrText xml:space="preserve"> PAGEREF _Toc4405818 \h </w:instrText>
            </w:r>
            <w:r>
              <w:rPr>
                <w:noProof/>
                <w:webHidden/>
              </w:rPr>
            </w:r>
            <w:r>
              <w:rPr>
                <w:noProof/>
                <w:webHidden/>
              </w:rPr>
              <w:fldChar w:fldCharType="separate"/>
            </w:r>
            <w:r>
              <w:rPr>
                <w:noProof/>
                <w:webHidden/>
              </w:rPr>
              <w:t>17</w:t>
            </w:r>
            <w:r>
              <w:rPr>
                <w:noProof/>
                <w:webHidden/>
              </w:rPr>
              <w:fldChar w:fldCharType="end"/>
            </w:r>
          </w:hyperlink>
        </w:p>
        <w:p w14:paraId="7AC77DB1" w14:textId="77777777" w:rsidR="00127692" w:rsidRDefault="00127692">
          <w:pPr>
            <w:pStyle w:val="TOC3"/>
            <w:rPr>
              <w:rFonts w:asciiTheme="minorHAnsi" w:eastAsiaTheme="minorEastAsia" w:hAnsiTheme="minorHAnsi" w:cstheme="minorBidi"/>
              <w:noProof/>
              <w:lang w:eastAsia="en-AU"/>
            </w:rPr>
          </w:pPr>
          <w:hyperlink w:anchor="_Toc4405819" w:history="1">
            <w:r w:rsidRPr="00062EA9">
              <w:rPr>
                <w:rStyle w:val="Hyperlink"/>
                <w:noProof/>
              </w:rPr>
              <w:t>Introduction</w:t>
            </w:r>
            <w:r>
              <w:rPr>
                <w:noProof/>
                <w:webHidden/>
              </w:rPr>
              <w:tab/>
            </w:r>
            <w:r>
              <w:rPr>
                <w:noProof/>
                <w:webHidden/>
              </w:rPr>
              <w:fldChar w:fldCharType="begin"/>
            </w:r>
            <w:r>
              <w:rPr>
                <w:noProof/>
                <w:webHidden/>
              </w:rPr>
              <w:instrText xml:space="preserve"> PAGEREF _Toc4405819 \h </w:instrText>
            </w:r>
            <w:r>
              <w:rPr>
                <w:noProof/>
                <w:webHidden/>
              </w:rPr>
            </w:r>
            <w:r>
              <w:rPr>
                <w:noProof/>
                <w:webHidden/>
              </w:rPr>
              <w:fldChar w:fldCharType="separate"/>
            </w:r>
            <w:r>
              <w:rPr>
                <w:noProof/>
                <w:webHidden/>
              </w:rPr>
              <w:t>17</w:t>
            </w:r>
            <w:r>
              <w:rPr>
                <w:noProof/>
                <w:webHidden/>
              </w:rPr>
              <w:fldChar w:fldCharType="end"/>
            </w:r>
          </w:hyperlink>
        </w:p>
        <w:p w14:paraId="522DDC19" w14:textId="77777777" w:rsidR="00127692" w:rsidRDefault="00127692">
          <w:pPr>
            <w:pStyle w:val="TOC3"/>
            <w:rPr>
              <w:rFonts w:asciiTheme="minorHAnsi" w:eastAsiaTheme="minorEastAsia" w:hAnsiTheme="minorHAnsi" w:cstheme="minorBidi"/>
              <w:noProof/>
              <w:lang w:eastAsia="en-AU"/>
            </w:rPr>
          </w:pPr>
          <w:hyperlink w:anchor="_Toc4405820" w:history="1">
            <w:r w:rsidRPr="00062EA9">
              <w:rPr>
                <w:rStyle w:val="Hyperlink"/>
                <w:noProof/>
              </w:rPr>
              <w:t>Drug substance (active ingredient)</w:t>
            </w:r>
            <w:r>
              <w:rPr>
                <w:noProof/>
                <w:webHidden/>
              </w:rPr>
              <w:tab/>
            </w:r>
            <w:r>
              <w:rPr>
                <w:noProof/>
                <w:webHidden/>
              </w:rPr>
              <w:fldChar w:fldCharType="begin"/>
            </w:r>
            <w:r>
              <w:rPr>
                <w:noProof/>
                <w:webHidden/>
              </w:rPr>
              <w:instrText xml:space="preserve"> PAGEREF _Toc4405820 \h </w:instrText>
            </w:r>
            <w:r>
              <w:rPr>
                <w:noProof/>
                <w:webHidden/>
              </w:rPr>
            </w:r>
            <w:r>
              <w:rPr>
                <w:noProof/>
                <w:webHidden/>
              </w:rPr>
              <w:fldChar w:fldCharType="separate"/>
            </w:r>
            <w:r>
              <w:rPr>
                <w:noProof/>
                <w:webHidden/>
              </w:rPr>
              <w:t>18</w:t>
            </w:r>
            <w:r>
              <w:rPr>
                <w:noProof/>
                <w:webHidden/>
              </w:rPr>
              <w:fldChar w:fldCharType="end"/>
            </w:r>
          </w:hyperlink>
        </w:p>
        <w:p w14:paraId="44617B08" w14:textId="77777777" w:rsidR="00127692" w:rsidRDefault="00127692">
          <w:pPr>
            <w:pStyle w:val="TOC3"/>
            <w:rPr>
              <w:rFonts w:asciiTheme="minorHAnsi" w:eastAsiaTheme="minorEastAsia" w:hAnsiTheme="minorHAnsi" w:cstheme="minorBidi"/>
              <w:noProof/>
              <w:lang w:eastAsia="en-AU"/>
            </w:rPr>
          </w:pPr>
          <w:hyperlink w:anchor="_Toc4405821" w:history="1">
            <w:r w:rsidRPr="00062EA9">
              <w:rPr>
                <w:rStyle w:val="Hyperlink"/>
                <w:noProof/>
              </w:rPr>
              <w:t>Drug product</w:t>
            </w:r>
            <w:r>
              <w:rPr>
                <w:noProof/>
                <w:webHidden/>
              </w:rPr>
              <w:tab/>
            </w:r>
            <w:r>
              <w:rPr>
                <w:noProof/>
                <w:webHidden/>
              </w:rPr>
              <w:fldChar w:fldCharType="begin"/>
            </w:r>
            <w:r>
              <w:rPr>
                <w:noProof/>
                <w:webHidden/>
              </w:rPr>
              <w:instrText xml:space="preserve"> PAGEREF _Toc4405821 \h </w:instrText>
            </w:r>
            <w:r>
              <w:rPr>
                <w:noProof/>
                <w:webHidden/>
              </w:rPr>
            </w:r>
            <w:r>
              <w:rPr>
                <w:noProof/>
                <w:webHidden/>
              </w:rPr>
              <w:fldChar w:fldCharType="separate"/>
            </w:r>
            <w:r>
              <w:rPr>
                <w:noProof/>
                <w:webHidden/>
              </w:rPr>
              <w:t>20</w:t>
            </w:r>
            <w:r>
              <w:rPr>
                <w:noProof/>
                <w:webHidden/>
              </w:rPr>
              <w:fldChar w:fldCharType="end"/>
            </w:r>
          </w:hyperlink>
        </w:p>
        <w:p w14:paraId="6AB9B47A" w14:textId="77777777" w:rsidR="00127692" w:rsidRDefault="00127692">
          <w:pPr>
            <w:pStyle w:val="TOC3"/>
            <w:rPr>
              <w:rFonts w:asciiTheme="minorHAnsi" w:eastAsiaTheme="minorEastAsia" w:hAnsiTheme="minorHAnsi" w:cstheme="minorBidi"/>
              <w:noProof/>
              <w:lang w:eastAsia="en-AU"/>
            </w:rPr>
          </w:pPr>
          <w:hyperlink w:anchor="_Toc4405822" w:history="1">
            <w:r w:rsidRPr="00062EA9">
              <w:rPr>
                <w:rStyle w:val="Hyperlink"/>
                <w:noProof/>
              </w:rPr>
              <w:t>Biopharmaceutics</w:t>
            </w:r>
            <w:r>
              <w:rPr>
                <w:noProof/>
                <w:webHidden/>
              </w:rPr>
              <w:tab/>
            </w:r>
            <w:r>
              <w:rPr>
                <w:noProof/>
                <w:webHidden/>
              </w:rPr>
              <w:fldChar w:fldCharType="begin"/>
            </w:r>
            <w:r>
              <w:rPr>
                <w:noProof/>
                <w:webHidden/>
              </w:rPr>
              <w:instrText xml:space="preserve"> PAGEREF _Toc4405822 \h </w:instrText>
            </w:r>
            <w:r>
              <w:rPr>
                <w:noProof/>
                <w:webHidden/>
              </w:rPr>
            </w:r>
            <w:r>
              <w:rPr>
                <w:noProof/>
                <w:webHidden/>
              </w:rPr>
              <w:fldChar w:fldCharType="separate"/>
            </w:r>
            <w:r>
              <w:rPr>
                <w:noProof/>
                <w:webHidden/>
              </w:rPr>
              <w:t>23</w:t>
            </w:r>
            <w:r>
              <w:rPr>
                <w:noProof/>
                <w:webHidden/>
              </w:rPr>
              <w:fldChar w:fldCharType="end"/>
            </w:r>
          </w:hyperlink>
        </w:p>
        <w:p w14:paraId="714D8C9A" w14:textId="77777777" w:rsidR="00127692" w:rsidRDefault="00127692">
          <w:pPr>
            <w:pStyle w:val="TOC3"/>
            <w:rPr>
              <w:rFonts w:asciiTheme="minorHAnsi" w:eastAsiaTheme="minorEastAsia" w:hAnsiTheme="minorHAnsi" w:cstheme="minorBidi"/>
              <w:noProof/>
              <w:lang w:eastAsia="en-AU"/>
            </w:rPr>
          </w:pPr>
          <w:hyperlink w:anchor="_Toc4405823" w:history="1">
            <w:r w:rsidRPr="00062EA9">
              <w:rPr>
                <w:rStyle w:val="Hyperlink"/>
                <w:noProof/>
              </w:rPr>
              <w:t>Quality summary and conclusions</w:t>
            </w:r>
            <w:r>
              <w:rPr>
                <w:noProof/>
                <w:webHidden/>
              </w:rPr>
              <w:tab/>
            </w:r>
            <w:r>
              <w:rPr>
                <w:noProof/>
                <w:webHidden/>
              </w:rPr>
              <w:fldChar w:fldCharType="begin"/>
            </w:r>
            <w:r>
              <w:rPr>
                <w:noProof/>
                <w:webHidden/>
              </w:rPr>
              <w:instrText xml:space="preserve"> PAGEREF _Toc4405823 \h </w:instrText>
            </w:r>
            <w:r>
              <w:rPr>
                <w:noProof/>
                <w:webHidden/>
              </w:rPr>
            </w:r>
            <w:r>
              <w:rPr>
                <w:noProof/>
                <w:webHidden/>
              </w:rPr>
              <w:fldChar w:fldCharType="separate"/>
            </w:r>
            <w:r>
              <w:rPr>
                <w:noProof/>
                <w:webHidden/>
              </w:rPr>
              <w:t>30</w:t>
            </w:r>
            <w:r>
              <w:rPr>
                <w:noProof/>
                <w:webHidden/>
              </w:rPr>
              <w:fldChar w:fldCharType="end"/>
            </w:r>
          </w:hyperlink>
        </w:p>
        <w:p w14:paraId="4717D972" w14:textId="77777777" w:rsidR="00127692" w:rsidRDefault="00127692">
          <w:pPr>
            <w:pStyle w:val="TOC2"/>
            <w:rPr>
              <w:rFonts w:asciiTheme="minorHAnsi" w:eastAsiaTheme="minorEastAsia" w:hAnsiTheme="minorHAnsi" w:cstheme="minorBidi"/>
              <w:b w:val="0"/>
              <w:noProof/>
              <w:sz w:val="22"/>
              <w:lang w:eastAsia="en-AU"/>
            </w:rPr>
          </w:pPr>
          <w:hyperlink w:anchor="_Toc4405824" w:history="1">
            <w:r w:rsidRPr="00062EA9">
              <w:rPr>
                <w:rStyle w:val="Hyperlink"/>
                <w:noProof/>
              </w:rPr>
              <w:t>IV. Nonclinical findings</w:t>
            </w:r>
            <w:r>
              <w:rPr>
                <w:noProof/>
                <w:webHidden/>
              </w:rPr>
              <w:tab/>
            </w:r>
            <w:r>
              <w:rPr>
                <w:noProof/>
                <w:webHidden/>
              </w:rPr>
              <w:fldChar w:fldCharType="begin"/>
            </w:r>
            <w:r>
              <w:rPr>
                <w:noProof/>
                <w:webHidden/>
              </w:rPr>
              <w:instrText xml:space="preserve"> PAGEREF _Toc4405824 \h </w:instrText>
            </w:r>
            <w:r>
              <w:rPr>
                <w:noProof/>
                <w:webHidden/>
              </w:rPr>
            </w:r>
            <w:r>
              <w:rPr>
                <w:noProof/>
                <w:webHidden/>
              </w:rPr>
              <w:fldChar w:fldCharType="separate"/>
            </w:r>
            <w:r>
              <w:rPr>
                <w:noProof/>
                <w:webHidden/>
              </w:rPr>
              <w:t>31</w:t>
            </w:r>
            <w:r>
              <w:rPr>
                <w:noProof/>
                <w:webHidden/>
              </w:rPr>
              <w:fldChar w:fldCharType="end"/>
            </w:r>
          </w:hyperlink>
        </w:p>
        <w:p w14:paraId="78FDBAA9" w14:textId="77777777" w:rsidR="00127692" w:rsidRDefault="00127692">
          <w:pPr>
            <w:pStyle w:val="TOC3"/>
            <w:rPr>
              <w:rFonts w:asciiTheme="minorHAnsi" w:eastAsiaTheme="minorEastAsia" w:hAnsiTheme="minorHAnsi" w:cstheme="minorBidi"/>
              <w:noProof/>
              <w:lang w:eastAsia="en-AU"/>
            </w:rPr>
          </w:pPr>
          <w:hyperlink w:anchor="_Toc4405825" w:history="1">
            <w:r w:rsidRPr="00062EA9">
              <w:rPr>
                <w:rStyle w:val="Hyperlink"/>
                <w:noProof/>
              </w:rPr>
              <w:t>Steglatro</w:t>
            </w:r>
            <w:r>
              <w:rPr>
                <w:noProof/>
                <w:webHidden/>
              </w:rPr>
              <w:tab/>
            </w:r>
            <w:r>
              <w:rPr>
                <w:noProof/>
                <w:webHidden/>
              </w:rPr>
              <w:fldChar w:fldCharType="begin"/>
            </w:r>
            <w:r>
              <w:rPr>
                <w:noProof/>
                <w:webHidden/>
              </w:rPr>
              <w:instrText xml:space="preserve"> PAGEREF _Toc4405825 \h </w:instrText>
            </w:r>
            <w:r>
              <w:rPr>
                <w:noProof/>
                <w:webHidden/>
              </w:rPr>
            </w:r>
            <w:r>
              <w:rPr>
                <w:noProof/>
                <w:webHidden/>
              </w:rPr>
              <w:fldChar w:fldCharType="separate"/>
            </w:r>
            <w:r>
              <w:rPr>
                <w:noProof/>
                <w:webHidden/>
              </w:rPr>
              <w:t>31</w:t>
            </w:r>
            <w:r>
              <w:rPr>
                <w:noProof/>
                <w:webHidden/>
              </w:rPr>
              <w:fldChar w:fldCharType="end"/>
            </w:r>
          </w:hyperlink>
        </w:p>
        <w:p w14:paraId="38EED3D7" w14:textId="77777777" w:rsidR="00127692" w:rsidRDefault="00127692">
          <w:pPr>
            <w:pStyle w:val="TOC3"/>
            <w:rPr>
              <w:rFonts w:asciiTheme="minorHAnsi" w:eastAsiaTheme="minorEastAsia" w:hAnsiTheme="minorHAnsi" w:cstheme="minorBidi"/>
              <w:noProof/>
              <w:lang w:eastAsia="en-AU"/>
            </w:rPr>
          </w:pPr>
          <w:hyperlink w:anchor="_Toc4405826" w:history="1">
            <w:r w:rsidRPr="00062EA9">
              <w:rPr>
                <w:rStyle w:val="Hyperlink"/>
                <w:noProof/>
              </w:rPr>
              <w:t>Steglujan</w:t>
            </w:r>
            <w:r>
              <w:rPr>
                <w:noProof/>
                <w:webHidden/>
              </w:rPr>
              <w:tab/>
            </w:r>
            <w:r>
              <w:rPr>
                <w:noProof/>
                <w:webHidden/>
              </w:rPr>
              <w:fldChar w:fldCharType="begin"/>
            </w:r>
            <w:r>
              <w:rPr>
                <w:noProof/>
                <w:webHidden/>
              </w:rPr>
              <w:instrText xml:space="preserve"> PAGEREF _Toc4405826 \h </w:instrText>
            </w:r>
            <w:r>
              <w:rPr>
                <w:noProof/>
                <w:webHidden/>
              </w:rPr>
            </w:r>
            <w:r>
              <w:rPr>
                <w:noProof/>
                <w:webHidden/>
              </w:rPr>
              <w:fldChar w:fldCharType="separate"/>
            </w:r>
            <w:r>
              <w:rPr>
                <w:noProof/>
                <w:webHidden/>
              </w:rPr>
              <w:t>42</w:t>
            </w:r>
            <w:r>
              <w:rPr>
                <w:noProof/>
                <w:webHidden/>
              </w:rPr>
              <w:fldChar w:fldCharType="end"/>
            </w:r>
          </w:hyperlink>
        </w:p>
        <w:p w14:paraId="3D41AEE8" w14:textId="77777777" w:rsidR="00127692" w:rsidRDefault="00127692">
          <w:pPr>
            <w:pStyle w:val="TOC3"/>
            <w:rPr>
              <w:rFonts w:asciiTheme="minorHAnsi" w:eastAsiaTheme="minorEastAsia" w:hAnsiTheme="minorHAnsi" w:cstheme="minorBidi"/>
              <w:noProof/>
              <w:lang w:eastAsia="en-AU"/>
            </w:rPr>
          </w:pPr>
          <w:hyperlink w:anchor="_Toc4405827" w:history="1">
            <w:r w:rsidRPr="00062EA9">
              <w:rPr>
                <w:rStyle w:val="Hyperlink"/>
                <w:noProof/>
              </w:rPr>
              <w:t>Segluromet</w:t>
            </w:r>
            <w:r>
              <w:rPr>
                <w:noProof/>
                <w:webHidden/>
              </w:rPr>
              <w:tab/>
            </w:r>
            <w:r>
              <w:rPr>
                <w:noProof/>
                <w:webHidden/>
              </w:rPr>
              <w:fldChar w:fldCharType="begin"/>
            </w:r>
            <w:r>
              <w:rPr>
                <w:noProof/>
                <w:webHidden/>
              </w:rPr>
              <w:instrText xml:space="preserve"> PAGEREF _Toc4405827 \h </w:instrText>
            </w:r>
            <w:r>
              <w:rPr>
                <w:noProof/>
                <w:webHidden/>
              </w:rPr>
            </w:r>
            <w:r>
              <w:rPr>
                <w:noProof/>
                <w:webHidden/>
              </w:rPr>
              <w:fldChar w:fldCharType="separate"/>
            </w:r>
            <w:r>
              <w:rPr>
                <w:noProof/>
                <w:webHidden/>
              </w:rPr>
              <w:t>44</w:t>
            </w:r>
            <w:r>
              <w:rPr>
                <w:noProof/>
                <w:webHidden/>
              </w:rPr>
              <w:fldChar w:fldCharType="end"/>
            </w:r>
          </w:hyperlink>
        </w:p>
        <w:p w14:paraId="1BDFBEEB" w14:textId="77777777" w:rsidR="00127692" w:rsidRDefault="00127692">
          <w:pPr>
            <w:pStyle w:val="TOC2"/>
            <w:rPr>
              <w:rFonts w:asciiTheme="minorHAnsi" w:eastAsiaTheme="minorEastAsia" w:hAnsiTheme="minorHAnsi" w:cstheme="minorBidi"/>
              <w:b w:val="0"/>
              <w:noProof/>
              <w:sz w:val="22"/>
              <w:lang w:eastAsia="en-AU"/>
            </w:rPr>
          </w:pPr>
          <w:hyperlink w:anchor="_Toc4405828" w:history="1">
            <w:r w:rsidRPr="00062EA9">
              <w:rPr>
                <w:rStyle w:val="Hyperlink"/>
                <w:noProof/>
              </w:rPr>
              <w:t>V. Clinical findings</w:t>
            </w:r>
            <w:r>
              <w:rPr>
                <w:noProof/>
                <w:webHidden/>
              </w:rPr>
              <w:tab/>
            </w:r>
            <w:r>
              <w:rPr>
                <w:noProof/>
                <w:webHidden/>
              </w:rPr>
              <w:fldChar w:fldCharType="begin"/>
            </w:r>
            <w:r>
              <w:rPr>
                <w:noProof/>
                <w:webHidden/>
              </w:rPr>
              <w:instrText xml:space="preserve"> PAGEREF _Toc4405828 \h </w:instrText>
            </w:r>
            <w:r>
              <w:rPr>
                <w:noProof/>
                <w:webHidden/>
              </w:rPr>
            </w:r>
            <w:r>
              <w:rPr>
                <w:noProof/>
                <w:webHidden/>
              </w:rPr>
              <w:fldChar w:fldCharType="separate"/>
            </w:r>
            <w:r>
              <w:rPr>
                <w:noProof/>
                <w:webHidden/>
              </w:rPr>
              <w:t>47</w:t>
            </w:r>
            <w:r>
              <w:rPr>
                <w:noProof/>
                <w:webHidden/>
              </w:rPr>
              <w:fldChar w:fldCharType="end"/>
            </w:r>
          </w:hyperlink>
        </w:p>
        <w:p w14:paraId="71ABFF88" w14:textId="77777777" w:rsidR="00127692" w:rsidRDefault="00127692">
          <w:pPr>
            <w:pStyle w:val="TOC3"/>
            <w:rPr>
              <w:rFonts w:asciiTheme="minorHAnsi" w:eastAsiaTheme="minorEastAsia" w:hAnsiTheme="minorHAnsi" w:cstheme="minorBidi"/>
              <w:noProof/>
              <w:lang w:eastAsia="en-AU"/>
            </w:rPr>
          </w:pPr>
          <w:hyperlink w:anchor="_Toc4405829" w:history="1">
            <w:r w:rsidRPr="00062EA9">
              <w:rPr>
                <w:rStyle w:val="Hyperlink"/>
                <w:noProof/>
              </w:rPr>
              <w:t>Steglatro</w:t>
            </w:r>
            <w:r>
              <w:rPr>
                <w:noProof/>
                <w:webHidden/>
              </w:rPr>
              <w:tab/>
            </w:r>
            <w:r>
              <w:rPr>
                <w:noProof/>
                <w:webHidden/>
              </w:rPr>
              <w:fldChar w:fldCharType="begin"/>
            </w:r>
            <w:r>
              <w:rPr>
                <w:noProof/>
                <w:webHidden/>
              </w:rPr>
              <w:instrText xml:space="preserve"> PAGEREF _Toc4405829 \h </w:instrText>
            </w:r>
            <w:r>
              <w:rPr>
                <w:noProof/>
                <w:webHidden/>
              </w:rPr>
            </w:r>
            <w:r>
              <w:rPr>
                <w:noProof/>
                <w:webHidden/>
              </w:rPr>
              <w:fldChar w:fldCharType="separate"/>
            </w:r>
            <w:r>
              <w:rPr>
                <w:noProof/>
                <w:webHidden/>
              </w:rPr>
              <w:t>47</w:t>
            </w:r>
            <w:r>
              <w:rPr>
                <w:noProof/>
                <w:webHidden/>
              </w:rPr>
              <w:fldChar w:fldCharType="end"/>
            </w:r>
          </w:hyperlink>
        </w:p>
        <w:p w14:paraId="6E76ED27" w14:textId="77777777" w:rsidR="00127692" w:rsidRDefault="00127692">
          <w:pPr>
            <w:pStyle w:val="TOC3"/>
            <w:rPr>
              <w:rFonts w:asciiTheme="minorHAnsi" w:eastAsiaTheme="minorEastAsia" w:hAnsiTheme="minorHAnsi" w:cstheme="minorBidi"/>
              <w:noProof/>
              <w:lang w:eastAsia="en-AU"/>
            </w:rPr>
          </w:pPr>
          <w:hyperlink w:anchor="_Toc4405830" w:history="1">
            <w:r w:rsidRPr="00062EA9">
              <w:rPr>
                <w:rStyle w:val="Hyperlink"/>
                <w:noProof/>
              </w:rPr>
              <w:t>Steglujan</w:t>
            </w:r>
            <w:r>
              <w:rPr>
                <w:noProof/>
                <w:webHidden/>
              </w:rPr>
              <w:tab/>
            </w:r>
            <w:r>
              <w:rPr>
                <w:noProof/>
                <w:webHidden/>
              </w:rPr>
              <w:fldChar w:fldCharType="begin"/>
            </w:r>
            <w:r>
              <w:rPr>
                <w:noProof/>
                <w:webHidden/>
              </w:rPr>
              <w:instrText xml:space="preserve"> PAGEREF _Toc4405830 \h </w:instrText>
            </w:r>
            <w:r>
              <w:rPr>
                <w:noProof/>
                <w:webHidden/>
              </w:rPr>
            </w:r>
            <w:r>
              <w:rPr>
                <w:noProof/>
                <w:webHidden/>
              </w:rPr>
              <w:fldChar w:fldCharType="separate"/>
            </w:r>
            <w:r>
              <w:rPr>
                <w:noProof/>
                <w:webHidden/>
              </w:rPr>
              <w:t>68</w:t>
            </w:r>
            <w:r>
              <w:rPr>
                <w:noProof/>
                <w:webHidden/>
              </w:rPr>
              <w:fldChar w:fldCharType="end"/>
            </w:r>
          </w:hyperlink>
        </w:p>
        <w:p w14:paraId="6374EED2" w14:textId="77777777" w:rsidR="00127692" w:rsidRDefault="00127692">
          <w:pPr>
            <w:pStyle w:val="TOC3"/>
            <w:rPr>
              <w:rFonts w:asciiTheme="minorHAnsi" w:eastAsiaTheme="minorEastAsia" w:hAnsiTheme="minorHAnsi" w:cstheme="minorBidi"/>
              <w:noProof/>
              <w:lang w:eastAsia="en-AU"/>
            </w:rPr>
          </w:pPr>
          <w:hyperlink w:anchor="_Toc4405831" w:history="1">
            <w:r w:rsidRPr="00062EA9">
              <w:rPr>
                <w:rStyle w:val="Hyperlink"/>
                <w:noProof/>
              </w:rPr>
              <w:t>Segluromet</w:t>
            </w:r>
            <w:r>
              <w:rPr>
                <w:noProof/>
                <w:webHidden/>
              </w:rPr>
              <w:tab/>
            </w:r>
            <w:r>
              <w:rPr>
                <w:noProof/>
                <w:webHidden/>
              </w:rPr>
              <w:fldChar w:fldCharType="begin"/>
            </w:r>
            <w:r>
              <w:rPr>
                <w:noProof/>
                <w:webHidden/>
              </w:rPr>
              <w:instrText xml:space="preserve"> PAGEREF _Toc4405831 \h </w:instrText>
            </w:r>
            <w:r>
              <w:rPr>
                <w:noProof/>
                <w:webHidden/>
              </w:rPr>
            </w:r>
            <w:r>
              <w:rPr>
                <w:noProof/>
                <w:webHidden/>
              </w:rPr>
              <w:fldChar w:fldCharType="separate"/>
            </w:r>
            <w:r>
              <w:rPr>
                <w:noProof/>
                <w:webHidden/>
              </w:rPr>
              <w:t>79</w:t>
            </w:r>
            <w:r>
              <w:rPr>
                <w:noProof/>
                <w:webHidden/>
              </w:rPr>
              <w:fldChar w:fldCharType="end"/>
            </w:r>
          </w:hyperlink>
        </w:p>
        <w:p w14:paraId="17FADFA9" w14:textId="77777777" w:rsidR="00127692" w:rsidRDefault="00127692">
          <w:pPr>
            <w:pStyle w:val="TOC2"/>
            <w:rPr>
              <w:rFonts w:asciiTheme="minorHAnsi" w:eastAsiaTheme="minorEastAsia" w:hAnsiTheme="minorHAnsi" w:cstheme="minorBidi"/>
              <w:b w:val="0"/>
              <w:noProof/>
              <w:sz w:val="22"/>
              <w:lang w:eastAsia="en-AU"/>
            </w:rPr>
          </w:pPr>
          <w:hyperlink w:anchor="_Toc4405832" w:history="1">
            <w:r w:rsidRPr="00062EA9">
              <w:rPr>
                <w:rStyle w:val="Hyperlink"/>
                <w:noProof/>
              </w:rPr>
              <w:t>VI. Pharmacovigilance findings</w:t>
            </w:r>
            <w:r>
              <w:rPr>
                <w:noProof/>
                <w:webHidden/>
              </w:rPr>
              <w:tab/>
            </w:r>
            <w:r>
              <w:rPr>
                <w:noProof/>
                <w:webHidden/>
              </w:rPr>
              <w:fldChar w:fldCharType="begin"/>
            </w:r>
            <w:r>
              <w:rPr>
                <w:noProof/>
                <w:webHidden/>
              </w:rPr>
              <w:instrText xml:space="preserve"> PAGEREF _Toc4405832 \h </w:instrText>
            </w:r>
            <w:r>
              <w:rPr>
                <w:noProof/>
                <w:webHidden/>
              </w:rPr>
            </w:r>
            <w:r>
              <w:rPr>
                <w:noProof/>
                <w:webHidden/>
              </w:rPr>
              <w:fldChar w:fldCharType="separate"/>
            </w:r>
            <w:r>
              <w:rPr>
                <w:noProof/>
                <w:webHidden/>
              </w:rPr>
              <w:t>91</w:t>
            </w:r>
            <w:r>
              <w:rPr>
                <w:noProof/>
                <w:webHidden/>
              </w:rPr>
              <w:fldChar w:fldCharType="end"/>
            </w:r>
          </w:hyperlink>
        </w:p>
        <w:p w14:paraId="0E63030E" w14:textId="77777777" w:rsidR="00127692" w:rsidRDefault="00127692">
          <w:pPr>
            <w:pStyle w:val="TOC3"/>
            <w:rPr>
              <w:rFonts w:asciiTheme="minorHAnsi" w:eastAsiaTheme="minorEastAsia" w:hAnsiTheme="minorHAnsi" w:cstheme="minorBidi"/>
              <w:noProof/>
              <w:lang w:eastAsia="en-AU"/>
            </w:rPr>
          </w:pPr>
          <w:hyperlink w:anchor="_Toc4405833" w:history="1">
            <w:r w:rsidRPr="00062EA9">
              <w:rPr>
                <w:rStyle w:val="Hyperlink"/>
                <w:noProof/>
                <w:lang w:eastAsia="en-AU"/>
              </w:rPr>
              <w:t xml:space="preserve">Steglatro risk </w:t>
            </w:r>
            <w:r w:rsidRPr="00062EA9">
              <w:rPr>
                <w:rStyle w:val="Hyperlink"/>
                <w:noProof/>
              </w:rPr>
              <w:t>management</w:t>
            </w:r>
            <w:r w:rsidRPr="00062EA9">
              <w:rPr>
                <w:rStyle w:val="Hyperlink"/>
                <w:noProof/>
                <w:lang w:eastAsia="en-AU"/>
              </w:rPr>
              <w:t xml:space="preserve"> plan</w:t>
            </w:r>
            <w:r>
              <w:rPr>
                <w:noProof/>
                <w:webHidden/>
              </w:rPr>
              <w:tab/>
            </w:r>
            <w:r>
              <w:rPr>
                <w:noProof/>
                <w:webHidden/>
              </w:rPr>
              <w:fldChar w:fldCharType="begin"/>
            </w:r>
            <w:r>
              <w:rPr>
                <w:noProof/>
                <w:webHidden/>
              </w:rPr>
              <w:instrText xml:space="preserve"> PAGEREF _Toc4405833 \h </w:instrText>
            </w:r>
            <w:r>
              <w:rPr>
                <w:noProof/>
                <w:webHidden/>
              </w:rPr>
            </w:r>
            <w:r>
              <w:rPr>
                <w:noProof/>
                <w:webHidden/>
              </w:rPr>
              <w:fldChar w:fldCharType="separate"/>
            </w:r>
            <w:r>
              <w:rPr>
                <w:noProof/>
                <w:webHidden/>
              </w:rPr>
              <w:t>91</w:t>
            </w:r>
            <w:r>
              <w:rPr>
                <w:noProof/>
                <w:webHidden/>
              </w:rPr>
              <w:fldChar w:fldCharType="end"/>
            </w:r>
          </w:hyperlink>
        </w:p>
        <w:p w14:paraId="0778ED75" w14:textId="77777777" w:rsidR="00127692" w:rsidRDefault="00127692">
          <w:pPr>
            <w:pStyle w:val="TOC3"/>
            <w:rPr>
              <w:rFonts w:asciiTheme="minorHAnsi" w:eastAsiaTheme="minorEastAsia" w:hAnsiTheme="minorHAnsi" w:cstheme="minorBidi"/>
              <w:noProof/>
              <w:lang w:eastAsia="en-AU"/>
            </w:rPr>
          </w:pPr>
          <w:hyperlink w:anchor="_Toc4405834" w:history="1">
            <w:r w:rsidRPr="00062EA9">
              <w:rPr>
                <w:rStyle w:val="Hyperlink"/>
                <w:noProof/>
              </w:rPr>
              <w:t>Steglujan risk management plan (abridged)</w:t>
            </w:r>
            <w:r>
              <w:rPr>
                <w:noProof/>
                <w:webHidden/>
              </w:rPr>
              <w:tab/>
            </w:r>
            <w:r>
              <w:rPr>
                <w:noProof/>
                <w:webHidden/>
              </w:rPr>
              <w:fldChar w:fldCharType="begin"/>
            </w:r>
            <w:r>
              <w:rPr>
                <w:noProof/>
                <w:webHidden/>
              </w:rPr>
              <w:instrText xml:space="preserve"> PAGEREF _Toc4405834 \h </w:instrText>
            </w:r>
            <w:r>
              <w:rPr>
                <w:noProof/>
                <w:webHidden/>
              </w:rPr>
            </w:r>
            <w:r>
              <w:rPr>
                <w:noProof/>
                <w:webHidden/>
              </w:rPr>
              <w:fldChar w:fldCharType="separate"/>
            </w:r>
            <w:r>
              <w:rPr>
                <w:noProof/>
                <w:webHidden/>
              </w:rPr>
              <w:t>93</w:t>
            </w:r>
            <w:r>
              <w:rPr>
                <w:noProof/>
                <w:webHidden/>
              </w:rPr>
              <w:fldChar w:fldCharType="end"/>
            </w:r>
          </w:hyperlink>
        </w:p>
        <w:p w14:paraId="453A4BEA" w14:textId="77777777" w:rsidR="00127692" w:rsidRDefault="00127692">
          <w:pPr>
            <w:pStyle w:val="TOC3"/>
            <w:rPr>
              <w:rFonts w:asciiTheme="minorHAnsi" w:eastAsiaTheme="minorEastAsia" w:hAnsiTheme="minorHAnsi" w:cstheme="minorBidi"/>
              <w:noProof/>
              <w:lang w:eastAsia="en-AU"/>
            </w:rPr>
          </w:pPr>
          <w:hyperlink w:anchor="_Toc4405835" w:history="1">
            <w:r w:rsidRPr="00062EA9">
              <w:rPr>
                <w:rStyle w:val="Hyperlink"/>
                <w:noProof/>
              </w:rPr>
              <w:t>Segluromet risk management plan (abridged)</w:t>
            </w:r>
            <w:r>
              <w:rPr>
                <w:noProof/>
                <w:webHidden/>
              </w:rPr>
              <w:tab/>
            </w:r>
            <w:r>
              <w:rPr>
                <w:noProof/>
                <w:webHidden/>
              </w:rPr>
              <w:fldChar w:fldCharType="begin"/>
            </w:r>
            <w:r>
              <w:rPr>
                <w:noProof/>
                <w:webHidden/>
              </w:rPr>
              <w:instrText xml:space="preserve"> PAGEREF _Toc4405835 \h </w:instrText>
            </w:r>
            <w:r>
              <w:rPr>
                <w:noProof/>
                <w:webHidden/>
              </w:rPr>
            </w:r>
            <w:r>
              <w:rPr>
                <w:noProof/>
                <w:webHidden/>
              </w:rPr>
              <w:fldChar w:fldCharType="separate"/>
            </w:r>
            <w:r>
              <w:rPr>
                <w:noProof/>
                <w:webHidden/>
              </w:rPr>
              <w:t>96</w:t>
            </w:r>
            <w:r>
              <w:rPr>
                <w:noProof/>
                <w:webHidden/>
              </w:rPr>
              <w:fldChar w:fldCharType="end"/>
            </w:r>
          </w:hyperlink>
        </w:p>
        <w:p w14:paraId="687F2280" w14:textId="77777777" w:rsidR="00127692" w:rsidRDefault="00127692">
          <w:pPr>
            <w:pStyle w:val="TOC2"/>
            <w:rPr>
              <w:rFonts w:asciiTheme="minorHAnsi" w:eastAsiaTheme="minorEastAsia" w:hAnsiTheme="minorHAnsi" w:cstheme="minorBidi"/>
              <w:b w:val="0"/>
              <w:noProof/>
              <w:sz w:val="22"/>
              <w:lang w:eastAsia="en-AU"/>
            </w:rPr>
          </w:pPr>
          <w:hyperlink w:anchor="_Toc4405836" w:history="1">
            <w:r w:rsidRPr="00062EA9">
              <w:rPr>
                <w:rStyle w:val="Hyperlink"/>
                <w:noProof/>
              </w:rPr>
              <w:t>VII. Overall conclusion and risk/benefit assessment</w:t>
            </w:r>
            <w:r>
              <w:rPr>
                <w:noProof/>
                <w:webHidden/>
              </w:rPr>
              <w:tab/>
            </w:r>
            <w:r>
              <w:rPr>
                <w:noProof/>
                <w:webHidden/>
              </w:rPr>
              <w:fldChar w:fldCharType="begin"/>
            </w:r>
            <w:r>
              <w:rPr>
                <w:noProof/>
                <w:webHidden/>
              </w:rPr>
              <w:instrText xml:space="preserve"> PAGEREF _Toc4405836 \h </w:instrText>
            </w:r>
            <w:r>
              <w:rPr>
                <w:noProof/>
                <w:webHidden/>
              </w:rPr>
            </w:r>
            <w:r>
              <w:rPr>
                <w:noProof/>
                <w:webHidden/>
              </w:rPr>
              <w:fldChar w:fldCharType="separate"/>
            </w:r>
            <w:r>
              <w:rPr>
                <w:noProof/>
                <w:webHidden/>
              </w:rPr>
              <w:t>97</w:t>
            </w:r>
            <w:r>
              <w:rPr>
                <w:noProof/>
                <w:webHidden/>
              </w:rPr>
              <w:fldChar w:fldCharType="end"/>
            </w:r>
          </w:hyperlink>
        </w:p>
        <w:p w14:paraId="705B882D" w14:textId="77777777" w:rsidR="00127692" w:rsidRDefault="00127692">
          <w:pPr>
            <w:pStyle w:val="TOC3"/>
            <w:rPr>
              <w:rFonts w:asciiTheme="minorHAnsi" w:eastAsiaTheme="minorEastAsia" w:hAnsiTheme="minorHAnsi" w:cstheme="minorBidi"/>
              <w:noProof/>
              <w:lang w:eastAsia="en-AU"/>
            </w:rPr>
          </w:pPr>
          <w:hyperlink w:anchor="_Toc4405837" w:history="1">
            <w:r w:rsidRPr="00062EA9">
              <w:rPr>
                <w:rStyle w:val="Hyperlink"/>
                <w:noProof/>
              </w:rPr>
              <w:t>Quality</w:t>
            </w:r>
            <w:r>
              <w:rPr>
                <w:noProof/>
                <w:webHidden/>
              </w:rPr>
              <w:tab/>
            </w:r>
            <w:r>
              <w:rPr>
                <w:noProof/>
                <w:webHidden/>
              </w:rPr>
              <w:fldChar w:fldCharType="begin"/>
            </w:r>
            <w:r>
              <w:rPr>
                <w:noProof/>
                <w:webHidden/>
              </w:rPr>
              <w:instrText xml:space="preserve"> PAGEREF _Toc4405837 \h </w:instrText>
            </w:r>
            <w:r>
              <w:rPr>
                <w:noProof/>
                <w:webHidden/>
              </w:rPr>
            </w:r>
            <w:r>
              <w:rPr>
                <w:noProof/>
                <w:webHidden/>
              </w:rPr>
              <w:fldChar w:fldCharType="separate"/>
            </w:r>
            <w:r>
              <w:rPr>
                <w:noProof/>
                <w:webHidden/>
              </w:rPr>
              <w:t>97</w:t>
            </w:r>
            <w:r>
              <w:rPr>
                <w:noProof/>
                <w:webHidden/>
              </w:rPr>
              <w:fldChar w:fldCharType="end"/>
            </w:r>
          </w:hyperlink>
        </w:p>
        <w:p w14:paraId="028413F9" w14:textId="77777777" w:rsidR="00127692" w:rsidRDefault="00127692">
          <w:pPr>
            <w:pStyle w:val="TOC3"/>
            <w:rPr>
              <w:rFonts w:asciiTheme="minorHAnsi" w:eastAsiaTheme="minorEastAsia" w:hAnsiTheme="minorHAnsi" w:cstheme="minorBidi"/>
              <w:noProof/>
              <w:lang w:eastAsia="en-AU"/>
            </w:rPr>
          </w:pPr>
          <w:hyperlink w:anchor="_Toc4405838" w:history="1">
            <w:r w:rsidRPr="00062EA9">
              <w:rPr>
                <w:rStyle w:val="Hyperlink"/>
                <w:noProof/>
              </w:rPr>
              <w:t>Nonclinical</w:t>
            </w:r>
            <w:r>
              <w:rPr>
                <w:noProof/>
                <w:webHidden/>
              </w:rPr>
              <w:tab/>
            </w:r>
            <w:r>
              <w:rPr>
                <w:noProof/>
                <w:webHidden/>
              </w:rPr>
              <w:fldChar w:fldCharType="begin"/>
            </w:r>
            <w:r>
              <w:rPr>
                <w:noProof/>
                <w:webHidden/>
              </w:rPr>
              <w:instrText xml:space="preserve"> PAGEREF _Toc4405838 \h </w:instrText>
            </w:r>
            <w:r>
              <w:rPr>
                <w:noProof/>
                <w:webHidden/>
              </w:rPr>
            </w:r>
            <w:r>
              <w:rPr>
                <w:noProof/>
                <w:webHidden/>
              </w:rPr>
              <w:fldChar w:fldCharType="separate"/>
            </w:r>
            <w:r>
              <w:rPr>
                <w:noProof/>
                <w:webHidden/>
              </w:rPr>
              <w:t>97</w:t>
            </w:r>
            <w:r>
              <w:rPr>
                <w:noProof/>
                <w:webHidden/>
              </w:rPr>
              <w:fldChar w:fldCharType="end"/>
            </w:r>
          </w:hyperlink>
        </w:p>
        <w:p w14:paraId="1FFEE10B" w14:textId="77777777" w:rsidR="00127692" w:rsidRDefault="00127692">
          <w:pPr>
            <w:pStyle w:val="TOC3"/>
            <w:rPr>
              <w:rFonts w:asciiTheme="minorHAnsi" w:eastAsiaTheme="minorEastAsia" w:hAnsiTheme="minorHAnsi" w:cstheme="minorBidi"/>
              <w:noProof/>
              <w:lang w:eastAsia="en-AU"/>
            </w:rPr>
          </w:pPr>
          <w:hyperlink w:anchor="_Toc4405839" w:history="1">
            <w:r w:rsidRPr="00062EA9">
              <w:rPr>
                <w:rStyle w:val="Hyperlink"/>
                <w:noProof/>
              </w:rPr>
              <w:t>Clinical</w:t>
            </w:r>
            <w:r>
              <w:rPr>
                <w:noProof/>
                <w:webHidden/>
              </w:rPr>
              <w:tab/>
            </w:r>
            <w:r>
              <w:rPr>
                <w:noProof/>
                <w:webHidden/>
              </w:rPr>
              <w:fldChar w:fldCharType="begin"/>
            </w:r>
            <w:r>
              <w:rPr>
                <w:noProof/>
                <w:webHidden/>
              </w:rPr>
              <w:instrText xml:space="preserve"> PAGEREF _Toc4405839 \h </w:instrText>
            </w:r>
            <w:r>
              <w:rPr>
                <w:noProof/>
                <w:webHidden/>
              </w:rPr>
            </w:r>
            <w:r>
              <w:rPr>
                <w:noProof/>
                <w:webHidden/>
              </w:rPr>
              <w:fldChar w:fldCharType="separate"/>
            </w:r>
            <w:r>
              <w:rPr>
                <w:noProof/>
                <w:webHidden/>
              </w:rPr>
              <w:t>98</w:t>
            </w:r>
            <w:r>
              <w:rPr>
                <w:noProof/>
                <w:webHidden/>
              </w:rPr>
              <w:fldChar w:fldCharType="end"/>
            </w:r>
          </w:hyperlink>
        </w:p>
        <w:p w14:paraId="100C3593" w14:textId="77777777" w:rsidR="00127692" w:rsidRDefault="00127692">
          <w:pPr>
            <w:pStyle w:val="TOC3"/>
            <w:rPr>
              <w:rFonts w:asciiTheme="minorHAnsi" w:eastAsiaTheme="minorEastAsia" w:hAnsiTheme="minorHAnsi" w:cstheme="minorBidi"/>
              <w:noProof/>
              <w:lang w:eastAsia="en-AU"/>
            </w:rPr>
          </w:pPr>
          <w:hyperlink w:anchor="_Toc4405840" w:history="1">
            <w:r w:rsidRPr="00062EA9">
              <w:rPr>
                <w:rStyle w:val="Hyperlink"/>
                <w:noProof/>
                <w:lang w:eastAsia="en-AU"/>
              </w:rPr>
              <w:t>Risk management plan</w:t>
            </w:r>
            <w:r>
              <w:rPr>
                <w:noProof/>
                <w:webHidden/>
              </w:rPr>
              <w:tab/>
            </w:r>
            <w:r>
              <w:rPr>
                <w:noProof/>
                <w:webHidden/>
              </w:rPr>
              <w:fldChar w:fldCharType="begin"/>
            </w:r>
            <w:r>
              <w:rPr>
                <w:noProof/>
                <w:webHidden/>
              </w:rPr>
              <w:instrText xml:space="preserve"> PAGEREF _Toc4405840 \h </w:instrText>
            </w:r>
            <w:r>
              <w:rPr>
                <w:noProof/>
                <w:webHidden/>
              </w:rPr>
            </w:r>
            <w:r>
              <w:rPr>
                <w:noProof/>
                <w:webHidden/>
              </w:rPr>
              <w:fldChar w:fldCharType="separate"/>
            </w:r>
            <w:r>
              <w:rPr>
                <w:noProof/>
                <w:webHidden/>
              </w:rPr>
              <w:t>108</w:t>
            </w:r>
            <w:r>
              <w:rPr>
                <w:noProof/>
                <w:webHidden/>
              </w:rPr>
              <w:fldChar w:fldCharType="end"/>
            </w:r>
          </w:hyperlink>
        </w:p>
        <w:p w14:paraId="3F6FF2F6" w14:textId="77777777" w:rsidR="00127692" w:rsidRDefault="00127692">
          <w:pPr>
            <w:pStyle w:val="TOC3"/>
            <w:rPr>
              <w:rFonts w:asciiTheme="minorHAnsi" w:eastAsiaTheme="minorEastAsia" w:hAnsiTheme="minorHAnsi" w:cstheme="minorBidi"/>
              <w:noProof/>
              <w:lang w:eastAsia="en-AU"/>
            </w:rPr>
          </w:pPr>
          <w:hyperlink w:anchor="_Toc4405841" w:history="1">
            <w:r w:rsidRPr="00062EA9">
              <w:rPr>
                <w:rStyle w:val="Hyperlink"/>
                <w:noProof/>
              </w:rPr>
              <w:t>Risk-benefit analysis</w:t>
            </w:r>
            <w:r>
              <w:rPr>
                <w:noProof/>
                <w:webHidden/>
              </w:rPr>
              <w:tab/>
            </w:r>
            <w:r>
              <w:rPr>
                <w:noProof/>
                <w:webHidden/>
              </w:rPr>
              <w:fldChar w:fldCharType="begin"/>
            </w:r>
            <w:r>
              <w:rPr>
                <w:noProof/>
                <w:webHidden/>
              </w:rPr>
              <w:instrText xml:space="preserve"> PAGEREF _Toc4405841 \h </w:instrText>
            </w:r>
            <w:r>
              <w:rPr>
                <w:noProof/>
                <w:webHidden/>
              </w:rPr>
            </w:r>
            <w:r>
              <w:rPr>
                <w:noProof/>
                <w:webHidden/>
              </w:rPr>
              <w:fldChar w:fldCharType="separate"/>
            </w:r>
            <w:r>
              <w:rPr>
                <w:noProof/>
                <w:webHidden/>
              </w:rPr>
              <w:t>108</w:t>
            </w:r>
            <w:r>
              <w:rPr>
                <w:noProof/>
                <w:webHidden/>
              </w:rPr>
              <w:fldChar w:fldCharType="end"/>
            </w:r>
          </w:hyperlink>
        </w:p>
        <w:p w14:paraId="44C8A7CD" w14:textId="77777777" w:rsidR="00127692" w:rsidRDefault="00127692">
          <w:pPr>
            <w:pStyle w:val="TOC3"/>
            <w:rPr>
              <w:rFonts w:asciiTheme="minorHAnsi" w:eastAsiaTheme="minorEastAsia" w:hAnsiTheme="minorHAnsi" w:cstheme="minorBidi"/>
              <w:noProof/>
              <w:lang w:eastAsia="en-AU"/>
            </w:rPr>
          </w:pPr>
          <w:hyperlink w:anchor="_Toc4405842" w:history="1">
            <w:r w:rsidRPr="00062EA9">
              <w:rPr>
                <w:rStyle w:val="Hyperlink"/>
                <w:noProof/>
              </w:rPr>
              <w:t>Outcome</w:t>
            </w:r>
            <w:r>
              <w:rPr>
                <w:noProof/>
                <w:webHidden/>
              </w:rPr>
              <w:tab/>
            </w:r>
            <w:r>
              <w:rPr>
                <w:noProof/>
                <w:webHidden/>
              </w:rPr>
              <w:fldChar w:fldCharType="begin"/>
            </w:r>
            <w:r>
              <w:rPr>
                <w:noProof/>
                <w:webHidden/>
              </w:rPr>
              <w:instrText xml:space="preserve"> PAGEREF _Toc4405842 \h </w:instrText>
            </w:r>
            <w:r>
              <w:rPr>
                <w:noProof/>
                <w:webHidden/>
              </w:rPr>
            </w:r>
            <w:r>
              <w:rPr>
                <w:noProof/>
                <w:webHidden/>
              </w:rPr>
              <w:fldChar w:fldCharType="separate"/>
            </w:r>
            <w:r>
              <w:rPr>
                <w:noProof/>
                <w:webHidden/>
              </w:rPr>
              <w:t>121</w:t>
            </w:r>
            <w:r>
              <w:rPr>
                <w:noProof/>
                <w:webHidden/>
              </w:rPr>
              <w:fldChar w:fldCharType="end"/>
            </w:r>
          </w:hyperlink>
        </w:p>
        <w:p w14:paraId="60DA348B" w14:textId="77777777" w:rsidR="00127692" w:rsidRDefault="00127692">
          <w:pPr>
            <w:pStyle w:val="TOC2"/>
            <w:rPr>
              <w:rFonts w:asciiTheme="minorHAnsi" w:eastAsiaTheme="minorEastAsia" w:hAnsiTheme="minorHAnsi" w:cstheme="minorBidi"/>
              <w:b w:val="0"/>
              <w:noProof/>
              <w:sz w:val="22"/>
              <w:lang w:eastAsia="en-AU"/>
            </w:rPr>
          </w:pPr>
          <w:hyperlink w:anchor="_Toc4405843" w:history="1">
            <w:r w:rsidRPr="00062EA9">
              <w:rPr>
                <w:rStyle w:val="Hyperlink"/>
                <w:noProof/>
              </w:rPr>
              <w:t>Attachments 1A-C. Product Information</w:t>
            </w:r>
            <w:r>
              <w:rPr>
                <w:noProof/>
                <w:webHidden/>
              </w:rPr>
              <w:tab/>
            </w:r>
            <w:r>
              <w:rPr>
                <w:noProof/>
                <w:webHidden/>
              </w:rPr>
              <w:fldChar w:fldCharType="begin"/>
            </w:r>
            <w:r>
              <w:rPr>
                <w:noProof/>
                <w:webHidden/>
              </w:rPr>
              <w:instrText xml:space="preserve"> PAGEREF _Toc4405843 \h </w:instrText>
            </w:r>
            <w:r>
              <w:rPr>
                <w:noProof/>
                <w:webHidden/>
              </w:rPr>
            </w:r>
            <w:r>
              <w:rPr>
                <w:noProof/>
                <w:webHidden/>
              </w:rPr>
              <w:fldChar w:fldCharType="separate"/>
            </w:r>
            <w:r>
              <w:rPr>
                <w:noProof/>
                <w:webHidden/>
              </w:rPr>
              <w:t>124</w:t>
            </w:r>
            <w:r>
              <w:rPr>
                <w:noProof/>
                <w:webHidden/>
              </w:rPr>
              <w:fldChar w:fldCharType="end"/>
            </w:r>
          </w:hyperlink>
        </w:p>
        <w:p w14:paraId="2E1EA6DE" w14:textId="77777777" w:rsidR="00127692" w:rsidRDefault="00127692">
          <w:pPr>
            <w:pStyle w:val="TOC2"/>
            <w:rPr>
              <w:rFonts w:asciiTheme="minorHAnsi" w:eastAsiaTheme="minorEastAsia" w:hAnsiTheme="minorHAnsi" w:cstheme="minorBidi"/>
              <w:b w:val="0"/>
              <w:noProof/>
              <w:sz w:val="22"/>
              <w:lang w:eastAsia="en-AU"/>
            </w:rPr>
          </w:pPr>
          <w:hyperlink w:anchor="_Toc4405844" w:history="1">
            <w:r w:rsidRPr="00062EA9">
              <w:rPr>
                <w:rStyle w:val="Hyperlink"/>
                <w:noProof/>
                <w:lang w:eastAsia="en-AU"/>
              </w:rPr>
              <w:t>Attachment 2. (Parts 1 and 2) Extract from the Clinical Evaluation Report for Steglatro</w:t>
            </w:r>
            <w:r>
              <w:rPr>
                <w:noProof/>
                <w:webHidden/>
              </w:rPr>
              <w:tab/>
            </w:r>
            <w:r>
              <w:rPr>
                <w:noProof/>
                <w:webHidden/>
              </w:rPr>
              <w:fldChar w:fldCharType="begin"/>
            </w:r>
            <w:r>
              <w:rPr>
                <w:noProof/>
                <w:webHidden/>
              </w:rPr>
              <w:instrText xml:space="preserve"> PAGEREF _Toc4405844 \h </w:instrText>
            </w:r>
            <w:r>
              <w:rPr>
                <w:noProof/>
                <w:webHidden/>
              </w:rPr>
            </w:r>
            <w:r>
              <w:rPr>
                <w:noProof/>
                <w:webHidden/>
              </w:rPr>
              <w:fldChar w:fldCharType="separate"/>
            </w:r>
            <w:r>
              <w:rPr>
                <w:noProof/>
                <w:webHidden/>
              </w:rPr>
              <w:t>124</w:t>
            </w:r>
            <w:r>
              <w:rPr>
                <w:noProof/>
                <w:webHidden/>
              </w:rPr>
              <w:fldChar w:fldCharType="end"/>
            </w:r>
          </w:hyperlink>
        </w:p>
        <w:p w14:paraId="68F45B7A" w14:textId="77777777" w:rsidR="00127692" w:rsidRDefault="00127692">
          <w:pPr>
            <w:pStyle w:val="TOC2"/>
            <w:rPr>
              <w:rFonts w:asciiTheme="minorHAnsi" w:eastAsiaTheme="minorEastAsia" w:hAnsiTheme="minorHAnsi" w:cstheme="minorBidi"/>
              <w:b w:val="0"/>
              <w:noProof/>
              <w:sz w:val="22"/>
              <w:lang w:eastAsia="en-AU"/>
            </w:rPr>
          </w:pPr>
          <w:hyperlink w:anchor="_Toc4405845" w:history="1">
            <w:r w:rsidRPr="00062EA9">
              <w:rPr>
                <w:rStyle w:val="Hyperlink"/>
                <w:noProof/>
                <w:lang w:eastAsia="en-AU"/>
              </w:rPr>
              <w:t xml:space="preserve">Attachment 3. Extract from the Clinical Evaluation Report for </w:t>
            </w:r>
            <w:r w:rsidRPr="00062EA9">
              <w:rPr>
                <w:rStyle w:val="Hyperlink"/>
                <w:noProof/>
              </w:rPr>
              <w:t>Steglujan</w:t>
            </w:r>
            <w:r>
              <w:rPr>
                <w:noProof/>
                <w:webHidden/>
              </w:rPr>
              <w:tab/>
            </w:r>
            <w:r>
              <w:rPr>
                <w:noProof/>
                <w:webHidden/>
              </w:rPr>
              <w:fldChar w:fldCharType="begin"/>
            </w:r>
            <w:r>
              <w:rPr>
                <w:noProof/>
                <w:webHidden/>
              </w:rPr>
              <w:instrText xml:space="preserve"> PAGEREF _Toc4405845 \h </w:instrText>
            </w:r>
            <w:r>
              <w:rPr>
                <w:noProof/>
                <w:webHidden/>
              </w:rPr>
            </w:r>
            <w:r>
              <w:rPr>
                <w:noProof/>
                <w:webHidden/>
              </w:rPr>
              <w:fldChar w:fldCharType="separate"/>
            </w:r>
            <w:r>
              <w:rPr>
                <w:noProof/>
                <w:webHidden/>
              </w:rPr>
              <w:t>124</w:t>
            </w:r>
            <w:r>
              <w:rPr>
                <w:noProof/>
                <w:webHidden/>
              </w:rPr>
              <w:fldChar w:fldCharType="end"/>
            </w:r>
          </w:hyperlink>
        </w:p>
        <w:p w14:paraId="01664671" w14:textId="77777777" w:rsidR="00127692" w:rsidRDefault="00127692">
          <w:pPr>
            <w:pStyle w:val="TOC2"/>
            <w:rPr>
              <w:rFonts w:asciiTheme="minorHAnsi" w:eastAsiaTheme="minorEastAsia" w:hAnsiTheme="minorHAnsi" w:cstheme="minorBidi"/>
              <w:b w:val="0"/>
              <w:noProof/>
              <w:sz w:val="22"/>
              <w:lang w:eastAsia="en-AU"/>
            </w:rPr>
          </w:pPr>
          <w:hyperlink w:anchor="_Toc4405846" w:history="1">
            <w:r w:rsidRPr="00062EA9">
              <w:rPr>
                <w:rStyle w:val="Hyperlink"/>
                <w:noProof/>
                <w:lang w:eastAsia="en-AU"/>
              </w:rPr>
              <w:t>Attachment 4. Extract from the Clinical Evaluation Report for Segluromet</w:t>
            </w:r>
            <w:r>
              <w:rPr>
                <w:noProof/>
                <w:webHidden/>
              </w:rPr>
              <w:tab/>
            </w:r>
            <w:r>
              <w:rPr>
                <w:noProof/>
                <w:webHidden/>
              </w:rPr>
              <w:fldChar w:fldCharType="begin"/>
            </w:r>
            <w:r>
              <w:rPr>
                <w:noProof/>
                <w:webHidden/>
              </w:rPr>
              <w:instrText xml:space="preserve"> PAGEREF _Toc4405846 \h </w:instrText>
            </w:r>
            <w:r>
              <w:rPr>
                <w:noProof/>
                <w:webHidden/>
              </w:rPr>
            </w:r>
            <w:r>
              <w:rPr>
                <w:noProof/>
                <w:webHidden/>
              </w:rPr>
              <w:fldChar w:fldCharType="separate"/>
            </w:r>
            <w:r>
              <w:rPr>
                <w:noProof/>
                <w:webHidden/>
              </w:rPr>
              <w:t>124</w:t>
            </w:r>
            <w:r>
              <w:rPr>
                <w:noProof/>
                <w:webHidden/>
              </w:rPr>
              <w:fldChar w:fldCharType="end"/>
            </w:r>
          </w:hyperlink>
        </w:p>
        <w:p w14:paraId="6A33B395" w14:textId="77777777" w:rsidR="003A7F6C" w:rsidRPr="00B811C6" w:rsidRDefault="00DB6124" w:rsidP="00E44BED">
          <w:pPr>
            <w:pStyle w:val="TOC2"/>
            <w:ind w:left="0"/>
          </w:pPr>
          <w:r>
            <w:fldChar w:fldCharType="end"/>
          </w:r>
        </w:p>
      </w:sdtContent>
    </w:sdt>
    <w:bookmarkStart w:id="3" w:name="_Toc314842482" w:displacedByCustomXml="prev"/>
    <w:p w14:paraId="5C7D435A" w14:textId="77777777" w:rsidR="00FD119B" w:rsidRDefault="00FD119B">
      <w:pPr>
        <w:spacing w:before="0" w:after="200" w:line="0" w:lineRule="auto"/>
      </w:pPr>
      <w:r>
        <w:br w:type="page"/>
      </w:r>
    </w:p>
    <w:p w14:paraId="4C8DC6EF" w14:textId="77777777"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4405811"/>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2841"/>
        <w:gridCol w:w="5879"/>
      </w:tblGrid>
      <w:tr w:rsidR="009C244E" w14:paraId="567DDC03" w14:textId="77777777" w:rsidTr="00F14099">
        <w:trPr>
          <w:cnfStyle w:val="100000000000" w:firstRow="1" w:lastRow="0" w:firstColumn="0" w:lastColumn="0" w:oddVBand="0" w:evenVBand="0" w:oddHBand="0" w:evenHBand="0" w:firstRowFirstColumn="0" w:firstRowLastColumn="0" w:lastRowFirstColumn="0" w:lastRowLastColumn="0"/>
        </w:trPr>
        <w:tc>
          <w:tcPr>
            <w:tcW w:w="2841" w:type="dxa"/>
          </w:tcPr>
          <w:p w14:paraId="7615A699" w14:textId="77777777" w:rsidR="009C244E" w:rsidRPr="004D575B" w:rsidRDefault="009C244E" w:rsidP="009C244E">
            <w:r w:rsidRPr="004D575B">
              <w:t>Abbreviation</w:t>
            </w:r>
          </w:p>
        </w:tc>
        <w:tc>
          <w:tcPr>
            <w:tcW w:w="5879" w:type="dxa"/>
          </w:tcPr>
          <w:p w14:paraId="37A52B60" w14:textId="77777777" w:rsidR="009C244E" w:rsidRPr="004D575B" w:rsidRDefault="009C244E" w:rsidP="009C244E">
            <w:r w:rsidRPr="004D575B">
              <w:t>Meaning</w:t>
            </w:r>
          </w:p>
        </w:tc>
      </w:tr>
      <w:tr w:rsidR="009C244E" w:rsidRPr="004D575B" w14:paraId="47082DBC" w14:textId="77777777" w:rsidTr="00F14099">
        <w:tc>
          <w:tcPr>
            <w:tcW w:w="2841" w:type="dxa"/>
          </w:tcPr>
          <w:p w14:paraId="755EAD93" w14:textId="5FCD420E" w:rsidR="009C244E" w:rsidRPr="004D575B" w:rsidRDefault="009C244E" w:rsidP="009C244E">
            <w:pPr>
              <w:rPr>
                <w:rFonts w:eastAsiaTheme="minorHAnsi"/>
              </w:rPr>
            </w:pPr>
            <w:r w:rsidRPr="004D575B">
              <w:rPr>
                <w:rFonts w:eastAsiaTheme="minorHAnsi"/>
              </w:rPr>
              <w:t>AACE</w:t>
            </w:r>
          </w:p>
        </w:tc>
        <w:tc>
          <w:tcPr>
            <w:tcW w:w="5879" w:type="dxa"/>
          </w:tcPr>
          <w:p w14:paraId="4C35CD0C" w14:textId="77777777" w:rsidR="009C244E" w:rsidRPr="004D575B" w:rsidRDefault="009C244E" w:rsidP="009C244E">
            <w:pPr>
              <w:rPr>
                <w:rFonts w:eastAsiaTheme="minorHAnsi"/>
              </w:rPr>
            </w:pPr>
            <w:r w:rsidRPr="004D575B">
              <w:rPr>
                <w:rFonts w:eastAsiaTheme="minorHAnsi"/>
              </w:rPr>
              <w:t>American Association of Clinical Endocrinologists</w:t>
            </w:r>
          </w:p>
        </w:tc>
      </w:tr>
      <w:tr w:rsidR="009C244E" w:rsidRPr="004D575B" w14:paraId="2C9376EF" w14:textId="68428310" w:rsidTr="00F14099">
        <w:tc>
          <w:tcPr>
            <w:tcW w:w="2841" w:type="dxa"/>
          </w:tcPr>
          <w:p w14:paraId="1FCF601D" w14:textId="606C02E1" w:rsidR="009C244E" w:rsidRPr="004D575B" w:rsidRDefault="009C244E" w:rsidP="009C244E">
            <w:pPr>
              <w:rPr>
                <w:rFonts w:eastAsiaTheme="minorHAnsi"/>
              </w:rPr>
            </w:pPr>
            <w:r w:rsidRPr="004D575B">
              <w:rPr>
                <w:rFonts w:eastAsiaTheme="minorHAnsi"/>
              </w:rPr>
              <w:t>ABPM</w:t>
            </w:r>
          </w:p>
        </w:tc>
        <w:tc>
          <w:tcPr>
            <w:tcW w:w="5879" w:type="dxa"/>
          </w:tcPr>
          <w:p w14:paraId="71A6F1B4" w14:textId="1BA37169" w:rsidR="009C244E" w:rsidRPr="004D575B" w:rsidRDefault="009C244E" w:rsidP="009C244E">
            <w:pPr>
              <w:rPr>
                <w:rFonts w:eastAsiaTheme="minorHAnsi"/>
              </w:rPr>
            </w:pPr>
            <w:r w:rsidRPr="004D575B">
              <w:rPr>
                <w:rFonts w:eastAsiaTheme="minorHAnsi"/>
              </w:rPr>
              <w:t>Ambulatory blood pressure monitoring</w:t>
            </w:r>
          </w:p>
        </w:tc>
      </w:tr>
      <w:tr w:rsidR="009C244E" w:rsidRPr="00F614F6" w14:paraId="54302231" w14:textId="77777777" w:rsidTr="00F14099">
        <w:tc>
          <w:tcPr>
            <w:tcW w:w="2841" w:type="dxa"/>
          </w:tcPr>
          <w:p w14:paraId="304681EC" w14:textId="77777777" w:rsidR="009C244E" w:rsidRPr="004D575B" w:rsidRDefault="009C244E" w:rsidP="009C244E">
            <w:r w:rsidRPr="004D575B">
              <w:t>ADA</w:t>
            </w:r>
          </w:p>
        </w:tc>
        <w:tc>
          <w:tcPr>
            <w:tcW w:w="5879" w:type="dxa"/>
          </w:tcPr>
          <w:p w14:paraId="1BF2FF12" w14:textId="77777777" w:rsidR="009C244E" w:rsidRPr="004D575B" w:rsidRDefault="009C244E" w:rsidP="003209C3">
            <w:pPr>
              <w:rPr>
                <w:rFonts w:eastAsia="TimesNewRoman"/>
              </w:rPr>
            </w:pPr>
            <w:r w:rsidRPr="004D575B">
              <w:rPr>
                <w:rFonts w:eastAsia="TimesNewRoman"/>
              </w:rPr>
              <w:t xml:space="preserve">American </w:t>
            </w:r>
            <w:r w:rsidR="003209C3">
              <w:rPr>
                <w:rFonts w:eastAsia="TimesNewRoman"/>
              </w:rPr>
              <w:t>D</w:t>
            </w:r>
            <w:r w:rsidRPr="004D575B">
              <w:rPr>
                <w:rFonts w:eastAsia="TimesNewRoman"/>
              </w:rPr>
              <w:t xml:space="preserve">iabetes </w:t>
            </w:r>
            <w:r w:rsidR="003209C3">
              <w:rPr>
                <w:rFonts w:eastAsia="TimesNewRoman"/>
              </w:rPr>
              <w:t>A</w:t>
            </w:r>
            <w:r w:rsidRPr="004D575B">
              <w:rPr>
                <w:rFonts w:eastAsia="TimesNewRoman"/>
              </w:rPr>
              <w:t>ssociation</w:t>
            </w:r>
          </w:p>
        </w:tc>
      </w:tr>
      <w:tr w:rsidR="009C244E" w:rsidRPr="00F614F6" w14:paraId="749DCCCE" w14:textId="77777777" w:rsidTr="00F14099">
        <w:tc>
          <w:tcPr>
            <w:tcW w:w="2841" w:type="dxa"/>
          </w:tcPr>
          <w:p w14:paraId="559C84AC" w14:textId="77777777" w:rsidR="009C244E" w:rsidRPr="004D575B" w:rsidRDefault="009C244E" w:rsidP="009C244E">
            <w:r w:rsidRPr="004D575B">
              <w:t>ADME</w:t>
            </w:r>
          </w:p>
        </w:tc>
        <w:tc>
          <w:tcPr>
            <w:tcW w:w="5879" w:type="dxa"/>
          </w:tcPr>
          <w:p w14:paraId="709A9046" w14:textId="77777777" w:rsidR="009C244E" w:rsidRPr="004D575B" w:rsidRDefault="009C244E" w:rsidP="009C244E">
            <w:r w:rsidRPr="004D575B">
              <w:rPr>
                <w:rFonts w:eastAsia="TimesNewRoman"/>
              </w:rPr>
              <w:t>Absorption, distribution, metabolism and elimination</w:t>
            </w:r>
          </w:p>
        </w:tc>
      </w:tr>
      <w:tr w:rsidR="009C244E" w:rsidRPr="00F614F6" w14:paraId="562A3D67" w14:textId="77777777" w:rsidTr="00F14099">
        <w:tc>
          <w:tcPr>
            <w:tcW w:w="2841" w:type="dxa"/>
          </w:tcPr>
          <w:p w14:paraId="64C6F2F2" w14:textId="757C0359" w:rsidR="009C244E" w:rsidRPr="004D575B" w:rsidRDefault="009C244E" w:rsidP="009C244E">
            <w:r w:rsidRPr="004D575B">
              <w:t>AE</w:t>
            </w:r>
          </w:p>
        </w:tc>
        <w:tc>
          <w:tcPr>
            <w:tcW w:w="5879" w:type="dxa"/>
          </w:tcPr>
          <w:p w14:paraId="3F630E59" w14:textId="77777777" w:rsidR="009C244E" w:rsidRPr="004D575B" w:rsidRDefault="009C244E" w:rsidP="009C244E">
            <w:r w:rsidRPr="004D575B">
              <w:t>Adverse event</w:t>
            </w:r>
          </w:p>
        </w:tc>
      </w:tr>
      <w:tr w:rsidR="009C244E" w:rsidRPr="004D575B" w14:paraId="703652BC" w14:textId="77777777" w:rsidTr="00F14099">
        <w:tc>
          <w:tcPr>
            <w:tcW w:w="2841" w:type="dxa"/>
          </w:tcPr>
          <w:p w14:paraId="2D8286CA" w14:textId="12932D85" w:rsidR="009C244E" w:rsidRPr="004D575B" w:rsidRDefault="009C244E" w:rsidP="009C244E">
            <w:pPr>
              <w:rPr>
                <w:rFonts w:eastAsiaTheme="minorHAnsi"/>
              </w:rPr>
            </w:pPr>
            <w:r w:rsidRPr="004D575B">
              <w:rPr>
                <w:rFonts w:eastAsiaTheme="minorHAnsi"/>
              </w:rPr>
              <w:t>AHA</w:t>
            </w:r>
          </w:p>
        </w:tc>
        <w:tc>
          <w:tcPr>
            <w:tcW w:w="5879" w:type="dxa"/>
          </w:tcPr>
          <w:p w14:paraId="0379BC38" w14:textId="77777777" w:rsidR="009C244E" w:rsidRPr="004D575B" w:rsidRDefault="009C244E" w:rsidP="009C244E">
            <w:pPr>
              <w:rPr>
                <w:rFonts w:eastAsiaTheme="minorHAnsi"/>
              </w:rPr>
            </w:pPr>
            <w:r w:rsidRPr="004D575B">
              <w:rPr>
                <w:rFonts w:eastAsiaTheme="minorHAnsi"/>
              </w:rPr>
              <w:t>Anti-hyperglycaemic agent</w:t>
            </w:r>
          </w:p>
        </w:tc>
      </w:tr>
      <w:tr w:rsidR="009C244E" w:rsidRPr="00F614F6" w14:paraId="3357D08C" w14:textId="77777777" w:rsidTr="00F14099">
        <w:tc>
          <w:tcPr>
            <w:tcW w:w="2841" w:type="dxa"/>
          </w:tcPr>
          <w:p w14:paraId="6F10DE72" w14:textId="77777777" w:rsidR="009C244E" w:rsidRPr="004D575B" w:rsidRDefault="009C244E" w:rsidP="009C244E">
            <w:r w:rsidRPr="004D575B">
              <w:t>ANOVA</w:t>
            </w:r>
          </w:p>
        </w:tc>
        <w:tc>
          <w:tcPr>
            <w:tcW w:w="5879" w:type="dxa"/>
          </w:tcPr>
          <w:p w14:paraId="7532A7AF" w14:textId="77777777" w:rsidR="009C244E" w:rsidRPr="004D575B" w:rsidRDefault="009C244E" w:rsidP="009C244E">
            <w:r w:rsidRPr="004D575B">
              <w:rPr>
                <w:rFonts w:eastAsia="TimesNewRoman"/>
                <w:color w:val="000000"/>
              </w:rPr>
              <w:t>Analysis of variance</w:t>
            </w:r>
          </w:p>
        </w:tc>
      </w:tr>
      <w:tr w:rsidR="009C244E" w:rsidRPr="004D575B" w14:paraId="596EFEA1" w14:textId="77777777" w:rsidTr="00F14099">
        <w:tc>
          <w:tcPr>
            <w:tcW w:w="2841" w:type="dxa"/>
          </w:tcPr>
          <w:p w14:paraId="4AE85AF5" w14:textId="3346061B" w:rsidR="009C244E" w:rsidRPr="004D575B" w:rsidRDefault="009C244E" w:rsidP="009C244E">
            <w:pPr>
              <w:rPr>
                <w:rFonts w:eastAsiaTheme="minorHAnsi"/>
              </w:rPr>
            </w:pPr>
            <w:r w:rsidRPr="004D575B">
              <w:rPr>
                <w:rFonts w:eastAsiaTheme="minorHAnsi"/>
              </w:rPr>
              <w:t>AUC</w:t>
            </w:r>
          </w:p>
        </w:tc>
        <w:tc>
          <w:tcPr>
            <w:tcW w:w="5879" w:type="dxa"/>
          </w:tcPr>
          <w:p w14:paraId="4EF64983" w14:textId="77777777" w:rsidR="009C244E" w:rsidRPr="004D575B" w:rsidRDefault="009C244E" w:rsidP="009C244E">
            <w:pPr>
              <w:rPr>
                <w:rFonts w:eastAsiaTheme="minorHAnsi"/>
              </w:rPr>
            </w:pPr>
            <w:r w:rsidRPr="004D575B">
              <w:rPr>
                <w:rFonts w:eastAsiaTheme="minorHAnsi"/>
              </w:rPr>
              <w:t>Area under the concentration-time curve</w:t>
            </w:r>
          </w:p>
        </w:tc>
      </w:tr>
      <w:tr w:rsidR="009C244E" w:rsidRPr="00F614F6" w14:paraId="0130A8E3" w14:textId="77777777" w:rsidTr="00F14099">
        <w:tc>
          <w:tcPr>
            <w:tcW w:w="2841" w:type="dxa"/>
          </w:tcPr>
          <w:p w14:paraId="122B50BD" w14:textId="77777777" w:rsidR="009C244E" w:rsidRPr="004D575B" w:rsidRDefault="00E700A6" w:rsidP="009C244E">
            <w:r>
              <w:t>AUC</w:t>
            </w:r>
            <w:r w:rsidRPr="00E700A6">
              <w:rPr>
                <w:vertAlign w:val="subscript"/>
              </w:rPr>
              <w:t>inf</w:t>
            </w:r>
          </w:p>
        </w:tc>
        <w:tc>
          <w:tcPr>
            <w:tcW w:w="5879" w:type="dxa"/>
          </w:tcPr>
          <w:p w14:paraId="22C52BDE" w14:textId="77777777" w:rsidR="009C244E" w:rsidRPr="004D575B" w:rsidRDefault="009C244E" w:rsidP="009C244E">
            <w:r w:rsidRPr="004D575B">
              <w:rPr>
                <w:rFonts w:eastAsia="TimesNewRoman"/>
              </w:rPr>
              <w:t>Area under the plasma concentration-time profile from time 0 extrapolated to infinite time</w:t>
            </w:r>
          </w:p>
        </w:tc>
      </w:tr>
      <w:tr w:rsidR="009C244E" w:rsidRPr="00F614F6" w14:paraId="6F377ABE" w14:textId="77777777" w:rsidTr="00F14099">
        <w:tc>
          <w:tcPr>
            <w:tcW w:w="2841" w:type="dxa"/>
          </w:tcPr>
          <w:p w14:paraId="42CBB9A6" w14:textId="77777777" w:rsidR="009C244E" w:rsidRPr="004D575B" w:rsidRDefault="00E700A6" w:rsidP="009C244E">
            <w:pPr>
              <w:rPr>
                <w:rFonts w:eastAsia="TimesNewRoman"/>
              </w:rPr>
            </w:pPr>
            <w:r>
              <w:t>AUC</w:t>
            </w:r>
            <w:r w:rsidRPr="00E700A6">
              <w:rPr>
                <w:vertAlign w:val="subscript"/>
              </w:rPr>
              <w:t>inf</w:t>
            </w:r>
            <w:r w:rsidR="009C244E" w:rsidRPr="004D575B">
              <w:rPr>
                <w:rFonts w:eastAsia="TimesNewRoman"/>
                <w:vertAlign w:val="subscript"/>
              </w:rPr>
              <w:t>(dn)</w:t>
            </w:r>
          </w:p>
        </w:tc>
        <w:tc>
          <w:tcPr>
            <w:tcW w:w="5879" w:type="dxa"/>
          </w:tcPr>
          <w:p w14:paraId="1C9DDD17" w14:textId="541CC425" w:rsidR="009C244E" w:rsidRPr="004D575B" w:rsidRDefault="009C244E">
            <w:pPr>
              <w:rPr>
                <w:rFonts w:eastAsia="TimesNewRoman"/>
              </w:rPr>
            </w:pPr>
            <w:r w:rsidRPr="004D575B">
              <w:rPr>
                <w:rFonts w:eastAsia="TimesNewRoman"/>
              </w:rPr>
              <w:t>Dose normali</w:t>
            </w:r>
            <w:r w:rsidR="004875DA">
              <w:rPr>
                <w:rFonts w:eastAsia="TimesNewRoman"/>
              </w:rPr>
              <w:t>s</w:t>
            </w:r>
            <w:r w:rsidRPr="004D575B">
              <w:rPr>
                <w:rFonts w:eastAsia="TimesNewRoman"/>
              </w:rPr>
              <w:t>ed (to 1</w:t>
            </w:r>
            <w:r w:rsidR="00715B39">
              <w:rPr>
                <w:rFonts w:eastAsia="TimesNewRoman"/>
              </w:rPr>
              <w:t xml:space="preserve"> </w:t>
            </w:r>
            <w:r w:rsidR="006D7D02">
              <w:rPr>
                <w:rFonts w:eastAsia="TimesNewRoman"/>
              </w:rPr>
              <w:t>mg</w:t>
            </w:r>
            <w:r w:rsidRPr="004D575B">
              <w:rPr>
                <w:rFonts w:eastAsia="TimesNewRoman"/>
              </w:rPr>
              <w:t xml:space="preserve">) </w:t>
            </w:r>
            <w:r w:rsidR="00F14099">
              <w:rPr>
                <w:rFonts w:eastAsia="TimesNewRoman"/>
              </w:rPr>
              <w:t>AUC</w:t>
            </w:r>
            <w:r w:rsidRPr="004D575B">
              <w:rPr>
                <w:rFonts w:eastAsia="TimesNewRoman"/>
                <w:vertAlign w:val="subscript"/>
              </w:rPr>
              <w:t>inf</w:t>
            </w:r>
          </w:p>
        </w:tc>
      </w:tr>
      <w:tr w:rsidR="009C244E" w:rsidRPr="00F614F6" w14:paraId="32D07DDF" w14:textId="77777777" w:rsidTr="00F14099">
        <w:tc>
          <w:tcPr>
            <w:tcW w:w="2841" w:type="dxa"/>
          </w:tcPr>
          <w:p w14:paraId="3E6CBE7D" w14:textId="77777777" w:rsidR="009C244E" w:rsidRPr="004D575B" w:rsidRDefault="009C244E" w:rsidP="009C244E">
            <w:r w:rsidRPr="004D575B">
              <w:rPr>
                <w:rFonts w:eastAsia="TimesNewRoman"/>
              </w:rPr>
              <w:t>AUC</w:t>
            </w:r>
            <w:r w:rsidRPr="003209C3">
              <w:rPr>
                <w:rFonts w:eastAsia="TimesNewRoman"/>
                <w:vertAlign w:val="subscript"/>
              </w:rPr>
              <w:t>last</w:t>
            </w:r>
          </w:p>
        </w:tc>
        <w:tc>
          <w:tcPr>
            <w:tcW w:w="5879" w:type="dxa"/>
          </w:tcPr>
          <w:p w14:paraId="6CD497CD" w14:textId="77777777" w:rsidR="009C244E" w:rsidRPr="004D575B" w:rsidRDefault="009C244E" w:rsidP="009C244E">
            <w:r w:rsidRPr="004D575B">
              <w:rPr>
                <w:rFonts w:eastAsia="TimesNewRoman"/>
              </w:rPr>
              <w:t>Area under the plasma concentration-time profile from time 0 to the time of the last quantifiable concentration (C</w:t>
            </w:r>
            <w:r w:rsidRPr="004875DA">
              <w:rPr>
                <w:rFonts w:eastAsia="TimesNewRoman"/>
                <w:vertAlign w:val="subscript"/>
              </w:rPr>
              <w:t>last</w:t>
            </w:r>
            <w:r w:rsidRPr="004D575B">
              <w:rPr>
                <w:rFonts w:eastAsia="TimesNewRoman"/>
              </w:rPr>
              <w:t>)</w:t>
            </w:r>
          </w:p>
        </w:tc>
      </w:tr>
      <w:tr w:rsidR="009C244E" w:rsidRPr="00F614F6" w14:paraId="5B771AF9" w14:textId="77777777" w:rsidTr="00F14099">
        <w:tc>
          <w:tcPr>
            <w:tcW w:w="2841" w:type="dxa"/>
          </w:tcPr>
          <w:p w14:paraId="0379AB28" w14:textId="77777777" w:rsidR="009C244E" w:rsidRPr="004D575B" w:rsidRDefault="009C244E" w:rsidP="009C244E">
            <w:r w:rsidRPr="004D575B">
              <w:t>AV</w:t>
            </w:r>
          </w:p>
        </w:tc>
        <w:tc>
          <w:tcPr>
            <w:tcW w:w="5879" w:type="dxa"/>
          </w:tcPr>
          <w:p w14:paraId="6DA7DA85" w14:textId="77777777" w:rsidR="009C244E" w:rsidRPr="004D575B" w:rsidRDefault="009C244E" w:rsidP="009C244E">
            <w:r w:rsidRPr="004D575B">
              <w:rPr>
                <w:rFonts w:eastAsia="TimesNewRoman"/>
              </w:rPr>
              <w:t>Atrioventricular</w:t>
            </w:r>
          </w:p>
        </w:tc>
      </w:tr>
      <w:tr w:rsidR="009C244E" w:rsidRPr="00F614F6" w14:paraId="34BF0116" w14:textId="77777777" w:rsidTr="00F14099">
        <w:tc>
          <w:tcPr>
            <w:tcW w:w="2841" w:type="dxa"/>
          </w:tcPr>
          <w:p w14:paraId="0352A9A3" w14:textId="77777777" w:rsidR="009C244E" w:rsidRPr="004D575B" w:rsidRDefault="009C244E" w:rsidP="009C244E">
            <w:r w:rsidRPr="004D575B">
              <w:t>BA</w:t>
            </w:r>
          </w:p>
        </w:tc>
        <w:tc>
          <w:tcPr>
            <w:tcW w:w="5879" w:type="dxa"/>
          </w:tcPr>
          <w:p w14:paraId="15428A44" w14:textId="77777777" w:rsidR="009C244E" w:rsidRPr="004D575B" w:rsidRDefault="009C244E" w:rsidP="009C244E">
            <w:pPr>
              <w:rPr>
                <w:rFonts w:eastAsia="TimesNewRoman"/>
              </w:rPr>
            </w:pPr>
            <w:r w:rsidRPr="004D575B">
              <w:rPr>
                <w:rFonts w:eastAsia="TimesNewRoman"/>
              </w:rPr>
              <w:t>Bioavailability</w:t>
            </w:r>
          </w:p>
        </w:tc>
      </w:tr>
      <w:tr w:rsidR="009C244E" w:rsidRPr="00F614F6" w14:paraId="38D1F925" w14:textId="77777777" w:rsidTr="00F14099">
        <w:tc>
          <w:tcPr>
            <w:tcW w:w="2841" w:type="dxa"/>
          </w:tcPr>
          <w:p w14:paraId="1E99842F" w14:textId="77777777" w:rsidR="009C244E" w:rsidRPr="004D575B" w:rsidRDefault="009C244E" w:rsidP="009C244E">
            <w:r w:rsidRPr="004D575B">
              <w:t>BE</w:t>
            </w:r>
          </w:p>
        </w:tc>
        <w:tc>
          <w:tcPr>
            <w:tcW w:w="5879" w:type="dxa"/>
          </w:tcPr>
          <w:p w14:paraId="0270B4BA" w14:textId="77777777" w:rsidR="009C244E" w:rsidRPr="004D575B" w:rsidRDefault="009C244E" w:rsidP="009C244E">
            <w:pPr>
              <w:rPr>
                <w:rFonts w:eastAsia="TimesNewRoman"/>
              </w:rPr>
            </w:pPr>
            <w:r w:rsidRPr="004D575B">
              <w:rPr>
                <w:rFonts w:eastAsia="TimesNewRoman"/>
              </w:rPr>
              <w:t>Bioequivalence</w:t>
            </w:r>
          </w:p>
        </w:tc>
      </w:tr>
      <w:tr w:rsidR="009C244E" w:rsidRPr="00F614F6" w14:paraId="09F7ACD0" w14:textId="77777777" w:rsidTr="00F14099">
        <w:tc>
          <w:tcPr>
            <w:tcW w:w="2841" w:type="dxa"/>
          </w:tcPr>
          <w:p w14:paraId="6A4FD569" w14:textId="6E9DADCF" w:rsidR="009C244E" w:rsidRPr="004D575B" w:rsidRDefault="00AD51CF" w:rsidP="009C244E">
            <w:r>
              <w:t>BD</w:t>
            </w:r>
          </w:p>
        </w:tc>
        <w:tc>
          <w:tcPr>
            <w:tcW w:w="5879" w:type="dxa"/>
          </w:tcPr>
          <w:p w14:paraId="13BB0D3E" w14:textId="77777777" w:rsidR="009C244E" w:rsidRPr="004D575B" w:rsidRDefault="009C244E" w:rsidP="003209C3">
            <w:r w:rsidRPr="004D575B">
              <w:rPr>
                <w:rFonts w:eastAsia="TimesNewRoman"/>
              </w:rPr>
              <w:t>Twice</w:t>
            </w:r>
            <w:r w:rsidR="003209C3">
              <w:rPr>
                <w:rFonts w:eastAsia="TimesNewRoman"/>
              </w:rPr>
              <w:t xml:space="preserve"> </w:t>
            </w:r>
            <w:r w:rsidRPr="004D575B">
              <w:rPr>
                <w:rFonts w:eastAsia="TimesNewRoman"/>
              </w:rPr>
              <w:t>daily</w:t>
            </w:r>
          </w:p>
        </w:tc>
      </w:tr>
      <w:tr w:rsidR="009C244E" w:rsidRPr="00F614F6" w14:paraId="2371331A" w14:textId="77777777" w:rsidTr="00F14099">
        <w:tc>
          <w:tcPr>
            <w:tcW w:w="2841" w:type="dxa"/>
          </w:tcPr>
          <w:p w14:paraId="7DAD5E42" w14:textId="77777777" w:rsidR="009C244E" w:rsidRPr="004D575B" w:rsidRDefault="009C244E" w:rsidP="009C244E">
            <w:r w:rsidRPr="004D575B">
              <w:t>BMI</w:t>
            </w:r>
          </w:p>
        </w:tc>
        <w:tc>
          <w:tcPr>
            <w:tcW w:w="5879" w:type="dxa"/>
          </w:tcPr>
          <w:p w14:paraId="7F05FABD" w14:textId="77777777" w:rsidR="009C244E" w:rsidRPr="004D575B" w:rsidRDefault="009C244E" w:rsidP="009C244E">
            <w:r w:rsidRPr="004D575B">
              <w:t>Body mass index</w:t>
            </w:r>
          </w:p>
        </w:tc>
      </w:tr>
      <w:tr w:rsidR="009C244E" w:rsidRPr="00F614F6" w14:paraId="0B408C56" w14:textId="77777777" w:rsidTr="00F14099">
        <w:tc>
          <w:tcPr>
            <w:tcW w:w="2841" w:type="dxa"/>
          </w:tcPr>
          <w:p w14:paraId="48C22B76" w14:textId="77777777" w:rsidR="009C244E" w:rsidRPr="004D575B" w:rsidRDefault="009C244E" w:rsidP="009C244E">
            <w:r w:rsidRPr="004D575B">
              <w:t>BP</w:t>
            </w:r>
          </w:p>
        </w:tc>
        <w:tc>
          <w:tcPr>
            <w:tcW w:w="5879" w:type="dxa"/>
          </w:tcPr>
          <w:p w14:paraId="5C0A1E7D" w14:textId="77777777" w:rsidR="009C244E" w:rsidRPr="004D575B" w:rsidRDefault="009C244E" w:rsidP="009C244E">
            <w:r w:rsidRPr="004D575B">
              <w:rPr>
                <w:rFonts w:eastAsia="TimesNewRoman"/>
              </w:rPr>
              <w:t>Blood pressure</w:t>
            </w:r>
          </w:p>
        </w:tc>
      </w:tr>
      <w:tr w:rsidR="009C244E" w:rsidRPr="00F614F6" w14:paraId="74711214" w14:textId="77777777" w:rsidTr="00F14099">
        <w:tc>
          <w:tcPr>
            <w:tcW w:w="2841" w:type="dxa"/>
          </w:tcPr>
          <w:p w14:paraId="46547A6F" w14:textId="77777777" w:rsidR="009C244E" w:rsidRPr="004D575B" w:rsidRDefault="009C244E" w:rsidP="009C244E">
            <w:pPr>
              <w:rPr>
                <w:rFonts w:eastAsia="TimesNewRoman"/>
              </w:rPr>
            </w:pPr>
            <w:r w:rsidRPr="004D575B">
              <w:rPr>
                <w:rFonts w:eastAsia="TimesNewRoman"/>
              </w:rPr>
              <w:t>CI</w:t>
            </w:r>
          </w:p>
        </w:tc>
        <w:tc>
          <w:tcPr>
            <w:tcW w:w="5879" w:type="dxa"/>
          </w:tcPr>
          <w:p w14:paraId="31E9E132" w14:textId="77777777" w:rsidR="009C244E" w:rsidRPr="004D575B" w:rsidRDefault="009C244E" w:rsidP="009C244E">
            <w:pPr>
              <w:rPr>
                <w:rFonts w:eastAsia="TimesNewRoman"/>
              </w:rPr>
            </w:pPr>
            <w:r w:rsidRPr="004D575B">
              <w:rPr>
                <w:rFonts w:eastAsia="TimesNewRoman"/>
              </w:rPr>
              <w:t>Confidence interval</w:t>
            </w:r>
          </w:p>
        </w:tc>
      </w:tr>
      <w:tr w:rsidR="009C244E" w:rsidRPr="00F614F6" w14:paraId="50011495" w14:textId="77777777" w:rsidTr="00F14099">
        <w:tc>
          <w:tcPr>
            <w:tcW w:w="2841" w:type="dxa"/>
          </w:tcPr>
          <w:p w14:paraId="30CF7E15" w14:textId="77777777" w:rsidR="009C244E" w:rsidRPr="004D575B" w:rsidRDefault="009C244E" w:rsidP="009C244E">
            <w:pPr>
              <w:rPr>
                <w:rFonts w:eastAsia="TimesNewRoman"/>
              </w:rPr>
            </w:pPr>
            <w:r w:rsidRPr="004D575B">
              <w:rPr>
                <w:rFonts w:eastAsia="TimesNewRoman"/>
              </w:rPr>
              <w:t>CKD</w:t>
            </w:r>
          </w:p>
        </w:tc>
        <w:tc>
          <w:tcPr>
            <w:tcW w:w="5879" w:type="dxa"/>
          </w:tcPr>
          <w:p w14:paraId="2324A600" w14:textId="77777777" w:rsidR="009C244E" w:rsidRPr="004D575B" w:rsidRDefault="009C244E" w:rsidP="009C244E">
            <w:pPr>
              <w:rPr>
                <w:rFonts w:eastAsia="TimesNewRoman"/>
              </w:rPr>
            </w:pPr>
            <w:r w:rsidRPr="004D575B">
              <w:rPr>
                <w:rFonts w:eastAsia="TimesNewRoman"/>
              </w:rPr>
              <w:t>Chronic kidney disease</w:t>
            </w:r>
          </w:p>
        </w:tc>
      </w:tr>
      <w:tr w:rsidR="009C244E" w:rsidRPr="00F614F6" w14:paraId="67EB76B0" w14:textId="77777777" w:rsidTr="00F14099">
        <w:tc>
          <w:tcPr>
            <w:tcW w:w="2841" w:type="dxa"/>
          </w:tcPr>
          <w:p w14:paraId="547F7603" w14:textId="77777777" w:rsidR="009C244E" w:rsidRPr="004D575B" w:rsidRDefault="009C244E" w:rsidP="009C244E">
            <w:r w:rsidRPr="004D575B">
              <w:rPr>
                <w:rFonts w:eastAsia="TimesNewRoman"/>
              </w:rPr>
              <w:t>CL (IV)</w:t>
            </w:r>
          </w:p>
        </w:tc>
        <w:tc>
          <w:tcPr>
            <w:tcW w:w="5879" w:type="dxa"/>
          </w:tcPr>
          <w:p w14:paraId="38DF41C8" w14:textId="77777777" w:rsidR="009C244E" w:rsidRPr="004D575B" w:rsidRDefault="009C244E" w:rsidP="009C244E">
            <w:r w:rsidRPr="004D575B">
              <w:rPr>
                <w:rFonts w:eastAsia="TimesNewRoman"/>
              </w:rPr>
              <w:t>CL; systemic clearance</w:t>
            </w:r>
          </w:p>
        </w:tc>
      </w:tr>
      <w:tr w:rsidR="009C244E" w:rsidRPr="00F614F6" w14:paraId="632CB48B" w14:textId="77777777" w:rsidTr="00F14099">
        <w:tc>
          <w:tcPr>
            <w:tcW w:w="2841" w:type="dxa"/>
          </w:tcPr>
          <w:p w14:paraId="4F352065" w14:textId="77777777" w:rsidR="009C244E" w:rsidRPr="004D575B" w:rsidRDefault="009C244E" w:rsidP="009C244E">
            <w:r w:rsidRPr="004D575B">
              <w:rPr>
                <w:rFonts w:eastAsia="TimesNewRoman"/>
              </w:rPr>
              <w:t>CL/F (oral)</w:t>
            </w:r>
          </w:p>
        </w:tc>
        <w:tc>
          <w:tcPr>
            <w:tcW w:w="5879" w:type="dxa"/>
          </w:tcPr>
          <w:p w14:paraId="44289018" w14:textId="77777777" w:rsidR="009C244E" w:rsidRPr="004D575B" w:rsidRDefault="009C244E" w:rsidP="009C244E">
            <w:r w:rsidRPr="004D575B">
              <w:rPr>
                <w:rFonts w:eastAsia="TimesNewRoman"/>
              </w:rPr>
              <w:t>Apparent clearance; CL/F</w:t>
            </w:r>
          </w:p>
        </w:tc>
      </w:tr>
      <w:tr w:rsidR="009C244E" w:rsidRPr="004D575B" w14:paraId="652B2A79" w14:textId="77777777" w:rsidTr="00F14099">
        <w:tc>
          <w:tcPr>
            <w:tcW w:w="2841" w:type="dxa"/>
          </w:tcPr>
          <w:p w14:paraId="451731CE" w14:textId="48F08E28" w:rsidR="009C244E" w:rsidRPr="004D575B" w:rsidRDefault="009C244E" w:rsidP="009C244E">
            <w:pPr>
              <w:rPr>
                <w:rFonts w:eastAsiaTheme="minorHAnsi"/>
              </w:rPr>
            </w:pPr>
            <w:r w:rsidRPr="004D575B">
              <w:rPr>
                <w:rFonts w:eastAsiaTheme="minorHAnsi"/>
              </w:rPr>
              <w:t>cLDA</w:t>
            </w:r>
          </w:p>
        </w:tc>
        <w:tc>
          <w:tcPr>
            <w:tcW w:w="5879" w:type="dxa"/>
          </w:tcPr>
          <w:p w14:paraId="25DE8899" w14:textId="77777777" w:rsidR="009C244E" w:rsidRPr="004D575B" w:rsidRDefault="009C244E" w:rsidP="009C244E">
            <w:pPr>
              <w:rPr>
                <w:rFonts w:eastAsiaTheme="minorHAnsi"/>
              </w:rPr>
            </w:pPr>
            <w:r w:rsidRPr="004D575B">
              <w:rPr>
                <w:rFonts w:eastAsiaTheme="minorHAnsi"/>
              </w:rPr>
              <w:t>Constrained longitudinal data analysis</w:t>
            </w:r>
          </w:p>
        </w:tc>
      </w:tr>
      <w:tr w:rsidR="009C244E" w:rsidRPr="00F614F6" w14:paraId="5968DB53" w14:textId="7CB6DFF3" w:rsidTr="00F14099">
        <w:tc>
          <w:tcPr>
            <w:tcW w:w="2841" w:type="dxa"/>
          </w:tcPr>
          <w:p w14:paraId="44095C71" w14:textId="60CE6AA8" w:rsidR="009C244E" w:rsidRPr="004D575B" w:rsidRDefault="009C244E" w:rsidP="009C244E">
            <w:r w:rsidRPr="004D575B">
              <w:t>CLr</w:t>
            </w:r>
          </w:p>
        </w:tc>
        <w:tc>
          <w:tcPr>
            <w:tcW w:w="5879" w:type="dxa"/>
          </w:tcPr>
          <w:p w14:paraId="362C37E3" w14:textId="1A8BB54C" w:rsidR="009C244E" w:rsidRPr="004D575B" w:rsidRDefault="009C244E" w:rsidP="009C244E">
            <w:r w:rsidRPr="004D575B">
              <w:rPr>
                <w:rFonts w:eastAsia="TimesNewRoman"/>
                <w:color w:val="000000"/>
              </w:rPr>
              <w:t>Renal clearance</w:t>
            </w:r>
          </w:p>
        </w:tc>
      </w:tr>
      <w:tr w:rsidR="009C244E" w:rsidRPr="004D575B" w14:paraId="1B54DF9A" w14:textId="77777777" w:rsidTr="00F14099">
        <w:tc>
          <w:tcPr>
            <w:tcW w:w="2841" w:type="dxa"/>
          </w:tcPr>
          <w:p w14:paraId="26B2F385" w14:textId="4F8A7C28" w:rsidR="009C244E" w:rsidRPr="004D575B" w:rsidRDefault="00E700A6" w:rsidP="009C244E">
            <w:pPr>
              <w:rPr>
                <w:rFonts w:eastAsiaTheme="minorHAnsi"/>
              </w:rPr>
            </w:pPr>
            <w:r>
              <w:lastRenderedPageBreak/>
              <w:t>C</w:t>
            </w:r>
            <w:r w:rsidRPr="00E700A6">
              <w:rPr>
                <w:vertAlign w:val="subscript"/>
              </w:rPr>
              <w:t>max</w:t>
            </w:r>
          </w:p>
        </w:tc>
        <w:tc>
          <w:tcPr>
            <w:tcW w:w="5879" w:type="dxa"/>
          </w:tcPr>
          <w:p w14:paraId="3A34EC2A" w14:textId="77777777" w:rsidR="009C244E" w:rsidRPr="004D575B" w:rsidRDefault="009C244E" w:rsidP="009C244E">
            <w:pPr>
              <w:rPr>
                <w:rFonts w:eastAsiaTheme="minorHAnsi"/>
              </w:rPr>
            </w:pPr>
            <w:r w:rsidRPr="004D575B">
              <w:rPr>
                <w:rFonts w:eastAsiaTheme="minorHAnsi"/>
              </w:rPr>
              <w:t>Maximum observed plasma concentration</w:t>
            </w:r>
          </w:p>
        </w:tc>
      </w:tr>
      <w:tr w:rsidR="009C244E" w:rsidRPr="00F614F6" w14:paraId="2055E509" w14:textId="77777777" w:rsidTr="00F14099">
        <w:tc>
          <w:tcPr>
            <w:tcW w:w="2841" w:type="dxa"/>
          </w:tcPr>
          <w:p w14:paraId="2212D058" w14:textId="77777777" w:rsidR="009C244E" w:rsidRPr="004D575B" w:rsidRDefault="009C244E" w:rsidP="009C244E">
            <w:r w:rsidRPr="004D575B">
              <w:t>C</w:t>
            </w:r>
            <w:r w:rsidRPr="005D5405">
              <w:rPr>
                <w:vertAlign w:val="subscript"/>
              </w:rPr>
              <w:t>min</w:t>
            </w:r>
          </w:p>
        </w:tc>
        <w:tc>
          <w:tcPr>
            <w:tcW w:w="5879" w:type="dxa"/>
          </w:tcPr>
          <w:p w14:paraId="46CF78B0" w14:textId="77777777" w:rsidR="009C244E" w:rsidRPr="004D575B" w:rsidRDefault="009C244E" w:rsidP="009C244E">
            <w:pPr>
              <w:rPr>
                <w:rFonts w:eastAsia="TimesNewRoman"/>
              </w:rPr>
            </w:pPr>
            <w:r w:rsidRPr="004D575B">
              <w:rPr>
                <w:rFonts w:eastAsia="TimesNewRoman"/>
              </w:rPr>
              <w:t>Lowest concentration observed during the dosing interval</w:t>
            </w:r>
          </w:p>
        </w:tc>
      </w:tr>
      <w:tr w:rsidR="009C244E" w:rsidRPr="004D575B" w14:paraId="0E5F509A" w14:textId="77777777" w:rsidTr="00F14099">
        <w:tc>
          <w:tcPr>
            <w:tcW w:w="2841" w:type="dxa"/>
          </w:tcPr>
          <w:p w14:paraId="1A404FBB" w14:textId="0EC9EC64" w:rsidR="009C244E" w:rsidRPr="004D575B" w:rsidRDefault="009C244E" w:rsidP="009C244E">
            <w:pPr>
              <w:rPr>
                <w:rFonts w:eastAsiaTheme="minorHAnsi"/>
              </w:rPr>
            </w:pPr>
            <w:r w:rsidRPr="004D575B">
              <w:rPr>
                <w:rFonts w:eastAsiaTheme="minorHAnsi"/>
              </w:rPr>
              <w:t>CSR</w:t>
            </w:r>
          </w:p>
        </w:tc>
        <w:tc>
          <w:tcPr>
            <w:tcW w:w="5879" w:type="dxa"/>
          </w:tcPr>
          <w:p w14:paraId="303F7B06" w14:textId="77777777" w:rsidR="009C244E" w:rsidRPr="004D575B" w:rsidRDefault="009C244E" w:rsidP="009C244E">
            <w:pPr>
              <w:rPr>
                <w:rFonts w:eastAsiaTheme="minorHAnsi"/>
              </w:rPr>
            </w:pPr>
            <w:r w:rsidRPr="004D575B">
              <w:rPr>
                <w:rFonts w:eastAsiaTheme="minorHAnsi"/>
              </w:rPr>
              <w:t>Clinical study report</w:t>
            </w:r>
          </w:p>
        </w:tc>
      </w:tr>
      <w:tr w:rsidR="009C244E" w:rsidRPr="004D575B" w14:paraId="2EDE1C73" w14:textId="77777777" w:rsidTr="00F14099">
        <w:tc>
          <w:tcPr>
            <w:tcW w:w="2841" w:type="dxa"/>
          </w:tcPr>
          <w:p w14:paraId="79A3D8FE" w14:textId="737E7458" w:rsidR="009C244E" w:rsidRPr="004D575B" w:rsidRDefault="009C244E" w:rsidP="009C244E">
            <w:pPr>
              <w:rPr>
                <w:rFonts w:eastAsiaTheme="minorHAnsi"/>
              </w:rPr>
            </w:pPr>
            <w:r w:rsidRPr="004D575B">
              <w:rPr>
                <w:rFonts w:eastAsiaTheme="minorHAnsi"/>
              </w:rPr>
              <w:t>CV</w:t>
            </w:r>
          </w:p>
        </w:tc>
        <w:tc>
          <w:tcPr>
            <w:tcW w:w="5879" w:type="dxa"/>
          </w:tcPr>
          <w:p w14:paraId="1DC87931" w14:textId="77777777" w:rsidR="009C244E" w:rsidRPr="004D575B" w:rsidRDefault="009C244E" w:rsidP="009C244E">
            <w:pPr>
              <w:rPr>
                <w:rFonts w:eastAsiaTheme="minorHAnsi"/>
              </w:rPr>
            </w:pPr>
            <w:r w:rsidRPr="004D575B">
              <w:rPr>
                <w:rFonts w:eastAsiaTheme="minorHAnsi"/>
              </w:rPr>
              <w:t>Cardiovascular</w:t>
            </w:r>
          </w:p>
        </w:tc>
      </w:tr>
      <w:tr w:rsidR="009C244E" w:rsidRPr="004D575B" w14:paraId="1755813B" w14:textId="77777777" w:rsidTr="00F14099">
        <w:tc>
          <w:tcPr>
            <w:tcW w:w="2841" w:type="dxa"/>
          </w:tcPr>
          <w:p w14:paraId="19F644D7" w14:textId="554240C3" w:rsidR="009C244E" w:rsidRPr="004D575B" w:rsidRDefault="009C244E" w:rsidP="009C244E">
            <w:pPr>
              <w:rPr>
                <w:rFonts w:eastAsiaTheme="minorHAnsi"/>
              </w:rPr>
            </w:pPr>
            <w:r w:rsidRPr="004D575B">
              <w:rPr>
                <w:rFonts w:eastAsiaTheme="minorHAnsi"/>
              </w:rPr>
              <w:t>CVOT</w:t>
            </w:r>
          </w:p>
        </w:tc>
        <w:tc>
          <w:tcPr>
            <w:tcW w:w="5879" w:type="dxa"/>
          </w:tcPr>
          <w:p w14:paraId="17BBB683" w14:textId="77777777" w:rsidR="009C244E" w:rsidRPr="004D575B" w:rsidRDefault="009C244E" w:rsidP="009C244E">
            <w:pPr>
              <w:rPr>
                <w:rFonts w:eastAsiaTheme="minorHAnsi"/>
              </w:rPr>
            </w:pPr>
            <w:r w:rsidRPr="004D575B">
              <w:rPr>
                <w:rFonts w:eastAsiaTheme="minorHAnsi"/>
              </w:rPr>
              <w:t>Cardiovascular outcome trial</w:t>
            </w:r>
          </w:p>
        </w:tc>
      </w:tr>
      <w:tr w:rsidR="009C244E" w:rsidRPr="004D575B" w14:paraId="1F17F942" w14:textId="77777777" w:rsidTr="00F14099">
        <w:tc>
          <w:tcPr>
            <w:tcW w:w="2841" w:type="dxa"/>
          </w:tcPr>
          <w:p w14:paraId="464B6C68" w14:textId="69BB6F26" w:rsidR="009C244E" w:rsidRPr="004D575B" w:rsidRDefault="009C244E" w:rsidP="009C244E">
            <w:pPr>
              <w:rPr>
                <w:rFonts w:eastAsiaTheme="minorHAnsi"/>
              </w:rPr>
            </w:pPr>
            <w:r w:rsidRPr="004D575B">
              <w:rPr>
                <w:rFonts w:eastAsiaTheme="minorHAnsi"/>
              </w:rPr>
              <w:t>CYP</w:t>
            </w:r>
          </w:p>
        </w:tc>
        <w:tc>
          <w:tcPr>
            <w:tcW w:w="5879" w:type="dxa"/>
          </w:tcPr>
          <w:p w14:paraId="568A9F8E" w14:textId="77777777" w:rsidR="009C244E" w:rsidRPr="004D575B" w:rsidRDefault="009C244E" w:rsidP="009C244E">
            <w:pPr>
              <w:rPr>
                <w:rFonts w:eastAsiaTheme="minorHAnsi"/>
              </w:rPr>
            </w:pPr>
            <w:r w:rsidRPr="004D575B">
              <w:rPr>
                <w:rFonts w:eastAsiaTheme="minorHAnsi"/>
              </w:rPr>
              <w:t>Cytochrome P450</w:t>
            </w:r>
          </w:p>
        </w:tc>
      </w:tr>
      <w:tr w:rsidR="009C244E" w:rsidRPr="00F614F6" w14:paraId="12CFF22D" w14:textId="77777777" w:rsidTr="00F14099">
        <w:tc>
          <w:tcPr>
            <w:tcW w:w="2841" w:type="dxa"/>
          </w:tcPr>
          <w:p w14:paraId="75C21750" w14:textId="77777777" w:rsidR="009C244E" w:rsidRPr="004D575B" w:rsidRDefault="009C244E" w:rsidP="009C244E">
            <w:r w:rsidRPr="004D575B">
              <w:t>DBP</w:t>
            </w:r>
          </w:p>
        </w:tc>
        <w:tc>
          <w:tcPr>
            <w:tcW w:w="5879" w:type="dxa"/>
          </w:tcPr>
          <w:p w14:paraId="32055D10" w14:textId="77777777" w:rsidR="009C244E" w:rsidRPr="004D575B" w:rsidRDefault="009C244E" w:rsidP="009C244E">
            <w:pPr>
              <w:rPr>
                <w:rFonts w:eastAsia="TimesNewRoman"/>
              </w:rPr>
            </w:pPr>
            <w:r w:rsidRPr="004D575B">
              <w:rPr>
                <w:rFonts w:eastAsia="TimesNewRoman"/>
              </w:rPr>
              <w:t>Diastolic blood pressure</w:t>
            </w:r>
          </w:p>
        </w:tc>
      </w:tr>
      <w:tr w:rsidR="009C244E" w:rsidRPr="00F614F6" w14:paraId="5336E208" w14:textId="77777777" w:rsidTr="00F14099">
        <w:tc>
          <w:tcPr>
            <w:tcW w:w="2841" w:type="dxa"/>
          </w:tcPr>
          <w:p w14:paraId="4E8A6723" w14:textId="77777777" w:rsidR="009C244E" w:rsidRPr="004D575B" w:rsidRDefault="009C244E" w:rsidP="009C244E">
            <w:r w:rsidRPr="004D575B">
              <w:t>DDI</w:t>
            </w:r>
          </w:p>
        </w:tc>
        <w:tc>
          <w:tcPr>
            <w:tcW w:w="5879" w:type="dxa"/>
          </w:tcPr>
          <w:p w14:paraId="2EA38BCC" w14:textId="77777777" w:rsidR="009C244E" w:rsidRPr="004D575B" w:rsidRDefault="009C244E" w:rsidP="009C244E">
            <w:r w:rsidRPr="004D575B">
              <w:rPr>
                <w:rFonts w:eastAsia="TimesNewRoman"/>
              </w:rPr>
              <w:t>Drug-drug interaction</w:t>
            </w:r>
          </w:p>
        </w:tc>
      </w:tr>
      <w:tr w:rsidR="009C244E" w:rsidRPr="004D575B" w14:paraId="5F9D6237" w14:textId="77777777" w:rsidTr="00F14099">
        <w:tc>
          <w:tcPr>
            <w:tcW w:w="2841" w:type="dxa"/>
          </w:tcPr>
          <w:p w14:paraId="7B8A2D56" w14:textId="56A3FDBD" w:rsidR="009C244E" w:rsidRPr="004D575B" w:rsidRDefault="009C244E" w:rsidP="009C244E">
            <w:pPr>
              <w:rPr>
                <w:rFonts w:eastAsiaTheme="minorHAnsi"/>
              </w:rPr>
            </w:pPr>
            <w:r w:rsidRPr="004D575B">
              <w:rPr>
                <w:rFonts w:eastAsiaTheme="minorHAnsi"/>
              </w:rPr>
              <w:t>DPP</w:t>
            </w:r>
          </w:p>
        </w:tc>
        <w:tc>
          <w:tcPr>
            <w:tcW w:w="5879" w:type="dxa"/>
          </w:tcPr>
          <w:p w14:paraId="7EFA33AD" w14:textId="77777777" w:rsidR="009C244E" w:rsidRPr="004D575B" w:rsidRDefault="009C244E" w:rsidP="009C244E">
            <w:pPr>
              <w:rPr>
                <w:rFonts w:eastAsiaTheme="minorHAnsi"/>
              </w:rPr>
            </w:pPr>
            <w:r w:rsidRPr="004D575B">
              <w:rPr>
                <w:rFonts w:eastAsiaTheme="minorHAnsi"/>
              </w:rPr>
              <w:t>Dipeptidyl peptidase</w:t>
            </w:r>
          </w:p>
        </w:tc>
      </w:tr>
      <w:tr w:rsidR="008F114F" w:rsidRPr="004D575B" w14:paraId="56F5817C" w14:textId="77777777" w:rsidTr="00F14099">
        <w:tc>
          <w:tcPr>
            <w:tcW w:w="2841" w:type="dxa"/>
          </w:tcPr>
          <w:p w14:paraId="33CDC740" w14:textId="77777777" w:rsidR="008F114F" w:rsidRPr="004D575B" w:rsidRDefault="008F114F" w:rsidP="009C244E">
            <w:pPr>
              <w:rPr>
                <w:rFonts w:eastAsiaTheme="minorHAnsi"/>
              </w:rPr>
            </w:pPr>
            <w:r>
              <w:rPr>
                <w:rFonts w:eastAsiaTheme="minorHAnsi"/>
              </w:rPr>
              <w:t>E5/S100</w:t>
            </w:r>
          </w:p>
        </w:tc>
        <w:tc>
          <w:tcPr>
            <w:tcW w:w="5879" w:type="dxa"/>
          </w:tcPr>
          <w:p w14:paraId="7861B1F8" w14:textId="288E989D" w:rsidR="008F114F" w:rsidRPr="004D575B" w:rsidRDefault="008F114F">
            <w:pPr>
              <w:rPr>
                <w:rFonts w:eastAsiaTheme="minorHAnsi"/>
              </w:rPr>
            </w:pPr>
            <w:r w:rsidRPr="008F114F">
              <w:rPr>
                <w:rFonts w:eastAsiaTheme="minorHAnsi"/>
              </w:rPr>
              <w:t>Ertugliflozin</w:t>
            </w:r>
            <w:r>
              <w:rPr>
                <w:rFonts w:eastAsiaTheme="minorHAnsi"/>
              </w:rPr>
              <w:t xml:space="preserve"> 5</w:t>
            </w:r>
            <w:r w:rsidR="00715B39">
              <w:rPr>
                <w:rFonts w:eastAsiaTheme="minorHAnsi"/>
              </w:rPr>
              <w:t xml:space="preserve"> </w:t>
            </w:r>
            <w:r w:rsidR="006D7D02">
              <w:rPr>
                <w:rFonts w:eastAsiaTheme="minorHAnsi"/>
              </w:rPr>
              <w:t>mg</w:t>
            </w:r>
            <w:r>
              <w:rPr>
                <w:rFonts w:eastAsiaTheme="minorHAnsi"/>
              </w:rPr>
              <w:t>/sitagliptin 100</w:t>
            </w:r>
            <w:r w:rsidR="00715B39">
              <w:rPr>
                <w:rFonts w:eastAsiaTheme="minorHAnsi"/>
              </w:rPr>
              <w:t xml:space="preserve"> </w:t>
            </w:r>
            <w:r w:rsidR="006D7D02">
              <w:rPr>
                <w:rFonts w:eastAsiaTheme="minorHAnsi"/>
              </w:rPr>
              <w:t>mg</w:t>
            </w:r>
          </w:p>
        </w:tc>
      </w:tr>
      <w:tr w:rsidR="008F114F" w:rsidRPr="004D575B" w14:paraId="60A0F58D" w14:textId="77777777" w:rsidTr="00F14099">
        <w:tc>
          <w:tcPr>
            <w:tcW w:w="2841" w:type="dxa"/>
          </w:tcPr>
          <w:p w14:paraId="23755EC5" w14:textId="77777777" w:rsidR="008F114F" w:rsidRPr="004D575B" w:rsidRDefault="008F114F" w:rsidP="009C244E">
            <w:pPr>
              <w:rPr>
                <w:rFonts w:eastAsiaTheme="minorHAnsi"/>
              </w:rPr>
            </w:pPr>
            <w:r>
              <w:rPr>
                <w:rFonts w:eastAsiaTheme="minorHAnsi"/>
              </w:rPr>
              <w:t>E15/S100</w:t>
            </w:r>
          </w:p>
        </w:tc>
        <w:tc>
          <w:tcPr>
            <w:tcW w:w="5879" w:type="dxa"/>
          </w:tcPr>
          <w:p w14:paraId="68C1748B" w14:textId="168B6B21" w:rsidR="008F114F" w:rsidRPr="004D575B" w:rsidRDefault="008F114F">
            <w:pPr>
              <w:rPr>
                <w:rFonts w:eastAsiaTheme="minorHAnsi"/>
              </w:rPr>
            </w:pPr>
            <w:r w:rsidRPr="008F114F">
              <w:rPr>
                <w:rFonts w:eastAsiaTheme="minorHAnsi"/>
              </w:rPr>
              <w:t>Ertugliflozin</w:t>
            </w:r>
            <w:r>
              <w:rPr>
                <w:rFonts w:eastAsiaTheme="minorHAnsi"/>
              </w:rPr>
              <w:t xml:space="preserve"> 15</w:t>
            </w:r>
            <w:r w:rsidR="00715B39">
              <w:rPr>
                <w:rFonts w:eastAsiaTheme="minorHAnsi"/>
              </w:rPr>
              <w:t xml:space="preserve"> </w:t>
            </w:r>
            <w:r w:rsidR="006D7D02">
              <w:rPr>
                <w:rFonts w:eastAsiaTheme="minorHAnsi"/>
              </w:rPr>
              <w:t>mg</w:t>
            </w:r>
            <w:r>
              <w:rPr>
                <w:rFonts w:eastAsiaTheme="minorHAnsi"/>
              </w:rPr>
              <w:t>/ sitagliptin 100</w:t>
            </w:r>
            <w:r w:rsidR="00715B39">
              <w:rPr>
                <w:rFonts w:eastAsiaTheme="minorHAnsi"/>
              </w:rPr>
              <w:t xml:space="preserve"> </w:t>
            </w:r>
            <w:r w:rsidR="006D7D02">
              <w:rPr>
                <w:rFonts w:eastAsiaTheme="minorHAnsi"/>
              </w:rPr>
              <w:t>mg</w:t>
            </w:r>
          </w:p>
        </w:tc>
      </w:tr>
      <w:tr w:rsidR="009C244E" w:rsidRPr="004D575B" w14:paraId="50A1C694" w14:textId="77777777" w:rsidTr="00F14099">
        <w:tc>
          <w:tcPr>
            <w:tcW w:w="2841" w:type="dxa"/>
          </w:tcPr>
          <w:p w14:paraId="19F90222" w14:textId="7D998BA7" w:rsidR="009C244E" w:rsidRPr="004D575B" w:rsidRDefault="009C244E" w:rsidP="009C244E">
            <w:pPr>
              <w:rPr>
                <w:rFonts w:eastAsiaTheme="minorHAnsi"/>
              </w:rPr>
            </w:pPr>
            <w:r w:rsidRPr="004D575B">
              <w:rPr>
                <w:rFonts w:eastAsiaTheme="minorHAnsi"/>
              </w:rPr>
              <w:t>EASD</w:t>
            </w:r>
          </w:p>
        </w:tc>
        <w:tc>
          <w:tcPr>
            <w:tcW w:w="5879" w:type="dxa"/>
          </w:tcPr>
          <w:p w14:paraId="00D39903" w14:textId="77777777" w:rsidR="009C244E" w:rsidRPr="004D575B" w:rsidRDefault="009C244E" w:rsidP="009C244E">
            <w:pPr>
              <w:rPr>
                <w:rFonts w:eastAsiaTheme="minorHAnsi"/>
              </w:rPr>
            </w:pPr>
            <w:r w:rsidRPr="004D575B">
              <w:rPr>
                <w:rFonts w:eastAsiaTheme="minorHAnsi"/>
              </w:rPr>
              <w:t>European Association for the Study of Diabetes</w:t>
            </w:r>
          </w:p>
        </w:tc>
      </w:tr>
      <w:tr w:rsidR="009C244E" w:rsidRPr="00F614F6" w14:paraId="0EEC0775" w14:textId="77777777" w:rsidTr="00F14099">
        <w:tc>
          <w:tcPr>
            <w:tcW w:w="2841" w:type="dxa"/>
          </w:tcPr>
          <w:p w14:paraId="694C0856" w14:textId="77777777" w:rsidR="009C244E" w:rsidRPr="004D575B" w:rsidRDefault="009C244E" w:rsidP="009C244E">
            <w:r w:rsidRPr="004D575B">
              <w:t>ECG</w:t>
            </w:r>
          </w:p>
        </w:tc>
        <w:tc>
          <w:tcPr>
            <w:tcW w:w="5879" w:type="dxa"/>
          </w:tcPr>
          <w:p w14:paraId="24E8B81D" w14:textId="77777777" w:rsidR="009C244E" w:rsidRPr="004D575B" w:rsidRDefault="009C244E" w:rsidP="009C244E">
            <w:r w:rsidRPr="004D575B">
              <w:t>Electrocardiograph</w:t>
            </w:r>
          </w:p>
        </w:tc>
      </w:tr>
      <w:tr w:rsidR="009C244E" w:rsidRPr="00F614F6" w14:paraId="15643792" w14:textId="77777777" w:rsidTr="00F14099">
        <w:tc>
          <w:tcPr>
            <w:tcW w:w="2841" w:type="dxa"/>
          </w:tcPr>
          <w:p w14:paraId="0FE6BB98" w14:textId="77777777" w:rsidR="009C244E" w:rsidRPr="004D575B" w:rsidRDefault="009C244E" w:rsidP="009C244E">
            <w:r w:rsidRPr="004D575B">
              <w:t>ED50</w:t>
            </w:r>
          </w:p>
        </w:tc>
        <w:tc>
          <w:tcPr>
            <w:tcW w:w="5879" w:type="dxa"/>
          </w:tcPr>
          <w:p w14:paraId="21B77084" w14:textId="77777777" w:rsidR="009C244E" w:rsidRPr="004D575B" w:rsidRDefault="009C244E" w:rsidP="009C244E">
            <w:r w:rsidRPr="004D575B">
              <w:rPr>
                <w:color w:val="000000"/>
              </w:rPr>
              <w:t>Dose at half maximum effect</w:t>
            </w:r>
          </w:p>
        </w:tc>
      </w:tr>
      <w:tr w:rsidR="009C244E" w:rsidRPr="00F614F6" w14:paraId="0D04C59A" w14:textId="77777777" w:rsidTr="00F14099">
        <w:tc>
          <w:tcPr>
            <w:tcW w:w="2841" w:type="dxa"/>
          </w:tcPr>
          <w:p w14:paraId="40B497AF" w14:textId="77777777" w:rsidR="009C244E" w:rsidRPr="004D575B" w:rsidRDefault="009C244E" w:rsidP="009C244E">
            <w:r w:rsidRPr="004D575B">
              <w:t>eGFR</w:t>
            </w:r>
          </w:p>
        </w:tc>
        <w:tc>
          <w:tcPr>
            <w:tcW w:w="5879" w:type="dxa"/>
          </w:tcPr>
          <w:p w14:paraId="6B2BDE87" w14:textId="77777777" w:rsidR="009C244E" w:rsidRPr="004D575B" w:rsidRDefault="009C244E" w:rsidP="009C244E">
            <w:r w:rsidRPr="004D575B">
              <w:t>Estimated glomerular filtration rate</w:t>
            </w:r>
          </w:p>
        </w:tc>
      </w:tr>
      <w:tr w:rsidR="009C244E" w:rsidRPr="004D575B" w14:paraId="412C3F03" w14:textId="77777777" w:rsidTr="00F14099">
        <w:tc>
          <w:tcPr>
            <w:tcW w:w="2841" w:type="dxa"/>
          </w:tcPr>
          <w:p w14:paraId="0B1D4F49" w14:textId="068F8E7E" w:rsidR="009C244E" w:rsidRPr="004D575B" w:rsidRDefault="009C244E" w:rsidP="009C244E">
            <w:pPr>
              <w:rPr>
                <w:rFonts w:eastAsiaTheme="minorHAnsi"/>
              </w:rPr>
            </w:pPr>
            <w:r w:rsidRPr="004D575B">
              <w:rPr>
                <w:rFonts w:eastAsiaTheme="minorHAnsi"/>
              </w:rPr>
              <w:t>EMA</w:t>
            </w:r>
          </w:p>
        </w:tc>
        <w:tc>
          <w:tcPr>
            <w:tcW w:w="5879" w:type="dxa"/>
          </w:tcPr>
          <w:p w14:paraId="7E7748AE" w14:textId="77777777" w:rsidR="009C244E" w:rsidRPr="004D575B" w:rsidRDefault="009C244E" w:rsidP="009C244E">
            <w:pPr>
              <w:rPr>
                <w:rFonts w:eastAsiaTheme="minorHAnsi"/>
              </w:rPr>
            </w:pPr>
            <w:r w:rsidRPr="004D575B">
              <w:rPr>
                <w:rFonts w:eastAsiaTheme="minorHAnsi"/>
              </w:rPr>
              <w:t>European Medicines Agency</w:t>
            </w:r>
          </w:p>
        </w:tc>
      </w:tr>
      <w:tr w:rsidR="009C244E" w:rsidRPr="004D575B" w14:paraId="2768A84C" w14:textId="77777777" w:rsidTr="00F14099">
        <w:tc>
          <w:tcPr>
            <w:tcW w:w="2841" w:type="dxa"/>
          </w:tcPr>
          <w:p w14:paraId="597A1D0C" w14:textId="4C5A1ED0" w:rsidR="009C244E" w:rsidRPr="004D575B" w:rsidRDefault="009C244E" w:rsidP="009C244E">
            <w:pPr>
              <w:rPr>
                <w:rFonts w:eastAsiaTheme="minorHAnsi"/>
              </w:rPr>
            </w:pPr>
            <w:r w:rsidRPr="004D575B">
              <w:rPr>
                <w:rFonts w:eastAsiaTheme="minorHAnsi"/>
              </w:rPr>
              <w:t>ESRD</w:t>
            </w:r>
          </w:p>
        </w:tc>
        <w:tc>
          <w:tcPr>
            <w:tcW w:w="5879" w:type="dxa"/>
          </w:tcPr>
          <w:p w14:paraId="3CB92FB9" w14:textId="77777777" w:rsidR="009C244E" w:rsidRPr="004D575B" w:rsidRDefault="009C244E" w:rsidP="009C244E">
            <w:pPr>
              <w:rPr>
                <w:rFonts w:eastAsiaTheme="minorHAnsi"/>
              </w:rPr>
            </w:pPr>
            <w:r w:rsidRPr="004D575B">
              <w:rPr>
                <w:rFonts w:eastAsiaTheme="minorHAnsi"/>
              </w:rPr>
              <w:t>End stage renal disease</w:t>
            </w:r>
          </w:p>
        </w:tc>
      </w:tr>
      <w:tr w:rsidR="009C244E" w:rsidRPr="004D575B" w14:paraId="2BC73FFE" w14:textId="77777777" w:rsidTr="00F14099">
        <w:tc>
          <w:tcPr>
            <w:tcW w:w="2841" w:type="dxa"/>
          </w:tcPr>
          <w:p w14:paraId="750D2826" w14:textId="385CDD64" w:rsidR="009C244E" w:rsidRPr="004D575B" w:rsidRDefault="009C244E" w:rsidP="009C244E">
            <w:pPr>
              <w:rPr>
                <w:rFonts w:eastAsiaTheme="minorHAnsi"/>
              </w:rPr>
            </w:pPr>
            <w:r w:rsidRPr="004D575B">
              <w:rPr>
                <w:rFonts w:eastAsiaTheme="minorHAnsi"/>
              </w:rPr>
              <w:t>EU</w:t>
            </w:r>
          </w:p>
        </w:tc>
        <w:tc>
          <w:tcPr>
            <w:tcW w:w="5879" w:type="dxa"/>
          </w:tcPr>
          <w:p w14:paraId="14CA3105" w14:textId="77777777" w:rsidR="009C244E" w:rsidRPr="004D575B" w:rsidRDefault="009C244E" w:rsidP="009C244E">
            <w:pPr>
              <w:rPr>
                <w:rFonts w:eastAsiaTheme="minorHAnsi"/>
              </w:rPr>
            </w:pPr>
            <w:r w:rsidRPr="004D575B">
              <w:rPr>
                <w:rFonts w:eastAsiaTheme="minorHAnsi"/>
              </w:rPr>
              <w:t>European Union</w:t>
            </w:r>
          </w:p>
        </w:tc>
      </w:tr>
      <w:tr w:rsidR="009C244E" w:rsidRPr="00F614F6" w14:paraId="4FEBD441" w14:textId="77777777" w:rsidTr="00F14099">
        <w:tc>
          <w:tcPr>
            <w:tcW w:w="2841" w:type="dxa"/>
          </w:tcPr>
          <w:p w14:paraId="15EECF70" w14:textId="77777777" w:rsidR="009C244E" w:rsidRPr="004D575B" w:rsidRDefault="009C244E" w:rsidP="009C244E">
            <w:r w:rsidRPr="004D575B">
              <w:t>F</w:t>
            </w:r>
          </w:p>
        </w:tc>
        <w:tc>
          <w:tcPr>
            <w:tcW w:w="5879" w:type="dxa"/>
          </w:tcPr>
          <w:p w14:paraId="0598BF34" w14:textId="77777777" w:rsidR="009C244E" w:rsidRPr="004D575B" w:rsidRDefault="009C244E" w:rsidP="009C244E">
            <w:r w:rsidRPr="004D575B">
              <w:rPr>
                <w:rFonts w:eastAsia="TimesNewRoman"/>
              </w:rPr>
              <w:t>Bioavailability</w:t>
            </w:r>
          </w:p>
        </w:tc>
      </w:tr>
      <w:tr w:rsidR="009C244E" w:rsidRPr="00F614F6" w14:paraId="15293EF4" w14:textId="579EBA58" w:rsidTr="00F14099">
        <w:tc>
          <w:tcPr>
            <w:tcW w:w="2841" w:type="dxa"/>
          </w:tcPr>
          <w:p w14:paraId="253A9B74" w14:textId="4CCAE2E8" w:rsidR="009C244E" w:rsidRPr="004D575B" w:rsidRDefault="009C244E" w:rsidP="009C244E">
            <w:r w:rsidRPr="004D575B">
              <w:t>FAS</w:t>
            </w:r>
          </w:p>
        </w:tc>
        <w:tc>
          <w:tcPr>
            <w:tcW w:w="5879" w:type="dxa"/>
          </w:tcPr>
          <w:p w14:paraId="546A82D0" w14:textId="41363512" w:rsidR="009C244E" w:rsidRPr="004D575B" w:rsidRDefault="009C244E" w:rsidP="009C244E">
            <w:r w:rsidRPr="004D575B">
              <w:t>Full analysis set</w:t>
            </w:r>
          </w:p>
        </w:tc>
      </w:tr>
      <w:tr w:rsidR="009C244E" w:rsidRPr="004D575B" w14:paraId="7B9F0F64" w14:textId="77777777" w:rsidTr="00F14099">
        <w:tc>
          <w:tcPr>
            <w:tcW w:w="2841" w:type="dxa"/>
          </w:tcPr>
          <w:p w14:paraId="6A60E4DD" w14:textId="5DA61846" w:rsidR="009C244E" w:rsidRPr="004D575B" w:rsidRDefault="009C244E" w:rsidP="009C244E">
            <w:pPr>
              <w:rPr>
                <w:rFonts w:eastAsiaTheme="minorHAnsi"/>
              </w:rPr>
            </w:pPr>
            <w:r w:rsidRPr="004D575B">
              <w:rPr>
                <w:rFonts w:eastAsiaTheme="minorHAnsi"/>
              </w:rPr>
              <w:t>FDA</w:t>
            </w:r>
          </w:p>
        </w:tc>
        <w:tc>
          <w:tcPr>
            <w:tcW w:w="5879" w:type="dxa"/>
          </w:tcPr>
          <w:p w14:paraId="2238E467" w14:textId="77777777" w:rsidR="009C244E" w:rsidRPr="004D575B" w:rsidRDefault="009C244E" w:rsidP="009C244E">
            <w:pPr>
              <w:rPr>
                <w:rFonts w:eastAsiaTheme="minorHAnsi"/>
              </w:rPr>
            </w:pPr>
            <w:r w:rsidRPr="004D575B">
              <w:rPr>
                <w:rFonts w:eastAsiaTheme="minorHAnsi"/>
              </w:rPr>
              <w:t>Food and Drug Administration</w:t>
            </w:r>
          </w:p>
        </w:tc>
      </w:tr>
      <w:tr w:rsidR="009C244E" w:rsidRPr="004D575B" w14:paraId="6267483F" w14:textId="77777777" w:rsidTr="00F14099">
        <w:tc>
          <w:tcPr>
            <w:tcW w:w="2841" w:type="dxa"/>
          </w:tcPr>
          <w:p w14:paraId="201E7693" w14:textId="47FE1231" w:rsidR="009C244E" w:rsidRPr="004D575B" w:rsidRDefault="009C244E" w:rsidP="009C244E">
            <w:pPr>
              <w:rPr>
                <w:rFonts w:eastAsiaTheme="minorHAnsi"/>
              </w:rPr>
            </w:pPr>
            <w:r w:rsidRPr="004D575B">
              <w:rPr>
                <w:rFonts w:eastAsiaTheme="minorHAnsi"/>
              </w:rPr>
              <w:t>FDC</w:t>
            </w:r>
          </w:p>
        </w:tc>
        <w:tc>
          <w:tcPr>
            <w:tcW w:w="5879" w:type="dxa"/>
          </w:tcPr>
          <w:p w14:paraId="4BB7B9FF" w14:textId="77777777" w:rsidR="009C244E" w:rsidRPr="004D575B" w:rsidRDefault="009C244E" w:rsidP="009C244E">
            <w:pPr>
              <w:rPr>
                <w:rFonts w:eastAsiaTheme="minorHAnsi"/>
              </w:rPr>
            </w:pPr>
            <w:r w:rsidRPr="004D575B">
              <w:rPr>
                <w:rFonts w:eastAsiaTheme="minorHAnsi"/>
              </w:rPr>
              <w:t>Fixed-dose combination</w:t>
            </w:r>
          </w:p>
        </w:tc>
      </w:tr>
      <w:tr w:rsidR="009C244E" w:rsidRPr="00F614F6" w14:paraId="660E7E7C" w14:textId="3B0F24BA" w:rsidTr="00F14099">
        <w:tc>
          <w:tcPr>
            <w:tcW w:w="2841" w:type="dxa"/>
          </w:tcPr>
          <w:p w14:paraId="2F4B8635" w14:textId="4C584227" w:rsidR="009C244E" w:rsidRPr="004D575B" w:rsidRDefault="009C244E" w:rsidP="009C244E">
            <w:r w:rsidRPr="004D575B">
              <w:t>FME</w:t>
            </w:r>
          </w:p>
        </w:tc>
        <w:tc>
          <w:tcPr>
            <w:tcW w:w="5879" w:type="dxa"/>
          </w:tcPr>
          <w:p w14:paraId="7F68799D" w14:textId="0FAB5601" w:rsidR="009C244E" w:rsidRPr="004D575B" w:rsidRDefault="009C244E" w:rsidP="009C244E">
            <w:r w:rsidRPr="004D575B">
              <w:t>Full model estimation</w:t>
            </w:r>
          </w:p>
        </w:tc>
      </w:tr>
      <w:tr w:rsidR="009C244E" w:rsidRPr="004D575B" w14:paraId="390420C4" w14:textId="77777777" w:rsidTr="00F14099">
        <w:tc>
          <w:tcPr>
            <w:tcW w:w="2841" w:type="dxa"/>
          </w:tcPr>
          <w:p w14:paraId="55173E07" w14:textId="790CB6B1" w:rsidR="009C244E" w:rsidRPr="004D575B" w:rsidRDefault="009C244E" w:rsidP="009C244E">
            <w:pPr>
              <w:rPr>
                <w:rFonts w:eastAsiaTheme="minorHAnsi"/>
              </w:rPr>
            </w:pPr>
            <w:r w:rsidRPr="004D575B">
              <w:rPr>
                <w:rFonts w:eastAsiaTheme="minorHAnsi"/>
              </w:rPr>
              <w:t>FPG</w:t>
            </w:r>
          </w:p>
        </w:tc>
        <w:tc>
          <w:tcPr>
            <w:tcW w:w="5879" w:type="dxa"/>
          </w:tcPr>
          <w:p w14:paraId="77B36A5B" w14:textId="77777777" w:rsidR="009C244E" w:rsidRPr="004D575B" w:rsidRDefault="009C244E" w:rsidP="009C244E">
            <w:pPr>
              <w:rPr>
                <w:rFonts w:eastAsiaTheme="minorHAnsi"/>
              </w:rPr>
            </w:pPr>
            <w:r w:rsidRPr="004D575B">
              <w:rPr>
                <w:rFonts w:eastAsiaTheme="minorHAnsi"/>
              </w:rPr>
              <w:t>Fasting plasma glucose</w:t>
            </w:r>
          </w:p>
        </w:tc>
      </w:tr>
      <w:tr w:rsidR="009C244E" w:rsidRPr="004D575B" w14:paraId="32FAEBA2" w14:textId="77777777" w:rsidTr="00F14099">
        <w:tc>
          <w:tcPr>
            <w:tcW w:w="2841" w:type="dxa"/>
          </w:tcPr>
          <w:p w14:paraId="6E69D4D8" w14:textId="77C99CC8" w:rsidR="009C244E" w:rsidRPr="004D575B" w:rsidRDefault="009C244E" w:rsidP="009C244E">
            <w:pPr>
              <w:rPr>
                <w:rFonts w:eastAsiaTheme="minorHAnsi"/>
              </w:rPr>
            </w:pPr>
            <w:r w:rsidRPr="004D575B">
              <w:rPr>
                <w:rFonts w:eastAsiaTheme="minorHAnsi"/>
              </w:rPr>
              <w:t>GCP</w:t>
            </w:r>
          </w:p>
        </w:tc>
        <w:tc>
          <w:tcPr>
            <w:tcW w:w="5879" w:type="dxa"/>
          </w:tcPr>
          <w:p w14:paraId="6D1753E8" w14:textId="77777777" w:rsidR="009C244E" w:rsidRPr="004D575B" w:rsidRDefault="009C244E" w:rsidP="009C244E">
            <w:pPr>
              <w:rPr>
                <w:rFonts w:eastAsiaTheme="minorHAnsi"/>
              </w:rPr>
            </w:pPr>
            <w:r w:rsidRPr="004D575B">
              <w:rPr>
                <w:rFonts w:eastAsiaTheme="minorHAnsi"/>
              </w:rPr>
              <w:t>Good Clinical Practice</w:t>
            </w:r>
          </w:p>
        </w:tc>
      </w:tr>
      <w:tr w:rsidR="009C244E" w:rsidRPr="004D575B" w14:paraId="391FBF52" w14:textId="77777777" w:rsidTr="00F14099">
        <w:tc>
          <w:tcPr>
            <w:tcW w:w="2841" w:type="dxa"/>
          </w:tcPr>
          <w:p w14:paraId="5F2E8589" w14:textId="0C90A7DC" w:rsidR="009C244E" w:rsidRPr="004D575B" w:rsidRDefault="009C244E" w:rsidP="009C244E">
            <w:pPr>
              <w:rPr>
                <w:rFonts w:eastAsiaTheme="minorHAnsi"/>
              </w:rPr>
            </w:pPr>
            <w:r w:rsidRPr="004D575B">
              <w:rPr>
                <w:rFonts w:eastAsiaTheme="minorHAnsi"/>
              </w:rPr>
              <w:lastRenderedPageBreak/>
              <w:t>GIP</w:t>
            </w:r>
          </w:p>
        </w:tc>
        <w:tc>
          <w:tcPr>
            <w:tcW w:w="5879" w:type="dxa"/>
          </w:tcPr>
          <w:p w14:paraId="16C5B0E3" w14:textId="77777777" w:rsidR="009C244E" w:rsidRPr="004D575B" w:rsidRDefault="009C244E" w:rsidP="009C244E">
            <w:pPr>
              <w:rPr>
                <w:rFonts w:eastAsiaTheme="minorHAnsi"/>
              </w:rPr>
            </w:pPr>
            <w:r w:rsidRPr="004D575B">
              <w:rPr>
                <w:rFonts w:eastAsiaTheme="minorHAnsi"/>
              </w:rPr>
              <w:t>Glucose-dependent insulinotropic polypeptide</w:t>
            </w:r>
          </w:p>
        </w:tc>
      </w:tr>
      <w:tr w:rsidR="009C244E" w:rsidRPr="004D575B" w14:paraId="6BA48A91" w14:textId="77777777" w:rsidTr="00F14099">
        <w:tc>
          <w:tcPr>
            <w:tcW w:w="2841" w:type="dxa"/>
          </w:tcPr>
          <w:p w14:paraId="11FB71E0" w14:textId="2484587F" w:rsidR="009C244E" w:rsidRPr="004D575B" w:rsidRDefault="009C244E" w:rsidP="009C244E">
            <w:pPr>
              <w:rPr>
                <w:rFonts w:eastAsiaTheme="minorHAnsi"/>
              </w:rPr>
            </w:pPr>
            <w:r w:rsidRPr="004D575B">
              <w:rPr>
                <w:rFonts w:eastAsiaTheme="minorHAnsi"/>
              </w:rPr>
              <w:t>GLP-1</w:t>
            </w:r>
          </w:p>
        </w:tc>
        <w:tc>
          <w:tcPr>
            <w:tcW w:w="5879" w:type="dxa"/>
          </w:tcPr>
          <w:p w14:paraId="764C63FB" w14:textId="77777777" w:rsidR="009C244E" w:rsidRPr="004D575B" w:rsidRDefault="009C244E" w:rsidP="009C244E">
            <w:pPr>
              <w:rPr>
                <w:rFonts w:eastAsiaTheme="minorHAnsi"/>
              </w:rPr>
            </w:pPr>
            <w:r w:rsidRPr="004D575B">
              <w:rPr>
                <w:rFonts w:eastAsiaTheme="minorHAnsi"/>
              </w:rPr>
              <w:t>Glucagon-like peptide-1</w:t>
            </w:r>
          </w:p>
        </w:tc>
      </w:tr>
      <w:tr w:rsidR="009C244E" w:rsidRPr="00F614F6" w14:paraId="45E04ED8" w14:textId="77777777" w:rsidTr="00F14099">
        <w:tc>
          <w:tcPr>
            <w:tcW w:w="2841" w:type="dxa"/>
          </w:tcPr>
          <w:p w14:paraId="2264DC95" w14:textId="77777777" w:rsidR="009C244E" w:rsidRPr="004D575B" w:rsidRDefault="009C244E" w:rsidP="009C244E">
            <w:r w:rsidRPr="004D575B">
              <w:t>GMR</w:t>
            </w:r>
          </w:p>
        </w:tc>
        <w:tc>
          <w:tcPr>
            <w:tcW w:w="5879" w:type="dxa"/>
          </w:tcPr>
          <w:p w14:paraId="126EF601" w14:textId="77777777" w:rsidR="009C244E" w:rsidRPr="004D575B" w:rsidRDefault="009C244E" w:rsidP="009C244E">
            <w:r w:rsidRPr="004D575B">
              <w:t>Geometric mean ratio</w:t>
            </w:r>
          </w:p>
        </w:tc>
      </w:tr>
      <w:tr w:rsidR="009C244E" w:rsidRPr="00F614F6" w14:paraId="6DE7790C" w14:textId="77777777" w:rsidTr="00F14099">
        <w:tc>
          <w:tcPr>
            <w:tcW w:w="2841" w:type="dxa"/>
          </w:tcPr>
          <w:p w14:paraId="493D7D13" w14:textId="77777777" w:rsidR="009C244E" w:rsidRPr="004D575B" w:rsidRDefault="009C244E" w:rsidP="009C244E">
            <w:r w:rsidRPr="004D575B">
              <w:t>h</w:t>
            </w:r>
          </w:p>
        </w:tc>
        <w:tc>
          <w:tcPr>
            <w:tcW w:w="5879" w:type="dxa"/>
          </w:tcPr>
          <w:p w14:paraId="56F41C1D" w14:textId="77777777" w:rsidR="009C244E" w:rsidRPr="004D575B" w:rsidRDefault="009C244E" w:rsidP="003209C3">
            <w:pPr>
              <w:rPr>
                <w:rFonts w:eastAsia="TimesNewRoman"/>
              </w:rPr>
            </w:pPr>
            <w:r w:rsidRPr="004D575B">
              <w:rPr>
                <w:rFonts w:eastAsia="TimesNewRoman"/>
              </w:rPr>
              <w:t>Hour</w:t>
            </w:r>
            <w:r w:rsidR="003209C3">
              <w:rPr>
                <w:rFonts w:eastAsia="TimesNewRoman"/>
              </w:rPr>
              <w:t>(</w:t>
            </w:r>
            <w:r w:rsidRPr="004D575B">
              <w:rPr>
                <w:rFonts w:eastAsia="TimesNewRoman"/>
              </w:rPr>
              <w:t>s</w:t>
            </w:r>
            <w:r w:rsidR="003209C3">
              <w:rPr>
                <w:rFonts w:eastAsia="TimesNewRoman"/>
              </w:rPr>
              <w:t>)</w:t>
            </w:r>
          </w:p>
        </w:tc>
      </w:tr>
      <w:tr w:rsidR="004875DA" w:rsidRPr="00F614F6" w14:paraId="2C9AE5C3" w14:textId="77777777" w:rsidTr="00F14099">
        <w:tc>
          <w:tcPr>
            <w:tcW w:w="2841" w:type="dxa"/>
          </w:tcPr>
          <w:p w14:paraId="1014CED0" w14:textId="6639CA2D" w:rsidR="004875DA" w:rsidRPr="004D575B" w:rsidRDefault="004875DA" w:rsidP="009C244E">
            <w:r>
              <w:t>Hb</w:t>
            </w:r>
            <w:r w:rsidR="00A04B32">
              <w:t>A1c</w:t>
            </w:r>
          </w:p>
        </w:tc>
        <w:tc>
          <w:tcPr>
            <w:tcW w:w="5879" w:type="dxa"/>
          </w:tcPr>
          <w:p w14:paraId="094EBC4F" w14:textId="7E240B05" w:rsidR="004875DA" w:rsidRPr="004D575B" w:rsidRDefault="004875DA" w:rsidP="003209C3">
            <w:pPr>
              <w:rPr>
                <w:rFonts w:eastAsia="TimesNewRoman"/>
              </w:rPr>
            </w:pPr>
            <w:r w:rsidRPr="004D575B">
              <w:rPr>
                <w:rFonts w:eastAsiaTheme="minorHAnsi"/>
              </w:rPr>
              <w:t>Glycosylated h</w:t>
            </w:r>
            <w:r>
              <w:rPr>
                <w:rFonts w:eastAsiaTheme="minorHAnsi"/>
              </w:rPr>
              <w:t>a</w:t>
            </w:r>
            <w:r w:rsidRPr="004D575B">
              <w:rPr>
                <w:rFonts w:eastAsiaTheme="minorHAnsi"/>
              </w:rPr>
              <w:t>emoglobin (h</w:t>
            </w:r>
            <w:r>
              <w:rPr>
                <w:rFonts w:eastAsiaTheme="minorHAnsi"/>
              </w:rPr>
              <w:t>a</w:t>
            </w:r>
            <w:r w:rsidRPr="004D575B">
              <w:rPr>
                <w:rFonts w:eastAsiaTheme="minorHAnsi"/>
              </w:rPr>
              <w:t xml:space="preserve">emoglobin </w:t>
            </w:r>
            <w:r>
              <w:rPr>
                <w:rFonts w:eastAsiaTheme="minorHAnsi"/>
              </w:rPr>
              <w:t xml:space="preserve">(Hb) </w:t>
            </w:r>
            <w:r w:rsidR="00A04B32">
              <w:rPr>
                <w:rFonts w:eastAsiaTheme="minorHAnsi"/>
              </w:rPr>
              <w:t>A1c</w:t>
            </w:r>
            <w:r w:rsidRPr="004D575B">
              <w:rPr>
                <w:rFonts w:eastAsiaTheme="minorHAnsi"/>
              </w:rPr>
              <w:t>)</w:t>
            </w:r>
          </w:p>
        </w:tc>
      </w:tr>
      <w:tr w:rsidR="009C244E" w:rsidRPr="004D575B" w14:paraId="1CAC9BAA" w14:textId="77777777" w:rsidTr="00F14099">
        <w:tc>
          <w:tcPr>
            <w:tcW w:w="2841" w:type="dxa"/>
          </w:tcPr>
          <w:p w14:paraId="641BAC81" w14:textId="0443D51C" w:rsidR="009C244E" w:rsidRPr="004D575B" w:rsidRDefault="009C244E" w:rsidP="009C244E">
            <w:pPr>
              <w:rPr>
                <w:rFonts w:eastAsiaTheme="minorHAnsi"/>
              </w:rPr>
            </w:pPr>
            <w:r w:rsidRPr="004D575B">
              <w:rPr>
                <w:rFonts w:eastAsiaTheme="minorHAnsi"/>
              </w:rPr>
              <w:t>HCTZ</w:t>
            </w:r>
          </w:p>
        </w:tc>
        <w:tc>
          <w:tcPr>
            <w:tcW w:w="5879" w:type="dxa"/>
          </w:tcPr>
          <w:p w14:paraId="14B5C754" w14:textId="77777777" w:rsidR="009C244E" w:rsidRPr="004D575B" w:rsidRDefault="009C244E" w:rsidP="009C244E">
            <w:pPr>
              <w:rPr>
                <w:rFonts w:eastAsiaTheme="minorHAnsi"/>
              </w:rPr>
            </w:pPr>
            <w:r w:rsidRPr="004D575B">
              <w:rPr>
                <w:rFonts w:eastAsiaTheme="minorHAnsi"/>
              </w:rPr>
              <w:t>Hydrochlorothiazide</w:t>
            </w:r>
          </w:p>
        </w:tc>
      </w:tr>
      <w:tr w:rsidR="009C244E" w:rsidRPr="004D575B" w14:paraId="14D4769C" w14:textId="77777777" w:rsidTr="00F14099">
        <w:tc>
          <w:tcPr>
            <w:tcW w:w="2841" w:type="dxa"/>
          </w:tcPr>
          <w:p w14:paraId="24DC7A70" w14:textId="395345E6" w:rsidR="009C244E" w:rsidRPr="004D575B" w:rsidRDefault="009C244E" w:rsidP="009C244E">
            <w:pPr>
              <w:rPr>
                <w:rFonts w:eastAsiaTheme="minorHAnsi"/>
              </w:rPr>
            </w:pPr>
            <w:r w:rsidRPr="004D575B">
              <w:rPr>
                <w:rFonts w:eastAsiaTheme="minorHAnsi"/>
              </w:rPr>
              <w:t>HDL-C</w:t>
            </w:r>
          </w:p>
        </w:tc>
        <w:tc>
          <w:tcPr>
            <w:tcW w:w="5879" w:type="dxa"/>
          </w:tcPr>
          <w:p w14:paraId="3951DE93" w14:textId="77777777" w:rsidR="009C244E" w:rsidRPr="004D575B" w:rsidRDefault="009C244E" w:rsidP="009C244E">
            <w:pPr>
              <w:rPr>
                <w:rFonts w:eastAsiaTheme="minorHAnsi"/>
              </w:rPr>
            </w:pPr>
            <w:r w:rsidRPr="004D575B">
              <w:rPr>
                <w:rFonts w:eastAsiaTheme="minorHAnsi"/>
              </w:rPr>
              <w:t>High-density lipoprotein-cholesterol</w:t>
            </w:r>
          </w:p>
        </w:tc>
      </w:tr>
      <w:tr w:rsidR="009C244E" w:rsidRPr="004D575B" w14:paraId="4BE8C2CC" w14:textId="77777777" w:rsidTr="00F14099">
        <w:tc>
          <w:tcPr>
            <w:tcW w:w="2841" w:type="dxa"/>
          </w:tcPr>
          <w:p w14:paraId="35D703E8" w14:textId="4AAD6145" w:rsidR="009C244E" w:rsidRPr="004D575B" w:rsidRDefault="009C244E" w:rsidP="009C244E">
            <w:pPr>
              <w:rPr>
                <w:rFonts w:eastAsiaTheme="minorHAnsi"/>
              </w:rPr>
            </w:pPr>
            <w:r w:rsidRPr="004D575B">
              <w:rPr>
                <w:rFonts w:eastAsiaTheme="minorHAnsi"/>
              </w:rPr>
              <w:t>hOAT-3</w:t>
            </w:r>
          </w:p>
        </w:tc>
        <w:tc>
          <w:tcPr>
            <w:tcW w:w="5879" w:type="dxa"/>
          </w:tcPr>
          <w:p w14:paraId="14BDAED4" w14:textId="77777777" w:rsidR="009C244E" w:rsidRPr="004D575B" w:rsidRDefault="009C244E" w:rsidP="009C244E">
            <w:pPr>
              <w:rPr>
                <w:rFonts w:eastAsiaTheme="minorHAnsi"/>
              </w:rPr>
            </w:pPr>
            <w:r w:rsidRPr="004D575B">
              <w:rPr>
                <w:rFonts w:eastAsiaTheme="minorHAnsi"/>
              </w:rPr>
              <w:t>Human organic anion transporter-3</w:t>
            </w:r>
          </w:p>
        </w:tc>
      </w:tr>
      <w:tr w:rsidR="009C244E" w:rsidRPr="00F614F6" w14:paraId="51ADFB03" w14:textId="77777777" w:rsidTr="00F14099">
        <w:tc>
          <w:tcPr>
            <w:tcW w:w="2841" w:type="dxa"/>
          </w:tcPr>
          <w:p w14:paraId="3B85E666" w14:textId="77777777" w:rsidR="009C244E" w:rsidRPr="004D575B" w:rsidRDefault="009C244E" w:rsidP="009C244E">
            <w:r w:rsidRPr="004D575B">
              <w:t>HPLC-MS/MS</w:t>
            </w:r>
          </w:p>
        </w:tc>
        <w:tc>
          <w:tcPr>
            <w:tcW w:w="5879" w:type="dxa"/>
          </w:tcPr>
          <w:p w14:paraId="1AE4AC2D" w14:textId="77777777" w:rsidR="009C244E" w:rsidRPr="004D575B" w:rsidRDefault="009C244E" w:rsidP="009C244E">
            <w:r w:rsidRPr="004D575B">
              <w:t>High-performance liquid chromatography tandem mass spectrometric</w:t>
            </w:r>
          </w:p>
        </w:tc>
      </w:tr>
      <w:tr w:rsidR="009C244E" w:rsidRPr="00F614F6" w14:paraId="7DBFDC68" w14:textId="77777777" w:rsidTr="00F14099">
        <w:tc>
          <w:tcPr>
            <w:tcW w:w="2841" w:type="dxa"/>
          </w:tcPr>
          <w:p w14:paraId="1A837291" w14:textId="77777777" w:rsidR="009C244E" w:rsidRPr="004D575B" w:rsidRDefault="009C244E" w:rsidP="009C244E">
            <w:r w:rsidRPr="004D575B">
              <w:t>HTCZ</w:t>
            </w:r>
          </w:p>
        </w:tc>
        <w:tc>
          <w:tcPr>
            <w:tcW w:w="5879" w:type="dxa"/>
          </w:tcPr>
          <w:p w14:paraId="3FCEDB4D" w14:textId="77777777" w:rsidR="009C244E" w:rsidRPr="004D575B" w:rsidRDefault="009C244E" w:rsidP="009C244E">
            <w:r w:rsidRPr="004D575B">
              <w:rPr>
                <w:rFonts w:eastAsia="TimesNewRoman"/>
              </w:rPr>
              <w:t>Hydrochlorothiazide</w:t>
            </w:r>
          </w:p>
        </w:tc>
      </w:tr>
      <w:tr w:rsidR="009C244E" w:rsidRPr="004D575B" w14:paraId="47F0ACE8" w14:textId="77777777" w:rsidTr="00F14099">
        <w:tc>
          <w:tcPr>
            <w:tcW w:w="2841" w:type="dxa"/>
          </w:tcPr>
          <w:p w14:paraId="44776DE7" w14:textId="7879704D" w:rsidR="009C244E" w:rsidRPr="004D575B" w:rsidRDefault="009C244E" w:rsidP="009C244E">
            <w:pPr>
              <w:rPr>
                <w:rFonts w:eastAsiaTheme="minorHAnsi"/>
              </w:rPr>
            </w:pPr>
            <w:r w:rsidRPr="004D575B">
              <w:rPr>
                <w:rFonts w:eastAsiaTheme="minorHAnsi"/>
              </w:rPr>
              <w:t>LDA</w:t>
            </w:r>
          </w:p>
        </w:tc>
        <w:tc>
          <w:tcPr>
            <w:tcW w:w="5879" w:type="dxa"/>
          </w:tcPr>
          <w:p w14:paraId="34C014F4" w14:textId="77777777" w:rsidR="009C244E" w:rsidRPr="004D575B" w:rsidRDefault="009C244E" w:rsidP="009C244E">
            <w:pPr>
              <w:rPr>
                <w:rFonts w:eastAsiaTheme="minorHAnsi"/>
              </w:rPr>
            </w:pPr>
            <w:r w:rsidRPr="004D575B">
              <w:rPr>
                <w:rFonts w:eastAsiaTheme="minorHAnsi"/>
              </w:rPr>
              <w:t>Longitudinal data analysis</w:t>
            </w:r>
          </w:p>
        </w:tc>
      </w:tr>
      <w:tr w:rsidR="009C244E" w:rsidRPr="00F614F6" w14:paraId="144F27BF" w14:textId="77777777" w:rsidTr="00F14099">
        <w:tc>
          <w:tcPr>
            <w:tcW w:w="2841" w:type="dxa"/>
          </w:tcPr>
          <w:p w14:paraId="77261911" w14:textId="77777777" w:rsidR="009C244E" w:rsidRPr="004D575B" w:rsidRDefault="009C244E" w:rsidP="009C244E">
            <w:r w:rsidRPr="004D575B">
              <w:t>LDL</w:t>
            </w:r>
          </w:p>
        </w:tc>
        <w:tc>
          <w:tcPr>
            <w:tcW w:w="5879" w:type="dxa"/>
          </w:tcPr>
          <w:p w14:paraId="0B9CAABF" w14:textId="77777777" w:rsidR="009C244E" w:rsidRPr="004D575B" w:rsidRDefault="009C244E" w:rsidP="009C244E">
            <w:r w:rsidRPr="004D575B">
              <w:rPr>
                <w:rFonts w:eastAsia="TimesNewRoman"/>
              </w:rPr>
              <w:t>Low-density lipoprotein</w:t>
            </w:r>
          </w:p>
        </w:tc>
      </w:tr>
      <w:tr w:rsidR="009C244E" w:rsidRPr="004D575B" w14:paraId="514B3F03" w14:textId="77777777" w:rsidTr="00F14099">
        <w:tc>
          <w:tcPr>
            <w:tcW w:w="2841" w:type="dxa"/>
          </w:tcPr>
          <w:p w14:paraId="3BB4935E" w14:textId="65D62AD0" w:rsidR="009C244E" w:rsidRPr="004D575B" w:rsidRDefault="009C244E" w:rsidP="009C244E">
            <w:pPr>
              <w:rPr>
                <w:rFonts w:eastAsiaTheme="minorHAnsi"/>
              </w:rPr>
            </w:pPr>
            <w:r w:rsidRPr="004D575B">
              <w:rPr>
                <w:rFonts w:eastAsiaTheme="minorHAnsi"/>
              </w:rPr>
              <w:t>LDL-C</w:t>
            </w:r>
          </w:p>
        </w:tc>
        <w:tc>
          <w:tcPr>
            <w:tcW w:w="5879" w:type="dxa"/>
          </w:tcPr>
          <w:p w14:paraId="198653D8" w14:textId="77777777" w:rsidR="009C244E" w:rsidRPr="004D575B" w:rsidRDefault="009C244E" w:rsidP="009C244E">
            <w:pPr>
              <w:rPr>
                <w:rFonts w:eastAsiaTheme="minorHAnsi"/>
              </w:rPr>
            </w:pPr>
            <w:r w:rsidRPr="004D575B">
              <w:rPr>
                <w:rFonts w:eastAsiaTheme="minorHAnsi"/>
              </w:rPr>
              <w:t>Low-density lipoprotein-cholesterol</w:t>
            </w:r>
          </w:p>
        </w:tc>
      </w:tr>
      <w:tr w:rsidR="009C244E" w:rsidRPr="00F614F6" w14:paraId="03BDC8C1" w14:textId="77777777" w:rsidTr="00F14099">
        <w:tc>
          <w:tcPr>
            <w:tcW w:w="2841" w:type="dxa"/>
          </w:tcPr>
          <w:p w14:paraId="4EBD431C" w14:textId="77777777" w:rsidR="009C244E" w:rsidRPr="004D575B" w:rsidRDefault="009C244E" w:rsidP="009C244E">
            <w:r w:rsidRPr="004D575B">
              <w:t>LLOQ</w:t>
            </w:r>
          </w:p>
        </w:tc>
        <w:tc>
          <w:tcPr>
            <w:tcW w:w="5879" w:type="dxa"/>
          </w:tcPr>
          <w:p w14:paraId="4DC46E06" w14:textId="77777777" w:rsidR="009C244E" w:rsidRPr="004D575B" w:rsidRDefault="009C244E" w:rsidP="009C244E">
            <w:r w:rsidRPr="004D575B">
              <w:rPr>
                <w:rFonts w:eastAsia="TimesNewRoman"/>
                <w:color w:val="000000"/>
              </w:rPr>
              <w:t>Lower limit of quantitation</w:t>
            </w:r>
          </w:p>
        </w:tc>
      </w:tr>
      <w:tr w:rsidR="009C244E" w:rsidRPr="00F614F6" w14:paraId="19BB0464" w14:textId="77777777" w:rsidTr="00F14099">
        <w:tc>
          <w:tcPr>
            <w:tcW w:w="2841" w:type="dxa"/>
          </w:tcPr>
          <w:p w14:paraId="22CB4F29" w14:textId="77777777" w:rsidR="009C244E" w:rsidRPr="004D575B" w:rsidRDefault="009C244E" w:rsidP="009C244E">
            <w:r w:rsidRPr="004D575B">
              <w:t>L-PGA</w:t>
            </w:r>
          </w:p>
        </w:tc>
        <w:tc>
          <w:tcPr>
            <w:tcW w:w="5879" w:type="dxa"/>
          </w:tcPr>
          <w:p w14:paraId="6CA89077" w14:textId="77777777" w:rsidR="009C244E" w:rsidRPr="004D575B" w:rsidRDefault="009C244E" w:rsidP="009C244E">
            <w:r w:rsidRPr="004D575B">
              <w:t>L-pyroglutamic acid</w:t>
            </w:r>
          </w:p>
        </w:tc>
      </w:tr>
      <w:tr w:rsidR="009C244E" w:rsidRPr="004D575B" w14:paraId="6C1A8559" w14:textId="77777777" w:rsidTr="00F14099">
        <w:tc>
          <w:tcPr>
            <w:tcW w:w="2841" w:type="dxa"/>
          </w:tcPr>
          <w:p w14:paraId="36A43E08" w14:textId="77777777" w:rsidR="009C244E" w:rsidRPr="004D575B" w:rsidRDefault="009C244E" w:rsidP="009C244E">
            <w:pPr>
              <w:rPr>
                <w:rFonts w:eastAsiaTheme="minorHAnsi"/>
              </w:rPr>
            </w:pPr>
            <w:r w:rsidRPr="004D575B">
              <w:rPr>
                <w:rFonts w:eastAsiaTheme="minorHAnsi"/>
              </w:rPr>
              <w:t xml:space="preserve">LS </w:t>
            </w:r>
          </w:p>
        </w:tc>
        <w:tc>
          <w:tcPr>
            <w:tcW w:w="5879" w:type="dxa"/>
          </w:tcPr>
          <w:p w14:paraId="55EC7A3E" w14:textId="77777777" w:rsidR="009C244E" w:rsidRPr="004D575B" w:rsidRDefault="009C244E" w:rsidP="009C244E">
            <w:pPr>
              <w:rPr>
                <w:rFonts w:eastAsiaTheme="minorHAnsi"/>
              </w:rPr>
            </w:pPr>
            <w:r w:rsidRPr="004D575B">
              <w:rPr>
                <w:rFonts w:eastAsiaTheme="minorHAnsi"/>
              </w:rPr>
              <w:t>Least-squares</w:t>
            </w:r>
          </w:p>
        </w:tc>
      </w:tr>
      <w:tr w:rsidR="009C244E" w:rsidRPr="004D575B" w14:paraId="1D6FDBF9" w14:textId="77777777" w:rsidTr="00F14099">
        <w:tc>
          <w:tcPr>
            <w:tcW w:w="2841" w:type="dxa"/>
          </w:tcPr>
          <w:p w14:paraId="507A8597" w14:textId="64355C88" w:rsidR="009C244E" w:rsidRPr="004D575B" w:rsidRDefault="009C244E" w:rsidP="009C244E">
            <w:pPr>
              <w:rPr>
                <w:rFonts w:eastAsiaTheme="minorHAnsi"/>
              </w:rPr>
            </w:pPr>
            <w:r w:rsidRPr="004D575B">
              <w:rPr>
                <w:rFonts w:eastAsiaTheme="minorHAnsi"/>
              </w:rPr>
              <w:t>MACE</w:t>
            </w:r>
          </w:p>
        </w:tc>
        <w:tc>
          <w:tcPr>
            <w:tcW w:w="5879" w:type="dxa"/>
          </w:tcPr>
          <w:p w14:paraId="0763DF08" w14:textId="77777777" w:rsidR="009C244E" w:rsidRPr="004D575B" w:rsidRDefault="009C244E" w:rsidP="009C244E">
            <w:pPr>
              <w:rPr>
                <w:rFonts w:eastAsiaTheme="minorHAnsi"/>
              </w:rPr>
            </w:pPr>
            <w:r w:rsidRPr="004D575B">
              <w:rPr>
                <w:rFonts w:eastAsiaTheme="minorHAnsi"/>
              </w:rPr>
              <w:t>Major adverse cardiovascular event</w:t>
            </w:r>
          </w:p>
        </w:tc>
      </w:tr>
      <w:tr w:rsidR="009C244E" w:rsidRPr="00F614F6" w14:paraId="7D1B4637" w14:textId="77777777" w:rsidTr="00F14099">
        <w:tc>
          <w:tcPr>
            <w:tcW w:w="2841" w:type="dxa"/>
          </w:tcPr>
          <w:p w14:paraId="67569D6C" w14:textId="77777777" w:rsidR="009C244E" w:rsidRPr="004D575B" w:rsidRDefault="009C244E" w:rsidP="009C244E">
            <w:r w:rsidRPr="004D575B">
              <w:t>min</w:t>
            </w:r>
          </w:p>
        </w:tc>
        <w:tc>
          <w:tcPr>
            <w:tcW w:w="5879" w:type="dxa"/>
          </w:tcPr>
          <w:p w14:paraId="00E21A65" w14:textId="77777777" w:rsidR="009C244E" w:rsidRPr="004D575B" w:rsidRDefault="009C244E" w:rsidP="003209C3">
            <w:r w:rsidRPr="004D575B">
              <w:t>Minute</w:t>
            </w:r>
            <w:r w:rsidR="003209C3">
              <w:t>(s)</w:t>
            </w:r>
          </w:p>
        </w:tc>
      </w:tr>
      <w:tr w:rsidR="009C244E" w:rsidRPr="00F614F6" w14:paraId="4382C341" w14:textId="77777777" w:rsidTr="00F14099">
        <w:tc>
          <w:tcPr>
            <w:tcW w:w="2841" w:type="dxa"/>
          </w:tcPr>
          <w:p w14:paraId="1A61AEA9" w14:textId="77777777" w:rsidR="009C244E" w:rsidRPr="004D575B" w:rsidRDefault="009C244E" w:rsidP="009C244E">
            <w:r w:rsidRPr="004D575B">
              <w:t>MR</w:t>
            </w:r>
          </w:p>
        </w:tc>
        <w:tc>
          <w:tcPr>
            <w:tcW w:w="5879" w:type="dxa"/>
          </w:tcPr>
          <w:p w14:paraId="30764005" w14:textId="77777777" w:rsidR="009C244E" w:rsidRPr="004D575B" w:rsidRDefault="009C244E" w:rsidP="009C244E">
            <w:pPr>
              <w:rPr>
                <w:rFonts w:eastAsia="TimesNewRoman"/>
              </w:rPr>
            </w:pPr>
            <w:r w:rsidRPr="004D575B">
              <w:rPr>
                <w:rFonts w:eastAsia="TimesNewRoman"/>
              </w:rPr>
              <w:t>Modified-release</w:t>
            </w:r>
          </w:p>
        </w:tc>
      </w:tr>
      <w:tr w:rsidR="009C244E" w:rsidRPr="00F614F6" w14:paraId="4D1D0F41" w14:textId="77777777" w:rsidTr="00F14099">
        <w:tc>
          <w:tcPr>
            <w:tcW w:w="2841" w:type="dxa"/>
          </w:tcPr>
          <w:p w14:paraId="0A895A60" w14:textId="77777777" w:rsidR="009C244E" w:rsidRPr="004D575B" w:rsidRDefault="009C244E" w:rsidP="009C244E">
            <w:r w:rsidRPr="004D575B">
              <w:t>MRI</w:t>
            </w:r>
          </w:p>
        </w:tc>
        <w:tc>
          <w:tcPr>
            <w:tcW w:w="5879" w:type="dxa"/>
          </w:tcPr>
          <w:p w14:paraId="525CCC79" w14:textId="77777777" w:rsidR="009C244E" w:rsidRPr="004D575B" w:rsidRDefault="009C244E" w:rsidP="009C244E">
            <w:r w:rsidRPr="004D575B">
              <w:rPr>
                <w:rFonts w:eastAsia="TimesNewRoman"/>
              </w:rPr>
              <w:t>Magnetic Resonance Imaging</w:t>
            </w:r>
          </w:p>
        </w:tc>
      </w:tr>
      <w:tr w:rsidR="009C244E" w:rsidRPr="00F614F6" w14:paraId="477E5B8B" w14:textId="4A687451" w:rsidTr="00F14099">
        <w:tc>
          <w:tcPr>
            <w:tcW w:w="2841" w:type="dxa"/>
          </w:tcPr>
          <w:p w14:paraId="6EDF0D86" w14:textId="426BD942" w:rsidR="009C244E" w:rsidRPr="004D575B" w:rsidRDefault="009C244E" w:rsidP="009C244E">
            <w:r w:rsidRPr="004D575B">
              <w:t>NONMEM</w:t>
            </w:r>
          </w:p>
        </w:tc>
        <w:tc>
          <w:tcPr>
            <w:tcW w:w="5879" w:type="dxa"/>
          </w:tcPr>
          <w:p w14:paraId="7E16B082" w14:textId="1AF8808D" w:rsidR="009C244E" w:rsidRPr="004D575B" w:rsidRDefault="009C244E" w:rsidP="009C244E">
            <w:pPr>
              <w:rPr>
                <w:rFonts w:eastAsia="TimesNewRoman"/>
              </w:rPr>
            </w:pPr>
            <w:r>
              <w:t>N</w:t>
            </w:r>
            <w:r w:rsidRPr="004D575B">
              <w:t>on-linear mixed effects modelling</w:t>
            </w:r>
          </w:p>
        </w:tc>
      </w:tr>
      <w:tr w:rsidR="009C244E" w:rsidRPr="00F614F6" w14:paraId="665143A7" w14:textId="77777777" w:rsidTr="00F14099">
        <w:tc>
          <w:tcPr>
            <w:tcW w:w="2841" w:type="dxa"/>
          </w:tcPr>
          <w:p w14:paraId="558AC820" w14:textId="77777777" w:rsidR="009C244E" w:rsidRPr="004D575B" w:rsidRDefault="009C244E" w:rsidP="009C244E">
            <w:r w:rsidRPr="004D575B">
              <w:t>NTX-1</w:t>
            </w:r>
          </w:p>
        </w:tc>
        <w:tc>
          <w:tcPr>
            <w:tcW w:w="5879" w:type="dxa"/>
          </w:tcPr>
          <w:p w14:paraId="482C4B4A" w14:textId="77777777" w:rsidR="009C244E" w:rsidRPr="004D575B" w:rsidRDefault="009C244E" w:rsidP="009C244E">
            <w:pPr>
              <w:rPr>
                <w:rFonts w:eastAsia="TimesNewRoman"/>
              </w:rPr>
            </w:pPr>
            <w:r w:rsidRPr="004D575B">
              <w:rPr>
                <w:rFonts w:eastAsia="TimesNewRoman"/>
              </w:rPr>
              <w:t>N-terminal telopeptide-1</w:t>
            </w:r>
          </w:p>
        </w:tc>
      </w:tr>
      <w:tr w:rsidR="009C244E" w:rsidRPr="00F614F6" w14:paraId="31D20827" w14:textId="77777777" w:rsidTr="00F14099">
        <w:tc>
          <w:tcPr>
            <w:tcW w:w="2841" w:type="dxa"/>
          </w:tcPr>
          <w:p w14:paraId="569D3B7A" w14:textId="77777777" w:rsidR="009C244E" w:rsidRPr="004D575B" w:rsidRDefault="009C244E" w:rsidP="009C244E">
            <w:r w:rsidRPr="004D575B">
              <w:t>OAD</w:t>
            </w:r>
          </w:p>
        </w:tc>
        <w:tc>
          <w:tcPr>
            <w:tcW w:w="5879" w:type="dxa"/>
          </w:tcPr>
          <w:p w14:paraId="68FFA10B" w14:textId="77777777" w:rsidR="009C244E" w:rsidRPr="004D575B" w:rsidRDefault="009C244E" w:rsidP="009C244E">
            <w:r w:rsidRPr="004D575B">
              <w:rPr>
                <w:rFonts w:eastAsia="TimesNewRoman"/>
              </w:rPr>
              <w:t>Oral anti-diabetic</w:t>
            </w:r>
          </w:p>
        </w:tc>
      </w:tr>
      <w:tr w:rsidR="009C244E" w:rsidRPr="00F614F6" w14:paraId="3B33AA66" w14:textId="3A79715E" w:rsidTr="00F14099">
        <w:tc>
          <w:tcPr>
            <w:tcW w:w="2841" w:type="dxa"/>
          </w:tcPr>
          <w:p w14:paraId="618F7BE2" w14:textId="262BA835" w:rsidR="009C244E" w:rsidRPr="004D575B" w:rsidRDefault="009C244E" w:rsidP="009C244E">
            <w:r w:rsidRPr="004D575B">
              <w:t>OC</w:t>
            </w:r>
          </w:p>
        </w:tc>
        <w:tc>
          <w:tcPr>
            <w:tcW w:w="5879" w:type="dxa"/>
          </w:tcPr>
          <w:p w14:paraId="58908463" w14:textId="11C48044" w:rsidR="009C244E" w:rsidRPr="004D575B" w:rsidRDefault="009C244E" w:rsidP="009C244E">
            <w:r w:rsidRPr="004D575B">
              <w:rPr>
                <w:rFonts w:eastAsia="TimesNewRoman"/>
              </w:rPr>
              <w:t>Osteocalcin</w:t>
            </w:r>
          </w:p>
        </w:tc>
      </w:tr>
      <w:tr w:rsidR="009C244E" w:rsidRPr="00F614F6" w14:paraId="232DF078" w14:textId="77777777" w:rsidTr="00F14099">
        <w:tc>
          <w:tcPr>
            <w:tcW w:w="2841" w:type="dxa"/>
          </w:tcPr>
          <w:p w14:paraId="481CDC20" w14:textId="77777777" w:rsidR="009C244E" w:rsidRPr="004D575B" w:rsidRDefault="009C244E" w:rsidP="009C244E">
            <w:r w:rsidRPr="004D575B">
              <w:t>P1NP</w:t>
            </w:r>
          </w:p>
        </w:tc>
        <w:tc>
          <w:tcPr>
            <w:tcW w:w="5879" w:type="dxa"/>
          </w:tcPr>
          <w:p w14:paraId="1635A5FF" w14:textId="77777777" w:rsidR="009C244E" w:rsidRPr="004D575B" w:rsidRDefault="009C244E" w:rsidP="009C244E">
            <w:r w:rsidRPr="004D575B">
              <w:rPr>
                <w:rFonts w:eastAsia="TimesNewRoman"/>
              </w:rPr>
              <w:t>Procollagen type 1 amino-terminal propeptide</w:t>
            </w:r>
          </w:p>
        </w:tc>
      </w:tr>
      <w:tr w:rsidR="009C244E" w:rsidRPr="00F614F6" w14:paraId="7A1D74F4" w14:textId="77777777" w:rsidTr="00F14099">
        <w:tc>
          <w:tcPr>
            <w:tcW w:w="2841" w:type="dxa"/>
          </w:tcPr>
          <w:p w14:paraId="346EF45A" w14:textId="77777777" w:rsidR="009C244E" w:rsidRPr="004D575B" w:rsidRDefault="009C244E" w:rsidP="009C244E">
            <w:r w:rsidRPr="004D575B">
              <w:lastRenderedPageBreak/>
              <w:t>PD</w:t>
            </w:r>
          </w:p>
        </w:tc>
        <w:tc>
          <w:tcPr>
            <w:tcW w:w="5879" w:type="dxa"/>
          </w:tcPr>
          <w:p w14:paraId="1FA0E27C" w14:textId="77777777" w:rsidR="009C244E" w:rsidRPr="004D575B" w:rsidRDefault="009C244E" w:rsidP="009C244E">
            <w:r w:rsidRPr="004D575B">
              <w:t>Pharmacodynamics</w:t>
            </w:r>
          </w:p>
        </w:tc>
      </w:tr>
      <w:tr w:rsidR="009C244E" w:rsidRPr="004D575B" w14:paraId="557FEA19" w14:textId="77777777" w:rsidTr="00F14099">
        <w:tc>
          <w:tcPr>
            <w:tcW w:w="2841" w:type="dxa"/>
          </w:tcPr>
          <w:p w14:paraId="571CA089" w14:textId="6E2BA79E" w:rsidR="009C244E" w:rsidRPr="004D575B" w:rsidRDefault="009C244E" w:rsidP="009C244E">
            <w:pPr>
              <w:rPr>
                <w:rFonts w:eastAsiaTheme="minorHAnsi"/>
              </w:rPr>
            </w:pPr>
            <w:r w:rsidRPr="004D575B">
              <w:rPr>
                <w:rFonts w:eastAsiaTheme="minorHAnsi"/>
              </w:rPr>
              <w:t>PDLC</w:t>
            </w:r>
          </w:p>
        </w:tc>
        <w:tc>
          <w:tcPr>
            <w:tcW w:w="5879" w:type="dxa"/>
          </w:tcPr>
          <w:p w14:paraId="00479731" w14:textId="77777777" w:rsidR="009C244E" w:rsidRPr="004D575B" w:rsidRDefault="009C244E" w:rsidP="009C244E">
            <w:pPr>
              <w:rPr>
                <w:rFonts w:eastAsiaTheme="minorHAnsi"/>
              </w:rPr>
            </w:pPr>
            <w:r w:rsidRPr="004D575B">
              <w:rPr>
                <w:rFonts w:eastAsiaTheme="minorHAnsi"/>
              </w:rPr>
              <w:t>Pre-defined limit of change</w:t>
            </w:r>
          </w:p>
        </w:tc>
      </w:tr>
      <w:tr w:rsidR="009C244E" w:rsidRPr="004D575B" w14:paraId="38751480" w14:textId="77777777" w:rsidTr="00F14099">
        <w:tc>
          <w:tcPr>
            <w:tcW w:w="2841" w:type="dxa"/>
          </w:tcPr>
          <w:p w14:paraId="27449CDF" w14:textId="1BCA4CEA" w:rsidR="009C244E" w:rsidRPr="004D575B" w:rsidRDefault="009C244E" w:rsidP="009C244E">
            <w:pPr>
              <w:rPr>
                <w:rFonts w:eastAsiaTheme="minorHAnsi"/>
              </w:rPr>
            </w:pPr>
            <w:r w:rsidRPr="004D575B">
              <w:rPr>
                <w:rFonts w:eastAsiaTheme="minorHAnsi"/>
              </w:rPr>
              <w:t>P-gp</w:t>
            </w:r>
          </w:p>
        </w:tc>
        <w:tc>
          <w:tcPr>
            <w:tcW w:w="5879" w:type="dxa"/>
          </w:tcPr>
          <w:p w14:paraId="0E42EC6F" w14:textId="77777777" w:rsidR="009C244E" w:rsidRPr="004D575B" w:rsidRDefault="009C244E" w:rsidP="009C244E">
            <w:pPr>
              <w:rPr>
                <w:rFonts w:eastAsiaTheme="minorHAnsi"/>
              </w:rPr>
            </w:pPr>
            <w:r w:rsidRPr="004D575B">
              <w:rPr>
                <w:rFonts w:eastAsiaTheme="minorHAnsi"/>
              </w:rPr>
              <w:t>P-glycoprotein</w:t>
            </w:r>
          </w:p>
        </w:tc>
      </w:tr>
      <w:tr w:rsidR="009C244E" w:rsidRPr="00F614F6" w14:paraId="251103FB" w14:textId="77777777" w:rsidTr="00F14099">
        <w:tc>
          <w:tcPr>
            <w:tcW w:w="2841" w:type="dxa"/>
          </w:tcPr>
          <w:p w14:paraId="7EA0327C" w14:textId="77777777" w:rsidR="009C244E" w:rsidRPr="004D575B" w:rsidRDefault="009C244E" w:rsidP="009C244E">
            <w:r w:rsidRPr="004D575B">
              <w:t>PK</w:t>
            </w:r>
          </w:p>
        </w:tc>
        <w:tc>
          <w:tcPr>
            <w:tcW w:w="5879" w:type="dxa"/>
          </w:tcPr>
          <w:p w14:paraId="62BDC3E5" w14:textId="77777777" w:rsidR="009C244E" w:rsidRPr="004D575B" w:rsidRDefault="009C244E" w:rsidP="009C244E">
            <w:r w:rsidRPr="004D575B">
              <w:rPr>
                <w:rFonts w:eastAsia="TimesNewRoman"/>
              </w:rPr>
              <w:t>Pharmacokinetic</w:t>
            </w:r>
          </w:p>
        </w:tc>
      </w:tr>
      <w:tr w:rsidR="009C244E" w:rsidRPr="00F614F6" w14:paraId="3B70AB07" w14:textId="77777777" w:rsidTr="00F14099">
        <w:tc>
          <w:tcPr>
            <w:tcW w:w="2841" w:type="dxa"/>
          </w:tcPr>
          <w:p w14:paraId="18D27B38" w14:textId="77777777" w:rsidR="009C244E" w:rsidRPr="004D575B" w:rsidRDefault="009C244E" w:rsidP="009C244E">
            <w:r w:rsidRPr="004D575B">
              <w:t>PO</w:t>
            </w:r>
          </w:p>
        </w:tc>
        <w:tc>
          <w:tcPr>
            <w:tcW w:w="5879" w:type="dxa"/>
          </w:tcPr>
          <w:p w14:paraId="5DCDCE50" w14:textId="77777777" w:rsidR="009C244E" w:rsidRPr="004D575B" w:rsidRDefault="009C244E" w:rsidP="009C244E">
            <w:r w:rsidRPr="004D575B">
              <w:t>Per os</w:t>
            </w:r>
            <w:r w:rsidR="003209C3">
              <w:t xml:space="preserve"> (oral)</w:t>
            </w:r>
          </w:p>
        </w:tc>
      </w:tr>
      <w:tr w:rsidR="009C244E" w:rsidRPr="00F614F6" w14:paraId="0A663F0C" w14:textId="77777777" w:rsidTr="00F14099">
        <w:tc>
          <w:tcPr>
            <w:tcW w:w="2841" w:type="dxa"/>
          </w:tcPr>
          <w:p w14:paraId="6C5E0ED2" w14:textId="77777777" w:rsidR="009C244E" w:rsidRPr="004D575B" w:rsidRDefault="009C244E" w:rsidP="009C244E">
            <w:r w:rsidRPr="004D575B">
              <w:t>popPK</w:t>
            </w:r>
          </w:p>
        </w:tc>
        <w:tc>
          <w:tcPr>
            <w:tcW w:w="5879" w:type="dxa"/>
          </w:tcPr>
          <w:p w14:paraId="6F6B81FA" w14:textId="77777777" w:rsidR="009C244E" w:rsidRPr="004D575B" w:rsidRDefault="009C244E" w:rsidP="009C244E">
            <w:r w:rsidRPr="004D575B">
              <w:t>Population pharmacokinetic</w:t>
            </w:r>
          </w:p>
        </w:tc>
      </w:tr>
      <w:tr w:rsidR="009C244E" w:rsidRPr="00F614F6" w14:paraId="579240D5" w14:textId="77777777" w:rsidTr="00F14099">
        <w:tc>
          <w:tcPr>
            <w:tcW w:w="2841" w:type="dxa"/>
          </w:tcPr>
          <w:p w14:paraId="0F8D6024" w14:textId="77777777" w:rsidR="009C244E" w:rsidRPr="004D575B" w:rsidRDefault="009C244E" w:rsidP="009C244E">
            <w:r w:rsidRPr="004D575B">
              <w:t>PPAS</w:t>
            </w:r>
          </w:p>
        </w:tc>
        <w:tc>
          <w:tcPr>
            <w:tcW w:w="5879" w:type="dxa"/>
          </w:tcPr>
          <w:p w14:paraId="3DAE0212" w14:textId="77777777" w:rsidR="009C244E" w:rsidRPr="004D575B" w:rsidRDefault="009C244E" w:rsidP="009C244E">
            <w:r w:rsidRPr="004D575B">
              <w:t>Per protocol analysis set</w:t>
            </w:r>
          </w:p>
        </w:tc>
      </w:tr>
      <w:tr w:rsidR="009C244E" w:rsidRPr="004D575B" w14:paraId="6CE8347D" w14:textId="77777777" w:rsidTr="00F14099">
        <w:tc>
          <w:tcPr>
            <w:tcW w:w="2841" w:type="dxa"/>
          </w:tcPr>
          <w:p w14:paraId="20CE127C" w14:textId="3AF571DE" w:rsidR="009C244E" w:rsidRPr="004D575B" w:rsidRDefault="009C244E" w:rsidP="009C244E">
            <w:pPr>
              <w:rPr>
                <w:rFonts w:eastAsiaTheme="minorHAnsi"/>
              </w:rPr>
            </w:pPr>
            <w:r w:rsidRPr="004D575B">
              <w:rPr>
                <w:rFonts w:eastAsiaTheme="minorHAnsi"/>
              </w:rPr>
              <w:t>PPG</w:t>
            </w:r>
          </w:p>
        </w:tc>
        <w:tc>
          <w:tcPr>
            <w:tcW w:w="5879" w:type="dxa"/>
          </w:tcPr>
          <w:p w14:paraId="1CA7D021" w14:textId="77777777" w:rsidR="009C244E" w:rsidRPr="004D575B" w:rsidRDefault="009C244E" w:rsidP="009C244E">
            <w:pPr>
              <w:rPr>
                <w:rFonts w:eastAsiaTheme="minorHAnsi"/>
              </w:rPr>
            </w:pPr>
            <w:r w:rsidRPr="004D575B">
              <w:rPr>
                <w:rFonts w:eastAsiaTheme="minorHAnsi"/>
              </w:rPr>
              <w:t>Post-prandial glucose</w:t>
            </w:r>
          </w:p>
        </w:tc>
      </w:tr>
      <w:tr w:rsidR="009C244E" w:rsidRPr="00F614F6" w14:paraId="5AB30C28" w14:textId="77777777" w:rsidTr="00F14099">
        <w:tc>
          <w:tcPr>
            <w:tcW w:w="2841" w:type="dxa"/>
          </w:tcPr>
          <w:p w14:paraId="23328996" w14:textId="77777777" w:rsidR="009C244E" w:rsidRPr="004D575B" w:rsidRDefault="009C244E" w:rsidP="009C244E">
            <w:pPr>
              <w:rPr>
                <w:rFonts w:eastAsia="TimesNewRoman"/>
              </w:rPr>
            </w:pPr>
            <w:r w:rsidRPr="004D575B">
              <w:rPr>
                <w:rFonts w:eastAsia="TimesNewRoman"/>
              </w:rPr>
              <w:t>Q/F</w:t>
            </w:r>
          </w:p>
        </w:tc>
        <w:tc>
          <w:tcPr>
            <w:tcW w:w="5879" w:type="dxa"/>
          </w:tcPr>
          <w:p w14:paraId="64D501CD" w14:textId="77777777" w:rsidR="009C244E" w:rsidRPr="004D575B" w:rsidRDefault="009C244E" w:rsidP="009C244E">
            <w:pPr>
              <w:rPr>
                <w:rFonts w:eastAsia="TimesNewRoman"/>
              </w:rPr>
            </w:pPr>
            <w:r w:rsidRPr="004D575B">
              <w:t>Apparent inter-compartmental clearance</w:t>
            </w:r>
          </w:p>
        </w:tc>
      </w:tr>
      <w:tr w:rsidR="009C244E" w:rsidRPr="00F614F6" w14:paraId="5B57063A" w14:textId="77777777" w:rsidTr="00F14099">
        <w:tc>
          <w:tcPr>
            <w:tcW w:w="2841" w:type="dxa"/>
          </w:tcPr>
          <w:p w14:paraId="21E64FF2" w14:textId="77777777" w:rsidR="009C244E" w:rsidRPr="004D575B" w:rsidRDefault="009C244E" w:rsidP="009C244E">
            <w:r w:rsidRPr="004D575B">
              <w:t>QD</w:t>
            </w:r>
          </w:p>
        </w:tc>
        <w:tc>
          <w:tcPr>
            <w:tcW w:w="5879" w:type="dxa"/>
          </w:tcPr>
          <w:p w14:paraId="1B95C298" w14:textId="77777777" w:rsidR="009C244E" w:rsidRPr="004D575B" w:rsidRDefault="009C244E" w:rsidP="009C244E">
            <w:r w:rsidRPr="004D575B">
              <w:t>Once daily</w:t>
            </w:r>
          </w:p>
        </w:tc>
      </w:tr>
      <w:tr w:rsidR="009C244E" w:rsidRPr="004D575B" w14:paraId="18826287" w14:textId="77777777" w:rsidTr="00F14099">
        <w:tc>
          <w:tcPr>
            <w:tcW w:w="2841" w:type="dxa"/>
          </w:tcPr>
          <w:p w14:paraId="3496C413" w14:textId="751E28B6" w:rsidR="009C244E" w:rsidRPr="004D575B" w:rsidRDefault="009C244E" w:rsidP="009C244E">
            <w:pPr>
              <w:rPr>
                <w:rFonts w:eastAsiaTheme="minorHAnsi"/>
              </w:rPr>
            </w:pPr>
            <w:r w:rsidRPr="004D575B">
              <w:rPr>
                <w:rFonts w:eastAsiaTheme="minorHAnsi"/>
              </w:rPr>
              <w:t>QT</w:t>
            </w:r>
          </w:p>
        </w:tc>
        <w:tc>
          <w:tcPr>
            <w:tcW w:w="5879" w:type="dxa"/>
          </w:tcPr>
          <w:p w14:paraId="16ECE10D" w14:textId="77777777" w:rsidR="009C244E" w:rsidRPr="004D575B" w:rsidRDefault="009C244E" w:rsidP="009C244E">
            <w:pPr>
              <w:rPr>
                <w:rFonts w:eastAsiaTheme="minorHAnsi"/>
              </w:rPr>
            </w:pPr>
            <w:r w:rsidRPr="004D575B">
              <w:rPr>
                <w:rFonts w:eastAsiaTheme="minorHAnsi"/>
              </w:rPr>
              <w:t>Time from the start of the Q wave to the end of the T wave</w:t>
            </w:r>
          </w:p>
        </w:tc>
      </w:tr>
      <w:tr w:rsidR="009C244E" w:rsidRPr="00F614F6" w14:paraId="379331C6" w14:textId="77777777" w:rsidTr="00F14099">
        <w:tc>
          <w:tcPr>
            <w:tcW w:w="2841" w:type="dxa"/>
          </w:tcPr>
          <w:p w14:paraId="5D0A8E5D" w14:textId="77777777" w:rsidR="009C244E" w:rsidRPr="004D575B" w:rsidRDefault="009C244E" w:rsidP="009C244E">
            <w:pPr>
              <w:rPr>
                <w:rFonts w:eastAsia="TimesNewRoman"/>
              </w:rPr>
            </w:pPr>
            <w:r w:rsidRPr="004D575B">
              <w:rPr>
                <w:rFonts w:eastAsia="TimesNewRoman"/>
              </w:rPr>
              <w:t>QTc</w:t>
            </w:r>
          </w:p>
        </w:tc>
        <w:tc>
          <w:tcPr>
            <w:tcW w:w="5879" w:type="dxa"/>
          </w:tcPr>
          <w:p w14:paraId="79045DE6" w14:textId="77777777" w:rsidR="009C244E" w:rsidRPr="004D575B" w:rsidRDefault="009C244E" w:rsidP="009C244E">
            <w:pPr>
              <w:rPr>
                <w:rFonts w:eastAsia="TimesNewRoman"/>
              </w:rPr>
            </w:pPr>
            <w:r w:rsidRPr="004D575B">
              <w:rPr>
                <w:rFonts w:eastAsia="TimesNewRoman"/>
              </w:rPr>
              <w:t>QT interval corrected for heart rate</w:t>
            </w:r>
          </w:p>
        </w:tc>
      </w:tr>
      <w:tr w:rsidR="009C244E" w:rsidRPr="00F614F6" w14:paraId="4932D0BA" w14:textId="2B9679A6" w:rsidTr="00F14099">
        <w:tc>
          <w:tcPr>
            <w:tcW w:w="2841" w:type="dxa"/>
          </w:tcPr>
          <w:p w14:paraId="24E93E17" w14:textId="30E17B20" w:rsidR="009C244E" w:rsidRPr="004D575B" w:rsidRDefault="009C244E" w:rsidP="009C244E">
            <w:pPr>
              <w:rPr>
                <w:rFonts w:eastAsia="TimesNewRoman"/>
              </w:rPr>
            </w:pPr>
            <w:r w:rsidRPr="004D575B">
              <w:rPr>
                <w:rFonts w:eastAsia="TimesNewRoman"/>
              </w:rPr>
              <w:t>RAAS</w:t>
            </w:r>
          </w:p>
        </w:tc>
        <w:tc>
          <w:tcPr>
            <w:tcW w:w="5879" w:type="dxa"/>
          </w:tcPr>
          <w:p w14:paraId="22FFC4EF" w14:textId="553D4BEC" w:rsidR="009C244E" w:rsidRPr="004D575B" w:rsidRDefault="009C244E" w:rsidP="009C244E">
            <w:pPr>
              <w:rPr>
                <w:rFonts w:eastAsia="TimesNewRoman"/>
              </w:rPr>
            </w:pPr>
            <w:r w:rsidRPr="004D575B">
              <w:rPr>
                <w:rFonts w:eastAsia="TimesNewRoman"/>
              </w:rPr>
              <w:t>Renin-angiotensin-aldosterone system</w:t>
            </w:r>
          </w:p>
        </w:tc>
      </w:tr>
      <w:tr w:rsidR="009C244E" w:rsidRPr="00F614F6" w14:paraId="1ACC1F35" w14:textId="35E1F650" w:rsidTr="00F14099">
        <w:tc>
          <w:tcPr>
            <w:tcW w:w="2841" w:type="dxa"/>
          </w:tcPr>
          <w:p w14:paraId="3D7E497C" w14:textId="3382BFD7" w:rsidR="009C244E" w:rsidRPr="004D575B" w:rsidRDefault="009C244E" w:rsidP="009C244E">
            <w:r w:rsidRPr="004D575B">
              <w:rPr>
                <w:rFonts w:eastAsia="TimesNewRoman"/>
              </w:rPr>
              <w:t>Rac</w:t>
            </w:r>
          </w:p>
        </w:tc>
        <w:tc>
          <w:tcPr>
            <w:tcW w:w="5879" w:type="dxa"/>
          </w:tcPr>
          <w:p w14:paraId="30D5F2B0" w14:textId="228DD2F0" w:rsidR="009C244E" w:rsidRPr="004D575B" w:rsidRDefault="009C244E" w:rsidP="009C244E">
            <w:r w:rsidRPr="004D575B">
              <w:rPr>
                <w:rFonts w:eastAsia="TimesNewRoman"/>
              </w:rPr>
              <w:t>Observed accumulation ratio</w:t>
            </w:r>
          </w:p>
        </w:tc>
      </w:tr>
      <w:tr w:rsidR="009C244E" w:rsidRPr="00F614F6" w14:paraId="5FF34A1E" w14:textId="77777777" w:rsidTr="00F14099">
        <w:tc>
          <w:tcPr>
            <w:tcW w:w="2841" w:type="dxa"/>
          </w:tcPr>
          <w:p w14:paraId="23D602DB" w14:textId="77777777" w:rsidR="009C244E" w:rsidRPr="004D575B" w:rsidRDefault="009C244E" w:rsidP="009C244E">
            <w:r w:rsidRPr="004D575B">
              <w:t>RNA</w:t>
            </w:r>
          </w:p>
        </w:tc>
        <w:tc>
          <w:tcPr>
            <w:tcW w:w="5879" w:type="dxa"/>
          </w:tcPr>
          <w:p w14:paraId="643853CA" w14:textId="77777777" w:rsidR="009C244E" w:rsidRPr="004D575B" w:rsidRDefault="009C244E" w:rsidP="009C244E">
            <w:r w:rsidRPr="004D575B">
              <w:rPr>
                <w:rFonts w:eastAsia="TimesNewRoman"/>
              </w:rPr>
              <w:t>Ribonucleic acid</w:t>
            </w:r>
          </w:p>
        </w:tc>
      </w:tr>
      <w:tr w:rsidR="009C244E" w:rsidRPr="004D575B" w14:paraId="7D456D41" w14:textId="77777777" w:rsidTr="00F14099">
        <w:tc>
          <w:tcPr>
            <w:tcW w:w="2841" w:type="dxa"/>
          </w:tcPr>
          <w:p w14:paraId="136F43A8" w14:textId="210CD0DF" w:rsidR="009C244E" w:rsidRPr="004D575B" w:rsidRDefault="009C244E" w:rsidP="009C244E">
            <w:pPr>
              <w:rPr>
                <w:rFonts w:eastAsiaTheme="minorHAnsi"/>
              </w:rPr>
            </w:pPr>
            <w:r w:rsidRPr="004D575B">
              <w:rPr>
                <w:rFonts w:eastAsiaTheme="minorHAnsi"/>
              </w:rPr>
              <w:t>RTG</w:t>
            </w:r>
          </w:p>
        </w:tc>
        <w:tc>
          <w:tcPr>
            <w:tcW w:w="5879" w:type="dxa"/>
          </w:tcPr>
          <w:p w14:paraId="2E8346F2" w14:textId="77777777" w:rsidR="009C244E" w:rsidRPr="004D575B" w:rsidRDefault="009C244E" w:rsidP="009C244E">
            <w:pPr>
              <w:rPr>
                <w:rFonts w:eastAsiaTheme="minorHAnsi"/>
              </w:rPr>
            </w:pPr>
            <w:r w:rsidRPr="004D575B">
              <w:rPr>
                <w:rFonts w:eastAsiaTheme="minorHAnsi"/>
              </w:rPr>
              <w:t>Renal threshold for glucose</w:t>
            </w:r>
          </w:p>
        </w:tc>
      </w:tr>
      <w:tr w:rsidR="009C244E" w:rsidRPr="00F614F6" w14:paraId="1B7A1BCB" w14:textId="77777777" w:rsidTr="00F14099">
        <w:tc>
          <w:tcPr>
            <w:tcW w:w="2841" w:type="dxa"/>
          </w:tcPr>
          <w:p w14:paraId="6B7D516B" w14:textId="77777777" w:rsidR="009C244E" w:rsidRPr="004D575B" w:rsidRDefault="009C244E" w:rsidP="009C244E">
            <w:r w:rsidRPr="004D575B">
              <w:t>SA</w:t>
            </w:r>
          </w:p>
        </w:tc>
        <w:tc>
          <w:tcPr>
            <w:tcW w:w="5879" w:type="dxa"/>
          </w:tcPr>
          <w:p w14:paraId="41A96AFC" w14:textId="77777777" w:rsidR="009C244E" w:rsidRPr="004D575B" w:rsidRDefault="009C244E" w:rsidP="009C244E">
            <w:r w:rsidRPr="004D575B">
              <w:rPr>
                <w:rFonts w:eastAsia="TimesNewRoman"/>
                <w:color w:val="000000"/>
              </w:rPr>
              <w:t>Specific activity</w:t>
            </w:r>
          </w:p>
        </w:tc>
      </w:tr>
      <w:tr w:rsidR="009C244E" w:rsidRPr="00F614F6" w14:paraId="2C5F26CD" w14:textId="77777777" w:rsidTr="00F14099">
        <w:tc>
          <w:tcPr>
            <w:tcW w:w="2841" w:type="dxa"/>
          </w:tcPr>
          <w:p w14:paraId="3688F0D8" w14:textId="77777777" w:rsidR="009C244E" w:rsidRPr="004D575B" w:rsidRDefault="009C244E" w:rsidP="009C244E">
            <w:r w:rsidRPr="004D575B">
              <w:t>SAE</w:t>
            </w:r>
          </w:p>
        </w:tc>
        <w:tc>
          <w:tcPr>
            <w:tcW w:w="5879" w:type="dxa"/>
          </w:tcPr>
          <w:p w14:paraId="3E8C6DDA" w14:textId="77777777" w:rsidR="009C244E" w:rsidRPr="004D575B" w:rsidRDefault="009C244E" w:rsidP="009C244E">
            <w:r w:rsidRPr="004D575B">
              <w:t>Serious adverse event</w:t>
            </w:r>
          </w:p>
        </w:tc>
      </w:tr>
      <w:tr w:rsidR="009C244E" w:rsidRPr="00F614F6" w14:paraId="32CB8180" w14:textId="77777777" w:rsidTr="00F14099">
        <w:tc>
          <w:tcPr>
            <w:tcW w:w="2841" w:type="dxa"/>
          </w:tcPr>
          <w:p w14:paraId="596061CF" w14:textId="77777777" w:rsidR="009C244E" w:rsidRPr="004D575B" w:rsidRDefault="009C244E" w:rsidP="009C244E">
            <w:r w:rsidRPr="004D575B">
              <w:t>SBP</w:t>
            </w:r>
          </w:p>
        </w:tc>
        <w:tc>
          <w:tcPr>
            <w:tcW w:w="5879" w:type="dxa"/>
          </w:tcPr>
          <w:p w14:paraId="61952C25" w14:textId="77777777" w:rsidR="009C244E" w:rsidRPr="004D575B" w:rsidRDefault="009C244E" w:rsidP="009C244E">
            <w:r w:rsidRPr="004D575B">
              <w:t>Systolic blood pressure</w:t>
            </w:r>
          </w:p>
        </w:tc>
      </w:tr>
      <w:tr w:rsidR="009C244E" w:rsidRPr="00F614F6" w14:paraId="50AD1932" w14:textId="77777777" w:rsidTr="00F14099">
        <w:tc>
          <w:tcPr>
            <w:tcW w:w="2841" w:type="dxa"/>
          </w:tcPr>
          <w:p w14:paraId="4433E138" w14:textId="77777777" w:rsidR="009C244E" w:rsidRPr="004D575B" w:rsidRDefault="009C244E" w:rsidP="009C244E">
            <w:r w:rsidRPr="004D575B">
              <w:t>SD</w:t>
            </w:r>
          </w:p>
        </w:tc>
        <w:tc>
          <w:tcPr>
            <w:tcW w:w="5879" w:type="dxa"/>
          </w:tcPr>
          <w:p w14:paraId="1553F365" w14:textId="77777777" w:rsidR="009C244E" w:rsidRPr="004D575B" w:rsidRDefault="009C244E" w:rsidP="009C244E">
            <w:r w:rsidRPr="004D575B">
              <w:t>Standard deviation</w:t>
            </w:r>
          </w:p>
        </w:tc>
      </w:tr>
      <w:tr w:rsidR="009C244E" w:rsidRPr="004D575B" w14:paraId="07FCCAB2" w14:textId="77777777" w:rsidTr="00F14099">
        <w:tc>
          <w:tcPr>
            <w:tcW w:w="2841" w:type="dxa"/>
          </w:tcPr>
          <w:p w14:paraId="1BAC7326" w14:textId="77777777" w:rsidR="009C244E" w:rsidRPr="004D575B" w:rsidRDefault="009C244E" w:rsidP="009C244E">
            <w:pPr>
              <w:rPr>
                <w:rFonts w:eastAsiaTheme="minorHAnsi"/>
              </w:rPr>
            </w:pPr>
            <w:r w:rsidRPr="004D575B">
              <w:rPr>
                <w:rFonts w:eastAsiaTheme="minorHAnsi"/>
              </w:rPr>
              <w:t>SGLT1</w:t>
            </w:r>
          </w:p>
        </w:tc>
        <w:tc>
          <w:tcPr>
            <w:tcW w:w="5879" w:type="dxa"/>
          </w:tcPr>
          <w:p w14:paraId="41CA466E" w14:textId="77777777" w:rsidR="009C244E" w:rsidRPr="004D575B" w:rsidRDefault="009C244E" w:rsidP="009C244E">
            <w:pPr>
              <w:rPr>
                <w:rFonts w:eastAsiaTheme="minorHAnsi"/>
              </w:rPr>
            </w:pPr>
            <w:r w:rsidRPr="004D575B">
              <w:rPr>
                <w:rFonts w:eastAsiaTheme="minorHAnsi"/>
              </w:rPr>
              <w:t>Sodium-glucose co-transporter 1</w:t>
            </w:r>
          </w:p>
        </w:tc>
      </w:tr>
      <w:tr w:rsidR="009C244E" w:rsidRPr="00F614F6" w14:paraId="24790943" w14:textId="77777777" w:rsidTr="00F14099">
        <w:tc>
          <w:tcPr>
            <w:tcW w:w="2841" w:type="dxa"/>
          </w:tcPr>
          <w:p w14:paraId="07F8D540" w14:textId="77777777" w:rsidR="009C244E" w:rsidRPr="004D575B" w:rsidRDefault="009C244E" w:rsidP="009C244E">
            <w:r w:rsidRPr="004D575B">
              <w:rPr>
                <w:rFonts w:eastAsia="TimesNewRoman"/>
              </w:rPr>
              <w:t>SGLT2</w:t>
            </w:r>
          </w:p>
        </w:tc>
        <w:tc>
          <w:tcPr>
            <w:tcW w:w="5879" w:type="dxa"/>
          </w:tcPr>
          <w:p w14:paraId="7019AFC5" w14:textId="77777777" w:rsidR="009C244E" w:rsidRPr="004D575B" w:rsidRDefault="009C244E" w:rsidP="009C244E">
            <w:r w:rsidRPr="004D575B">
              <w:rPr>
                <w:rFonts w:eastAsia="TimesNewRoman"/>
              </w:rPr>
              <w:t>Sodium glucose co-transporter 2</w:t>
            </w:r>
          </w:p>
        </w:tc>
      </w:tr>
      <w:tr w:rsidR="009C244E" w:rsidRPr="00F614F6" w14:paraId="238EC57A" w14:textId="77777777" w:rsidTr="00F14099">
        <w:tc>
          <w:tcPr>
            <w:tcW w:w="2841" w:type="dxa"/>
          </w:tcPr>
          <w:p w14:paraId="52650A02" w14:textId="77777777" w:rsidR="009C244E" w:rsidRPr="004D575B" w:rsidRDefault="009C244E" w:rsidP="009C244E">
            <w:r w:rsidRPr="004D575B">
              <w:t>SOC</w:t>
            </w:r>
          </w:p>
        </w:tc>
        <w:tc>
          <w:tcPr>
            <w:tcW w:w="5879" w:type="dxa"/>
          </w:tcPr>
          <w:p w14:paraId="093DD130" w14:textId="451E6FE0" w:rsidR="009C244E" w:rsidRPr="004D575B" w:rsidRDefault="004875DA" w:rsidP="009C244E">
            <w:r w:rsidRPr="004D575B">
              <w:t xml:space="preserve">System </w:t>
            </w:r>
            <w:r>
              <w:t>O</w:t>
            </w:r>
            <w:r w:rsidRPr="004D575B">
              <w:t xml:space="preserve">rgan </w:t>
            </w:r>
            <w:r>
              <w:t>C</w:t>
            </w:r>
            <w:r w:rsidRPr="004D575B">
              <w:t>lass</w:t>
            </w:r>
          </w:p>
        </w:tc>
      </w:tr>
      <w:tr w:rsidR="006A0D66" w:rsidRPr="00F614F6" w14:paraId="74582382" w14:textId="77777777" w:rsidTr="00F14099">
        <w:tc>
          <w:tcPr>
            <w:tcW w:w="2841" w:type="dxa"/>
          </w:tcPr>
          <w:p w14:paraId="373AA526" w14:textId="77777777" w:rsidR="006A0D66" w:rsidRPr="004D575B" w:rsidRDefault="006A0D66" w:rsidP="009C244E">
            <w:r>
              <w:t>SU</w:t>
            </w:r>
          </w:p>
        </w:tc>
        <w:tc>
          <w:tcPr>
            <w:tcW w:w="5879" w:type="dxa"/>
          </w:tcPr>
          <w:p w14:paraId="5FDE75C0" w14:textId="77777777" w:rsidR="006A0D66" w:rsidRPr="004D575B" w:rsidRDefault="006A0D66" w:rsidP="009C244E">
            <w:r>
              <w:t>Sulfonylurea</w:t>
            </w:r>
          </w:p>
        </w:tc>
      </w:tr>
      <w:tr w:rsidR="009C244E" w:rsidRPr="00F614F6" w14:paraId="6673EE67" w14:textId="77777777" w:rsidTr="00F14099">
        <w:tc>
          <w:tcPr>
            <w:tcW w:w="2841" w:type="dxa"/>
          </w:tcPr>
          <w:p w14:paraId="74572D7B" w14:textId="03B5AD25" w:rsidR="009C244E" w:rsidRPr="004D575B" w:rsidRDefault="00E700A6" w:rsidP="009C244E">
            <w:r>
              <w:t>t</w:t>
            </w:r>
            <w:r w:rsidRPr="00E700A6">
              <w:rPr>
                <w:vertAlign w:val="subscript"/>
              </w:rPr>
              <w:t>1/2</w:t>
            </w:r>
          </w:p>
        </w:tc>
        <w:tc>
          <w:tcPr>
            <w:tcW w:w="5879" w:type="dxa"/>
          </w:tcPr>
          <w:p w14:paraId="4F78C03E" w14:textId="77777777" w:rsidR="009C244E" w:rsidRPr="004D575B" w:rsidRDefault="009C244E" w:rsidP="009C244E">
            <w:r w:rsidRPr="004D575B">
              <w:rPr>
                <w:rFonts w:eastAsia="TimesNewRoman"/>
              </w:rPr>
              <w:t>Terminal half-life</w:t>
            </w:r>
          </w:p>
        </w:tc>
      </w:tr>
      <w:tr w:rsidR="009C244E" w:rsidRPr="00F614F6" w14:paraId="2F725497" w14:textId="77777777" w:rsidTr="00F14099">
        <w:tc>
          <w:tcPr>
            <w:tcW w:w="2841" w:type="dxa"/>
          </w:tcPr>
          <w:p w14:paraId="088DC422" w14:textId="77777777" w:rsidR="009C244E" w:rsidRPr="004D575B" w:rsidRDefault="009C244E" w:rsidP="009C244E">
            <w:r w:rsidRPr="004D575B">
              <w:lastRenderedPageBreak/>
              <w:t>T2DM</w:t>
            </w:r>
          </w:p>
        </w:tc>
        <w:tc>
          <w:tcPr>
            <w:tcW w:w="5879" w:type="dxa"/>
          </w:tcPr>
          <w:p w14:paraId="41A9F03E" w14:textId="77777777" w:rsidR="009C244E" w:rsidRPr="004D575B" w:rsidRDefault="009C244E" w:rsidP="009C244E">
            <w:pPr>
              <w:rPr>
                <w:rFonts w:eastAsia="TimesNewRoman"/>
              </w:rPr>
            </w:pPr>
            <w:r w:rsidRPr="004D575B">
              <w:rPr>
                <w:rFonts w:eastAsia="TimesNewRoman"/>
              </w:rPr>
              <w:t>Type 2 diabetes mellitus</w:t>
            </w:r>
          </w:p>
        </w:tc>
      </w:tr>
      <w:tr w:rsidR="009C244E" w:rsidRPr="00F614F6" w14:paraId="03DD7A07" w14:textId="77777777" w:rsidTr="00F14099">
        <w:tc>
          <w:tcPr>
            <w:tcW w:w="2841" w:type="dxa"/>
          </w:tcPr>
          <w:p w14:paraId="5023E511" w14:textId="77777777" w:rsidR="009C244E" w:rsidRPr="004D575B" w:rsidRDefault="009C244E" w:rsidP="009C244E">
            <w:r w:rsidRPr="004D575B">
              <w:t>TEAE</w:t>
            </w:r>
          </w:p>
        </w:tc>
        <w:tc>
          <w:tcPr>
            <w:tcW w:w="5879" w:type="dxa"/>
          </w:tcPr>
          <w:p w14:paraId="0C17B092" w14:textId="77777777" w:rsidR="009C244E" w:rsidRPr="004D575B" w:rsidRDefault="009C244E" w:rsidP="009C244E">
            <w:r w:rsidRPr="004D575B">
              <w:rPr>
                <w:rFonts w:eastAsia="TimesNewRoman"/>
              </w:rPr>
              <w:t>Treatment-emergent adverse event</w:t>
            </w:r>
          </w:p>
        </w:tc>
      </w:tr>
      <w:tr w:rsidR="009C244E" w:rsidRPr="004D575B" w14:paraId="141815CB" w14:textId="77777777" w:rsidTr="00F14099">
        <w:tc>
          <w:tcPr>
            <w:tcW w:w="2841" w:type="dxa"/>
          </w:tcPr>
          <w:p w14:paraId="629F1FBB" w14:textId="052E1F50" w:rsidR="009C244E" w:rsidRPr="004D575B" w:rsidRDefault="009C244E" w:rsidP="009C244E">
            <w:pPr>
              <w:rPr>
                <w:rFonts w:eastAsiaTheme="minorHAnsi"/>
              </w:rPr>
            </w:pPr>
            <w:r w:rsidRPr="004D575B">
              <w:rPr>
                <w:rFonts w:eastAsiaTheme="minorHAnsi"/>
              </w:rPr>
              <w:t>TECOS</w:t>
            </w:r>
          </w:p>
        </w:tc>
        <w:tc>
          <w:tcPr>
            <w:tcW w:w="5879" w:type="dxa"/>
          </w:tcPr>
          <w:p w14:paraId="0D9123D3" w14:textId="77777777" w:rsidR="009C244E" w:rsidRPr="004D575B" w:rsidRDefault="009C244E" w:rsidP="009C244E">
            <w:pPr>
              <w:rPr>
                <w:rFonts w:eastAsiaTheme="minorHAnsi"/>
              </w:rPr>
            </w:pPr>
            <w:r w:rsidRPr="004D575B">
              <w:rPr>
                <w:rFonts w:eastAsiaTheme="minorHAnsi"/>
              </w:rPr>
              <w:t>Trial Evaluating Cardiovascular Outcomes with Sitagliptin</w:t>
            </w:r>
          </w:p>
        </w:tc>
      </w:tr>
      <w:tr w:rsidR="009C244E" w:rsidRPr="00F614F6" w14:paraId="415B2383" w14:textId="77777777" w:rsidTr="00F14099">
        <w:tc>
          <w:tcPr>
            <w:tcW w:w="2841" w:type="dxa"/>
          </w:tcPr>
          <w:p w14:paraId="7B08D2CD" w14:textId="77777777" w:rsidR="009C244E" w:rsidRPr="004D575B" w:rsidRDefault="00E700A6" w:rsidP="009C244E">
            <w:r>
              <w:t>T</w:t>
            </w:r>
            <w:r w:rsidRPr="00E700A6">
              <w:rPr>
                <w:vertAlign w:val="subscript"/>
              </w:rPr>
              <w:t>max</w:t>
            </w:r>
          </w:p>
        </w:tc>
        <w:tc>
          <w:tcPr>
            <w:tcW w:w="5879" w:type="dxa"/>
          </w:tcPr>
          <w:p w14:paraId="1C8BFC4F" w14:textId="77777777" w:rsidR="009C244E" w:rsidRPr="004D575B" w:rsidRDefault="009C244E" w:rsidP="00BE2BC8">
            <w:r w:rsidRPr="004D575B">
              <w:rPr>
                <w:rFonts w:eastAsia="TimesNewRoman"/>
              </w:rPr>
              <w:t xml:space="preserve">Time for </w:t>
            </w:r>
            <w:r w:rsidR="00BE2BC8">
              <w:rPr>
                <w:rFonts w:eastAsia="TimesNewRoman"/>
              </w:rPr>
              <w:t>C</w:t>
            </w:r>
            <w:r w:rsidRPr="00BE2BC8">
              <w:rPr>
                <w:rFonts w:eastAsia="TimesNewRoman"/>
                <w:vertAlign w:val="subscript"/>
              </w:rPr>
              <w:t>max</w:t>
            </w:r>
          </w:p>
        </w:tc>
      </w:tr>
      <w:tr w:rsidR="009C244E" w:rsidRPr="00F614F6" w14:paraId="746E9692" w14:textId="77777777" w:rsidTr="00F14099">
        <w:tc>
          <w:tcPr>
            <w:tcW w:w="2841" w:type="dxa"/>
          </w:tcPr>
          <w:p w14:paraId="606E36FF" w14:textId="77777777" w:rsidR="009C244E" w:rsidRPr="004D575B" w:rsidRDefault="009C244E" w:rsidP="009C244E">
            <w:r w:rsidRPr="004D575B">
              <w:t>UGE</w:t>
            </w:r>
          </w:p>
        </w:tc>
        <w:tc>
          <w:tcPr>
            <w:tcW w:w="5879" w:type="dxa"/>
          </w:tcPr>
          <w:p w14:paraId="7F40CFBE" w14:textId="77777777" w:rsidR="009C244E" w:rsidRPr="004D575B" w:rsidRDefault="009C244E" w:rsidP="009C244E">
            <w:r w:rsidRPr="004D575B">
              <w:rPr>
                <w:rFonts w:eastAsia="TimesNewRoman"/>
              </w:rPr>
              <w:t>Urinary glucose excretion</w:t>
            </w:r>
          </w:p>
        </w:tc>
      </w:tr>
      <w:tr w:rsidR="009C244E" w:rsidRPr="00F614F6" w14:paraId="058E3E02" w14:textId="77777777" w:rsidTr="00F14099">
        <w:tc>
          <w:tcPr>
            <w:tcW w:w="2841" w:type="dxa"/>
          </w:tcPr>
          <w:p w14:paraId="5193441E" w14:textId="5573EDFE" w:rsidR="009C244E" w:rsidRPr="004D575B" w:rsidRDefault="00731A2E" w:rsidP="009C244E">
            <w:pPr>
              <w:rPr>
                <w:rFonts w:eastAsia="TimesNewRoman"/>
              </w:rPr>
            </w:pPr>
            <w:r>
              <w:t>UGE</w:t>
            </w:r>
            <w:r w:rsidRPr="00731A2E">
              <w:rPr>
                <w:vertAlign w:val="subscript"/>
              </w:rPr>
              <w:t>0-24</w:t>
            </w:r>
          </w:p>
        </w:tc>
        <w:tc>
          <w:tcPr>
            <w:tcW w:w="5879" w:type="dxa"/>
          </w:tcPr>
          <w:p w14:paraId="19A90E17" w14:textId="77777777" w:rsidR="009C244E" w:rsidRPr="004D575B" w:rsidRDefault="009C244E" w:rsidP="009C244E">
            <w:r w:rsidRPr="004D575B">
              <w:t xml:space="preserve">Cumulative </w:t>
            </w:r>
            <w:r w:rsidRPr="004D575B">
              <w:rPr>
                <w:rFonts w:eastAsia="TimesNewRoman"/>
              </w:rPr>
              <w:t xml:space="preserve">urinary glucose excretion over 24 </w:t>
            </w:r>
            <w:r w:rsidR="0007636A">
              <w:rPr>
                <w:rFonts w:eastAsia="TimesNewRoman"/>
              </w:rPr>
              <w:t>h</w:t>
            </w:r>
          </w:p>
        </w:tc>
      </w:tr>
      <w:tr w:rsidR="009C244E" w:rsidRPr="004D575B" w14:paraId="3CE6E4A4" w14:textId="77777777" w:rsidTr="00F14099">
        <w:tc>
          <w:tcPr>
            <w:tcW w:w="2841" w:type="dxa"/>
          </w:tcPr>
          <w:p w14:paraId="3CED884D" w14:textId="5B7E1060" w:rsidR="009C244E" w:rsidRPr="004D575B" w:rsidRDefault="009C244E" w:rsidP="009C244E">
            <w:pPr>
              <w:rPr>
                <w:rFonts w:eastAsiaTheme="minorHAnsi"/>
              </w:rPr>
            </w:pPr>
            <w:r w:rsidRPr="004D575B">
              <w:rPr>
                <w:rFonts w:eastAsiaTheme="minorHAnsi"/>
              </w:rPr>
              <w:t>UGT</w:t>
            </w:r>
          </w:p>
        </w:tc>
        <w:tc>
          <w:tcPr>
            <w:tcW w:w="5879" w:type="dxa"/>
          </w:tcPr>
          <w:p w14:paraId="7F92C6F0" w14:textId="77777777" w:rsidR="009C244E" w:rsidRPr="004D575B" w:rsidRDefault="009C244E" w:rsidP="009C244E">
            <w:pPr>
              <w:rPr>
                <w:rFonts w:eastAsiaTheme="minorHAnsi"/>
              </w:rPr>
            </w:pPr>
            <w:r w:rsidRPr="004D575B">
              <w:rPr>
                <w:rFonts w:eastAsiaTheme="minorHAnsi"/>
              </w:rPr>
              <w:t>Uridine 5’-diphospho-glucuronosyltransferase</w:t>
            </w:r>
          </w:p>
        </w:tc>
      </w:tr>
      <w:tr w:rsidR="009C244E" w:rsidRPr="004D575B" w14:paraId="789D1E6A" w14:textId="77777777" w:rsidTr="00F14099">
        <w:tc>
          <w:tcPr>
            <w:tcW w:w="2841" w:type="dxa"/>
          </w:tcPr>
          <w:p w14:paraId="00DE405F" w14:textId="0E470A52" w:rsidR="009C244E" w:rsidRPr="004D575B" w:rsidRDefault="009C244E" w:rsidP="009C244E">
            <w:pPr>
              <w:rPr>
                <w:rFonts w:eastAsiaTheme="minorHAnsi"/>
              </w:rPr>
            </w:pPr>
            <w:r w:rsidRPr="004D575B">
              <w:rPr>
                <w:rFonts w:eastAsiaTheme="minorHAnsi"/>
              </w:rPr>
              <w:t>UK</w:t>
            </w:r>
          </w:p>
        </w:tc>
        <w:tc>
          <w:tcPr>
            <w:tcW w:w="5879" w:type="dxa"/>
          </w:tcPr>
          <w:p w14:paraId="6958395A" w14:textId="77777777" w:rsidR="009C244E" w:rsidRPr="004D575B" w:rsidRDefault="009C244E" w:rsidP="009C244E">
            <w:pPr>
              <w:rPr>
                <w:rFonts w:eastAsiaTheme="minorHAnsi"/>
              </w:rPr>
            </w:pPr>
            <w:r w:rsidRPr="004D575B">
              <w:rPr>
                <w:rFonts w:eastAsiaTheme="minorHAnsi"/>
              </w:rPr>
              <w:t>United Kingdom</w:t>
            </w:r>
          </w:p>
        </w:tc>
      </w:tr>
      <w:tr w:rsidR="009C244E" w:rsidRPr="004D575B" w14:paraId="77639983" w14:textId="77777777" w:rsidTr="00F14099">
        <w:tc>
          <w:tcPr>
            <w:tcW w:w="2841" w:type="dxa"/>
          </w:tcPr>
          <w:p w14:paraId="3EA4C351" w14:textId="56639E4A" w:rsidR="009C244E" w:rsidRPr="004D575B" w:rsidRDefault="009C244E" w:rsidP="009C244E">
            <w:pPr>
              <w:rPr>
                <w:rFonts w:eastAsiaTheme="minorHAnsi"/>
              </w:rPr>
            </w:pPr>
            <w:r w:rsidRPr="004D575B">
              <w:rPr>
                <w:rFonts w:eastAsiaTheme="minorHAnsi"/>
              </w:rPr>
              <w:t>ULN</w:t>
            </w:r>
          </w:p>
        </w:tc>
        <w:tc>
          <w:tcPr>
            <w:tcW w:w="5879" w:type="dxa"/>
          </w:tcPr>
          <w:p w14:paraId="51E5C92D" w14:textId="77777777" w:rsidR="009C244E" w:rsidRPr="004D575B" w:rsidRDefault="009C244E" w:rsidP="009C244E">
            <w:pPr>
              <w:rPr>
                <w:rFonts w:eastAsiaTheme="minorHAnsi"/>
              </w:rPr>
            </w:pPr>
            <w:r>
              <w:rPr>
                <w:rFonts w:eastAsiaTheme="minorHAnsi"/>
              </w:rPr>
              <w:t>U</w:t>
            </w:r>
            <w:r w:rsidRPr="004D575B">
              <w:rPr>
                <w:rFonts w:eastAsiaTheme="minorHAnsi"/>
              </w:rPr>
              <w:t>pper limit of normal</w:t>
            </w:r>
          </w:p>
        </w:tc>
      </w:tr>
      <w:tr w:rsidR="009C244E" w:rsidRPr="004D575B" w14:paraId="2AE45379" w14:textId="77777777" w:rsidTr="00F14099">
        <w:tc>
          <w:tcPr>
            <w:tcW w:w="2841" w:type="dxa"/>
          </w:tcPr>
          <w:p w14:paraId="43053272" w14:textId="77777777" w:rsidR="009C244E" w:rsidRPr="004D575B" w:rsidRDefault="009C244E" w:rsidP="009C244E">
            <w:pPr>
              <w:rPr>
                <w:rFonts w:eastAsiaTheme="minorHAnsi"/>
              </w:rPr>
            </w:pPr>
            <w:r w:rsidRPr="004D575B">
              <w:rPr>
                <w:rFonts w:eastAsiaTheme="minorHAnsi"/>
              </w:rPr>
              <w:t xml:space="preserve">US </w:t>
            </w:r>
          </w:p>
        </w:tc>
        <w:tc>
          <w:tcPr>
            <w:tcW w:w="5879" w:type="dxa"/>
          </w:tcPr>
          <w:p w14:paraId="396D22FF" w14:textId="77777777" w:rsidR="009C244E" w:rsidRPr="004D575B" w:rsidRDefault="009C244E" w:rsidP="009C244E">
            <w:pPr>
              <w:rPr>
                <w:rFonts w:eastAsiaTheme="minorHAnsi"/>
              </w:rPr>
            </w:pPr>
            <w:r w:rsidRPr="004D575B">
              <w:rPr>
                <w:rFonts w:eastAsiaTheme="minorHAnsi"/>
              </w:rPr>
              <w:t>United States</w:t>
            </w:r>
          </w:p>
        </w:tc>
      </w:tr>
      <w:tr w:rsidR="009C244E" w:rsidRPr="00F614F6" w14:paraId="25DC71BC" w14:textId="77777777" w:rsidTr="00F14099">
        <w:tc>
          <w:tcPr>
            <w:tcW w:w="2841" w:type="dxa"/>
          </w:tcPr>
          <w:p w14:paraId="146323B3" w14:textId="77777777" w:rsidR="009C244E" w:rsidRPr="004D575B" w:rsidRDefault="009C244E" w:rsidP="009C244E">
            <w:pPr>
              <w:rPr>
                <w:rFonts w:eastAsia="TimesNewRoman"/>
              </w:rPr>
            </w:pPr>
            <w:r w:rsidRPr="004D575B">
              <w:rPr>
                <w:rFonts w:eastAsia="TimesNewRoman"/>
              </w:rPr>
              <w:t>Vc/F</w:t>
            </w:r>
          </w:p>
        </w:tc>
        <w:tc>
          <w:tcPr>
            <w:tcW w:w="5879" w:type="dxa"/>
          </w:tcPr>
          <w:p w14:paraId="3A5D3C3B" w14:textId="77777777" w:rsidR="009C244E" w:rsidRPr="004D575B" w:rsidRDefault="009C244E" w:rsidP="009C244E">
            <w:pPr>
              <w:rPr>
                <w:rFonts w:eastAsia="TimesNewRoman"/>
              </w:rPr>
            </w:pPr>
            <w:r w:rsidRPr="004D575B">
              <w:t>Apparent Central Volume Of Distribution</w:t>
            </w:r>
          </w:p>
        </w:tc>
      </w:tr>
      <w:tr w:rsidR="009C244E" w:rsidRPr="00F614F6" w14:paraId="62241EBD" w14:textId="77777777" w:rsidTr="00F14099">
        <w:tc>
          <w:tcPr>
            <w:tcW w:w="2841" w:type="dxa"/>
          </w:tcPr>
          <w:p w14:paraId="15040C05" w14:textId="77777777" w:rsidR="009C244E" w:rsidRPr="004D575B" w:rsidRDefault="009C244E" w:rsidP="009C244E">
            <w:r w:rsidRPr="004D575B">
              <w:rPr>
                <w:rFonts w:eastAsia="TimesNewRoman"/>
              </w:rPr>
              <w:t>Vz/F (oral)</w:t>
            </w:r>
          </w:p>
        </w:tc>
        <w:tc>
          <w:tcPr>
            <w:tcW w:w="5879" w:type="dxa"/>
          </w:tcPr>
          <w:p w14:paraId="574DE3AC" w14:textId="77777777" w:rsidR="009C244E" w:rsidRPr="004D575B" w:rsidRDefault="009C244E" w:rsidP="009C244E">
            <w:r>
              <w:rPr>
                <w:rFonts w:eastAsia="TimesNewRoman"/>
              </w:rPr>
              <w:t>A</w:t>
            </w:r>
            <w:r w:rsidRPr="004D575B">
              <w:rPr>
                <w:rFonts w:eastAsia="TimesNewRoman"/>
              </w:rPr>
              <w:t>pparent volume of distribution following oral administration</w:t>
            </w:r>
          </w:p>
        </w:tc>
      </w:tr>
    </w:tbl>
    <w:p w14:paraId="1EBC3006" w14:textId="77777777" w:rsidR="00FD119B" w:rsidRDefault="00FD119B" w:rsidP="00FD119B"/>
    <w:p w14:paraId="348B1738" w14:textId="77777777" w:rsidR="00FD119B" w:rsidRPr="00FD119B" w:rsidRDefault="00FD119B" w:rsidP="00FD119B">
      <w:pPr>
        <w:spacing w:before="0" w:after="200" w:line="0" w:lineRule="auto"/>
        <w:rPr>
          <w:b/>
          <w:i/>
          <w:sz w:val="24"/>
          <w:szCs w:val="24"/>
        </w:rPr>
      </w:pPr>
      <w:r w:rsidRPr="00FD119B">
        <w:rPr>
          <w:b/>
          <w:i/>
          <w:sz w:val="24"/>
          <w:szCs w:val="24"/>
        </w:rPr>
        <w:br w:type="page"/>
      </w:r>
    </w:p>
    <w:p w14:paraId="57068C4B" w14:textId="77777777" w:rsidR="008E7846" w:rsidRDefault="00F53C07" w:rsidP="008E7846">
      <w:pPr>
        <w:pStyle w:val="Heading2"/>
      </w:pPr>
      <w:bookmarkStart w:id="9" w:name="_Toc4405812"/>
      <w:r>
        <w:lastRenderedPageBreak/>
        <w:t>I.</w:t>
      </w:r>
      <w:r w:rsidR="008E7846">
        <w:t xml:space="preserve"> Introduction to product submission</w:t>
      </w:r>
      <w:bookmarkEnd w:id="3"/>
      <w:bookmarkEnd w:id="0"/>
      <w:bookmarkEnd w:id="9"/>
    </w:p>
    <w:p w14:paraId="314107FE" w14:textId="77777777" w:rsidR="008E7846" w:rsidRDefault="008E7846" w:rsidP="008E7846">
      <w:pPr>
        <w:pStyle w:val="Heading3"/>
        <w:rPr>
          <w:lang w:eastAsia="en-AU"/>
        </w:rPr>
      </w:pPr>
      <w:bookmarkStart w:id="10" w:name="_Toc247691502"/>
      <w:bookmarkStart w:id="11" w:name="_Toc314842483"/>
      <w:bookmarkStart w:id="12" w:name="_Toc4405813"/>
      <w:r>
        <w:rPr>
          <w:lang w:eastAsia="en-AU"/>
        </w:rPr>
        <w:t>Submission details</w:t>
      </w:r>
      <w:bookmarkEnd w:id="10"/>
      <w:bookmarkEnd w:id="11"/>
      <w:bookmarkEnd w:id="12"/>
    </w:p>
    <w:tbl>
      <w:tblPr>
        <w:tblW w:w="9271" w:type="dxa"/>
        <w:tblInd w:w="108" w:type="dxa"/>
        <w:tblLook w:val="01E0" w:firstRow="1" w:lastRow="1" w:firstColumn="1" w:lastColumn="1" w:noHBand="0" w:noVBand="0"/>
      </w:tblPr>
      <w:tblGrid>
        <w:gridCol w:w="2907"/>
        <w:gridCol w:w="18"/>
        <w:gridCol w:w="6289"/>
        <w:gridCol w:w="57"/>
      </w:tblGrid>
      <w:tr w:rsidR="008E7846" w:rsidRPr="003D1E62" w14:paraId="05A8939B" w14:textId="77777777" w:rsidTr="000F7272">
        <w:trPr>
          <w:trHeight w:hRule="exact" w:val="619"/>
        </w:trPr>
        <w:tc>
          <w:tcPr>
            <w:tcW w:w="2925" w:type="dxa"/>
            <w:gridSpan w:val="2"/>
          </w:tcPr>
          <w:p w14:paraId="26DC6095" w14:textId="77777777" w:rsidR="008E7846" w:rsidRPr="003D1E62" w:rsidRDefault="001B5C90" w:rsidP="001B5C90">
            <w:pPr>
              <w:rPr>
                <w:i/>
              </w:rPr>
            </w:pPr>
            <w:r>
              <w:rPr>
                <w:i/>
              </w:rPr>
              <w:t>Type of s</w:t>
            </w:r>
            <w:r w:rsidR="008E7846" w:rsidRPr="003D1E62">
              <w:rPr>
                <w:i/>
              </w:rPr>
              <w:t>ubmission</w:t>
            </w:r>
            <w:r>
              <w:rPr>
                <w:i/>
              </w:rPr>
              <w:t>:</w:t>
            </w:r>
          </w:p>
        </w:tc>
        <w:tc>
          <w:tcPr>
            <w:tcW w:w="6346" w:type="dxa"/>
            <w:gridSpan w:val="2"/>
          </w:tcPr>
          <w:p w14:paraId="6F720EA4" w14:textId="2EFFA2D2" w:rsidR="008E7846" w:rsidRPr="003D1E62" w:rsidRDefault="008E7846" w:rsidP="0096579A">
            <w:r w:rsidRPr="003D1E62">
              <w:t xml:space="preserve">New </w:t>
            </w:r>
            <w:r w:rsidR="001B5C90">
              <w:t>c</w:t>
            </w:r>
            <w:r w:rsidRPr="003D1E62">
              <w:t xml:space="preserve">hemical </w:t>
            </w:r>
            <w:r w:rsidR="001B5C90">
              <w:t>e</w:t>
            </w:r>
            <w:r w:rsidRPr="003D1E62">
              <w:t>ntity/</w:t>
            </w:r>
            <w:r w:rsidR="00B66CD9">
              <w:t xml:space="preserve"> New drug combinations</w:t>
            </w:r>
          </w:p>
        </w:tc>
      </w:tr>
      <w:tr w:rsidR="008E7846" w:rsidRPr="003D1E62" w14:paraId="24FE7A61" w14:textId="77777777" w:rsidTr="000F7272">
        <w:trPr>
          <w:trHeight w:hRule="exact" w:val="619"/>
        </w:trPr>
        <w:tc>
          <w:tcPr>
            <w:tcW w:w="2925" w:type="dxa"/>
            <w:gridSpan w:val="2"/>
          </w:tcPr>
          <w:p w14:paraId="2F3355AF" w14:textId="77777777" w:rsidR="008E7846" w:rsidRPr="003D1E62" w:rsidRDefault="008E7846" w:rsidP="003D1E62">
            <w:r w:rsidRPr="003D1E62">
              <w:rPr>
                <w:i/>
              </w:rPr>
              <w:t>Decision</w:t>
            </w:r>
            <w:r w:rsidRPr="003D1E62">
              <w:t>:</w:t>
            </w:r>
          </w:p>
        </w:tc>
        <w:tc>
          <w:tcPr>
            <w:tcW w:w="6346" w:type="dxa"/>
            <w:gridSpan w:val="2"/>
          </w:tcPr>
          <w:p w14:paraId="5F6AF323" w14:textId="77777777" w:rsidR="008E7846" w:rsidRPr="003D1E62" w:rsidRDefault="0096579A" w:rsidP="0096579A">
            <w:r>
              <w:t>Approved</w:t>
            </w:r>
          </w:p>
        </w:tc>
      </w:tr>
      <w:tr w:rsidR="008E7846" w:rsidRPr="003D1E62" w14:paraId="508E31F7" w14:textId="77777777" w:rsidTr="000F7272">
        <w:trPr>
          <w:trHeight w:hRule="exact" w:val="619"/>
        </w:trPr>
        <w:tc>
          <w:tcPr>
            <w:tcW w:w="2925" w:type="dxa"/>
            <w:gridSpan w:val="2"/>
          </w:tcPr>
          <w:p w14:paraId="51A9ADF5"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46" w:type="dxa"/>
            <w:gridSpan w:val="2"/>
          </w:tcPr>
          <w:p w14:paraId="75837E38" w14:textId="77777777" w:rsidR="008E7846" w:rsidRPr="003D1E62" w:rsidRDefault="00723081" w:rsidP="00413227">
            <w:r>
              <w:t>14 May 2018/14 May 2018/15 May 2018</w:t>
            </w:r>
          </w:p>
        </w:tc>
      </w:tr>
      <w:tr w:rsidR="00ED2922" w:rsidRPr="003D1E62" w14:paraId="62187468" w14:textId="77777777" w:rsidTr="000F7272">
        <w:trPr>
          <w:trHeight w:hRule="exact" w:val="619"/>
        </w:trPr>
        <w:tc>
          <w:tcPr>
            <w:tcW w:w="2925" w:type="dxa"/>
            <w:gridSpan w:val="2"/>
          </w:tcPr>
          <w:p w14:paraId="7A1FA1BA" w14:textId="77777777" w:rsidR="00ED2922" w:rsidRPr="00004B57" w:rsidRDefault="00ED2922" w:rsidP="001B5C90">
            <w:pPr>
              <w:rPr>
                <w:i/>
              </w:rPr>
            </w:pPr>
            <w:r w:rsidRPr="00004B57">
              <w:rPr>
                <w:i/>
              </w:rPr>
              <w:t>Date of entry onto ARTG</w:t>
            </w:r>
            <w:r w:rsidR="00500337" w:rsidRPr="00004B57">
              <w:rPr>
                <w:i/>
              </w:rPr>
              <w:t>:</w:t>
            </w:r>
          </w:p>
        </w:tc>
        <w:tc>
          <w:tcPr>
            <w:tcW w:w="6346" w:type="dxa"/>
            <w:gridSpan w:val="2"/>
          </w:tcPr>
          <w:p w14:paraId="2A8C43F9" w14:textId="77777777" w:rsidR="00ED2922" w:rsidRPr="00004B57" w:rsidRDefault="00723081" w:rsidP="00EC463D">
            <w:pPr>
              <w:rPr>
                <w:i/>
              </w:rPr>
            </w:pPr>
            <w:r w:rsidRPr="00004B57">
              <w:t>17 May 2018</w:t>
            </w:r>
          </w:p>
        </w:tc>
      </w:tr>
      <w:tr w:rsidR="00500337" w:rsidRPr="003D1E62" w14:paraId="50093F35" w14:textId="77777777" w:rsidTr="000F7272">
        <w:tc>
          <w:tcPr>
            <w:tcW w:w="2925" w:type="dxa"/>
            <w:gridSpan w:val="2"/>
          </w:tcPr>
          <w:p w14:paraId="5F36A886" w14:textId="0A71A4A7" w:rsidR="00500337" w:rsidRPr="00004B57" w:rsidRDefault="00500337" w:rsidP="001B5C90">
            <w:pPr>
              <w:rPr>
                <w:i/>
              </w:rPr>
            </w:pPr>
            <w:r w:rsidRPr="00004B57">
              <w:rPr>
                <w:i/>
              </w:rPr>
              <w:t>ARTG numbers:</w:t>
            </w:r>
          </w:p>
        </w:tc>
        <w:tc>
          <w:tcPr>
            <w:tcW w:w="6346" w:type="dxa"/>
            <w:gridSpan w:val="2"/>
          </w:tcPr>
          <w:p w14:paraId="6617D398" w14:textId="44C6430E" w:rsidR="001C4AB8" w:rsidRDefault="00413227" w:rsidP="00B70EC0">
            <w:pPr>
              <w:pStyle w:val="ListParagraph"/>
              <w:numPr>
                <w:ilvl w:val="0"/>
                <w:numId w:val="49"/>
              </w:numPr>
            </w:pPr>
            <w:r>
              <w:t>287619 and 287622</w:t>
            </w:r>
            <w:r w:rsidR="00CC5F19">
              <w:t>; 287621 and 287634,</w:t>
            </w:r>
          </w:p>
          <w:p w14:paraId="638CCC62" w14:textId="05074642" w:rsidR="00AD3B96" w:rsidRDefault="00513EB4" w:rsidP="00B70EC0">
            <w:pPr>
              <w:pStyle w:val="ListParagraph"/>
              <w:numPr>
                <w:ilvl w:val="0"/>
                <w:numId w:val="49"/>
              </w:numPr>
            </w:pPr>
            <w:r w:rsidRPr="00004B57">
              <w:t>287630 and 287626</w:t>
            </w:r>
            <w:r w:rsidR="00CC5F19">
              <w:t>; 287625 and 287637</w:t>
            </w:r>
          </w:p>
          <w:p w14:paraId="4EEC085A" w14:textId="577A4C50" w:rsidR="00500337" w:rsidRPr="00004B57" w:rsidRDefault="00004B57" w:rsidP="00B70EC0">
            <w:pPr>
              <w:pStyle w:val="ListParagraph"/>
              <w:numPr>
                <w:ilvl w:val="0"/>
                <w:numId w:val="49"/>
              </w:numPr>
            </w:pPr>
            <w:r w:rsidRPr="00004B57">
              <w:t>287636, 287635, 287633 and 287627</w:t>
            </w:r>
            <w:r w:rsidR="00CC5F19">
              <w:t xml:space="preserve">, </w:t>
            </w:r>
            <w:r w:rsidR="00DF7B38">
              <w:t>287629, 287623, 287632 and 287631</w:t>
            </w:r>
          </w:p>
        </w:tc>
      </w:tr>
      <w:tr w:rsidR="008E7846" w:rsidRPr="00487162" w14:paraId="59510DDD" w14:textId="77777777" w:rsidTr="000F7272">
        <w:trPr>
          <w:gridAfter w:val="1"/>
          <w:wAfter w:w="57" w:type="dxa"/>
        </w:trPr>
        <w:tc>
          <w:tcPr>
            <w:tcW w:w="2907" w:type="dxa"/>
          </w:tcPr>
          <w:p w14:paraId="35F28475" w14:textId="515CE21C" w:rsidR="008E7846" w:rsidRPr="00706C47" w:rsidRDefault="001B5C90" w:rsidP="00E45619">
            <w:pPr>
              <w:rPr>
                <w:i/>
              </w:rPr>
            </w:pPr>
            <w:r w:rsidRPr="00706C47">
              <w:rPr>
                <w:i/>
              </w:rPr>
              <w:t>Active ingredients:</w:t>
            </w:r>
          </w:p>
        </w:tc>
        <w:tc>
          <w:tcPr>
            <w:tcW w:w="6307" w:type="dxa"/>
            <w:gridSpan w:val="2"/>
          </w:tcPr>
          <w:p w14:paraId="33D04E1A" w14:textId="77777777" w:rsidR="008E7846" w:rsidRPr="00706C47" w:rsidRDefault="006D4749" w:rsidP="00BC79A0">
            <w:r w:rsidRPr="00706C47">
              <w:t>Ertugliflozin</w:t>
            </w:r>
            <w:r w:rsidR="00BE2BC8">
              <w:t xml:space="preserve">; </w:t>
            </w:r>
            <w:r w:rsidR="00BC79A0">
              <w:t>e</w:t>
            </w:r>
            <w:r w:rsidR="00BC79A0" w:rsidRPr="00BE2BC8">
              <w:t>rtugliflozin</w:t>
            </w:r>
            <w:r w:rsidR="00BC79A0">
              <w:t>/</w:t>
            </w:r>
            <w:r w:rsidR="00BC79A0" w:rsidRPr="00706C47">
              <w:t>sitagliptin</w:t>
            </w:r>
            <w:r w:rsidR="00BC79A0">
              <w:t xml:space="preserve">; </w:t>
            </w:r>
            <w:r w:rsidR="00BE2BC8">
              <w:t>e</w:t>
            </w:r>
            <w:r w:rsidR="00BE2BC8" w:rsidRPr="00BE2BC8">
              <w:t>rtugliflozin</w:t>
            </w:r>
            <w:r w:rsidR="00BE2BC8">
              <w:t>/</w:t>
            </w:r>
            <w:r w:rsidR="00F038D1" w:rsidRPr="00706C47">
              <w:t xml:space="preserve">metformin </w:t>
            </w:r>
          </w:p>
        </w:tc>
      </w:tr>
      <w:tr w:rsidR="008E7846" w:rsidRPr="00487162" w14:paraId="1E0BA9F4" w14:textId="77777777" w:rsidTr="000F7272">
        <w:trPr>
          <w:gridAfter w:val="1"/>
          <w:wAfter w:w="57" w:type="dxa"/>
        </w:trPr>
        <w:tc>
          <w:tcPr>
            <w:tcW w:w="2907" w:type="dxa"/>
          </w:tcPr>
          <w:p w14:paraId="158DCFFF" w14:textId="09330542" w:rsidR="008E7846" w:rsidRPr="00706C47" w:rsidRDefault="008E7846" w:rsidP="001B5C90">
            <w:pPr>
              <w:rPr>
                <w:i/>
              </w:rPr>
            </w:pPr>
            <w:r w:rsidRPr="00706C47">
              <w:rPr>
                <w:i/>
              </w:rPr>
              <w:t>Product</w:t>
            </w:r>
            <w:r w:rsidR="001B5C90" w:rsidRPr="00706C47">
              <w:rPr>
                <w:i/>
              </w:rPr>
              <w:t xml:space="preserve"> names:</w:t>
            </w:r>
          </w:p>
        </w:tc>
        <w:tc>
          <w:tcPr>
            <w:tcW w:w="6307" w:type="dxa"/>
            <w:gridSpan w:val="2"/>
          </w:tcPr>
          <w:p w14:paraId="5431E87E" w14:textId="7A3951BB" w:rsidR="00AD3B96" w:rsidRDefault="006D4749" w:rsidP="00B70EC0">
            <w:pPr>
              <w:pStyle w:val="ListParagraph"/>
              <w:numPr>
                <w:ilvl w:val="0"/>
                <w:numId w:val="48"/>
              </w:numPr>
            </w:pPr>
            <w:r w:rsidRPr="00706C47">
              <w:t>Steglatro</w:t>
            </w:r>
            <w:r w:rsidR="00706C47" w:rsidRPr="00706C47">
              <w:t xml:space="preserve">, </w:t>
            </w:r>
            <w:r w:rsidR="00CC5F19">
              <w:t>MSD-Ertugliflozin,</w:t>
            </w:r>
          </w:p>
          <w:p w14:paraId="3585BF7C" w14:textId="43DF4A70" w:rsidR="00AD3B96" w:rsidRDefault="00453FBE" w:rsidP="00B70EC0">
            <w:pPr>
              <w:pStyle w:val="ListParagraph"/>
              <w:numPr>
                <w:ilvl w:val="0"/>
                <w:numId w:val="48"/>
              </w:numPr>
            </w:pPr>
            <w:r>
              <w:t>Steglujan</w:t>
            </w:r>
            <w:r w:rsidR="00CC5F19">
              <w:t>, MSD-Ertugliflozin</w:t>
            </w:r>
            <w:r w:rsidR="00902BFA">
              <w:t xml:space="preserve"> /</w:t>
            </w:r>
            <w:r w:rsidR="006D7D02">
              <w:t>Sitagliptin</w:t>
            </w:r>
            <w:r w:rsidR="00706C47" w:rsidRPr="00706C47">
              <w:t xml:space="preserve"> and</w:t>
            </w:r>
          </w:p>
          <w:p w14:paraId="7C713503" w14:textId="3E57A846" w:rsidR="008E7846" w:rsidRPr="00706C47" w:rsidRDefault="00706C47" w:rsidP="00B70EC0">
            <w:pPr>
              <w:pStyle w:val="ListParagraph"/>
              <w:numPr>
                <w:ilvl w:val="0"/>
                <w:numId w:val="48"/>
              </w:numPr>
            </w:pPr>
            <w:r w:rsidRPr="00706C47">
              <w:t>Segluromet</w:t>
            </w:r>
            <w:r w:rsidR="00CC5F19">
              <w:t>, MSD-Ertugliflozin</w:t>
            </w:r>
            <w:r w:rsidR="00902BFA">
              <w:t xml:space="preserve"> / </w:t>
            </w:r>
            <w:r w:rsidR="00CC5F19">
              <w:t>Metformin</w:t>
            </w:r>
          </w:p>
        </w:tc>
      </w:tr>
      <w:tr w:rsidR="008E7846" w:rsidRPr="00487162" w14:paraId="5C13B8B8" w14:textId="77777777" w:rsidTr="000F7272">
        <w:trPr>
          <w:gridAfter w:val="1"/>
          <w:wAfter w:w="57" w:type="dxa"/>
        </w:trPr>
        <w:tc>
          <w:tcPr>
            <w:tcW w:w="2907" w:type="dxa"/>
          </w:tcPr>
          <w:p w14:paraId="4083C4D7"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gridSpan w:val="2"/>
          </w:tcPr>
          <w:p w14:paraId="1A2345B9" w14:textId="77777777" w:rsidR="008E7846" w:rsidRPr="00BC79A0" w:rsidRDefault="006D4749" w:rsidP="00E45619">
            <w:r w:rsidRPr="00BC79A0">
              <w:t>Merck Sharpe and Dohme Pty Ltd</w:t>
            </w:r>
          </w:p>
          <w:p w14:paraId="563686F9" w14:textId="77777777" w:rsidR="00723081" w:rsidRPr="00BC79A0" w:rsidRDefault="00723081" w:rsidP="00723081">
            <w:r w:rsidRPr="00BC79A0">
              <w:t>North Ryde Post Business Centre Locked Bag 2234</w:t>
            </w:r>
          </w:p>
          <w:p w14:paraId="04E4E437" w14:textId="77777777" w:rsidR="00723081" w:rsidRPr="00BC79A0" w:rsidRDefault="00F038D1" w:rsidP="00F038D1">
            <w:r w:rsidRPr="00BC79A0">
              <w:t xml:space="preserve">North Ryde </w:t>
            </w:r>
            <w:r w:rsidR="00723081" w:rsidRPr="00BC79A0">
              <w:t>NSW 1670</w:t>
            </w:r>
          </w:p>
        </w:tc>
      </w:tr>
      <w:tr w:rsidR="008E7846" w:rsidRPr="00487162" w14:paraId="1F953C7E" w14:textId="77777777" w:rsidTr="000F7272">
        <w:trPr>
          <w:gridAfter w:val="1"/>
          <w:wAfter w:w="57" w:type="dxa"/>
        </w:trPr>
        <w:tc>
          <w:tcPr>
            <w:tcW w:w="2907" w:type="dxa"/>
          </w:tcPr>
          <w:p w14:paraId="7BA24128" w14:textId="36904D72" w:rsidR="008E7846" w:rsidRPr="00E06CD9" w:rsidRDefault="001B5C90" w:rsidP="00E45619">
            <w:pPr>
              <w:rPr>
                <w:i/>
              </w:rPr>
            </w:pPr>
            <w:r w:rsidRPr="00E06CD9">
              <w:rPr>
                <w:i/>
              </w:rPr>
              <w:t>Dose forms:</w:t>
            </w:r>
          </w:p>
        </w:tc>
        <w:tc>
          <w:tcPr>
            <w:tcW w:w="6307" w:type="dxa"/>
            <w:gridSpan w:val="2"/>
          </w:tcPr>
          <w:p w14:paraId="1AAAA554" w14:textId="58F7E794" w:rsidR="008E7846" w:rsidRPr="00E06CD9" w:rsidRDefault="00F3446D" w:rsidP="00F3446D">
            <w:r>
              <w:t>Film-coated t</w:t>
            </w:r>
            <w:r w:rsidR="006D4749" w:rsidRPr="00E06CD9">
              <w:t>ablets</w:t>
            </w:r>
          </w:p>
        </w:tc>
      </w:tr>
      <w:tr w:rsidR="008E7846" w:rsidRPr="00487162" w14:paraId="70775447" w14:textId="77777777" w:rsidTr="000F7272">
        <w:trPr>
          <w:gridAfter w:val="1"/>
          <w:wAfter w:w="57" w:type="dxa"/>
        </w:trPr>
        <w:tc>
          <w:tcPr>
            <w:tcW w:w="2907" w:type="dxa"/>
          </w:tcPr>
          <w:p w14:paraId="3B3E715C" w14:textId="63F72BE4" w:rsidR="008E7846" w:rsidRPr="00E06CD9" w:rsidRDefault="008E7846" w:rsidP="00E45619">
            <w:pPr>
              <w:rPr>
                <w:i/>
              </w:rPr>
            </w:pPr>
            <w:r w:rsidRPr="00E06CD9">
              <w:rPr>
                <w:i/>
              </w:rPr>
              <w:t xml:space="preserve">Strengths: </w:t>
            </w:r>
          </w:p>
        </w:tc>
        <w:tc>
          <w:tcPr>
            <w:tcW w:w="6307" w:type="dxa"/>
            <w:gridSpan w:val="2"/>
          </w:tcPr>
          <w:p w14:paraId="658FAA1D" w14:textId="1B035B06" w:rsidR="008E7846" w:rsidRPr="00E06CD9" w:rsidRDefault="006D4749" w:rsidP="00E45619">
            <w:r w:rsidRPr="00E06CD9">
              <w:t>Steglatro: 5</w:t>
            </w:r>
            <w:r w:rsidR="00706C47" w:rsidRPr="00E06CD9">
              <w:t xml:space="preserve"> </w:t>
            </w:r>
            <w:r w:rsidR="006D7D02">
              <w:t>mg</w:t>
            </w:r>
            <w:r w:rsidRPr="00E06CD9">
              <w:t xml:space="preserve"> and 15</w:t>
            </w:r>
            <w:r w:rsidR="00706C47" w:rsidRPr="00E06CD9">
              <w:t xml:space="preserve"> </w:t>
            </w:r>
            <w:r w:rsidR="006D7D02">
              <w:t>mg</w:t>
            </w:r>
          </w:p>
          <w:p w14:paraId="537E169E" w14:textId="584198F4" w:rsidR="00BC79A0" w:rsidRPr="00E06CD9" w:rsidRDefault="00BC79A0" w:rsidP="00E45619">
            <w:r w:rsidRPr="00E06CD9">
              <w:t>Steglujan</w:t>
            </w:r>
            <w:r w:rsidR="008A6789">
              <w:t>:</w:t>
            </w:r>
            <w:r w:rsidRPr="00E06CD9">
              <w:t xml:space="preserve"> 5/100; 15/100</w:t>
            </w:r>
          </w:p>
          <w:p w14:paraId="27367D72" w14:textId="55C4848E" w:rsidR="006D4749" w:rsidRPr="00E06CD9" w:rsidRDefault="00BC79A0" w:rsidP="00BC79A0">
            <w:r w:rsidRPr="00E06CD9">
              <w:t>Segluromet</w:t>
            </w:r>
            <w:r w:rsidR="008A6789">
              <w:t>:</w:t>
            </w:r>
            <w:r w:rsidRPr="00E06CD9">
              <w:t xml:space="preserve"> 2.5/500; 7.5/500; 2.5/1000; 7.5/1000</w:t>
            </w:r>
          </w:p>
        </w:tc>
      </w:tr>
      <w:tr w:rsidR="008E7846" w:rsidRPr="00487162" w14:paraId="603E01FE" w14:textId="77777777" w:rsidTr="000F7272">
        <w:trPr>
          <w:gridAfter w:val="1"/>
          <w:wAfter w:w="57" w:type="dxa"/>
        </w:trPr>
        <w:tc>
          <w:tcPr>
            <w:tcW w:w="2907" w:type="dxa"/>
          </w:tcPr>
          <w:p w14:paraId="2CE92E24" w14:textId="741779CB" w:rsidR="008E7846" w:rsidRPr="00E06CD9" w:rsidRDefault="008E7846" w:rsidP="00E45619">
            <w:pPr>
              <w:rPr>
                <w:i/>
              </w:rPr>
            </w:pPr>
            <w:r w:rsidRPr="00E06CD9">
              <w:rPr>
                <w:i/>
              </w:rPr>
              <w:t>Containers:</w:t>
            </w:r>
          </w:p>
        </w:tc>
        <w:tc>
          <w:tcPr>
            <w:tcW w:w="6307" w:type="dxa"/>
            <w:gridSpan w:val="2"/>
          </w:tcPr>
          <w:p w14:paraId="089BE8C8" w14:textId="77777777" w:rsidR="008E7846" w:rsidRPr="00E06CD9" w:rsidRDefault="00513EB4" w:rsidP="00E45619">
            <w:r w:rsidRPr="00E06CD9">
              <w:t>Blister pack</w:t>
            </w:r>
          </w:p>
        </w:tc>
      </w:tr>
      <w:tr w:rsidR="008E7846" w:rsidRPr="00487162" w14:paraId="2F9DEFB9" w14:textId="77777777" w:rsidTr="000F7272">
        <w:trPr>
          <w:gridAfter w:val="1"/>
          <w:wAfter w:w="57" w:type="dxa"/>
        </w:trPr>
        <w:tc>
          <w:tcPr>
            <w:tcW w:w="2907" w:type="dxa"/>
          </w:tcPr>
          <w:p w14:paraId="45DF5619" w14:textId="2C266CD7" w:rsidR="008E7846" w:rsidRPr="00E06CD9" w:rsidRDefault="008E7846" w:rsidP="00E45619">
            <w:pPr>
              <w:rPr>
                <w:i/>
              </w:rPr>
            </w:pPr>
            <w:r w:rsidRPr="00E06CD9">
              <w:rPr>
                <w:i/>
              </w:rPr>
              <w:t>Pack sizes:</w:t>
            </w:r>
          </w:p>
        </w:tc>
        <w:tc>
          <w:tcPr>
            <w:tcW w:w="6307" w:type="dxa"/>
            <w:gridSpan w:val="2"/>
          </w:tcPr>
          <w:p w14:paraId="23F6DB58" w14:textId="65BC5C17" w:rsidR="008E7846" w:rsidRPr="00E06CD9" w:rsidRDefault="00513EB4" w:rsidP="00E45619">
            <w:r w:rsidRPr="00E06CD9">
              <w:t>7 and 28</w:t>
            </w:r>
            <w:r w:rsidR="00B66CD9">
              <w:t xml:space="preserve"> tablets</w:t>
            </w:r>
            <w:r w:rsidR="00004B57" w:rsidRPr="00E06CD9">
              <w:t xml:space="preserve"> (Steglatro and </w:t>
            </w:r>
            <w:r w:rsidR="00F14099" w:rsidRPr="00E06CD9">
              <w:t>Steglujan</w:t>
            </w:r>
            <w:r w:rsidR="00004B57" w:rsidRPr="00E06CD9">
              <w:t>)</w:t>
            </w:r>
          </w:p>
          <w:p w14:paraId="504985C6" w14:textId="0CE5356F" w:rsidR="00004B57" w:rsidRPr="00E06CD9" w:rsidRDefault="00004B57" w:rsidP="00E45619">
            <w:r w:rsidRPr="00E06CD9">
              <w:t>14 and 56</w:t>
            </w:r>
            <w:r w:rsidR="00B66CD9">
              <w:t xml:space="preserve"> tablet</w:t>
            </w:r>
            <w:r w:rsidRPr="00E06CD9">
              <w:t>s (Segluromet)</w:t>
            </w:r>
          </w:p>
        </w:tc>
      </w:tr>
      <w:tr w:rsidR="008E7846" w:rsidRPr="00487162" w14:paraId="081F7D3B" w14:textId="77777777" w:rsidTr="000F7272">
        <w:trPr>
          <w:gridAfter w:val="1"/>
          <w:wAfter w:w="57" w:type="dxa"/>
        </w:trPr>
        <w:tc>
          <w:tcPr>
            <w:tcW w:w="2907" w:type="dxa"/>
          </w:tcPr>
          <w:p w14:paraId="59024A2C"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gridSpan w:val="2"/>
          </w:tcPr>
          <w:p w14:paraId="47E45C24" w14:textId="77777777" w:rsidR="00BE2BC8" w:rsidRPr="00BE2BC8" w:rsidRDefault="00BE2BC8" w:rsidP="00BE2BC8">
            <w:pPr>
              <w:pStyle w:val="ListParagraph"/>
              <w:ind w:left="0"/>
              <w:rPr>
                <w:i/>
                <w:lang w:eastAsia="ja-JP"/>
              </w:rPr>
            </w:pPr>
            <w:r w:rsidRPr="0044382B">
              <w:rPr>
                <w:rFonts w:eastAsia="MS Mincho"/>
                <w:b/>
                <w:i/>
                <w:lang w:eastAsia="ja-JP"/>
              </w:rPr>
              <w:t>1.</w:t>
            </w:r>
            <w:r w:rsidRPr="00BE2BC8">
              <w:rPr>
                <w:rFonts w:eastAsia="MS Mincho"/>
                <w:i/>
                <w:lang w:eastAsia="ja-JP"/>
              </w:rPr>
              <w:t xml:space="preserve"> </w:t>
            </w:r>
            <w:r w:rsidRPr="00413227">
              <w:rPr>
                <w:rFonts w:eastAsia="MS Mincho"/>
                <w:b/>
                <w:i/>
                <w:lang w:eastAsia="ja-JP"/>
              </w:rPr>
              <w:t>Steglatro</w:t>
            </w:r>
            <w:r w:rsidRPr="00BE2BC8">
              <w:rPr>
                <w:rFonts w:eastAsia="MS Mincho"/>
                <w:i/>
                <w:lang w:eastAsia="ja-JP"/>
              </w:rPr>
              <w:t xml:space="preserve"> (ertugliflozin) is indicated as an adjunct to diet and exercise to improve glycaemic control in adults with type 2 diabetes mellitus as: </w:t>
            </w:r>
            <w:r w:rsidRPr="00BE2BC8">
              <w:rPr>
                <w:i/>
                <w:lang w:eastAsia="ja-JP"/>
              </w:rPr>
              <w:t>monotherapy when metformin is considered inappropriate due to intolerance; or in combination with other anti-hyperglycaemic agents [see 5.1 Pharmacodynamic Properties, Clinical trials and 4.4 Special Warnings and Precautions For Use for available data on different add-on combination therapies].</w:t>
            </w:r>
          </w:p>
          <w:p w14:paraId="1EAFA8F9" w14:textId="4203A7E1" w:rsidR="008E7846" w:rsidRPr="00BE2BC8" w:rsidRDefault="00BE2BC8" w:rsidP="00BE2BC8">
            <w:pPr>
              <w:pStyle w:val="ListBullet"/>
              <w:numPr>
                <w:ilvl w:val="0"/>
                <w:numId w:val="0"/>
              </w:numPr>
              <w:rPr>
                <w:rFonts w:eastAsia="MS Mincho"/>
                <w:i/>
                <w:lang w:eastAsia="ja-JP"/>
              </w:rPr>
            </w:pPr>
            <w:r w:rsidRPr="0044382B">
              <w:rPr>
                <w:b/>
                <w:i/>
                <w:lang w:eastAsia="ja-JP"/>
              </w:rPr>
              <w:t>2.</w:t>
            </w:r>
            <w:r w:rsidRPr="00BE2BC8">
              <w:rPr>
                <w:i/>
                <w:lang w:eastAsia="ja-JP"/>
              </w:rPr>
              <w:t xml:space="preserve"> </w:t>
            </w:r>
            <w:r w:rsidR="00BC79A0" w:rsidRPr="00413227">
              <w:rPr>
                <w:rFonts w:eastAsia="MS Mincho"/>
                <w:b/>
                <w:i/>
                <w:lang w:eastAsia="ja-JP"/>
              </w:rPr>
              <w:t>Steglujan</w:t>
            </w:r>
            <w:r w:rsidR="0096579A" w:rsidRPr="00BC79A0">
              <w:rPr>
                <w:rFonts w:eastAsia="MS Mincho"/>
                <w:i/>
                <w:lang w:eastAsia="ja-JP"/>
              </w:rPr>
              <w:t xml:space="preserve"> (</w:t>
            </w:r>
            <w:r w:rsidR="0096579A" w:rsidRPr="00B66CD9">
              <w:rPr>
                <w:i/>
              </w:rPr>
              <w:t>ertugliflozin a</w:t>
            </w:r>
            <w:r w:rsidR="0096579A" w:rsidRPr="00BC79A0">
              <w:rPr>
                <w:rFonts w:eastAsia="MS Mincho"/>
                <w:i/>
                <w:lang w:eastAsia="ja-JP"/>
              </w:rPr>
              <w:t xml:space="preserve">nd </w:t>
            </w:r>
            <w:r w:rsidR="004433CF" w:rsidRPr="00BC79A0">
              <w:rPr>
                <w:rFonts w:eastAsia="MS Mincho"/>
                <w:i/>
                <w:lang w:eastAsia="ja-JP"/>
              </w:rPr>
              <w:t>sitagliptin phosphate monohydrate</w:t>
            </w:r>
            <w:r w:rsidR="0096579A" w:rsidRPr="00BC79A0">
              <w:rPr>
                <w:rFonts w:eastAsia="MS Mincho"/>
                <w:i/>
                <w:lang w:eastAsia="ja-JP"/>
              </w:rPr>
              <w:t>) is indicated as an adjunct</w:t>
            </w:r>
            <w:r w:rsidR="0096579A" w:rsidRPr="00BE2BC8">
              <w:rPr>
                <w:rFonts w:eastAsia="MS Mincho"/>
                <w:i/>
                <w:lang w:eastAsia="ja-JP"/>
              </w:rPr>
              <w:t xml:space="preserve"> to diet and exercise to improve glycaemic control in adults with type 2 diabetes mellitus when treatment with both ertugliflozin and </w:t>
            </w:r>
            <w:r w:rsidR="004433CF">
              <w:rPr>
                <w:rFonts w:eastAsia="MS Mincho"/>
                <w:i/>
                <w:lang w:eastAsia="ja-JP"/>
              </w:rPr>
              <w:t>sitagliptin</w:t>
            </w:r>
            <w:r w:rsidR="004433CF" w:rsidRPr="00BE2BC8">
              <w:rPr>
                <w:rFonts w:eastAsia="MS Mincho"/>
                <w:i/>
                <w:lang w:eastAsia="ja-JP"/>
              </w:rPr>
              <w:t xml:space="preserve"> </w:t>
            </w:r>
            <w:r w:rsidR="0096579A" w:rsidRPr="00BE2BC8">
              <w:rPr>
                <w:rFonts w:eastAsia="MS Mincho"/>
                <w:i/>
                <w:lang w:eastAsia="ja-JP"/>
              </w:rPr>
              <w:t xml:space="preserve">is </w:t>
            </w:r>
            <w:r w:rsidR="0096579A" w:rsidRPr="00BE2BC8">
              <w:rPr>
                <w:rFonts w:eastAsia="MS Mincho"/>
                <w:i/>
                <w:lang w:eastAsia="ja-JP"/>
              </w:rPr>
              <w:lastRenderedPageBreak/>
              <w:t xml:space="preserve">appropriate [see 5.1 </w:t>
            </w:r>
            <w:r w:rsidRPr="00BE2BC8">
              <w:rPr>
                <w:rFonts w:eastAsia="MS Mincho"/>
                <w:i/>
                <w:lang w:eastAsia="ja-JP"/>
              </w:rPr>
              <w:t>Pharmacodynamic Properties</w:t>
            </w:r>
            <w:r w:rsidR="0096579A" w:rsidRPr="00BE2BC8">
              <w:rPr>
                <w:rFonts w:eastAsia="MS Mincho"/>
                <w:i/>
                <w:lang w:eastAsia="ja-JP"/>
              </w:rPr>
              <w:t xml:space="preserve">, Clinical trials and 4.2 </w:t>
            </w:r>
            <w:r w:rsidRPr="00BE2BC8">
              <w:rPr>
                <w:rFonts w:eastAsia="MS Mincho"/>
                <w:i/>
                <w:lang w:eastAsia="ja-JP"/>
              </w:rPr>
              <w:t>Dose and Method of Administration</w:t>
            </w:r>
            <w:r w:rsidR="0096579A" w:rsidRPr="00BE2BC8">
              <w:rPr>
                <w:rFonts w:eastAsia="MS Mincho"/>
                <w:i/>
                <w:lang w:eastAsia="ja-JP"/>
              </w:rPr>
              <w:t>].</w:t>
            </w:r>
          </w:p>
          <w:p w14:paraId="53F20E68" w14:textId="355C37CC" w:rsidR="0096579A" w:rsidRPr="00BE2BC8" w:rsidRDefault="00BE2BC8" w:rsidP="004433CF">
            <w:pPr>
              <w:rPr>
                <w:i/>
                <w:lang w:eastAsia="ja-JP"/>
              </w:rPr>
            </w:pPr>
            <w:r w:rsidRPr="0044382B">
              <w:rPr>
                <w:rFonts w:eastAsia="MS Mincho"/>
                <w:b/>
                <w:i/>
                <w:lang w:eastAsia="ja-JP"/>
              </w:rPr>
              <w:t>3.</w:t>
            </w:r>
            <w:r w:rsidRPr="00BC79A0">
              <w:rPr>
                <w:rFonts w:eastAsia="MS Mincho"/>
                <w:i/>
                <w:lang w:eastAsia="ja-JP"/>
              </w:rPr>
              <w:t xml:space="preserve"> </w:t>
            </w:r>
            <w:r w:rsidR="00BC79A0" w:rsidRPr="00413227">
              <w:rPr>
                <w:rFonts w:eastAsia="MS Mincho"/>
                <w:b/>
                <w:i/>
                <w:lang w:eastAsia="ja-JP"/>
              </w:rPr>
              <w:t>Segluromet</w:t>
            </w:r>
            <w:r w:rsidR="00413227">
              <w:rPr>
                <w:rFonts w:eastAsia="MS Mincho"/>
                <w:b/>
                <w:i/>
                <w:lang w:eastAsia="ja-JP"/>
              </w:rPr>
              <w:t xml:space="preserve"> </w:t>
            </w:r>
            <w:r w:rsidR="0096579A" w:rsidRPr="00BC79A0">
              <w:rPr>
                <w:rFonts w:eastAsia="MS Mincho"/>
                <w:i/>
                <w:lang w:eastAsia="ja-JP"/>
              </w:rPr>
              <w:t xml:space="preserve">(ertugliflozin and </w:t>
            </w:r>
            <w:r w:rsidR="004433CF" w:rsidRPr="00BC79A0">
              <w:rPr>
                <w:rFonts w:eastAsia="MS Mincho"/>
                <w:i/>
                <w:lang w:eastAsia="ja-JP"/>
              </w:rPr>
              <w:t>metformin hydrochloride</w:t>
            </w:r>
            <w:r w:rsidR="0096579A" w:rsidRPr="00BC79A0">
              <w:rPr>
                <w:rFonts w:eastAsia="MS Mincho"/>
                <w:i/>
                <w:lang w:eastAsia="ja-JP"/>
              </w:rPr>
              <w:t>) is indicated</w:t>
            </w:r>
            <w:r w:rsidR="0096579A" w:rsidRPr="00BE2BC8">
              <w:rPr>
                <w:rFonts w:eastAsia="MS Mincho"/>
                <w:i/>
                <w:lang w:eastAsia="ja-JP"/>
              </w:rPr>
              <w:t xml:space="preserve"> as an adjunct to diet and exercise to improve glycaemic control in adults with type 2 diabetes mellitus when treatment with both ertugliflozin and </w:t>
            </w:r>
            <w:r w:rsidR="004433CF">
              <w:rPr>
                <w:rFonts w:eastAsia="MS Mincho"/>
                <w:i/>
                <w:lang w:eastAsia="ja-JP"/>
              </w:rPr>
              <w:t>metformin</w:t>
            </w:r>
            <w:r w:rsidR="004433CF" w:rsidRPr="00BE2BC8">
              <w:rPr>
                <w:rFonts w:eastAsia="MS Mincho"/>
                <w:i/>
                <w:lang w:eastAsia="ja-JP"/>
              </w:rPr>
              <w:t xml:space="preserve"> </w:t>
            </w:r>
            <w:r w:rsidR="0096579A" w:rsidRPr="00BE2BC8">
              <w:rPr>
                <w:rFonts w:eastAsia="MS Mincho"/>
                <w:i/>
                <w:lang w:eastAsia="ja-JP"/>
              </w:rPr>
              <w:t xml:space="preserve">is appropriate. [see 5.1 </w:t>
            </w:r>
            <w:r w:rsidR="005D5405" w:rsidRPr="00BE2BC8">
              <w:rPr>
                <w:rFonts w:eastAsia="MS Mincho"/>
                <w:i/>
                <w:lang w:eastAsia="ja-JP"/>
              </w:rPr>
              <w:t>Pharmacodynamic Properties</w:t>
            </w:r>
            <w:r w:rsidR="0096579A" w:rsidRPr="00BE2BC8">
              <w:rPr>
                <w:rFonts w:eastAsia="MS Mincho"/>
                <w:i/>
                <w:lang w:eastAsia="ja-JP"/>
              </w:rPr>
              <w:t xml:space="preserve">, Clinical trials, and 4.4 </w:t>
            </w:r>
            <w:r w:rsidR="005D5405" w:rsidRPr="00BE2BC8">
              <w:rPr>
                <w:rFonts w:eastAsia="MS Mincho"/>
                <w:i/>
                <w:lang w:eastAsia="ja-JP"/>
              </w:rPr>
              <w:t>Special Warnings</w:t>
            </w:r>
            <w:r w:rsidR="0096579A" w:rsidRPr="00BE2BC8">
              <w:rPr>
                <w:rFonts w:eastAsia="MS Mincho"/>
                <w:i/>
                <w:lang w:eastAsia="ja-JP"/>
              </w:rPr>
              <w:t xml:space="preserve"> </w:t>
            </w:r>
            <w:r w:rsidR="005D5405" w:rsidRPr="00BE2BC8">
              <w:rPr>
                <w:rFonts w:eastAsia="MS Mincho"/>
                <w:i/>
                <w:lang w:eastAsia="ja-JP"/>
              </w:rPr>
              <w:t>and</w:t>
            </w:r>
            <w:r w:rsidR="0096579A" w:rsidRPr="00BE2BC8">
              <w:rPr>
                <w:rFonts w:eastAsia="MS Mincho"/>
                <w:i/>
                <w:lang w:eastAsia="ja-JP"/>
              </w:rPr>
              <w:t xml:space="preserve"> </w:t>
            </w:r>
            <w:r w:rsidR="005D5405" w:rsidRPr="00BE2BC8">
              <w:rPr>
                <w:rFonts w:eastAsia="MS Mincho"/>
                <w:i/>
                <w:lang w:eastAsia="ja-JP"/>
              </w:rPr>
              <w:t>Precautions for Use</w:t>
            </w:r>
            <w:r w:rsidR="0096579A" w:rsidRPr="00BE2BC8">
              <w:rPr>
                <w:rFonts w:eastAsia="MS Mincho"/>
                <w:i/>
                <w:lang w:eastAsia="ja-JP"/>
              </w:rPr>
              <w:t>]</w:t>
            </w:r>
          </w:p>
        </w:tc>
      </w:tr>
      <w:tr w:rsidR="008E7846" w:rsidRPr="00487162" w14:paraId="43D8F8FF" w14:textId="77777777" w:rsidTr="000F7272">
        <w:trPr>
          <w:gridAfter w:val="1"/>
          <w:wAfter w:w="57" w:type="dxa"/>
        </w:trPr>
        <w:tc>
          <w:tcPr>
            <w:tcW w:w="2907" w:type="dxa"/>
          </w:tcPr>
          <w:p w14:paraId="3B1404EB" w14:textId="2DD558B7" w:rsidR="008E7846" w:rsidRPr="00487162" w:rsidRDefault="008E7846" w:rsidP="00E45619">
            <w:pPr>
              <w:rPr>
                <w:i/>
              </w:rPr>
            </w:pPr>
            <w:r w:rsidRPr="00487162">
              <w:rPr>
                <w:i/>
              </w:rPr>
              <w:lastRenderedPageBreak/>
              <w:t>Route of administration:</w:t>
            </w:r>
          </w:p>
        </w:tc>
        <w:tc>
          <w:tcPr>
            <w:tcW w:w="6307" w:type="dxa"/>
            <w:gridSpan w:val="2"/>
          </w:tcPr>
          <w:p w14:paraId="0A0D85F7" w14:textId="77777777" w:rsidR="008E7846" w:rsidRPr="00487162" w:rsidRDefault="0096579A" w:rsidP="0096579A">
            <w:r>
              <w:t>Oral (PO)</w:t>
            </w:r>
          </w:p>
        </w:tc>
      </w:tr>
      <w:tr w:rsidR="008E7846" w:rsidRPr="00487162" w14:paraId="60326354" w14:textId="77777777" w:rsidTr="000F7272">
        <w:trPr>
          <w:gridAfter w:val="1"/>
          <w:wAfter w:w="57" w:type="dxa"/>
        </w:trPr>
        <w:tc>
          <w:tcPr>
            <w:tcW w:w="2907" w:type="dxa"/>
          </w:tcPr>
          <w:p w14:paraId="75D5252D" w14:textId="77777777" w:rsidR="008E7846" w:rsidRPr="00487162" w:rsidRDefault="008E7846" w:rsidP="00E45619">
            <w:pPr>
              <w:rPr>
                <w:i/>
              </w:rPr>
            </w:pPr>
            <w:r w:rsidRPr="00487162">
              <w:rPr>
                <w:i/>
              </w:rPr>
              <w:t>Dosage:</w:t>
            </w:r>
          </w:p>
        </w:tc>
        <w:tc>
          <w:tcPr>
            <w:tcW w:w="6307" w:type="dxa"/>
            <w:gridSpan w:val="2"/>
          </w:tcPr>
          <w:p w14:paraId="0D0027B0" w14:textId="621179A2" w:rsidR="008E7846" w:rsidRDefault="0096579A" w:rsidP="008E7ACE">
            <w:pPr>
              <w:pStyle w:val="ListParagraph"/>
              <w:numPr>
                <w:ilvl w:val="0"/>
                <w:numId w:val="47"/>
              </w:numPr>
              <w:ind w:left="529" w:hanging="529"/>
            </w:pPr>
            <w:r>
              <w:t xml:space="preserve">The recommended starting dose of </w:t>
            </w:r>
            <w:r w:rsidR="00706C47">
              <w:t xml:space="preserve">Steglatro </w:t>
            </w:r>
            <w:r>
              <w:t>is 5</w:t>
            </w:r>
            <w:r w:rsidR="006D7D02">
              <w:t xml:space="preserve"> mg</w:t>
            </w:r>
            <w:r>
              <w:t xml:space="preserve"> once daily, taken in the morning, with or without food. In patients tolerating </w:t>
            </w:r>
            <w:r w:rsidR="00706C47">
              <w:t xml:space="preserve">Steglatro </w:t>
            </w:r>
            <w:r>
              <w:t>5</w:t>
            </w:r>
            <w:r w:rsidR="00715B39">
              <w:t xml:space="preserve"> </w:t>
            </w:r>
            <w:r w:rsidR="006D7D02">
              <w:t>mg</w:t>
            </w:r>
            <w:r>
              <w:t xml:space="preserve"> once daily the dose may be increased to 15 </w:t>
            </w:r>
            <w:r w:rsidR="006D7D02">
              <w:t>mg</w:t>
            </w:r>
            <w:r>
              <w:t xml:space="preserve"> once daily if additional glycaemic control is needed.</w:t>
            </w:r>
          </w:p>
          <w:p w14:paraId="59FF3379" w14:textId="421ECB43" w:rsidR="0096579A" w:rsidRDefault="0096579A" w:rsidP="008E7ACE">
            <w:pPr>
              <w:pStyle w:val="ListParagraph"/>
              <w:numPr>
                <w:ilvl w:val="0"/>
                <w:numId w:val="47"/>
              </w:numPr>
              <w:ind w:left="529" w:hanging="529"/>
            </w:pPr>
            <w:r>
              <w:t xml:space="preserve">The recommended starting dose of </w:t>
            </w:r>
            <w:r w:rsidR="00453FBE">
              <w:t>Steglujan</w:t>
            </w:r>
            <w:r w:rsidR="00706C47">
              <w:t xml:space="preserve"> </w:t>
            </w:r>
            <w:r>
              <w:t xml:space="preserve">is 5 </w:t>
            </w:r>
            <w:r w:rsidR="006D7D02">
              <w:t>mg</w:t>
            </w:r>
            <w:r>
              <w:t xml:space="preserve"> ertugliflozin/100</w:t>
            </w:r>
            <w:r w:rsidR="00715B39">
              <w:t xml:space="preserve"> </w:t>
            </w:r>
            <w:r w:rsidR="006D7D02">
              <w:t>mg</w:t>
            </w:r>
            <w:r>
              <w:t xml:space="preserve"> sitagliptin once daily, taken in the morning, with or without food. In patients tolerating </w:t>
            </w:r>
            <w:r w:rsidR="00453FBE">
              <w:t>Steglujan</w:t>
            </w:r>
            <w:r>
              <w:t xml:space="preserve">, the dose may be increased to 15 </w:t>
            </w:r>
            <w:r w:rsidR="006D7D02">
              <w:t>mg</w:t>
            </w:r>
            <w:r>
              <w:t xml:space="preserve"> ertugliflozin/100 </w:t>
            </w:r>
            <w:r w:rsidR="006D7D02">
              <w:t>mg</w:t>
            </w:r>
            <w:r>
              <w:t xml:space="preserve"> sitagliptin once daily if additional glycaemic control is needed.</w:t>
            </w:r>
          </w:p>
          <w:p w14:paraId="2E668D10" w14:textId="77777777" w:rsidR="0096579A" w:rsidRDefault="0096579A" w:rsidP="008E7ACE">
            <w:pPr>
              <w:ind w:left="529"/>
            </w:pPr>
            <w:r>
              <w:t xml:space="preserve">For patients treated with ertugliflozin who are being switched to </w:t>
            </w:r>
            <w:r w:rsidR="00453FBE">
              <w:t>Steglujan</w:t>
            </w:r>
            <w:r>
              <w:t>, the dose of ertugliflozin can be maintained.</w:t>
            </w:r>
          </w:p>
          <w:p w14:paraId="2F3E6C11" w14:textId="77777777" w:rsidR="0096579A" w:rsidRDefault="0096579A" w:rsidP="008E7ACE">
            <w:pPr>
              <w:pStyle w:val="ListBullet"/>
              <w:numPr>
                <w:ilvl w:val="0"/>
                <w:numId w:val="47"/>
              </w:numPr>
              <w:ind w:left="529" w:hanging="529"/>
            </w:pPr>
            <w:r>
              <w:t xml:space="preserve">Take </w:t>
            </w:r>
            <w:r w:rsidR="00706C47">
              <w:t xml:space="preserve">Segluromet </w:t>
            </w:r>
            <w:r>
              <w:t>twice daily with meals, with gradual dose escalation for those initiating metformin to reduce the gastrointestinal side effects due to metformin.</w:t>
            </w:r>
          </w:p>
          <w:p w14:paraId="08C48612" w14:textId="77777777" w:rsidR="0096579A" w:rsidRDefault="0096579A" w:rsidP="008E7ACE">
            <w:pPr>
              <w:pStyle w:val="ListBullet"/>
              <w:numPr>
                <w:ilvl w:val="0"/>
                <w:numId w:val="0"/>
              </w:numPr>
              <w:ind w:left="529"/>
            </w:pPr>
            <w:r>
              <w:t xml:space="preserve">Individualise the starting dose of </w:t>
            </w:r>
            <w:r w:rsidR="00706C47">
              <w:t xml:space="preserve">Segluromet </w:t>
            </w:r>
            <w:r>
              <w:t>(ertugliflozin and metformin hydrochloride) based on the patient’s current regimen:</w:t>
            </w:r>
          </w:p>
          <w:p w14:paraId="7658155C" w14:textId="326898FD" w:rsidR="0096579A" w:rsidRDefault="00413227" w:rsidP="008E7ACE">
            <w:pPr>
              <w:pStyle w:val="ListBullet"/>
              <w:numPr>
                <w:ilvl w:val="0"/>
                <w:numId w:val="0"/>
              </w:numPr>
              <w:ind w:left="529"/>
            </w:pPr>
            <w:r>
              <w:t>-</w:t>
            </w:r>
            <w:r w:rsidR="0096579A">
              <w:t xml:space="preserve">In patients on metformin, switch to </w:t>
            </w:r>
            <w:r w:rsidR="00706C47">
              <w:t xml:space="preserve">Segluromet </w:t>
            </w:r>
            <w:r w:rsidR="0096579A">
              <w:t xml:space="preserve">tablets containing 2.5 </w:t>
            </w:r>
            <w:r w:rsidR="006D7D02">
              <w:t>mg</w:t>
            </w:r>
            <w:r w:rsidR="0096579A">
              <w:t xml:space="preserve"> ertugliflozin, with a similar total daily dose of metformin.</w:t>
            </w:r>
          </w:p>
          <w:p w14:paraId="2C386CCC" w14:textId="77777777" w:rsidR="0096579A" w:rsidRDefault="00413227" w:rsidP="008E7ACE">
            <w:pPr>
              <w:pStyle w:val="ListBullet"/>
              <w:numPr>
                <w:ilvl w:val="0"/>
                <w:numId w:val="0"/>
              </w:numPr>
              <w:ind w:left="529"/>
            </w:pPr>
            <w:r>
              <w:t>-</w:t>
            </w:r>
            <w:r w:rsidR="0096579A">
              <w:t xml:space="preserve">In patients already treated with ertugliflozin and metformin, switch to </w:t>
            </w:r>
            <w:r w:rsidR="00706C47">
              <w:t xml:space="preserve">Segluromet </w:t>
            </w:r>
            <w:r w:rsidR="0096579A">
              <w:t>tablets containing the same total daily dose of ertugliflozin and a similar daily dose of metformin.</w:t>
            </w:r>
          </w:p>
          <w:p w14:paraId="0BB2AA0D" w14:textId="7813BFFF" w:rsidR="0096579A" w:rsidRPr="00487162" w:rsidRDefault="00706C47" w:rsidP="008E7ACE">
            <w:pPr>
              <w:pStyle w:val="ListBullet"/>
              <w:numPr>
                <w:ilvl w:val="0"/>
                <w:numId w:val="0"/>
              </w:numPr>
              <w:ind w:left="529"/>
            </w:pPr>
            <w:r>
              <w:t>D</w:t>
            </w:r>
            <w:r w:rsidR="0096579A">
              <w:t xml:space="preserve">osing may be adjusted based on effectiveness and tolerability while not exceeding the maximum recommended daily dose of 15 </w:t>
            </w:r>
            <w:r w:rsidR="006D7D02">
              <w:t>mg</w:t>
            </w:r>
            <w:r w:rsidR="0096579A">
              <w:t xml:space="preserve"> ertugliflozin and 2,000</w:t>
            </w:r>
            <w:r w:rsidR="006D7D02">
              <w:t> mg</w:t>
            </w:r>
            <w:r w:rsidR="0096579A">
              <w:t xml:space="preserve"> metformin HCl.</w:t>
            </w:r>
          </w:p>
        </w:tc>
      </w:tr>
    </w:tbl>
    <w:p w14:paraId="0819669C" w14:textId="77777777" w:rsidR="008E7846" w:rsidRDefault="008E7846" w:rsidP="008E7846">
      <w:pPr>
        <w:pStyle w:val="Heading3"/>
      </w:pPr>
      <w:bookmarkStart w:id="13" w:name="_Toc247691503"/>
      <w:bookmarkStart w:id="14" w:name="_Toc314842484"/>
      <w:bookmarkStart w:id="15" w:name="_Toc4405814"/>
      <w:r>
        <w:t>Product background</w:t>
      </w:r>
      <w:bookmarkEnd w:id="13"/>
      <w:bookmarkEnd w:id="14"/>
      <w:bookmarkEnd w:id="15"/>
    </w:p>
    <w:p w14:paraId="51822106" w14:textId="77777777" w:rsidR="00013647" w:rsidRDefault="00940A89" w:rsidP="00013647">
      <w:r w:rsidRPr="00940A89">
        <w:t xml:space="preserve">This AusPAR describes </w:t>
      </w:r>
      <w:r w:rsidR="00E06CD9">
        <w:t xml:space="preserve">an application </w:t>
      </w:r>
      <w:r w:rsidRPr="00940A89">
        <w:t xml:space="preserve">by the sponsor to register </w:t>
      </w:r>
      <w:r w:rsidR="00013647">
        <w:t>a new chemical entity (NCE) ertugliflozin (as L-pyroglutamic acid), under the proposed trade names of Steglatro or MSD-ertugliflozin.</w:t>
      </w:r>
    </w:p>
    <w:p w14:paraId="0839BF6C" w14:textId="5216A009" w:rsidR="00AD7C4D" w:rsidRDefault="00013647" w:rsidP="00B66CD9">
      <w:r>
        <w:lastRenderedPageBreak/>
        <w:t xml:space="preserve">Ertugliflozin is an oral, selective inhibitor of sodium glucose co-transporter-2 (SGLT2) which inhibits renal glucose reabsorption and results in urinary glucose excretion (UGE) </w:t>
      </w:r>
      <w:r w:rsidRPr="00AD7C4D">
        <w:t>and reductions in plasma glucose and haemoglobinHb</w:t>
      </w:r>
      <w:r w:rsidR="00A04B32">
        <w:t>A1c</w:t>
      </w:r>
      <w:r w:rsidRPr="00AD7C4D">
        <w:t xml:space="preserve"> (Hb</w:t>
      </w:r>
      <w:r w:rsidR="00A04B32">
        <w:t>A1c</w:t>
      </w:r>
      <w:r w:rsidRPr="00AD7C4D">
        <w:t xml:space="preserve">) in patients with </w:t>
      </w:r>
      <w:r w:rsidR="00AD7C4D" w:rsidRPr="004C6C7D">
        <w:t>type 2 diabetes mellitus (T2DM</w:t>
      </w:r>
      <w:r w:rsidR="00AD7C4D">
        <w:t>)</w:t>
      </w:r>
      <w:r w:rsidRPr="00AD7C4D">
        <w:t>. It possesses a high selectivity for SGLT2 versus SGLT1 and other glucose transporters (</w:t>
      </w:r>
      <w:r w:rsidR="00B66CD9" w:rsidRPr="00AD7C4D">
        <w:t>GLUT1-4</w:t>
      </w:r>
      <w:r w:rsidRPr="00AD7C4D">
        <w:t>).</w:t>
      </w:r>
      <w:r w:rsidR="00AD7C4D">
        <w:t xml:space="preserve"> Steglatro</w:t>
      </w:r>
      <w:r w:rsidR="00AD7C4D" w:rsidRPr="004C6C7D">
        <w:t xml:space="preserve"> is proposed to be used as an adjunct to diet and exercise to improve glycaemic control in adults with T2DM as monotherapy when metformin is considered inappropriate due to intolerance, or in combination with other anti-hyperglycaemic agents. The recommended starting dose is 5 </w:t>
      </w:r>
      <w:r w:rsidR="006D7D02">
        <w:t>mg</w:t>
      </w:r>
      <w:r w:rsidR="00AD7C4D" w:rsidRPr="004C6C7D">
        <w:t xml:space="preserve"> PO once daily, and the maximum recommended human dose is 15 </w:t>
      </w:r>
      <w:r w:rsidR="006D7D02">
        <w:t>mg</w:t>
      </w:r>
      <w:r w:rsidR="00AD7C4D" w:rsidRPr="004C6C7D">
        <w:t xml:space="preserve"> PO once daily.</w:t>
      </w:r>
    </w:p>
    <w:p w14:paraId="2A71365A" w14:textId="0ADA1686" w:rsidR="00AD7C4D" w:rsidRDefault="00AD7C4D" w:rsidP="00AD7C4D">
      <w:r>
        <w:t xml:space="preserve">The sponsor has also concurrently submitted two applications to register two (2) new fixed dose combination (FDC) drug products indicated for glycaemic control which contain the above mentioned NCE ertugliflozin with either sitagliptin (as phosphate monohydrate </w:t>
      </w:r>
      <w:r w:rsidR="00B66CD9">
        <w:t xml:space="preserve">under the proposed trade name </w:t>
      </w:r>
      <w:r>
        <w:t>Steglujan) or metformin hydrochloride (</w:t>
      </w:r>
      <w:r w:rsidR="001C12F0">
        <w:t>proposed trade name</w:t>
      </w:r>
      <w:r>
        <w:t xml:space="preserve"> Segluromet). Whilst ertugliflozin is not currently registered in any dosage form on the Australian Register of Therapeutic Goods (ARTG), there are multiple sitagliptin or metformin immediate release and modified release tablet formulations on the ARTG, either as monotherapy or dual active FDC formulations.</w:t>
      </w:r>
    </w:p>
    <w:p w14:paraId="543EE34D" w14:textId="78D23F45" w:rsidR="004C6C7D" w:rsidRPr="00AD7C4D" w:rsidRDefault="00F14099" w:rsidP="004C6C7D">
      <w:r w:rsidRPr="00AD7C4D">
        <w:t>Steglujan</w:t>
      </w:r>
      <w:r w:rsidR="00A639BB" w:rsidRPr="00A639BB">
        <w:t xml:space="preserve"> </w:t>
      </w:r>
      <w:r w:rsidR="00A639BB">
        <w:t>(e</w:t>
      </w:r>
      <w:r w:rsidR="00A639BB" w:rsidRPr="00AD7C4D">
        <w:t>rtugliflozin/sitagliptin</w:t>
      </w:r>
      <w:r w:rsidR="00A639BB">
        <w:t>)</w:t>
      </w:r>
      <w:r w:rsidR="00AD7C4D" w:rsidRPr="00AD7C4D">
        <w:t xml:space="preserve"> is</w:t>
      </w:r>
      <w:r w:rsidR="004C6C7D" w:rsidRPr="00AD7C4D">
        <w:t xml:space="preserve"> proposed to be used as an adjunct to diet and exercise to improve glycaemic control in adults with type 2 diabetes mellitus when treatment with both ertugliflozin and sitagliptin is appropriate.</w:t>
      </w:r>
      <w:r w:rsidR="00013647" w:rsidRPr="00AD7C4D">
        <w:t xml:space="preserve"> </w:t>
      </w:r>
      <w:r w:rsidR="004C6C7D" w:rsidRPr="00AD7C4D">
        <w:t>The proposed dosage regimen</w:t>
      </w:r>
      <w:r w:rsidR="00013647" w:rsidRPr="00AD7C4D">
        <w:t>,</w:t>
      </w:r>
      <w:r w:rsidR="004C6C7D" w:rsidRPr="00AD7C4D">
        <w:t xml:space="preserve"> a starting dose of 5/100 </w:t>
      </w:r>
      <w:r w:rsidR="006D7D02">
        <w:t>mg</w:t>
      </w:r>
      <w:r w:rsidR="004C6C7D" w:rsidRPr="00AD7C4D">
        <w:t xml:space="preserve"> ertugliflozin/sitagliptin PO once daily and a maximum recommended dose of 15/100</w:t>
      </w:r>
      <w:r w:rsidR="006D7D02">
        <w:t xml:space="preserve"> mg</w:t>
      </w:r>
      <w:r w:rsidR="004C6C7D" w:rsidRPr="00AD7C4D">
        <w:t xml:space="preserve"> ertugliflozin/sitagliptin PO once daily</w:t>
      </w:r>
      <w:r w:rsidR="00013647" w:rsidRPr="00AD7C4D">
        <w:t>,</w:t>
      </w:r>
      <w:r w:rsidR="004C6C7D" w:rsidRPr="00AD7C4D">
        <w:t> is consistent with that proposed for ertugliflozin (Steglatro) and approved for sitagliptin (Januvia) as single agents.</w:t>
      </w:r>
    </w:p>
    <w:p w14:paraId="0BA2DB31" w14:textId="1017C811" w:rsidR="00307ECF" w:rsidRPr="00BF5376" w:rsidRDefault="00307ECF" w:rsidP="004C6C7D">
      <w:r w:rsidRPr="00AD7C4D">
        <w:t>Segluromet</w:t>
      </w:r>
      <w:r w:rsidR="00AD7C4D" w:rsidRPr="00AD7C4D">
        <w:t xml:space="preserve"> (</w:t>
      </w:r>
      <w:r w:rsidR="00A639BB">
        <w:t>e</w:t>
      </w:r>
      <w:r w:rsidRPr="00AD7C4D">
        <w:t>rtugliflozin</w:t>
      </w:r>
      <w:r w:rsidR="00A35220">
        <w:t>/</w:t>
      </w:r>
      <w:r w:rsidR="00DB4DE5">
        <w:t>m</w:t>
      </w:r>
      <w:r w:rsidR="00DB4DE5" w:rsidRPr="00AD7C4D">
        <w:t>etformin</w:t>
      </w:r>
      <w:r w:rsidR="00AD7C4D" w:rsidRPr="00AD7C4D">
        <w:t>) is</w:t>
      </w:r>
      <w:r w:rsidRPr="00AD7C4D">
        <w:t xml:space="preserve"> proposed to be used as an adjunct to diet and exercise to improve glycaemic control in adults with </w:t>
      </w:r>
      <w:r w:rsidR="004C6C7D" w:rsidRPr="00AD7C4D">
        <w:t>T2DM</w:t>
      </w:r>
      <w:r w:rsidRPr="00AD7C4D">
        <w:t xml:space="preserve"> when treatment with both ertugliflozin and metformin is appropriate.</w:t>
      </w:r>
      <w:r w:rsidR="004C6C7D" w:rsidRPr="00AD7C4D">
        <w:t xml:space="preserve"> </w:t>
      </w:r>
      <w:r w:rsidRPr="00AD7C4D">
        <w:t>The proposed dosage regimen</w:t>
      </w:r>
      <w:r w:rsidR="004C6C7D" w:rsidRPr="00AD7C4D">
        <w:t>,</w:t>
      </w:r>
      <w:r w:rsidRPr="00AD7C4D">
        <w:t xml:space="preserve"> twice daily PO administration of 2.5 or </w:t>
      </w:r>
      <w:r w:rsidR="00A35220">
        <w:t>7.</w:t>
      </w:r>
      <w:r w:rsidRPr="00AD7C4D">
        <w:t xml:space="preserve">5 </w:t>
      </w:r>
      <w:r w:rsidR="006D7D02">
        <w:t>mg</w:t>
      </w:r>
      <w:r w:rsidRPr="00AD7C4D">
        <w:t xml:space="preserve"> ertugliflozin with 500 or 1000</w:t>
      </w:r>
      <w:r w:rsidR="006D7D02">
        <w:t xml:space="preserve"> mg</w:t>
      </w:r>
      <w:r w:rsidRPr="00AD7C4D">
        <w:t xml:space="preserve"> metformin hydrochloride</w:t>
      </w:r>
      <w:r w:rsidR="004C6C7D" w:rsidRPr="00AD7C4D">
        <w:t>,</w:t>
      </w:r>
      <w:r w:rsidRPr="00AD7C4D">
        <w:t xml:space="preserve"> is consistent with the proposed daily dose for single-agent ertugliflozin (Steglatro) and the dosing regimen for metformin as a single</w:t>
      </w:r>
      <w:r w:rsidR="00AD7C4D" w:rsidRPr="00AD7C4D">
        <w:t xml:space="preserve"> </w:t>
      </w:r>
      <w:r w:rsidRPr="00AD7C4D">
        <w:t>agent and in various existing combination products (</w:t>
      </w:r>
      <w:r w:rsidR="00D83148" w:rsidRPr="00AD7C4D">
        <w:t>for example</w:t>
      </w:r>
      <w:r w:rsidR="006E5867" w:rsidRPr="00AD7C4D">
        <w:t>,</w:t>
      </w:r>
      <w:r w:rsidRPr="00AD7C4D">
        <w:t xml:space="preserve"> </w:t>
      </w:r>
      <w:r w:rsidR="004C6C7D" w:rsidRPr="00AD7C4D">
        <w:t>Glucophage</w:t>
      </w:r>
      <w:r w:rsidRPr="00AD7C4D">
        <w:t>; Janumet)</w:t>
      </w:r>
      <w:r w:rsidR="004C6C7D" w:rsidRPr="00AD7C4D">
        <w:t>.</w:t>
      </w:r>
    </w:p>
    <w:p w14:paraId="01BF8E98" w14:textId="17C64653" w:rsidR="00E44BED" w:rsidRDefault="00E44BED" w:rsidP="00E44BED">
      <w:r>
        <w:t>The following table summarises the 3 products that the sponsor has applied to include on the ARTG</w:t>
      </w:r>
      <w:r w:rsidR="001C12F0">
        <w:t>.</w:t>
      </w:r>
    </w:p>
    <w:p w14:paraId="2CCDFBA4" w14:textId="77777777" w:rsidR="00E44BED" w:rsidRPr="00F6631D" w:rsidRDefault="004C6C7D" w:rsidP="004C6C7D">
      <w:pPr>
        <w:pStyle w:val="TableTitle"/>
      </w:pPr>
      <w:r>
        <w:t>Table 1: Summary of the 3 concurrent applications submitted to the TGA</w:t>
      </w:r>
    </w:p>
    <w:tbl>
      <w:tblPr>
        <w:tblStyle w:val="TableTGAblue"/>
        <w:tblW w:w="8534" w:type="dxa"/>
        <w:tblLayout w:type="fixed"/>
        <w:tblLook w:val="04A0" w:firstRow="1" w:lastRow="0" w:firstColumn="1" w:lastColumn="0" w:noHBand="0" w:noVBand="1"/>
      </w:tblPr>
      <w:tblGrid>
        <w:gridCol w:w="1575"/>
        <w:gridCol w:w="2007"/>
        <w:gridCol w:w="452"/>
        <w:gridCol w:w="2170"/>
        <w:gridCol w:w="321"/>
        <w:gridCol w:w="2009"/>
      </w:tblGrid>
      <w:tr w:rsidR="00E44BED" w:rsidRPr="000F7272" w14:paraId="21EB493A" w14:textId="77777777" w:rsidTr="000F7272">
        <w:trPr>
          <w:cnfStyle w:val="100000000000" w:firstRow="1" w:lastRow="0" w:firstColumn="0" w:lastColumn="0" w:oddVBand="0" w:evenVBand="0" w:oddHBand="0" w:evenHBand="0" w:firstRowFirstColumn="0" w:firstRowLastColumn="0" w:lastRowFirstColumn="0" w:lastRowLastColumn="0"/>
          <w:cantSplit/>
          <w:trHeight w:val="145"/>
        </w:trPr>
        <w:tc>
          <w:tcPr>
            <w:tcW w:w="1575" w:type="dxa"/>
          </w:tcPr>
          <w:p w14:paraId="753B92AD" w14:textId="77777777" w:rsidR="00E44BED" w:rsidRPr="000F7272" w:rsidRDefault="00E44BED" w:rsidP="000F7272">
            <w:pPr>
              <w:ind w:left="0"/>
              <w:rPr>
                <w:sz w:val="18"/>
                <w:szCs w:val="18"/>
              </w:rPr>
            </w:pPr>
          </w:p>
        </w:tc>
        <w:tc>
          <w:tcPr>
            <w:tcW w:w="2007" w:type="dxa"/>
          </w:tcPr>
          <w:p w14:paraId="0976EE5D" w14:textId="77777777" w:rsidR="00E44BED" w:rsidRPr="000F7272" w:rsidRDefault="00E44BED" w:rsidP="000F7272">
            <w:pPr>
              <w:ind w:left="0"/>
              <w:rPr>
                <w:sz w:val="18"/>
                <w:szCs w:val="18"/>
              </w:rPr>
            </w:pPr>
            <w:r w:rsidRPr="000F7272">
              <w:rPr>
                <w:sz w:val="18"/>
                <w:szCs w:val="18"/>
              </w:rPr>
              <w:t>PM-2017-01328-1-5</w:t>
            </w:r>
          </w:p>
        </w:tc>
        <w:tc>
          <w:tcPr>
            <w:tcW w:w="2622" w:type="dxa"/>
            <w:gridSpan w:val="2"/>
          </w:tcPr>
          <w:p w14:paraId="32A30E79" w14:textId="77777777" w:rsidR="00E44BED" w:rsidRPr="000F7272" w:rsidRDefault="00E44BED" w:rsidP="000F7272">
            <w:pPr>
              <w:rPr>
                <w:sz w:val="18"/>
                <w:szCs w:val="18"/>
              </w:rPr>
            </w:pPr>
            <w:r w:rsidRPr="000F7272">
              <w:rPr>
                <w:sz w:val="18"/>
                <w:szCs w:val="18"/>
              </w:rPr>
              <w:t>PM-2017-01329-1-5</w:t>
            </w:r>
          </w:p>
        </w:tc>
        <w:tc>
          <w:tcPr>
            <w:tcW w:w="2330" w:type="dxa"/>
            <w:gridSpan w:val="2"/>
          </w:tcPr>
          <w:p w14:paraId="346F03A3" w14:textId="77777777" w:rsidR="00E44BED" w:rsidRPr="000F7272" w:rsidRDefault="00E44BED" w:rsidP="000F7272">
            <w:pPr>
              <w:rPr>
                <w:sz w:val="18"/>
                <w:szCs w:val="18"/>
              </w:rPr>
            </w:pPr>
            <w:r w:rsidRPr="000F7272">
              <w:rPr>
                <w:sz w:val="18"/>
                <w:szCs w:val="18"/>
              </w:rPr>
              <w:t>PM-2017-01330-1-5</w:t>
            </w:r>
          </w:p>
        </w:tc>
      </w:tr>
      <w:tr w:rsidR="00E44BED" w:rsidRPr="000F7272" w14:paraId="4DB57FA3" w14:textId="77777777" w:rsidTr="000F7272">
        <w:trPr>
          <w:trHeight w:val="145"/>
        </w:trPr>
        <w:tc>
          <w:tcPr>
            <w:tcW w:w="1575" w:type="dxa"/>
          </w:tcPr>
          <w:p w14:paraId="5A64F4B6" w14:textId="77777777" w:rsidR="00E44BED" w:rsidRPr="000F7272" w:rsidRDefault="00E44BED" w:rsidP="000F7272">
            <w:pPr>
              <w:ind w:left="0"/>
              <w:rPr>
                <w:rFonts w:cs="Arial"/>
                <w:b/>
                <w:sz w:val="18"/>
                <w:szCs w:val="18"/>
              </w:rPr>
            </w:pPr>
            <w:r w:rsidRPr="000F7272">
              <w:rPr>
                <w:rFonts w:cs="Arial"/>
                <w:b/>
                <w:sz w:val="18"/>
                <w:szCs w:val="18"/>
              </w:rPr>
              <w:t>Trade name(s)</w:t>
            </w:r>
          </w:p>
        </w:tc>
        <w:tc>
          <w:tcPr>
            <w:tcW w:w="2007" w:type="dxa"/>
          </w:tcPr>
          <w:p w14:paraId="6E0CBE42" w14:textId="2C84A7F5" w:rsidR="00E44BED" w:rsidRPr="000F7272" w:rsidRDefault="00E44BED" w:rsidP="000F7272">
            <w:pPr>
              <w:ind w:left="0"/>
              <w:rPr>
                <w:rFonts w:cs="Arial"/>
                <w:sz w:val="18"/>
                <w:szCs w:val="18"/>
              </w:rPr>
            </w:pPr>
            <w:r w:rsidRPr="000F7272">
              <w:rPr>
                <w:rFonts w:cs="Arial"/>
                <w:sz w:val="18"/>
                <w:szCs w:val="18"/>
              </w:rPr>
              <w:t xml:space="preserve">Steglatro X </w:t>
            </w:r>
            <w:r w:rsidR="006D7D02" w:rsidRPr="000F7272">
              <w:rPr>
                <w:rFonts w:cs="Arial"/>
                <w:sz w:val="18"/>
                <w:szCs w:val="18"/>
              </w:rPr>
              <w:t>mg</w:t>
            </w:r>
          </w:p>
          <w:p w14:paraId="79EBE980" w14:textId="782C389E" w:rsidR="00E44BED" w:rsidRPr="000F7272" w:rsidRDefault="00E44BED" w:rsidP="000F7272">
            <w:pPr>
              <w:ind w:left="0"/>
              <w:rPr>
                <w:rFonts w:cs="Arial"/>
                <w:sz w:val="18"/>
                <w:szCs w:val="18"/>
              </w:rPr>
            </w:pPr>
            <w:r w:rsidRPr="000F7272">
              <w:rPr>
                <w:rFonts w:cs="Arial"/>
                <w:sz w:val="18"/>
                <w:szCs w:val="18"/>
              </w:rPr>
              <w:t xml:space="preserve">MSD-ertugliflozin X </w:t>
            </w:r>
            <w:r w:rsidR="006D7D02" w:rsidRPr="000F7272">
              <w:rPr>
                <w:rFonts w:cs="Arial"/>
                <w:sz w:val="18"/>
                <w:szCs w:val="18"/>
              </w:rPr>
              <w:t>mg</w:t>
            </w:r>
          </w:p>
        </w:tc>
        <w:tc>
          <w:tcPr>
            <w:tcW w:w="2622" w:type="dxa"/>
            <w:gridSpan w:val="2"/>
          </w:tcPr>
          <w:p w14:paraId="6A69D98B" w14:textId="3112383F" w:rsidR="00E44BED" w:rsidRPr="000F7272" w:rsidRDefault="00E44BED" w:rsidP="000F7272">
            <w:pPr>
              <w:rPr>
                <w:rFonts w:cs="Arial"/>
                <w:sz w:val="18"/>
                <w:szCs w:val="18"/>
              </w:rPr>
            </w:pPr>
            <w:r w:rsidRPr="000F7272">
              <w:rPr>
                <w:rFonts w:cs="Arial"/>
                <w:sz w:val="18"/>
                <w:szCs w:val="18"/>
              </w:rPr>
              <w:t xml:space="preserve">Steglujan X /Y </w:t>
            </w:r>
          </w:p>
          <w:p w14:paraId="79CBA80C" w14:textId="0CCD00CE" w:rsidR="00E44BED" w:rsidRPr="000F7272" w:rsidRDefault="00E44BED" w:rsidP="000F7272">
            <w:pPr>
              <w:rPr>
                <w:rFonts w:cs="Arial"/>
                <w:sz w:val="18"/>
                <w:szCs w:val="18"/>
              </w:rPr>
            </w:pPr>
            <w:r w:rsidRPr="000F7272">
              <w:rPr>
                <w:rFonts w:cs="Arial"/>
                <w:sz w:val="18"/>
                <w:szCs w:val="18"/>
              </w:rPr>
              <w:t>MSD-ertugliflozin-sitagliptin</w:t>
            </w:r>
            <w:r w:rsidR="0011656B" w:rsidRPr="000F7272">
              <w:rPr>
                <w:rFonts w:cs="Arial"/>
                <w:sz w:val="18"/>
                <w:szCs w:val="18"/>
              </w:rPr>
              <w:t xml:space="preserve"> X /Y</w:t>
            </w:r>
          </w:p>
        </w:tc>
        <w:tc>
          <w:tcPr>
            <w:tcW w:w="2330" w:type="dxa"/>
            <w:gridSpan w:val="2"/>
          </w:tcPr>
          <w:p w14:paraId="14FACC8C" w14:textId="00C74F12" w:rsidR="00E44BED" w:rsidRPr="000F7272" w:rsidRDefault="00E44BED" w:rsidP="000F7272">
            <w:pPr>
              <w:rPr>
                <w:rFonts w:cs="Arial"/>
                <w:sz w:val="18"/>
                <w:szCs w:val="18"/>
              </w:rPr>
            </w:pPr>
            <w:r w:rsidRPr="000F7272">
              <w:rPr>
                <w:rFonts w:cs="Arial"/>
                <w:sz w:val="18"/>
                <w:szCs w:val="18"/>
              </w:rPr>
              <w:t xml:space="preserve">Segluromet X /Y </w:t>
            </w:r>
          </w:p>
          <w:p w14:paraId="7485D7D2" w14:textId="6A20F111" w:rsidR="00E44BED" w:rsidRPr="000F7272" w:rsidRDefault="00E44BED" w:rsidP="000F7272">
            <w:pPr>
              <w:rPr>
                <w:rFonts w:cs="Arial"/>
                <w:sz w:val="18"/>
                <w:szCs w:val="18"/>
              </w:rPr>
            </w:pPr>
            <w:r w:rsidRPr="000F7272">
              <w:rPr>
                <w:rFonts w:cs="Arial"/>
                <w:sz w:val="18"/>
                <w:szCs w:val="18"/>
              </w:rPr>
              <w:t xml:space="preserve">MSD-ertugliflozin-metformin X /Y </w:t>
            </w:r>
          </w:p>
        </w:tc>
      </w:tr>
      <w:tr w:rsidR="00E44BED" w:rsidRPr="000F7272" w14:paraId="728EC672" w14:textId="77777777" w:rsidTr="000F7272">
        <w:trPr>
          <w:trHeight w:val="145"/>
        </w:trPr>
        <w:tc>
          <w:tcPr>
            <w:tcW w:w="1575" w:type="dxa"/>
            <w:vMerge w:val="restart"/>
          </w:tcPr>
          <w:p w14:paraId="46EE5CB7" w14:textId="77777777" w:rsidR="00E44BED" w:rsidRPr="000F7272" w:rsidRDefault="00E44BED" w:rsidP="000F7272">
            <w:pPr>
              <w:ind w:left="0"/>
              <w:rPr>
                <w:rFonts w:cs="Arial"/>
                <w:b/>
                <w:sz w:val="18"/>
                <w:szCs w:val="18"/>
              </w:rPr>
            </w:pPr>
            <w:r w:rsidRPr="000F7272">
              <w:rPr>
                <w:rFonts w:cs="Arial"/>
                <w:b/>
                <w:sz w:val="18"/>
                <w:szCs w:val="18"/>
              </w:rPr>
              <w:t>Active(s)</w:t>
            </w:r>
          </w:p>
        </w:tc>
        <w:tc>
          <w:tcPr>
            <w:tcW w:w="2007" w:type="dxa"/>
            <w:vMerge w:val="restart"/>
          </w:tcPr>
          <w:p w14:paraId="4167C3C7" w14:textId="58C16AE5" w:rsidR="00E44BED" w:rsidRPr="000F7272" w:rsidRDefault="00E44BED" w:rsidP="000F7272">
            <w:pPr>
              <w:ind w:left="0"/>
              <w:rPr>
                <w:rFonts w:cs="Arial"/>
                <w:sz w:val="18"/>
                <w:szCs w:val="18"/>
              </w:rPr>
            </w:pPr>
            <w:r w:rsidRPr="000F7272">
              <w:rPr>
                <w:rFonts w:cs="Arial"/>
                <w:sz w:val="18"/>
                <w:szCs w:val="18"/>
              </w:rPr>
              <w:t>Ertugliflozin (as L</w:t>
            </w:r>
            <w:r w:rsidR="001C12F0" w:rsidRPr="000F7272">
              <w:rPr>
                <w:rFonts w:cs="Arial"/>
                <w:sz w:val="18"/>
                <w:szCs w:val="18"/>
              </w:rPr>
              <w:noBreakHyphen/>
            </w:r>
            <w:r w:rsidRPr="000F7272">
              <w:rPr>
                <w:rFonts w:cs="Arial"/>
                <w:sz w:val="18"/>
                <w:szCs w:val="18"/>
              </w:rPr>
              <w:t>pyroglutamic acid)</w:t>
            </w:r>
          </w:p>
        </w:tc>
        <w:tc>
          <w:tcPr>
            <w:tcW w:w="2622" w:type="dxa"/>
            <w:gridSpan w:val="2"/>
          </w:tcPr>
          <w:p w14:paraId="44CE8754" w14:textId="6AE8BEFE" w:rsidR="00E44BED" w:rsidRPr="000F7272" w:rsidRDefault="00E44BED" w:rsidP="000F7272">
            <w:pPr>
              <w:rPr>
                <w:rFonts w:cs="Arial"/>
                <w:sz w:val="18"/>
                <w:szCs w:val="18"/>
              </w:rPr>
            </w:pPr>
            <w:r w:rsidRPr="000F7272">
              <w:rPr>
                <w:rFonts w:cs="Arial"/>
                <w:sz w:val="18"/>
                <w:szCs w:val="18"/>
              </w:rPr>
              <w:t>Ertugliflozin (as L</w:t>
            </w:r>
            <w:r w:rsidR="001C12F0" w:rsidRPr="000F7272">
              <w:rPr>
                <w:rFonts w:cs="Arial"/>
                <w:sz w:val="18"/>
                <w:szCs w:val="18"/>
              </w:rPr>
              <w:noBreakHyphen/>
            </w:r>
            <w:r w:rsidRPr="000F7272">
              <w:rPr>
                <w:rFonts w:cs="Arial"/>
                <w:sz w:val="18"/>
                <w:szCs w:val="18"/>
              </w:rPr>
              <w:t>pyroglutamic acid)</w:t>
            </w:r>
          </w:p>
        </w:tc>
        <w:tc>
          <w:tcPr>
            <w:tcW w:w="2330" w:type="dxa"/>
            <w:gridSpan w:val="2"/>
          </w:tcPr>
          <w:p w14:paraId="422A79C8" w14:textId="77777777" w:rsidR="00E44BED" w:rsidRPr="000F7272" w:rsidRDefault="00E44BED" w:rsidP="000F7272">
            <w:pPr>
              <w:rPr>
                <w:rFonts w:cs="Arial"/>
                <w:sz w:val="18"/>
                <w:szCs w:val="18"/>
              </w:rPr>
            </w:pPr>
            <w:r w:rsidRPr="000F7272">
              <w:rPr>
                <w:rFonts w:cs="Arial"/>
                <w:sz w:val="18"/>
                <w:szCs w:val="18"/>
              </w:rPr>
              <w:t>Ertugliflozin (as L-pyroglutamic acid)</w:t>
            </w:r>
          </w:p>
        </w:tc>
      </w:tr>
      <w:tr w:rsidR="00E44BED" w:rsidRPr="000F7272" w14:paraId="27C640E4" w14:textId="77777777" w:rsidTr="000F7272">
        <w:trPr>
          <w:trHeight w:val="145"/>
        </w:trPr>
        <w:tc>
          <w:tcPr>
            <w:tcW w:w="1575" w:type="dxa"/>
            <w:vMerge/>
          </w:tcPr>
          <w:p w14:paraId="6A5FE69E" w14:textId="77777777" w:rsidR="00E44BED" w:rsidRPr="000F7272" w:rsidRDefault="00E44BED" w:rsidP="000F7272">
            <w:pPr>
              <w:ind w:left="0"/>
              <w:rPr>
                <w:rFonts w:cs="Arial"/>
                <w:b/>
                <w:sz w:val="18"/>
                <w:szCs w:val="18"/>
              </w:rPr>
            </w:pPr>
          </w:p>
        </w:tc>
        <w:tc>
          <w:tcPr>
            <w:tcW w:w="2007" w:type="dxa"/>
            <w:vMerge/>
          </w:tcPr>
          <w:p w14:paraId="7C1F281E" w14:textId="77777777" w:rsidR="00E44BED" w:rsidRPr="000F7272" w:rsidRDefault="00E44BED" w:rsidP="000F7272">
            <w:pPr>
              <w:ind w:left="0"/>
              <w:rPr>
                <w:rFonts w:cs="Arial"/>
                <w:sz w:val="18"/>
                <w:szCs w:val="18"/>
              </w:rPr>
            </w:pPr>
          </w:p>
        </w:tc>
        <w:tc>
          <w:tcPr>
            <w:tcW w:w="2622" w:type="dxa"/>
            <w:gridSpan w:val="2"/>
          </w:tcPr>
          <w:p w14:paraId="5252F63E" w14:textId="77777777" w:rsidR="00E44BED" w:rsidRPr="000F7272" w:rsidRDefault="00E44BED" w:rsidP="000F7272">
            <w:pPr>
              <w:rPr>
                <w:rFonts w:cs="Arial"/>
                <w:sz w:val="18"/>
                <w:szCs w:val="18"/>
              </w:rPr>
            </w:pPr>
            <w:r w:rsidRPr="000F7272">
              <w:rPr>
                <w:rFonts w:cs="Arial"/>
                <w:sz w:val="18"/>
                <w:szCs w:val="18"/>
              </w:rPr>
              <w:t>Sitagliptin (as phosphate monohydrate)</w:t>
            </w:r>
          </w:p>
        </w:tc>
        <w:tc>
          <w:tcPr>
            <w:tcW w:w="2330" w:type="dxa"/>
            <w:gridSpan w:val="2"/>
          </w:tcPr>
          <w:p w14:paraId="53BD7F37" w14:textId="77777777" w:rsidR="00E44BED" w:rsidRPr="000F7272" w:rsidRDefault="00E44BED" w:rsidP="000F7272">
            <w:pPr>
              <w:rPr>
                <w:rFonts w:cs="Arial"/>
                <w:sz w:val="18"/>
                <w:szCs w:val="18"/>
              </w:rPr>
            </w:pPr>
            <w:r w:rsidRPr="000F7272">
              <w:rPr>
                <w:rFonts w:cs="Arial"/>
                <w:sz w:val="18"/>
                <w:szCs w:val="18"/>
              </w:rPr>
              <w:t>Metformin hydrochloride</w:t>
            </w:r>
          </w:p>
        </w:tc>
      </w:tr>
      <w:tr w:rsidR="00E44BED" w:rsidRPr="000F7272" w14:paraId="593BD220" w14:textId="77777777" w:rsidTr="001C12F0">
        <w:trPr>
          <w:trHeight w:val="145"/>
        </w:trPr>
        <w:tc>
          <w:tcPr>
            <w:tcW w:w="1575" w:type="dxa"/>
          </w:tcPr>
          <w:p w14:paraId="7BB4317B" w14:textId="77777777" w:rsidR="00E44BED" w:rsidRPr="000F7272" w:rsidRDefault="00E44BED" w:rsidP="000F7272">
            <w:pPr>
              <w:ind w:left="0"/>
              <w:rPr>
                <w:rFonts w:cs="Arial"/>
                <w:b/>
                <w:sz w:val="18"/>
                <w:szCs w:val="18"/>
              </w:rPr>
            </w:pPr>
            <w:r w:rsidRPr="000F7272">
              <w:rPr>
                <w:rFonts w:cs="Arial"/>
                <w:b/>
                <w:sz w:val="18"/>
                <w:szCs w:val="18"/>
              </w:rPr>
              <w:t>Dosage form</w:t>
            </w:r>
          </w:p>
        </w:tc>
        <w:tc>
          <w:tcPr>
            <w:tcW w:w="6959" w:type="dxa"/>
            <w:gridSpan w:val="5"/>
          </w:tcPr>
          <w:p w14:paraId="4ADB46E6" w14:textId="77777777" w:rsidR="00E44BED" w:rsidRPr="000F7272" w:rsidRDefault="00E44BED" w:rsidP="000F7272">
            <w:pPr>
              <w:ind w:left="0"/>
              <w:rPr>
                <w:rFonts w:cs="Arial"/>
                <w:sz w:val="18"/>
                <w:szCs w:val="18"/>
              </w:rPr>
            </w:pPr>
            <w:r w:rsidRPr="000F7272">
              <w:rPr>
                <w:rFonts w:cs="Arial"/>
                <w:sz w:val="18"/>
                <w:szCs w:val="18"/>
              </w:rPr>
              <w:t>Tablet, film-coated</w:t>
            </w:r>
          </w:p>
        </w:tc>
      </w:tr>
      <w:tr w:rsidR="00E44BED" w:rsidRPr="000F7272" w14:paraId="257BD685" w14:textId="77777777" w:rsidTr="000F7272">
        <w:trPr>
          <w:trHeight w:val="145"/>
        </w:trPr>
        <w:tc>
          <w:tcPr>
            <w:tcW w:w="1575" w:type="dxa"/>
          </w:tcPr>
          <w:p w14:paraId="66F8F708" w14:textId="77777777" w:rsidR="00E44BED" w:rsidRPr="000F7272" w:rsidRDefault="00E44BED" w:rsidP="000F7272">
            <w:pPr>
              <w:ind w:left="0"/>
              <w:rPr>
                <w:rFonts w:cs="Arial"/>
                <w:b/>
                <w:sz w:val="18"/>
                <w:szCs w:val="18"/>
              </w:rPr>
            </w:pPr>
            <w:r w:rsidRPr="000F7272">
              <w:rPr>
                <w:rFonts w:cs="Arial"/>
                <w:b/>
                <w:sz w:val="18"/>
                <w:szCs w:val="18"/>
              </w:rPr>
              <w:t>Strengths</w:t>
            </w:r>
          </w:p>
        </w:tc>
        <w:tc>
          <w:tcPr>
            <w:tcW w:w="2007" w:type="dxa"/>
          </w:tcPr>
          <w:p w14:paraId="7829CCD6" w14:textId="169C48AE" w:rsidR="00E44BED" w:rsidRPr="000F7272" w:rsidRDefault="00E44BED" w:rsidP="000F7272">
            <w:pPr>
              <w:ind w:left="0"/>
              <w:rPr>
                <w:rFonts w:cs="Arial"/>
                <w:sz w:val="18"/>
                <w:szCs w:val="18"/>
              </w:rPr>
            </w:pPr>
            <w:r w:rsidRPr="000F7272">
              <w:rPr>
                <w:rFonts w:cs="Arial"/>
                <w:sz w:val="18"/>
                <w:szCs w:val="18"/>
              </w:rPr>
              <w:t xml:space="preserve">5 </w:t>
            </w:r>
            <w:r w:rsidR="006D7D02" w:rsidRPr="000F7272">
              <w:rPr>
                <w:rFonts w:cs="Arial"/>
                <w:sz w:val="18"/>
                <w:szCs w:val="18"/>
              </w:rPr>
              <w:t>mg</w:t>
            </w:r>
            <w:r w:rsidRPr="000F7272">
              <w:rPr>
                <w:rFonts w:cs="Arial"/>
                <w:sz w:val="18"/>
                <w:szCs w:val="18"/>
              </w:rPr>
              <w:t xml:space="preserve"> and 15 </w:t>
            </w:r>
            <w:r w:rsidR="006D7D02" w:rsidRPr="000F7272">
              <w:rPr>
                <w:rFonts w:cs="Arial"/>
                <w:sz w:val="18"/>
                <w:szCs w:val="18"/>
              </w:rPr>
              <w:t>mg</w:t>
            </w:r>
          </w:p>
        </w:tc>
        <w:tc>
          <w:tcPr>
            <w:tcW w:w="2622" w:type="dxa"/>
            <w:gridSpan w:val="2"/>
          </w:tcPr>
          <w:p w14:paraId="76A43343" w14:textId="77777777" w:rsidR="00E44BED" w:rsidRPr="000F7272" w:rsidRDefault="00E44BED" w:rsidP="000F7272">
            <w:pPr>
              <w:rPr>
                <w:rFonts w:cs="Arial"/>
                <w:sz w:val="18"/>
                <w:szCs w:val="18"/>
              </w:rPr>
            </w:pPr>
            <w:r w:rsidRPr="000F7272">
              <w:rPr>
                <w:rFonts w:cs="Arial"/>
                <w:sz w:val="18"/>
                <w:szCs w:val="18"/>
              </w:rPr>
              <w:t>Ertugliflozin/Sitagliptin</w:t>
            </w:r>
          </w:p>
          <w:p w14:paraId="144F8568" w14:textId="129D71B3" w:rsidR="00E44BED" w:rsidRPr="000F7272" w:rsidRDefault="00E44BED" w:rsidP="000F7272">
            <w:pPr>
              <w:rPr>
                <w:rFonts w:cs="Arial"/>
                <w:sz w:val="18"/>
                <w:szCs w:val="18"/>
              </w:rPr>
            </w:pPr>
            <w:r w:rsidRPr="000F7272">
              <w:rPr>
                <w:rFonts w:cs="Arial"/>
                <w:sz w:val="18"/>
                <w:szCs w:val="18"/>
              </w:rPr>
              <w:lastRenderedPageBreak/>
              <w:t xml:space="preserve">5 </w:t>
            </w:r>
            <w:r w:rsidR="006D7D02" w:rsidRPr="000F7272">
              <w:rPr>
                <w:rFonts w:cs="Arial"/>
                <w:sz w:val="18"/>
                <w:szCs w:val="18"/>
              </w:rPr>
              <w:t>mg</w:t>
            </w:r>
            <w:r w:rsidRPr="000F7272">
              <w:rPr>
                <w:rFonts w:cs="Arial"/>
                <w:sz w:val="18"/>
                <w:szCs w:val="18"/>
              </w:rPr>
              <w:t xml:space="preserve">/100 </w:t>
            </w:r>
            <w:r w:rsidR="006D7D02" w:rsidRPr="000F7272">
              <w:rPr>
                <w:rFonts w:cs="Arial"/>
                <w:sz w:val="18"/>
                <w:szCs w:val="18"/>
              </w:rPr>
              <w:t>mg</w:t>
            </w:r>
          </w:p>
          <w:p w14:paraId="49BDA832" w14:textId="0186F53A" w:rsidR="00E44BED" w:rsidRPr="000F7272" w:rsidRDefault="00E44BED" w:rsidP="000F7272">
            <w:pPr>
              <w:rPr>
                <w:rFonts w:cs="Arial"/>
                <w:sz w:val="18"/>
                <w:szCs w:val="18"/>
              </w:rPr>
            </w:pPr>
            <w:r w:rsidRPr="000F7272">
              <w:rPr>
                <w:rFonts w:cs="Arial"/>
                <w:sz w:val="18"/>
                <w:szCs w:val="18"/>
              </w:rPr>
              <w:t xml:space="preserve">15 </w:t>
            </w:r>
            <w:r w:rsidR="006D7D02" w:rsidRPr="000F7272">
              <w:rPr>
                <w:rFonts w:cs="Arial"/>
                <w:sz w:val="18"/>
                <w:szCs w:val="18"/>
              </w:rPr>
              <w:t>mg</w:t>
            </w:r>
            <w:r w:rsidRPr="000F7272">
              <w:rPr>
                <w:rFonts w:cs="Arial"/>
                <w:sz w:val="18"/>
                <w:szCs w:val="18"/>
              </w:rPr>
              <w:t xml:space="preserve">/100 </w:t>
            </w:r>
            <w:r w:rsidR="006D7D02" w:rsidRPr="000F7272">
              <w:rPr>
                <w:rFonts w:cs="Arial"/>
                <w:sz w:val="18"/>
                <w:szCs w:val="18"/>
              </w:rPr>
              <w:t>mg</w:t>
            </w:r>
          </w:p>
        </w:tc>
        <w:tc>
          <w:tcPr>
            <w:tcW w:w="2330" w:type="dxa"/>
            <w:gridSpan w:val="2"/>
          </w:tcPr>
          <w:p w14:paraId="0BEA4F99" w14:textId="77777777" w:rsidR="00E44BED" w:rsidRPr="000F7272" w:rsidRDefault="00E44BED" w:rsidP="000F7272">
            <w:pPr>
              <w:rPr>
                <w:rFonts w:cs="Arial"/>
                <w:sz w:val="18"/>
                <w:szCs w:val="18"/>
              </w:rPr>
            </w:pPr>
            <w:r w:rsidRPr="000F7272">
              <w:rPr>
                <w:rFonts w:cs="Arial"/>
                <w:sz w:val="18"/>
                <w:szCs w:val="18"/>
              </w:rPr>
              <w:lastRenderedPageBreak/>
              <w:t>Ertugliflozin/</w:t>
            </w:r>
          </w:p>
          <w:p w14:paraId="36FC545C" w14:textId="77777777" w:rsidR="00E44BED" w:rsidRPr="000F7272" w:rsidRDefault="00E44BED" w:rsidP="000F7272">
            <w:pPr>
              <w:rPr>
                <w:rFonts w:cs="Arial"/>
                <w:sz w:val="18"/>
                <w:szCs w:val="18"/>
              </w:rPr>
            </w:pPr>
            <w:r w:rsidRPr="000F7272">
              <w:rPr>
                <w:rFonts w:cs="Arial"/>
                <w:sz w:val="18"/>
                <w:szCs w:val="18"/>
              </w:rPr>
              <w:lastRenderedPageBreak/>
              <w:t>Metformin HCl</w:t>
            </w:r>
          </w:p>
          <w:p w14:paraId="093D149C" w14:textId="3E65CB3E" w:rsidR="00E44BED" w:rsidRPr="000F7272" w:rsidRDefault="00E44BED" w:rsidP="000F7272">
            <w:pPr>
              <w:rPr>
                <w:rFonts w:cs="Arial"/>
                <w:sz w:val="18"/>
                <w:szCs w:val="18"/>
              </w:rPr>
            </w:pPr>
            <w:r w:rsidRPr="000F7272">
              <w:rPr>
                <w:rFonts w:cs="Arial"/>
                <w:sz w:val="18"/>
                <w:szCs w:val="18"/>
              </w:rPr>
              <w:t xml:space="preserve">2.5 </w:t>
            </w:r>
            <w:r w:rsidR="006D7D02" w:rsidRPr="000F7272">
              <w:rPr>
                <w:rFonts w:cs="Arial"/>
                <w:sz w:val="18"/>
                <w:szCs w:val="18"/>
              </w:rPr>
              <w:t>mg</w:t>
            </w:r>
            <w:r w:rsidRPr="000F7272">
              <w:rPr>
                <w:rFonts w:cs="Arial"/>
                <w:sz w:val="18"/>
                <w:szCs w:val="18"/>
              </w:rPr>
              <w:t xml:space="preserve">/500 </w:t>
            </w:r>
            <w:r w:rsidR="006D7D02" w:rsidRPr="000F7272">
              <w:rPr>
                <w:rFonts w:cs="Arial"/>
                <w:sz w:val="18"/>
                <w:szCs w:val="18"/>
              </w:rPr>
              <w:t>mg</w:t>
            </w:r>
          </w:p>
          <w:p w14:paraId="074C4738" w14:textId="536A9E07" w:rsidR="00E44BED" w:rsidRPr="000F7272" w:rsidRDefault="00E44BED" w:rsidP="000F7272">
            <w:pPr>
              <w:rPr>
                <w:rFonts w:cs="Arial"/>
                <w:sz w:val="18"/>
                <w:szCs w:val="18"/>
              </w:rPr>
            </w:pPr>
            <w:r w:rsidRPr="000F7272">
              <w:rPr>
                <w:rFonts w:cs="Arial"/>
                <w:sz w:val="18"/>
                <w:szCs w:val="18"/>
              </w:rPr>
              <w:t xml:space="preserve">2.5 </w:t>
            </w:r>
            <w:r w:rsidR="006D7D02" w:rsidRPr="000F7272">
              <w:rPr>
                <w:rFonts w:cs="Arial"/>
                <w:sz w:val="18"/>
                <w:szCs w:val="18"/>
              </w:rPr>
              <w:t>mg</w:t>
            </w:r>
            <w:r w:rsidRPr="000F7272">
              <w:rPr>
                <w:rFonts w:cs="Arial"/>
                <w:sz w:val="18"/>
                <w:szCs w:val="18"/>
              </w:rPr>
              <w:t xml:space="preserve">/1000 </w:t>
            </w:r>
            <w:r w:rsidR="006D7D02" w:rsidRPr="000F7272">
              <w:rPr>
                <w:rFonts w:cs="Arial"/>
                <w:sz w:val="18"/>
                <w:szCs w:val="18"/>
              </w:rPr>
              <w:t>mg</w:t>
            </w:r>
          </w:p>
          <w:p w14:paraId="1454D8B5" w14:textId="16745F9B" w:rsidR="00E44BED" w:rsidRPr="000F7272" w:rsidRDefault="00E44BED" w:rsidP="000F7272">
            <w:pPr>
              <w:rPr>
                <w:rFonts w:cs="Arial"/>
                <w:sz w:val="18"/>
                <w:szCs w:val="18"/>
              </w:rPr>
            </w:pPr>
            <w:r w:rsidRPr="000F7272">
              <w:rPr>
                <w:rFonts w:cs="Arial"/>
                <w:sz w:val="18"/>
                <w:szCs w:val="18"/>
              </w:rPr>
              <w:t xml:space="preserve">7.5 </w:t>
            </w:r>
            <w:r w:rsidR="006D7D02" w:rsidRPr="000F7272">
              <w:rPr>
                <w:rFonts w:cs="Arial"/>
                <w:sz w:val="18"/>
                <w:szCs w:val="18"/>
              </w:rPr>
              <w:t>mg</w:t>
            </w:r>
            <w:r w:rsidRPr="000F7272">
              <w:rPr>
                <w:rFonts w:cs="Arial"/>
                <w:sz w:val="18"/>
                <w:szCs w:val="18"/>
              </w:rPr>
              <w:t xml:space="preserve">/500 </w:t>
            </w:r>
            <w:r w:rsidR="006D7D02" w:rsidRPr="000F7272">
              <w:rPr>
                <w:rFonts w:cs="Arial"/>
                <w:sz w:val="18"/>
                <w:szCs w:val="18"/>
              </w:rPr>
              <w:t>mg</w:t>
            </w:r>
          </w:p>
          <w:p w14:paraId="160A556C" w14:textId="3874A5DD" w:rsidR="00E44BED" w:rsidRPr="000F7272" w:rsidRDefault="00E44BED" w:rsidP="000F7272">
            <w:pPr>
              <w:rPr>
                <w:rFonts w:cs="Arial"/>
                <w:sz w:val="18"/>
                <w:szCs w:val="18"/>
              </w:rPr>
            </w:pPr>
            <w:r w:rsidRPr="000F7272">
              <w:rPr>
                <w:rFonts w:cs="Arial"/>
                <w:sz w:val="18"/>
                <w:szCs w:val="18"/>
              </w:rPr>
              <w:t xml:space="preserve">7.5 </w:t>
            </w:r>
            <w:r w:rsidR="006D7D02" w:rsidRPr="000F7272">
              <w:rPr>
                <w:rFonts w:cs="Arial"/>
                <w:sz w:val="18"/>
                <w:szCs w:val="18"/>
              </w:rPr>
              <w:t>mg</w:t>
            </w:r>
            <w:r w:rsidRPr="000F7272">
              <w:rPr>
                <w:rFonts w:cs="Arial"/>
                <w:sz w:val="18"/>
                <w:szCs w:val="18"/>
              </w:rPr>
              <w:t xml:space="preserve">/1000 </w:t>
            </w:r>
            <w:r w:rsidR="006D7D02" w:rsidRPr="000F7272">
              <w:rPr>
                <w:rFonts w:cs="Arial"/>
                <w:sz w:val="18"/>
                <w:szCs w:val="18"/>
              </w:rPr>
              <w:t>mg</w:t>
            </w:r>
          </w:p>
        </w:tc>
      </w:tr>
      <w:tr w:rsidR="00E44BED" w:rsidRPr="000F7272" w14:paraId="5552E10C" w14:textId="77777777" w:rsidTr="001C12F0">
        <w:trPr>
          <w:trHeight w:val="145"/>
        </w:trPr>
        <w:tc>
          <w:tcPr>
            <w:tcW w:w="1575" w:type="dxa"/>
          </w:tcPr>
          <w:p w14:paraId="1AE16E55" w14:textId="77777777" w:rsidR="00E44BED" w:rsidRPr="000F7272" w:rsidRDefault="00E44BED" w:rsidP="000F7272">
            <w:pPr>
              <w:ind w:left="0"/>
              <w:rPr>
                <w:rFonts w:cs="Arial"/>
                <w:b/>
                <w:sz w:val="18"/>
                <w:szCs w:val="18"/>
              </w:rPr>
            </w:pPr>
            <w:r w:rsidRPr="000F7272">
              <w:rPr>
                <w:rFonts w:cs="Arial"/>
                <w:b/>
                <w:sz w:val="18"/>
                <w:szCs w:val="18"/>
              </w:rPr>
              <w:lastRenderedPageBreak/>
              <w:t>Route of administration</w:t>
            </w:r>
          </w:p>
        </w:tc>
        <w:tc>
          <w:tcPr>
            <w:tcW w:w="6959" w:type="dxa"/>
            <w:gridSpan w:val="5"/>
          </w:tcPr>
          <w:p w14:paraId="55526754" w14:textId="77777777" w:rsidR="00E44BED" w:rsidRPr="000F7272" w:rsidRDefault="00E44BED" w:rsidP="000F7272">
            <w:pPr>
              <w:ind w:left="0"/>
              <w:rPr>
                <w:rFonts w:cs="Arial"/>
                <w:sz w:val="18"/>
                <w:szCs w:val="18"/>
              </w:rPr>
            </w:pPr>
            <w:r w:rsidRPr="000F7272">
              <w:rPr>
                <w:rFonts w:cs="Arial"/>
                <w:sz w:val="18"/>
                <w:szCs w:val="18"/>
              </w:rPr>
              <w:t xml:space="preserve">Oral </w:t>
            </w:r>
          </w:p>
        </w:tc>
      </w:tr>
      <w:tr w:rsidR="00E44BED" w:rsidRPr="000F7272" w14:paraId="655DB923" w14:textId="77777777" w:rsidTr="000F7272">
        <w:trPr>
          <w:trHeight w:val="145"/>
        </w:trPr>
        <w:tc>
          <w:tcPr>
            <w:tcW w:w="1575" w:type="dxa"/>
          </w:tcPr>
          <w:p w14:paraId="679079E6" w14:textId="77777777" w:rsidR="00E44BED" w:rsidRPr="000F7272" w:rsidRDefault="00E44BED" w:rsidP="000F7272">
            <w:pPr>
              <w:ind w:left="0"/>
              <w:rPr>
                <w:rFonts w:cs="Arial"/>
                <w:b/>
                <w:sz w:val="18"/>
                <w:szCs w:val="18"/>
              </w:rPr>
            </w:pPr>
            <w:r w:rsidRPr="000F7272">
              <w:rPr>
                <w:rFonts w:cs="Arial"/>
                <w:b/>
                <w:sz w:val="18"/>
                <w:szCs w:val="18"/>
              </w:rPr>
              <w:t>Posology</w:t>
            </w:r>
          </w:p>
        </w:tc>
        <w:tc>
          <w:tcPr>
            <w:tcW w:w="2459" w:type="dxa"/>
            <w:gridSpan w:val="2"/>
          </w:tcPr>
          <w:p w14:paraId="2CA16604" w14:textId="77777777" w:rsidR="00E44BED" w:rsidRPr="000F7272" w:rsidRDefault="00E44BED" w:rsidP="000F7272">
            <w:pPr>
              <w:ind w:left="0"/>
              <w:rPr>
                <w:rFonts w:cs="Arial"/>
                <w:sz w:val="18"/>
                <w:szCs w:val="18"/>
              </w:rPr>
            </w:pPr>
            <w:r w:rsidRPr="000F7272">
              <w:rPr>
                <w:rFonts w:cs="Arial"/>
                <w:sz w:val="18"/>
                <w:szCs w:val="18"/>
              </w:rPr>
              <w:t>1 tablet per day</w:t>
            </w:r>
          </w:p>
        </w:tc>
        <w:tc>
          <w:tcPr>
            <w:tcW w:w="2491" w:type="dxa"/>
            <w:gridSpan w:val="2"/>
          </w:tcPr>
          <w:p w14:paraId="46D36BCA" w14:textId="77777777" w:rsidR="00E44BED" w:rsidRPr="000F7272" w:rsidRDefault="00E44BED" w:rsidP="000F7272">
            <w:pPr>
              <w:rPr>
                <w:rFonts w:cs="Arial"/>
                <w:sz w:val="18"/>
                <w:szCs w:val="18"/>
              </w:rPr>
            </w:pPr>
            <w:r w:rsidRPr="000F7272">
              <w:rPr>
                <w:rFonts w:cs="Arial"/>
                <w:sz w:val="18"/>
                <w:szCs w:val="18"/>
              </w:rPr>
              <w:t>1 tablet per day</w:t>
            </w:r>
          </w:p>
        </w:tc>
        <w:tc>
          <w:tcPr>
            <w:tcW w:w="2009" w:type="dxa"/>
          </w:tcPr>
          <w:p w14:paraId="37DAF109" w14:textId="77777777" w:rsidR="00E44BED" w:rsidRPr="000F7272" w:rsidRDefault="00E44BED" w:rsidP="000F7272">
            <w:pPr>
              <w:rPr>
                <w:rFonts w:cs="Arial"/>
                <w:sz w:val="18"/>
                <w:szCs w:val="18"/>
              </w:rPr>
            </w:pPr>
            <w:r w:rsidRPr="000F7272">
              <w:rPr>
                <w:rFonts w:cs="Arial"/>
                <w:sz w:val="18"/>
                <w:szCs w:val="18"/>
              </w:rPr>
              <w:t>1 tablet twice a day</w:t>
            </w:r>
          </w:p>
        </w:tc>
      </w:tr>
      <w:tr w:rsidR="00E44BED" w:rsidRPr="000F7272" w14:paraId="61841221" w14:textId="77777777" w:rsidTr="000F7272">
        <w:trPr>
          <w:trHeight w:val="145"/>
        </w:trPr>
        <w:tc>
          <w:tcPr>
            <w:tcW w:w="1575" w:type="dxa"/>
          </w:tcPr>
          <w:p w14:paraId="57946FDF" w14:textId="77777777" w:rsidR="00E44BED" w:rsidRPr="000F7272" w:rsidRDefault="00E44BED" w:rsidP="000F7272">
            <w:pPr>
              <w:ind w:left="0"/>
              <w:rPr>
                <w:rFonts w:cs="Arial"/>
                <w:b/>
                <w:sz w:val="18"/>
                <w:szCs w:val="18"/>
              </w:rPr>
            </w:pPr>
            <w:r w:rsidRPr="000F7272">
              <w:rPr>
                <w:rFonts w:cs="Arial"/>
                <w:b/>
                <w:sz w:val="18"/>
                <w:szCs w:val="18"/>
              </w:rPr>
              <w:t>Maximum daily dose</w:t>
            </w:r>
          </w:p>
        </w:tc>
        <w:tc>
          <w:tcPr>
            <w:tcW w:w="2459" w:type="dxa"/>
            <w:gridSpan w:val="2"/>
          </w:tcPr>
          <w:p w14:paraId="74949706" w14:textId="5B9EEF6A" w:rsidR="00E44BED" w:rsidRPr="000F7272" w:rsidRDefault="00E44BED" w:rsidP="000F7272">
            <w:pPr>
              <w:ind w:left="0"/>
              <w:rPr>
                <w:rFonts w:cs="Arial"/>
                <w:sz w:val="18"/>
                <w:szCs w:val="18"/>
              </w:rPr>
            </w:pPr>
            <w:r w:rsidRPr="000F7272">
              <w:rPr>
                <w:rFonts w:cs="Arial"/>
                <w:sz w:val="18"/>
                <w:szCs w:val="18"/>
              </w:rPr>
              <w:t>15</w:t>
            </w:r>
            <w:r w:rsidR="00715B39" w:rsidRPr="000F7272">
              <w:rPr>
                <w:rFonts w:cs="Arial"/>
                <w:sz w:val="18"/>
                <w:szCs w:val="18"/>
              </w:rPr>
              <w:t xml:space="preserve"> </w:t>
            </w:r>
            <w:r w:rsidR="006D7D02" w:rsidRPr="000F7272">
              <w:rPr>
                <w:rFonts w:cs="Arial"/>
                <w:sz w:val="18"/>
                <w:szCs w:val="18"/>
              </w:rPr>
              <w:t>mg</w:t>
            </w:r>
            <w:r w:rsidRPr="000F7272">
              <w:rPr>
                <w:rFonts w:cs="Arial"/>
                <w:sz w:val="18"/>
                <w:szCs w:val="18"/>
              </w:rPr>
              <w:t xml:space="preserve"> ertugliflozin</w:t>
            </w:r>
          </w:p>
        </w:tc>
        <w:tc>
          <w:tcPr>
            <w:tcW w:w="2491" w:type="dxa"/>
            <w:gridSpan w:val="2"/>
          </w:tcPr>
          <w:p w14:paraId="0372B94B" w14:textId="7B539B08" w:rsidR="00E44BED" w:rsidRPr="000F7272" w:rsidRDefault="00E44BED" w:rsidP="000F7272">
            <w:pPr>
              <w:rPr>
                <w:rFonts w:cs="Arial"/>
                <w:sz w:val="18"/>
                <w:szCs w:val="18"/>
              </w:rPr>
            </w:pPr>
            <w:r w:rsidRPr="000F7272">
              <w:rPr>
                <w:rFonts w:cs="Arial"/>
                <w:sz w:val="18"/>
                <w:szCs w:val="18"/>
              </w:rPr>
              <w:t xml:space="preserve">15 </w:t>
            </w:r>
            <w:r w:rsidR="006D7D02" w:rsidRPr="000F7272">
              <w:rPr>
                <w:rFonts w:cs="Arial"/>
                <w:sz w:val="18"/>
                <w:szCs w:val="18"/>
              </w:rPr>
              <w:t>mg</w:t>
            </w:r>
            <w:r w:rsidRPr="000F7272">
              <w:rPr>
                <w:rFonts w:cs="Arial"/>
                <w:sz w:val="18"/>
                <w:szCs w:val="18"/>
              </w:rPr>
              <w:t xml:space="preserve"> ertugliflozin</w:t>
            </w:r>
          </w:p>
          <w:p w14:paraId="633B2C50" w14:textId="516F86D4" w:rsidR="00E44BED" w:rsidRPr="000F7272" w:rsidRDefault="00E44BED" w:rsidP="000F7272">
            <w:pPr>
              <w:rPr>
                <w:rFonts w:cs="Arial"/>
                <w:sz w:val="18"/>
                <w:szCs w:val="18"/>
              </w:rPr>
            </w:pPr>
            <w:r w:rsidRPr="000F7272">
              <w:rPr>
                <w:rFonts w:cs="Arial"/>
                <w:sz w:val="18"/>
                <w:szCs w:val="18"/>
              </w:rPr>
              <w:t xml:space="preserve">100 </w:t>
            </w:r>
            <w:r w:rsidR="006D7D02" w:rsidRPr="000F7272">
              <w:rPr>
                <w:rFonts w:cs="Arial"/>
                <w:sz w:val="18"/>
                <w:szCs w:val="18"/>
              </w:rPr>
              <w:t>mg</w:t>
            </w:r>
            <w:r w:rsidRPr="000F7272">
              <w:rPr>
                <w:rFonts w:cs="Arial"/>
                <w:sz w:val="18"/>
                <w:szCs w:val="18"/>
              </w:rPr>
              <w:t xml:space="preserve"> sitagliptin</w:t>
            </w:r>
          </w:p>
        </w:tc>
        <w:tc>
          <w:tcPr>
            <w:tcW w:w="2009" w:type="dxa"/>
          </w:tcPr>
          <w:p w14:paraId="701FF07F" w14:textId="5BA86FF8" w:rsidR="00E44BED" w:rsidRPr="000F7272" w:rsidRDefault="00E44BED" w:rsidP="000F7272">
            <w:pPr>
              <w:rPr>
                <w:rFonts w:cs="Arial"/>
                <w:sz w:val="18"/>
                <w:szCs w:val="18"/>
              </w:rPr>
            </w:pPr>
            <w:r w:rsidRPr="000F7272">
              <w:rPr>
                <w:rFonts w:cs="Arial"/>
                <w:sz w:val="18"/>
                <w:szCs w:val="18"/>
              </w:rPr>
              <w:t>15</w:t>
            </w:r>
            <w:r w:rsidR="00715B39" w:rsidRPr="000F7272">
              <w:rPr>
                <w:rFonts w:cs="Arial"/>
                <w:sz w:val="18"/>
                <w:szCs w:val="18"/>
              </w:rPr>
              <w:t xml:space="preserve"> </w:t>
            </w:r>
            <w:r w:rsidR="006D7D02" w:rsidRPr="000F7272">
              <w:rPr>
                <w:rFonts w:cs="Arial"/>
                <w:sz w:val="18"/>
                <w:szCs w:val="18"/>
              </w:rPr>
              <w:t>mg</w:t>
            </w:r>
            <w:r w:rsidRPr="000F7272">
              <w:rPr>
                <w:rFonts w:cs="Arial"/>
                <w:sz w:val="18"/>
                <w:szCs w:val="18"/>
              </w:rPr>
              <w:t xml:space="preserve"> ertugliflozin</w:t>
            </w:r>
          </w:p>
          <w:p w14:paraId="145A2682" w14:textId="67DC62EB" w:rsidR="00E44BED" w:rsidRPr="000F7272" w:rsidRDefault="00E44BED" w:rsidP="000F7272">
            <w:pPr>
              <w:rPr>
                <w:rFonts w:cs="Arial"/>
                <w:sz w:val="18"/>
                <w:szCs w:val="18"/>
              </w:rPr>
            </w:pPr>
            <w:r w:rsidRPr="000F7272">
              <w:rPr>
                <w:rFonts w:cs="Arial"/>
                <w:sz w:val="18"/>
                <w:szCs w:val="18"/>
              </w:rPr>
              <w:t xml:space="preserve">2000 </w:t>
            </w:r>
            <w:r w:rsidR="006D7D02" w:rsidRPr="000F7272">
              <w:rPr>
                <w:rFonts w:cs="Arial"/>
                <w:sz w:val="18"/>
                <w:szCs w:val="18"/>
              </w:rPr>
              <w:t>mg</w:t>
            </w:r>
            <w:r w:rsidRPr="000F7272">
              <w:rPr>
                <w:rFonts w:cs="Arial"/>
                <w:sz w:val="18"/>
                <w:szCs w:val="18"/>
              </w:rPr>
              <w:t xml:space="preserve"> metformin HCl</w:t>
            </w:r>
          </w:p>
        </w:tc>
      </w:tr>
      <w:tr w:rsidR="00E44BED" w:rsidRPr="000F7272" w14:paraId="42CB651B" w14:textId="77777777" w:rsidTr="001C12F0">
        <w:trPr>
          <w:trHeight w:val="145"/>
        </w:trPr>
        <w:tc>
          <w:tcPr>
            <w:tcW w:w="1575" w:type="dxa"/>
          </w:tcPr>
          <w:p w14:paraId="22B87214" w14:textId="77777777" w:rsidR="00E44BED" w:rsidRPr="000F7272" w:rsidRDefault="00E44BED" w:rsidP="000F7272">
            <w:pPr>
              <w:ind w:left="0"/>
              <w:rPr>
                <w:rFonts w:cs="Arial"/>
                <w:b/>
                <w:sz w:val="18"/>
                <w:szCs w:val="18"/>
              </w:rPr>
            </w:pPr>
            <w:r w:rsidRPr="000F7272">
              <w:rPr>
                <w:rFonts w:cs="Arial"/>
                <w:b/>
                <w:sz w:val="18"/>
                <w:szCs w:val="18"/>
              </w:rPr>
              <w:t>Pack type</w:t>
            </w:r>
          </w:p>
        </w:tc>
        <w:tc>
          <w:tcPr>
            <w:tcW w:w="6959" w:type="dxa"/>
            <w:gridSpan w:val="5"/>
          </w:tcPr>
          <w:p w14:paraId="18FD26EF" w14:textId="77777777" w:rsidR="00E44BED" w:rsidRPr="000F7272" w:rsidRDefault="00E44BED" w:rsidP="000F7272">
            <w:pPr>
              <w:ind w:left="0"/>
              <w:rPr>
                <w:rFonts w:cs="Arial"/>
                <w:sz w:val="18"/>
                <w:szCs w:val="18"/>
              </w:rPr>
            </w:pPr>
            <w:r w:rsidRPr="000F7272">
              <w:rPr>
                <w:rFonts w:cs="Arial"/>
                <w:sz w:val="18"/>
                <w:szCs w:val="18"/>
              </w:rPr>
              <w:t>Al/Al blisters</w:t>
            </w:r>
          </w:p>
        </w:tc>
      </w:tr>
      <w:tr w:rsidR="00E44BED" w:rsidRPr="000F7272" w14:paraId="7DA14BCE" w14:textId="77777777" w:rsidTr="000F7272">
        <w:trPr>
          <w:trHeight w:val="145"/>
        </w:trPr>
        <w:tc>
          <w:tcPr>
            <w:tcW w:w="1575" w:type="dxa"/>
          </w:tcPr>
          <w:p w14:paraId="0FF2A530" w14:textId="77777777" w:rsidR="00E44BED" w:rsidRPr="000F7272" w:rsidRDefault="00E44BED" w:rsidP="000F7272">
            <w:pPr>
              <w:ind w:left="0"/>
              <w:rPr>
                <w:rFonts w:cs="Arial"/>
                <w:b/>
                <w:sz w:val="18"/>
                <w:szCs w:val="18"/>
              </w:rPr>
            </w:pPr>
            <w:r w:rsidRPr="000F7272">
              <w:rPr>
                <w:rFonts w:cs="Arial"/>
                <w:b/>
                <w:sz w:val="18"/>
                <w:szCs w:val="18"/>
              </w:rPr>
              <w:t>Pack size(s)</w:t>
            </w:r>
          </w:p>
        </w:tc>
        <w:tc>
          <w:tcPr>
            <w:tcW w:w="2459" w:type="dxa"/>
            <w:gridSpan w:val="2"/>
          </w:tcPr>
          <w:p w14:paraId="6AB7D6E3" w14:textId="77777777" w:rsidR="00E44BED" w:rsidRPr="000F7272" w:rsidRDefault="00E44BED" w:rsidP="000F7272">
            <w:pPr>
              <w:ind w:left="0"/>
              <w:rPr>
                <w:rFonts w:cs="Arial"/>
                <w:sz w:val="18"/>
                <w:szCs w:val="18"/>
              </w:rPr>
            </w:pPr>
            <w:r w:rsidRPr="000F7272">
              <w:rPr>
                <w:rFonts w:cs="Arial"/>
                <w:sz w:val="18"/>
                <w:szCs w:val="18"/>
              </w:rPr>
              <w:t>7 and 28 tablets</w:t>
            </w:r>
          </w:p>
        </w:tc>
        <w:tc>
          <w:tcPr>
            <w:tcW w:w="2491" w:type="dxa"/>
            <w:gridSpan w:val="2"/>
          </w:tcPr>
          <w:p w14:paraId="29BBA200" w14:textId="77777777" w:rsidR="00E44BED" w:rsidRPr="000F7272" w:rsidRDefault="00E44BED" w:rsidP="000F7272">
            <w:pPr>
              <w:rPr>
                <w:rFonts w:cs="Arial"/>
                <w:sz w:val="18"/>
                <w:szCs w:val="18"/>
              </w:rPr>
            </w:pPr>
            <w:r w:rsidRPr="000F7272">
              <w:rPr>
                <w:rFonts w:cs="Arial"/>
                <w:sz w:val="18"/>
                <w:szCs w:val="18"/>
              </w:rPr>
              <w:t>7 and 28 tablets</w:t>
            </w:r>
          </w:p>
        </w:tc>
        <w:tc>
          <w:tcPr>
            <w:tcW w:w="2009" w:type="dxa"/>
          </w:tcPr>
          <w:p w14:paraId="1E42A42E" w14:textId="77777777" w:rsidR="00E44BED" w:rsidRPr="000F7272" w:rsidRDefault="00E44BED" w:rsidP="000F7272">
            <w:pPr>
              <w:rPr>
                <w:rFonts w:cs="Arial"/>
                <w:sz w:val="18"/>
                <w:szCs w:val="18"/>
              </w:rPr>
            </w:pPr>
            <w:r w:rsidRPr="000F7272">
              <w:rPr>
                <w:rFonts w:cs="Arial"/>
                <w:sz w:val="18"/>
                <w:szCs w:val="18"/>
              </w:rPr>
              <w:t>14 and 56 tablets</w:t>
            </w:r>
          </w:p>
        </w:tc>
      </w:tr>
      <w:tr w:rsidR="00013647" w:rsidRPr="000F7272" w14:paraId="193767F6" w14:textId="77777777" w:rsidTr="000F7272">
        <w:trPr>
          <w:trHeight w:val="145"/>
        </w:trPr>
        <w:tc>
          <w:tcPr>
            <w:tcW w:w="1575" w:type="dxa"/>
          </w:tcPr>
          <w:p w14:paraId="2FE60889" w14:textId="77777777" w:rsidR="00013647" w:rsidRPr="000F7272" w:rsidRDefault="00013647" w:rsidP="000F7272">
            <w:pPr>
              <w:ind w:left="0"/>
              <w:rPr>
                <w:rFonts w:cs="Arial"/>
                <w:b/>
                <w:sz w:val="18"/>
                <w:szCs w:val="18"/>
              </w:rPr>
            </w:pPr>
            <w:r w:rsidRPr="000F7272">
              <w:rPr>
                <w:rFonts w:cs="Arial"/>
                <w:b/>
                <w:sz w:val="18"/>
                <w:szCs w:val="18"/>
              </w:rPr>
              <w:t>Proposed indications</w:t>
            </w:r>
          </w:p>
        </w:tc>
        <w:tc>
          <w:tcPr>
            <w:tcW w:w="2459" w:type="dxa"/>
            <w:gridSpan w:val="2"/>
          </w:tcPr>
          <w:p w14:paraId="26E23C6C" w14:textId="77777777" w:rsidR="00013647" w:rsidRPr="000F7272" w:rsidRDefault="00040671" w:rsidP="000F7272">
            <w:pPr>
              <w:ind w:left="0"/>
              <w:rPr>
                <w:rFonts w:cs="Arial"/>
                <w:sz w:val="18"/>
                <w:szCs w:val="18"/>
              </w:rPr>
            </w:pPr>
            <w:r w:rsidRPr="000F7272">
              <w:rPr>
                <w:sz w:val="18"/>
                <w:szCs w:val="18"/>
              </w:rPr>
              <w:t>Steglatro (ertugliflozin) is indicated as an adjunct to diet and exercise to improve glycaemic control in adults with type 2 diabetes mellitus as monotherapy when metformin is considered inappropriate due to intolerance or in combination with other anti-hyperglycaemic agents.</w:t>
            </w:r>
          </w:p>
        </w:tc>
        <w:tc>
          <w:tcPr>
            <w:tcW w:w="2491" w:type="dxa"/>
            <w:gridSpan w:val="2"/>
          </w:tcPr>
          <w:p w14:paraId="5034CE1B" w14:textId="0CCBCBCF" w:rsidR="00013647" w:rsidRPr="000F7272" w:rsidRDefault="00A35220" w:rsidP="000F7272">
            <w:pPr>
              <w:rPr>
                <w:rFonts w:cs="Arial"/>
                <w:sz w:val="18"/>
                <w:szCs w:val="18"/>
              </w:rPr>
            </w:pPr>
            <w:r w:rsidRPr="000F7272">
              <w:rPr>
                <w:rFonts w:asciiTheme="minorHAnsi" w:eastAsiaTheme="minorHAnsi" w:hAnsiTheme="minorHAnsi" w:cs="ArialMT"/>
                <w:sz w:val="18"/>
                <w:szCs w:val="18"/>
              </w:rPr>
              <w:t>Steglujan</w:t>
            </w:r>
            <w:r w:rsidR="00040671" w:rsidRPr="000F7272">
              <w:rPr>
                <w:rFonts w:asciiTheme="minorHAnsi" w:eastAsiaTheme="minorHAnsi" w:hAnsiTheme="minorHAnsi" w:cs="ArialMT"/>
                <w:sz w:val="18"/>
                <w:szCs w:val="18"/>
              </w:rPr>
              <w:t xml:space="preserve"> (ertugliflozin and sitagliptin phosphate monohydrate) is indicated as an adjunct to diet and exercise to improve glycaemic control in adults with type 2 diabetes </w:t>
            </w:r>
            <w:r w:rsidR="00040671" w:rsidRPr="000F7272">
              <w:rPr>
                <w:rFonts w:asciiTheme="minorHAnsi" w:hAnsiTheme="minorHAnsi" w:cs="ArialMT"/>
                <w:sz w:val="18"/>
                <w:szCs w:val="18"/>
              </w:rPr>
              <w:t>mellitus when treatment with both ertugliflozin and sitagliptin is appropriate.</w:t>
            </w:r>
          </w:p>
        </w:tc>
        <w:tc>
          <w:tcPr>
            <w:tcW w:w="2009" w:type="dxa"/>
          </w:tcPr>
          <w:p w14:paraId="14D3B79B" w14:textId="01567009" w:rsidR="00013647" w:rsidRPr="000F7272" w:rsidRDefault="00040671" w:rsidP="000F7272">
            <w:pPr>
              <w:rPr>
                <w:rFonts w:cs="Arial"/>
                <w:sz w:val="18"/>
                <w:szCs w:val="18"/>
              </w:rPr>
            </w:pPr>
            <w:r w:rsidRPr="000F7272">
              <w:rPr>
                <w:rFonts w:cs="Arial"/>
                <w:sz w:val="18"/>
                <w:szCs w:val="18"/>
              </w:rPr>
              <w:t xml:space="preserve">Segluromet (ertugliflozin and metformin hydrochloride) is indicated as an adjunct to diet and exercise to improve glycaemic control in adults with T2DM when treatment with both ertugliflozin and </w:t>
            </w:r>
            <w:r w:rsidR="00E06CD9" w:rsidRPr="000F7272">
              <w:rPr>
                <w:rFonts w:cs="Arial"/>
                <w:sz w:val="18"/>
                <w:szCs w:val="18"/>
              </w:rPr>
              <w:t>metformin is appropriate.</w:t>
            </w:r>
          </w:p>
        </w:tc>
      </w:tr>
      <w:tr w:rsidR="00E44BED" w:rsidRPr="000F7272" w14:paraId="4382DD4C" w14:textId="77777777" w:rsidTr="001C12F0">
        <w:trPr>
          <w:trHeight w:val="145"/>
        </w:trPr>
        <w:tc>
          <w:tcPr>
            <w:tcW w:w="1575" w:type="dxa"/>
          </w:tcPr>
          <w:p w14:paraId="7D9C1A1C" w14:textId="77777777" w:rsidR="00E44BED" w:rsidRPr="000F7272" w:rsidRDefault="00E44BED" w:rsidP="000F7272">
            <w:pPr>
              <w:ind w:left="0"/>
              <w:rPr>
                <w:rFonts w:cs="Arial"/>
                <w:b/>
                <w:sz w:val="18"/>
                <w:szCs w:val="18"/>
              </w:rPr>
            </w:pPr>
            <w:r w:rsidRPr="000F7272">
              <w:rPr>
                <w:rFonts w:cs="Arial"/>
                <w:b/>
                <w:sz w:val="18"/>
                <w:szCs w:val="18"/>
              </w:rPr>
              <w:t>Storage conditions</w:t>
            </w:r>
          </w:p>
        </w:tc>
        <w:tc>
          <w:tcPr>
            <w:tcW w:w="6959" w:type="dxa"/>
            <w:gridSpan w:val="5"/>
          </w:tcPr>
          <w:p w14:paraId="68A2AAE4" w14:textId="77777777" w:rsidR="00E44BED" w:rsidRPr="000F7272" w:rsidRDefault="00E44BED" w:rsidP="000F7272">
            <w:pPr>
              <w:ind w:left="0"/>
              <w:rPr>
                <w:rFonts w:cs="Arial"/>
                <w:sz w:val="18"/>
                <w:szCs w:val="18"/>
              </w:rPr>
            </w:pPr>
            <w:r w:rsidRPr="000F7272">
              <w:rPr>
                <w:rFonts w:cs="Arial"/>
                <w:sz w:val="18"/>
                <w:szCs w:val="18"/>
              </w:rPr>
              <w:t>Store below 30°C</w:t>
            </w:r>
          </w:p>
        </w:tc>
      </w:tr>
      <w:tr w:rsidR="00E44BED" w:rsidRPr="000F7272" w14:paraId="79E8522C" w14:textId="77777777" w:rsidTr="001C12F0">
        <w:trPr>
          <w:trHeight w:val="145"/>
        </w:trPr>
        <w:tc>
          <w:tcPr>
            <w:tcW w:w="1575" w:type="dxa"/>
          </w:tcPr>
          <w:p w14:paraId="0E7078BD" w14:textId="77777777" w:rsidR="00E44BED" w:rsidRPr="000F7272" w:rsidRDefault="00E44BED" w:rsidP="000F7272">
            <w:pPr>
              <w:ind w:left="0"/>
              <w:rPr>
                <w:rFonts w:cs="Arial"/>
                <w:b/>
                <w:sz w:val="18"/>
                <w:szCs w:val="18"/>
              </w:rPr>
            </w:pPr>
            <w:r w:rsidRPr="000F7272">
              <w:rPr>
                <w:rFonts w:cs="Arial"/>
                <w:b/>
                <w:sz w:val="18"/>
                <w:szCs w:val="18"/>
              </w:rPr>
              <w:t>Shelf life</w:t>
            </w:r>
          </w:p>
        </w:tc>
        <w:tc>
          <w:tcPr>
            <w:tcW w:w="6959" w:type="dxa"/>
            <w:gridSpan w:val="5"/>
          </w:tcPr>
          <w:p w14:paraId="0BD4B31F" w14:textId="77777777" w:rsidR="00E44BED" w:rsidRPr="000F7272" w:rsidRDefault="00E44BED" w:rsidP="000F7272">
            <w:pPr>
              <w:ind w:left="0"/>
              <w:rPr>
                <w:rFonts w:cs="Arial"/>
                <w:sz w:val="18"/>
                <w:szCs w:val="18"/>
              </w:rPr>
            </w:pPr>
            <w:r w:rsidRPr="000F7272">
              <w:rPr>
                <w:rFonts w:cs="Arial"/>
                <w:sz w:val="18"/>
                <w:szCs w:val="18"/>
              </w:rPr>
              <w:t>24 months</w:t>
            </w:r>
          </w:p>
        </w:tc>
      </w:tr>
    </w:tbl>
    <w:p w14:paraId="60A55EBD" w14:textId="77777777" w:rsidR="00C442DD" w:rsidRPr="004C6C7D" w:rsidRDefault="00C442DD" w:rsidP="00C442DD">
      <w:pPr>
        <w:pStyle w:val="Heading4"/>
      </w:pPr>
      <w:r>
        <w:t>SGLT-2 inhibitors</w:t>
      </w:r>
    </w:p>
    <w:p w14:paraId="43306322" w14:textId="77777777" w:rsidR="006D4749" w:rsidRDefault="006D4749" w:rsidP="006D4749">
      <w:r>
        <w:t xml:space="preserve">There are three other </w:t>
      </w:r>
      <w:r w:rsidR="00AD7C4D">
        <w:t xml:space="preserve">ARTG </w:t>
      </w:r>
      <w:r>
        <w:t xml:space="preserve">registered SGLT-2 inhibitors: empagliflozin, </w:t>
      </w:r>
      <w:r w:rsidR="00E2144F">
        <w:t>dapagliflozin and canagliflozin</w:t>
      </w:r>
      <w:r w:rsidR="00C442DD">
        <w:t xml:space="preserve"> and these are summarised in the table below</w:t>
      </w:r>
      <w:r w:rsidR="00E2144F">
        <w:t>.</w:t>
      </w:r>
    </w:p>
    <w:p w14:paraId="3257ED76" w14:textId="77777777" w:rsidR="00C442DD" w:rsidRDefault="00C442DD" w:rsidP="00C442DD">
      <w:pPr>
        <w:pStyle w:val="TableTitle"/>
      </w:pPr>
      <w:r>
        <w:lastRenderedPageBreak/>
        <w:t>Table 2: Comparison to 3 other SGLT-2 inhibitors on the ARTG</w:t>
      </w:r>
    </w:p>
    <w:tbl>
      <w:tblPr>
        <w:tblStyle w:val="TableTGAblue"/>
        <w:tblW w:w="8897" w:type="dxa"/>
        <w:tblLayout w:type="fixed"/>
        <w:tblLook w:val="04A0" w:firstRow="1" w:lastRow="0" w:firstColumn="1" w:lastColumn="0" w:noHBand="0" w:noVBand="1"/>
      </w:tblPr>
      <w:tblGrid>
        <w:gridCol w:w="1708"/>
        <w:gridCol w:w="1802"/>
        <w:gridCol w:w="1843"/>
        <w:gridCol w:w="1701"/>
        <w:gridCol w:w="1843"/>
      </w:tblGrid>
      <w:tr w:rsidR="00C442DD" w:rsidRPr="00C442DD" w14:paraId="1DF466D6" w14:textId="77777777" w:rsidTr="00C442DD">
        <w:trPr>
          <w:cnfStyle w:val="100000000000" w:firstRow="1" w:lastRow="0" w:firstColumn="0" w:lastColumn="0" w:oddVBand="0" w:evenVBand="0" w:oddHBand="0" w:evenHBand="0" w:firstRowFirstColumn="0" w:firstRowLastColumn="0" w:lastRowFirstColumn="0" w:lastRowLastColumn="0"/>
        </w:trPr>
        <w:tc>
          <w:tcPr>
            <w:tcW w:w="1708" w:type="dxa"/>
          </w:tcPr>
          <w:p w14:paraId="723DA719" w14:textId="77777777" w:rsidR="00C442DD" w:rsidRPr="00C442DD" w:rsidRDefault="00C442DD" w:rsidP="00BF2AB2">
            <w:pPr>
              <w:ind w:left="0" w:right="0"/>
              <w:rPr>
                <w:sz w:val="18"/>
                <w:szCs w:val="18"/>
              </w:rPr>
            </w:pPr>
          </w:p>
        </w:tc>
        <w:tc>
          <w:tcPr>
            <w:tcW w:w="1802" w:type="dxa"/>
          </w:tcPr>
          <w:p w14:paraId="4240651D" w14:textId="77777777" w:rsidR="00C442DD" w:rsidRPr="00C442DD" w:rsidRDefault="00C442DD" w:rsidP="00BF2AB2">
            <w:pPr>
              <w:ind w:left="0" w:right="0"/>
              <w:rPr>
                <w:sz w:val="18"/>
                <w:szCs w:val="18"/>
              </w:rPr>
            </w:pPr>
            <w:r w:rsidRPr="00C442DD">
              <w:rPr>
                <w:sz w:val="18"/>
                <w:szCs w:val="18"/>
              </w:rPr>
              <w:t>Ertugliflozin</w:t>
            </w:r>
          </w:p>
        </w:tc>
        <w:tc>
          <w:tcPr>
            <w:tcW w:w="1843" w:type="dxa"/>
          </w:tcPr>
          <w:p w14:paraId="3B73ED1E" w14:textId="77777777" w:rsidR="00C442DD" w:rsidRPr="00C442DD" w:rsidRDefault="00C442DD" w:rsidP="00BF2AB2">
            <w:pPr>
              <w:ind w:left="0" w:right="0"/>
              <w:rPr>
                <w:sz w:val="18"/>
                <w:szCs w:val="18"/>
              </w:rPr>
            </w:pPr>
            <w:r w:rsidRPr="00C442DD">
              <w:rPr>
                <w:sz w:val="18"/>
                <w:szCs w:val="18"/>
              </w:rPr>
              <w:t>Canagliflozin</w:t>
            </w:r>
          </w:p>
        </w:tc>
        <w:tc>
          <w:tcPr>
            <w:tcW w:w="1701" w:type="dxa"/>
          </w:tcPr>
          <w:p w14:paraId="695C5ABB" w14:textId="77777777" w:rsidR="00C442DD" w:rsidRPr="00C442DD" w:rsidRDefault="00C442DD" w:rsidP="00BF2AB2">
            <w:pPr>
              <w:ind w:left="0" w:right="0"/>
              <w:rPr>
                <w:sz w:val="18"/>
                <w:szCs w:val="18"/>
              </w:rPr>
            </w:pPr>
            <w:r w:rsidRPr="00C442DD">
              <w:rPr>
                <w:sz w:val="18"/>
                <w:szCs w:val="18"/>
              </w:rPr>
              <w:t>Empagliflozin</w:t>
            </w:r>
          </w:p>
        </w:tc>
        <w:tc>
          <w:tcPr>
            <w:tcW w:w="1843" w:type="dxa"/>
          </w:tcPr>
          <w:p w14:paraId="1711B90A" w14:textId="77777777" w:rsidR="00C442DD" w:rsidRPr="00C442DD" w:rsidRDefault="00C442DD" w:rsidP="00BF2AB2">
            <w:pPr>
              <w:ind w:left="0" w:right="0"/>
              <w:rPr>
                <w:sz w:val="18"/>
                <w:szCs w:val="18"/>
              </w:rPr>
            </w:pPr>
            <w:r w:rsidRPr="00C442DD">
              <w:rPr>
                <w:sz w:val="18"/>
                <w:szCs w:val="18"/>
              </w:rPr>
              <w:t>Dapagliflozin</w:t>
            </w:r>
          </w:p>
        </w:tc>
      </w:tr>
      <w:tr w:rsidR="00C442DD" w:rsidRPr="00C442DD" w14:paraId="6773305A" w14:textId="77777777" w:rsidTr="00C442DD">
        <w:tc>
          <w:tcPr>
            <w:tcW w:w="1708" w:type="dxa"/>
          </w:tcPr>
          <w:p w14:paraId="4419EE0B" w14:textId="77777777" w:rsidR="00C442DD" w:rsidRPr="00C442DD" w:rsidRDefault="00C442DD" w:rsidP="00BF2AB2">
            <w:pPr>
              <w:ind w:left="0" w:right="0"/>
              <w:rPr>
                <w:b/>
                <w:sz w:val="18"/>
                <w:szCs w:val="18"/>
              </w:rPr>
            </w:pPr>
            <w:r w:rsidRPr="00C442DD">
              <w:rPr>
                <w:b/>
                <w:sz w:val="18"/>
                <w:szCs w:val="18"/>
              </w:rPr>
              <w:t>Year registered</w:t>
            </w:r>
          </w:p>
        </w:tc>
        <w:tc>
          <w:tcPr>
            <w:tcW w:w="1802" w:type="dxa"/>
          </w:tcPr>
          <w:p w14:paraId="31CDEEB8" w14:textId="77777777" w:rsidR="00C442DD" w:rsidRPr="00C442DD" w:rsidRDefault="00C442DD" w:rsidP="00BF2AB2">
            <w:pPr>
              <w:ind w:left="0" w:right="0"/>
              <w:rPr>
                <w:sz w:val="18"/>
                <w:szCs w:val="18"/>
              </w:rPr>
            </w:pPr>
          </w:p>
        </w:tc>
        <w:tc>
          <w:tcPr>
            <w:tcW w:w="1843" w:type="dxa"/>
          </w:tcPr>
          <w:p w14:paraId="444BD0B3" w14:textId="77777777" w:rsidR="00C442DD" w:rsidRPr="00C442DD" w:rsidRDefault="00C442DD" w:rsidP="00BF2AB2">
            <w:pPr>
              <w:ind w:left="0" w:right="0"/>
              <w:rPr>
                <w:sz w:val="18"/>
                <w:szCs w:val="18"/>
              </w:rPr>
            </w:pPr>
            <w:r w:rsidRPr="00C442DD">
              <w:rPr>
                <w:sz w:val="18"/>
                <w:szCs w:val="18"/>
              </w:rPr>
              <w:t>2013</w:t>
            </w:r>
          </w:p>
        </w:tc>
        <w:tc>
          <w:tcPr>
            <w:tcW w:w="1701" w:type="dxa"/>
          </w:tcPr>
          <w:p w14:paraId="2B924449" w14:textId="77777777" w:rsidR="00C442DD" w:rsidRPr="00C442DD" w:rsidRDefault="00C442DD" w:rsidP="00BF2AB2">
            <w:pPr>
              <w:ind w:left="0" w:right="0"/>
              <w:rPr>
                <w:sz w:val="18"/>
                <w:szCs w:val="18"/>
              </w:rPr>
            </w:pPr>
            <w:r w:rsidRPr="00C442DD">
              <w:rPr>
                <w:sz w:val="18"/>
                <w:szCs w:val="18"/>
              </w:rPr>
              <w:t>2014</w:t>
            </w:r>
          </w:p>
        </w:tc>
        <w:tc>
          <w:tcPr>
            <w:tcW w:w="1843" w:type="dxa"/>
          </w:tcPr>
          <w:p w14:paraId="25527585" w14:textId="77777777" w:rsidR="00C442DD" w:rsidRPr="00C442DD" w:rsidRDefault="00C442DD" w:rsidP="00BF2AB2">
            <w:pPr>
              <w:ind w:left="0" w:right="0"/>
              <w:rPr>
                <w:sz w:val="18"/>
                <w:szCs w:val="18"/>
              </w:rPr>
            </w:pPr>
            <w:r w:rsidRPr="00C442DD">
              <w:rPr>
                <w:sz w:val="18"/>
                <w:szCs w:val="18"/>
              </w:rPr>
              <w:t>2016</w:t>
            </w:r>
          </w:p>
        </w:tc>
      </w:tr>
      <w:tr w:rsidR="00C442DD" w:rsidRPr="00C442DD" w14:paraId="21330C1C" w14:textId="77777777" w:rsidTr="00C442DD">
        <w:tc>
          <w:tcPr>
            <w:tcW w:w="1708" w:type="dxa"/>
          </w:tcPr>
          <w:p w14:paraId="74289B78" w14:textId="64DF2AD9" w:rsidR="00C442DD" w:rsidRPr="00C442DD" w:rsidRDefault="00C442DD" w:rsidP="000F7272">
            <w:pPr>
              <w:ind w:left="0" w:right="0"/>
              <w:rPr>
                <w:b/>
                <w:sz w:val="18"/>
                <w:szCs w:val="18"/>
              </w:rPr>
            </w:pPr>
            <w:r w:rsidRPr="00C442DD">
              <w:rPr>
                <w:b/>
                <w:sz w:val="18"/>
                <w:szCs w:val="18"/>
              </w:rPr>
              <w:t>Indication</w:t>
            </w:r>
            <w:r w:rsidR="000F7272">
              <w:rPr>
                <w:b/>
                <w:sz w:val="18"/>
                <w:szCs w:val="18"/>
              </w:rPr>
              <w:t xml:space="preserve"> </w:t>
            </w:r>
            <w:r w:rsidRPr="00C442DD">
              <w:rPr>
                <w:b/>
                <w:sz w:val="18"/>
                <w:szCs w:val="18"/>
              </w:rPr>
              <w:t>(abbreviated)</w:t>
            </w:r>
          </w:p>
        </w:tc>
        <w:tc>
          <w:tcPr>
            <w:tcW w:w="1802" w:type="dxa"/>
          </w:tcPr>
          <w:p w14:paraId="54E13644" w14:textId="77777777" w:rsidR="00C442DD" w:rsidRPr="00C442DD" w:rsidRDefault="00C442DD" w:rsidP="00BF2AB2">
            <w:pPr>
              <w:ind w:left="0" w:right="0"/>
              <w:rPr>
                <w:sz w:val="18"/>
                <w:szCs w:val="18"/>
              </w:rPr>
            </w:pPr>
            <w:r w:rsidRPr="00C442DD">
              <w:rPr>
                <w:sz w:val="18"/>
                <w:szCs w:val="18"/>
              </w:rPr>
              <w:t>Steglatro in indicated as an adjunct to diet and exercise to improve glycaemic control in adults with type 2 diabetes as</w:t>
            </w:r>
          </w:p>
          <w:p w14:paraId="5EEBA94A" w14:textId="77777777" w:rsidR="00C442DD" w:rsidRPr="00C442DD" w:rsidRDefault="00C442DD" w:rsidP="00BF2AB2">
            <w:pPr>
              <w:ind w:left="0" w:right="0"/>
              <w:rPr>
                <w:sz w:val="18"/>
                <w:szCs w:val="18"/>
              </w:rPr>
            </w:pPr>
            <w:r w:rsidRPr="00C442DD">
              <w:rPr>
                <w:sz w:val="18"/>
                <w:szCs w:val="18"/>
              </w:rPr>
              <w:t>monotherapy when metformin is considered inappropriate</w:t>
            </w:r>
          </w:p>
          <w:p w14:paraId="11CA6CE1" w14:textId="77777777" w:rsidR="00C442DD" w:rsidRPr="00C442DD" w:rsidRDefault="00C442DD" w:rsidP="00BF2AB2">
            <w:pPr>
              <w:ind w:left="0" w:right="0"/>
              <w:rPr>
                <w:sz w:val="18"/>
                <w:szCs w:val="18"/>
              </w:rPr>
            </w:pPr>
            <w:r w:rsidRPr="00C442DD">
              <w:rPr>
                <w:sz w:val="18"/>
                <w:szCs w:val="18"/>
              </w:rPr>
              <w:t>in combination with other anti-hyperglycaemic agents</w:t>
            </w:r>
          </w:p>
        </w:tc>
        <w:tc>
          <w:tcPr>
            <w:tcW w:w="1843" w:type="dxa"/>
          </w:tcPr>
          <w:p w14:paraId="1DBFA3EB" w14:textId="77777777" w:rsidR="00C442DD" w:rsidRPr="00C442DD" w:rsidRDefault="00C442DD" w:rsidP="00BF2AB2">
            <w:pPr>
              <w:ind w:left="0" w:right="0"/>
              <w:rPr>
                <w:sz w:val="18"/>
                <w:szCs w:val="18"/>
              </w:rPr>
            </w:pPr>
            <w:r w:rsidRPr="00C442DD">
              <w:rPr>
                <w:sz w:val="18"/>
                <w:szCs w:val="18"/>
              </w:rPr>
              <w:t>Invokana in indicated in T2DM as an adjunct to diet and exercise</w:t>
            </w:r>
          </w:p>
          <w:p w14:paraId="5C004057" w14:textId="77777777" w:rsidR="00C442DD" w:rsidRPr="00C442DD" w:rsidRDefault="00C442DD" w:rsidP="00BF2AB2">
            <w:pPr>
              <w:ind w:left="0" w:right="0"/>
              <w:rPr>
                <w:sz w:val="18"/>
                <w:szCs w:val="18"/>
              </w:rPr>
            </w:pPr>
            <w:r w:rsidRPr="00C442DD">
              <w:rPr>
                <w:sz w:val="18"/>
                <w:szCs w:val="18"/>
              </w:rPr>
              <w:t>as –monotherapy when metformin is contraindicated</w:t>
            </w:r>
          </w:p>
          <w:p w14:paraId="10B13EDF" w14:textId="77777777" w:rsidR="00C442DD" w:rsidRPr="00C442DD" w:rsidRDefault="00C442DD" w:rsidP="00BF2AB2">
            <w:pPr>
              <w:ind w:left="0" w:right="0"/>
              <w:rPr>
                <w:sz w:val="18"/>
                <w:szCs w:val="18"/>
              </w:rPr>
            </w:pPr>
            <w:r w:rsidRPr="00C442DD">
              <w:rPr>
                <w:sz w:val="18"/>
                <w:szCs w:val="18"/>
              </w:rPr>
              <w:t>-as add on combination therapy with other anti-hyperglycaemic agents</w:t>
            </w:r>
          </w:p>
        </w:tc>
        <w:tc>
          <w:tcPr>
            <w:tcW w:w="1701" w:type="dxa"/>
          </w:tcPr>
          <w:p w14:paraId="7AC5AEC0" w14:textId="77777777" w:rsidR="00C442DD" w:rsidRPr="00C442DD" w:rsidRDefault="00C442DD" w:rsidP="00BF2AB2">
            <w:pPr>
              <w:ind w:left="0" w:right="0"/>
              <w:rPr>
                <w:sz w:val="18"/>
                <w:szCs w:val="18"/>
              </w:rPr>
            </w:pPr>
            <w:r w:rsidRPr="00C442DD">
              <w:rPr>
                <w:sz w:val="18"/>
                <w:szCs w:val="18"/>
              </w:rPr>
              <w:t>Jardiance is indicated for improvement of glycaemic control as</w:t>
            </w:r>
          </w:p>
          <w:p w14:paraId="0CCDEF5E" w14:textId="77777777" w:rsidR="00C442DD" w:rsidRPr="00C442DD" w:rsidRDefault="00C442DD" w:rsidP="00BF2AB2">
            <w:pPr>
              <w:ind w:left="0" w:right="0"/>
              <w:rPr>
                <w:sz w:val="18"/>
                <w:szCs w:val="18"/>
              </w:rPr>
            </w:pPr>
            <w:r w:rsidRPr="00C442DD">
              <w:rPr>
                <w:sz w:val="18"/>
                <w:szCs w:val="18"/>
              </w:rPr>
              <w:t xml:space="preserve">- monotherapy when metformin is considered inappropriate </w:t>
            </w:r>
          </w:p>
          <w:p w14:paraId="5364A71D" w14:textId="77777777" w:rsidR="00C442DD" w:rsidRPr="00C442DD" w:rsidRDefault="00C442DD" w:rsidP="00BF2AB2">
            <w:pPr>
              <w:ind w:left="0" w:right="0"/>
              <w:rPr>
                <w:sz w:val="18"/>
                <w:szCs w:val="18"/>
              </w:rPr>
            </w:pPr>
            <w:r w:rsidRPr="00C442DD">
              <w:rPr>
                <w:sz w:val="18"/>
                <w:szCs w:val="18"/>
              </w:rPr>
              <w:t>-in combination with other glucose lowering medications</w:t>
            </w:r>
          </w:p>
          <w:p w14:paraId="576BE5B1" w14:textId="77777777" w:rsidR="00C442DD" w:rsidRPr="00C442DD" w:rsidRDefault="00C442DD" w:rsidP="00BF2AB2">
            <w:pPr>
              <w:ind w:left="0" w:right="0"/>
              <w:rPr>
                <w:sz w:val="18"/>
                <w:szCs w:val="18"/>
              </w:rPr>
            </w:pPr>
            <w:r w:rsidRPr="00C442DD">
              <w:rPr>
                <w:sz w:val="18"/>
                <w:szCs w:val="18"/>
              </w:rPr>
              <w:t>To reduce the risk of cardiovascular events in those at high risk</w:t>
            </w:r>
          </w:p>
        </w:tc>
        <w:tc>
          <w:tcPr>
            <w:tcW w:w="1843" w:type="dxa"/>
          </w:tcPr>
          <w:p w14:paraId="61578F31" w14:textId="77777777" w:rsidR="00C442DD" w:rsidRPr="00C442DD" w:rsidRDefault="00C442DD" w:rsidP="00BF2AB2">
            <w:pPr>
              <w:ind w:left="0" w:right="0"/>
              <w:rPr>
                <w:sz w:val="18"/>
                <w:szCs w:val="18"/>
              </w:rPr>
            </w:pPr>
            <w:r w:rsidRPr="00C442DD">
              <w:rPr>
                <w:sz w:val="18"/>
                <w:szCs w:val="18"/>
              </w:rPr>
              <w:t>-as monotherapy when metformin is not tolerated or contraindicated</w:t>
            </w:r>
          </w:p>
          <w:p w14:paraId="771D271C" w14:textId="77777777" w:rsidR="00C442DD" w:rsidRPr="00C442DD" w:rsidRDefault="00C442DD" w:rsidP="00BF2AB2">
            <w:pPr>
              <w:ind w:left="0" w:right="0"/>
              <w:rPr>
                <w:sz w:val="18"/>
                <w:szCs w:val="18"/>
              </w:rPr>
            </w:pPr>
            <w:r w:rsidRPr="00C442DD">
              <w:rPr>
                <w:sz w:val="18"/>
                <w:szCs w:val="18"/>
              </w:rPr>
              <w:t>-initial combination with metformin</w:t>
            </w:r>
          </w:p>
          <w:p w14:paraId="347254FC" w14:textId="77777777" w:rsidR="00C442DD" w:rsidRPr="00C442DD" w:rsidRDefault="00C442DD" w:rsidP="00BF2AB2">
            <w:pPr>
              <w:ind w:left="0" w:right="0"/>
              <w:rPr>
                <w:sz w:val="18"/>
                <w:szCs w:val="18"/>
              </w:rPr>
            </w:pPr>
            <w:r w:rsidRPr="00C442DD">
              <w:rPr>
                <w:sz w:val="18"/>
                <w:szCs w:val="18"/>
              </w:rPr>
              <w:t>-Add on combination with other anti-hyperglycemic agents.</w:t>
            </w:r>
          </w:p>
        </w:tc>
      </w:tr>
      <w:tr w:rsidR="00C442DD" w:rsidRPr="00C442DD" w14:paraId="225E7DF3" w14:textId="77777777" w:rsidTr="00C442DD">
        <w:tc>
          <w:tcPr>
            <w:tcW w:w="1708" w:type="dxa"/>
          </w:tcPr>
          <w:p w14:paraId="3E64495E" w14:textId="77777777" w:rsidR="00C442DD" w:rsidRPr="00C442DD" w:rsidRDefault="00C442DD" w:rsidP="001C12F0">
            <w:pPr>
              <w:ind w:left="0" w:right="0"/>
              <w:rPr>
                <w:b/>
                <w:sz w:val="18"/>
                <w:szCs w:val="18"/>
              </w:rPr>
            </w:pPr>
            <w:r w:rsidRPr="00C442DD">
              <w:rPr>
                <w:b/>
                <w:sz w:val="18"/>
                <w:szCs w:val="18"/>
              </w:rPr>
              <w:t>Other differences</w:t>
            </w:r>
          </w:p>
        </w:tc>
        <w:tc>
          <w:tcPr>
            <w:tcW w:w="1802" w:type="dxa"/>
          </w:tcPr>
          <w:p w14:paraId="285F61A8" w14:textId="37F9F5FD" w:rsidR="00C442DD" w:rsidRPr="00C442DD" w:rsidRDefault="00C442DD" w:rsidP="001C12F0">
            <w:pPr>
              <w:ind w:left="0" w:right="0"/>
              <w:rPr>
                <w:sz w:val="18"/>
                <w:szCs w:val="18"/>
              </w:rPr>
            </w:pPr>
            <w:r w:rsidRPr="00C442DD">
              <w:rPr>
                <w:sz w:val="18"/>
                <w:szCs w:val="18"/>
              </w:rPr>
              <w:t>contraindication with eGFR &lt; 30</w:t>
            </w:r>
            <w:r w:rsidR="00A639BB">
              <w:rPr>
                <w:sz w:val="18"/>
                <w:szCs w:val="18"/>
              </w:rPr>
              <w:t> </w:t>
            </w:r>
            <w:r w:rsidR="004A4114">
              <w:rPr>
                <w:sz w:val="18"/>
                <w:szCs w:val="18"/>
              </w:rPr>
              <w:t>mL</w:t>
            </w:r>
            <w:r w:rsidRPr="00C442DD">
              <w:rPr>
                <w:sz w:val="18"/>
                <w:szCs w:val="18"/>
              </w:rPr>
              <w:t>/min</w:t>
            </w:r>
            <w:r w:rsidR="00A639BB" w:rsidRPr="00A639BB">
              <w:rPr>
                <w:sz w:val="18"/>
              </w:rPr>
              <w:t>/1.73 m</w:t>
            </w:r>
            <w:r w:rsidR="00A639BB" w:rsidRPr="00A639BB">
              <w:rPr>
                <w:sz w:val="18"/>
                <w:vertAlign w:val="superscript"/>
              </w:rPr>
              <w:t>2</w:t>
            </w:r>
            <w:r w:rsidRPr="00A639BB">
              <w:rPr>
                <w:sz w:val="14"/>
                <w:szCs w:val="18"/>
              </w:rPr>
              <w:t xml:space="preserve"> </w:t>
            </w:r>
            <w:r w:rsidRPr="00C442DD">
              <w:rPr>
                <w:sz w:val="18"/>
                <w:szCs w:val="18"/>
              </w:rPr>
              <w:t>or persistently 45</w:t>
            </w:r>
            <w:r w:rsidR="00A639BB" w:rsidRPr="00C442DD">
              <w:rPr>
                <w:sz w:val="18"/>
                <w:szCs w:val="18"/>
              </w:rPr>
              <w:t xml:space="preserve"> m</w:t>
            </w:r>
            <w:r w:rsidR="006D7D02">
              <w:rPr>
                <w:sz w:val="18"/>
                <w:szCs w:val="18"/>
              </w:rPr>
              <w:t>L</w:t>
            </w:r>
            <w:r w:rsidR="00A639BB" w:rsidRPr="00C442DD">
              <w:rPr>
                <w:sz w:val="18"/>
                <w:szCs w:val="18"/>
              </w:rPr>
              <w:t>/min</w:t>
            </w:r>
            <w:r w:rsidR="00A639BB" w:rsidRPr="00A639BB">
              <w:rPr>
                <w:sz w:val="18"/>
              </w:rPr>
              <w:t>/1.73 m</w:t>
            </w:r>
            <w:r w:rsidR="00A639BB" w:rsidRPr="00A639BB">
              <w:rPr>
                <w:sz w:val="18"/>
                <w:vertAlign w:val="superscript"/>
              </w:rPr>
              <w:t>2</w:t>
            </w:r>
          </w:p>
          <w:p w14:paraId="6E3240F2" w14:textId="41A4832D" w:rsidR="00C442DD" w:rsidRPr="00C442DD" w:rsidRDefault="00C442DD" w:rsidP="001C12F0">
            <w:pPr>
              <w:ind w:left="0" w:right="0"/>
              <w:rPr>
                <w:sz w:val="18"/>
                <w:szCs w:val="18"/>
              </w:rPr>
            </w:pPr>
            <w:r w:rsidRPr="00C442DD">
              <w:rPr>
                <w:sz w:val="18"/>
                <w:szCs w:val="18"/>
              </w:rPr>
              <w:t>-risk of volume depletion of 1% and 1.7% with 5 and 15</w:t>
            </w:r>
            <w:r w:rsidR="006D7D02">
              <w:rPr>
                <w:sz w:val="18"/>
                <w:szCs w:val="18"/>
              </w:rPr>
              <w:t> mg</w:t>
            </w:r>
          </w:p>
        </w:tc>
        <w:tc>
          <w:tcPr>
            <w:tcW w:w="1843" w:type="dxa"/>
          </w:tcPr>
          <w:p w14:paraId="18F278BB" w14:textId="49C0B8B0" w:rsidR="00C442DD" w:rsidRPr="00C442DD" w:rsidRDefault="00C442DD" w:rsidP="001C12F0">
            <w:pPr>
              <w:ind w:left="0" w:right="0"/>
              <w:rPr>
                <w:sz w:val="18"/>
                <w:szCs w:val="18"/>
              </w:rPr>
            </w:pPr>
            <w:r w:rsidRPr="00C442DD">
              <w:rPr>
                <w:sz w:val="18"/>
                <w:szCs w:val="18"/>
              </w:rPr>
              <w:t xml:space="preserve">contraindication with eGFR &lt; </w:t>
            </w:r>
            <w:r w:rsidRPr="00952A33">
              <w:rPr>
                <w:sz w:val="18"/>
                <w:szCs w:val="18"/>
              </w:rPr>
              <w:t>30</w:t>
            </w:r>
            <w:r w:rsidR="004A4114">
              <w:rPr>
                <w:sz w:val="18"/>
                <w:szCs w:val="18"/>
              </w:rPr>
              <w:t>mL</w:t>
            </w:r>
            <w:r w:rsidRPr="00952A33">
              <w:rPr>
                <w:sz w:val="18"/>
                <w:szCs w:val="18"/>
              </w:rPr>
              <w:t>/min</w:t>
            </w:r>
            <w:r w:rsidRPr="00C442DD">
              <w:rPr>
                <w:sz w:val="18"/>
                <w:szCs w:val="18"/>
              </w:rPr>
              <w:t xml:space="preserve"> or persistently 45</w:t>
            </w:r>
          </w:p>
          <w:p w14:paraId="290E584E" w14:textId="60FBF4A6" w:rsidR="00C442DD" w:rsidRPr="00C442DD" w:rsidRDefault="00C442DD" w:rsidP="001C12F0">
            <w:pPr>
              <w:ind w:left="0" w:right="0"/>
              <w:rPr>
                <w:sz w:val="18"/>
                <w:szCs w:val="18"/>
              </w:rPr>
            </w:pPr>
            <w:r w:rsidRPr="00C442DD">
              <w:rPr>
                <w:sz w:val="18"/>
                <w:szCs w:val="18"/>
              </w:rPr>
              <w:t>-in the pooled analysis of 26 week studies, the risk of reduced intravascular volume was 1.2% for 100</w:t>
            </w:r>
            <w:r w:rsidR="006D7D02">
              <w:rPr>
                <w:sz w:val="18"/>
                <w:szCs w:val="18"/>
              </w:rPr>
              <w:t xml:space="preserve"> mg</w:t>
            </w:r>
            <w:r w:rsidRPr="00C442DD">
              <w:rPr>
                <w:sz w:val="18"/>
                <w:szCs w:val="18"/>
              </w:rPr>
              <w:t xml:space="preserve"> dose, 1.3% for 300</w:t>
            </w:r>
            <w:r w:rsidR="006D7D02">
              <w:rPr>
                <w:sz w:val="18"/>
                <w:szCs w:val="18"/>
              </w:rPr>
              <w:t xml:space="preserve"> mg</w:t>
            </w:r>
            <w:r w:rsidRPr="00C442DD">
              <w:rPr>
                <w:sz w:val="18"/>
                <w:szCs w:val="18"/>
              </w:rPr>
              <w:t xml:space="preserve"> dose and 1.1% for placebo.</w:t>
            </w:r>
            <w:r w:rsidR="006D7D02">
              <w:rPr>
                <w:sz w:val="18"/>
                <w:szCs w:val="18"/>
              </w:rPr>
              <w:t xml:space="preserve"> </w:t>
            </w:r>
            <w:r w:rsidRPr="00C442DD">
              <w:rPr>
                <w:sz w:val="18"/>
                <w:szCs w:val="18"/>
              </w:rPr>
              <w:t>In patients at higher risk, the rates were 2.8% and 4.6% and 1.9%.</w:t>
            </w:r>
          </w:p>
          <w:p w14:paraId="265E6EEC" w14:textId="77777777" w:rsidR="00C442DD" w:rsidRPr="00C442DD" w:rsidRDefault="00C442DD" w:rsidP="001C12F0">
            <w:pPr>
              <w:ind w:left="0" w:right="0"/>
              <w:rPr>
                <w:sz w:val="18"/>
                <w:szCs w:val="18"/>
              </w:rPr>
            </w:pPr>
            <w:r w:rsidRPr="00C442DD">
              <w:rPr>
                <w:sz w:val="18"/>
                <w:szCs w:val="18"/>
              </w:rPr>
              <w:t>- increased risk of fracture</w:t>
            </w:r>
          </w:p>
          <w:p w14:paraId="0FD20B42" w14:textId="77777777" w:rsidR="00C442DD" w:rsidRPr="00C442DD" w:rsidRDefault="00C442DD" w:rsidP="001C12F0">
            <w:pPr>
              <w:ind w:left="0" w:right="0"/>
              <w:rPr>
                <w:sz w:val="18"/>
                <w:szCs w:val="18"/>
              </w:rPr>
            </w:pPr>
            <w:r w:rsidRPr="00C442DD">
              <w:rPr>
                <w:sz w:val="18"/>
                <w:szCs w:val="18"/>
              </w:rPr>
              <w:t xml:space="preserve">-increased risk of amputation in long term cardiovascular studies </w:t>
            </w:r>
          </w:p>
        </w:tc>
        <w:tc>
          <w:tcPr>
            <w:tcW w:w="1701" w:type="dxa"/>
          </w:tcPr>
          <w:p w14:paraId="0806AD4F" w14:textId="77777777" w:rsidR="00C442DD" w:rsidRPr="00C442DD" w:rsidRDefault="00C442DD" w:rsidP="001C12F0">
            <w:pPr>
              <w:ind w:left="0" w:right="0"/>
              <w:rPr>
                <w:sz w:val="18"/>
                <w:szCs w:val="18"/>
              </w:rPr>
            </w:pPr>
            <w:r w:rsidRPr="00C442DD">
              <w:rPr>
                <w:sz w:val="18"/>
                <w:szCs w:val="18"/>
              </w:rPr>
              <w:t>Contraindication with eGFR&lt; 45</w:t>
            </w:r>
            <w:r>
              <w:rPr>
                <w:sz w:val="18"/>
                <w:szCs w:val="18"/>
              </w:rPr>
              <w:t xml:space="preserve"> </w:t>
            </w:r>
          </w:p>
          <w:p w14:paraId="03336A5F" w14:textId="485C0BF7" w:rsidR="00C442DD" w:rsidRPr="00C442DD" w:rsidRDefault="00C442DD" w:rsidP="001C12F0">
            <w:pPr>
              <w:ind w:left="0" w:right="0"/>
              <w:rPr>
                <w:sz w:val="18"/>
                <w:szCs w:val="18"/>
              </w:rPr>
            </w:pPr>
            <w:r w:rsidRPr="00C442DD">
              <w:rPr>
                <w:sz w:val="18"/>
                <w:szCs w:val="18"/>
              </w:rPr>
              <w:t>-risk of volume depletion 0.6% 10</w:t>
            </w:r>
            <w:r w:rsidR="00715B39">
              <w:rPr>
                <w:sz w:val="18"/>
                <w:szCs w:val="18"/>
              </w:rPr>
              <w:t> </w:t>
            </w:r>
            <w:r w:rsidR="006D7D02">
              <w:rPr>
                <w:sz w:val="18"/>
                <w:szCs w:val="18"/>
              </w:rPr>
              <w:t>mg</w:t>
            </w:r>
            <w:r w:rsidRPr="00C442DD">
              <w:rPr>
                <w:sz w:val="18"/>
                <w:szCs w:val="18"/>
              </w:rPr>
              <w:t xml:space="preserve"> and 0.4% 25</w:t>
            </w:r>
            <w:r w:rsidR="00715B39">
              <w:rPr>
                <w:sz w:val="18"/>
                <w:szCs w:val="18"/>
              </w:rPr>
              <w:t> </w:t>
            </w:r>
            <w:r w:rsidR="006D7D02">
              <w:rPr>
                <w:sz w:val="18"/>
                <w:szCs w:val="18"/>
              </w:rPr>
              <w:t>mg</w:t>
            </w:r>
            <w:r w:rsidRPr="00C442DD">
              <w:rPr>
                <w:sz w:val="18"/>
                <w:szCs w:val="18"/>
              </w:rPr>
              <w:t xml:space="preserve"> and 0.3% placebo</w:t>
            </w:r>
          </w:p>
        </w:tc>
        <w:tc>
          <w:tcPr>
            <w:tcW w:w="1843" w:type="dxa"/>
          </w:tcPr>
          <w:p w14:paraId="66847A9A" w14:textId="77777777" w:rsidR="00C442DD" w:rsidRPr="00C442DD" w:rsidRDefault="00C442DD" w:rsidP="001C12F0">
            <w:pPr>
              <w:ind w:left="0" w:right="0"/>
              <w:rPr>
                <w:sz w:val="18"/>
                <w:szCs w:val="18"/>
              </w:rPr>
            </w:pPr>
            <w:r w:rsidRPr="00C442DD">
              <w:rPr>
                <w:sz w:val="18"/>
                <w:szCs w:val="18"/>
              </w:rPr>
              <w:t>Contraindication with eGFR &lt; 60</w:t>
            </w:r>
          </w:p>
          <w:p w14:paraId="036059B7" w14:textId="0E43D35B" w:rsidR="00C442DD" w:rsidRPr="00C442DD" w:rsidRDefault="00C442DD" w:rsidP="001C12F0">
            <w:pPr>
              <w:ind w:left="0" w:right="0"/>
              <w:rPr>
                <w:sz w:val="18"/>
                <w:szCs w:val="18"/>
              </w:rPr>
            </w:pPr>
            <w:r w:rsidRPr="00C442DD">
              <w:rPr>
                <w:sz w:val="18"/>
                <w:szCs w:val="18"/>
              </w:rPr>
              <w:t>-risk of volume depletion 1.1% 10</w:t>
            </w:r>
            <w:r w:rsidR="00715B39">
              <w:rPr>
                <w:sz w:val="18"/>
                <w:szCs w:val="18"/>
              </w:rPr>
              <w:t> </w:t>
            </w:r>
            <w:r w:rsidR="006D7D02">
              <w:rPr>
                <w:sz w:val="18"/>
                <w:szCs w:val="18"/>
              </w:rPr>
              <w:t>mg</w:t>
            </w:r>
            <w:r w:rsidRPr="00C442DD">
              <w:rPr>
                <w:sz w:val="18"/>
                <w:szCs w:val="18"/>
              </w:rPr>
              <w:t xml:space="preserve"> and 0.7% placebo</w:t>
            </w:r>
          </w:p>
        </w:tc>
      </w:tr>
      <w:tr w:rsidR="00C442DD" w:rsidRPr="00C442DD" w14:paraId="771696B4" w14:textId="77777777" w:rsidTr="00C442DD">
        <w:tc>
          <w:tcPr>
            <w:tcW w:w="1708" w:type="dxa"/>
          </w:tcPr>
          <w:p w14:paraId="1E129D29" w14:textId="77777777" w:rsidR="00C442DD" w:rsidRPr="00C442DD" w:rsidRDefault="00C442DD" w:rsidP="00BF2AB2">
            <w:pPr>
              <w:ind w:left="0" w:right="0"/>
              <w:rPr>
                <w:b/>
                <w:sz w:val="18"/>
                <w:szCs w:val="18"/>
              </w:rPr>
            </w:pPr>
            <w:r w:rsidRPr="00C442DD">
              <w:rPr>
                <w:b/>
                <w:sz w:val="18"/>
                <w:szCs w:val="18"/>
              </w:rPr>
              <w:t>Pregnancy category</w:t>
            </w:r>
          </w:p>
        </w:tc>
        <w:tc>
          <w:tcPr>
            <w:tcW w:w="1802" w:type="dxa"/>
          </w:tcPr>
          <w:p w14:paraId="4B23E51E" w14:textId="77777777" w:rsidR="00C442DD" w:rsidRPr="00C442DD" w:rsidRDefault="00F14099" w:rsidP="00BF2AB2">
            <w:pPr>
              <w:ind w:left="0" w:right="0"/>
              <w:rPr>
                <w:sz w:val="18"/>
                <w:szCs w:val="18"/>
              </w:rPr>
            </w:pPr>
            <w:r>
              <w:rPr>
                <w:sz w:val="18"/>
                <w:szCs w:val="18"/>
              </w:rPr>
              <w:t xml:space="preserve">Nonclinical evaluator </w:t>
            </w:r>
            <w:r w:rsidR="00C442DD" w:rsidRPr="00C442DD">
              <w:rPr>
                <w:sz w:val="18"/>
                <w:szCs w:val="18"/>
              </w:rPr>
              <w:t>recommended D</w:t>
            </w:r>
          </w:p>
        </w:tc>
        <w:tc>
          <w:tcPr>
            <w:tcW w:w="1843" w:type="dxa"/>
          </w:tcPr>
          <w:p w14:paraId="3B1984B8" w14:textId="77777777" w:rsidR="00C442DD" w:rsidRPr="00C442DD" w:rsidRDefault="00C442DD" w:rsidP="00BF2AB2">
            <w:pPr>
              <w:ind w:left="0" w:right="0"/>
              <w:rPr>
                <w:sz w:val="18"/>
                <w:szCs w:val="18"/>
              </w:rPr>
            </w:pPr>
            <w:r w:rsidRPr="00C442DD">
              <w:rPr>
                <w:sz w:val="18"/>
                <w:szCs w:val="18"/>
              </w:rPr>
              <w:t>C</w:t>
            </w:r>
          </w:p>
        </w:tc>
        <w:tc>
          <w:tcPr>
            <w:tcW w:w="1701" w:type="dxa"/>
          </w:tcPr>
          <w:p w14:paraId="5D0551FF" w14:textId="77777777" w:rsidR="00C442DD" w:rsidRPr="00C442DD" w:rsidRDefault="00C442DD" w:rsidP="00BF2AB2">
            <w:pPr>
              <w:ind w:left="0" w:right="0"/>
              <w:rPr>
                <w:sz w:val="18"/>
                <w:szCs w:val="18"/>
              </w:rPr>
            </w:pPr>
            <w:r w:rsidRPr="00C442DD">
              <w:rPr>
                <w:sz w:val="18"/>
                <w:szCs w:val="18"/>
              </w:rPr>
              <w:t>D</w:t>
            </w:r>
          </w:p>
        </w:tc>
        <w:tc>
          <w:tcPr>
            <w:tcW w:w="1843" w:type="dxa"/>
          </w:tcPr>
          <w:p w14:paraId="30278498" w14:textId="77777777" w:rsidR="00C442DD" w:rsidRPr="00C442DD" w:rsidRDefault="00C442DD" w:rsidP="00BF2AB2">
            <w:pPr>
              <w:ind w:left="0" w:right="0"/>
              <w:rPr>
                <w:sz w:val="18"/>
                <w:szCs w:val="18"/>
              </w:rPr>
            </w:pPr>
            <w:r w:rsidRPr="00C442DD">
              <w:rPr>
                <w:sz w:val="18"/>
                <w:szCs w:val="18"/>
              </w:rPr>
              <w:t>D</w:t>
            </w:r>
          </w:p>
        </w:tc>
      </w:tr>
    </w:tbl>
    <w:p w14:paraId="38A06F47" w14:textId="5A8D6F8B" w:rsidR="006D4749" w:rsidRPr="00C442DD" w:rsidRDefault="00BF2AB2" w:rsidP="000F7272">
      <w:pPr>
        <w:pageBreakBefore/>
        <w:widowControl w:val="0"/>
      </w:pPr>
      <w:r w:rsidRPr="00C442DD">
        <w:lastRenderedPageBreak/>
        <w:t>As a class, these are potent agents in reducing blood glucose levels in an insulin</w:t>
      </w:r>
      <w:r>
        <w:t xml:space="preserve"> </w:t>
      </w:r>
      <w:r w:rsidRPr="00C442DD">
        <w:t xml:space="preserve">independent mechanism. In addition, long term cardiovascular studies have demonstrated benefits in </w:t>
      </w:r>
      <w:r>
        <w:t>cardiovascular (</w:t>
      </w:r>
      <w:r w:rsidRPr="00C442DD">
        <w:t>CV</w:t>
      </w:r>
      <w:r>
        <w:t>)</w:t>
      </w:r>
      <w:r w:rsidRPr="00C442DD">
        <w:t xml:space="preserve"> deaths and heart failure with empagliflozin</w:t>
      </w:r>
      <w:r>
        <w:t>;</w:t>
      </w:r>
      <w:r>
        <w:rPr>
          <w:rStyle w:val="FootnoteReference"/>
        </w:rPr>
        <w:footnoteReference w:id="2"/>
      </w:r>
      <w:r w:rsidRPr="00C442DD">
        <w:t xml:space="preserve"> and canagliflozin</w:t>
      </w:r>
      <w:r>
        <w:t>.</w:t>
      </w:r>
      <w:r>
        <w:rPr>
          <w:rStyle w:val="FootnoteReference"/>
        </w:rPr>
        <w:footnoteReference w:id="3"/>
      </w:r>
      <w:r w:rsidRPr="00C442DD">
        <w:t xml:space="preserve"> The CV real study demonstrated supportive evidence for dapagliflozin in a real-life setting</w:t>
      </w:r>
      <w:r>
        <w:t>;</w:t>
      </w:r>
      <w:r w:rsidRPr="00C442DD">
        <w:t xml:space="preserve"> however the long term CV study will not be available until 2019.</w:t>
      </w:r>
    </w:p>
    <w:p w14:paraId="4FDC26A0" w14:textId="77777777" w:rsidR="00BF2AB2" w:rsidRDefault="00BF2AB2" w:rsidP="00BF2AB2">
      <w:r w:rsidRPr="00C442DD">
        <w:t xml:space="preserve">Secondary effects include diuresis with a risk of volume depletion, transient decrease in </w:t>
      </w:r>
      <w:r>
        <w:t>estimated glomerular filtration rate (</w:t>
      </w:r>
      <w:r w:rsidRPr="00C442DD">
        <w:t>eGFR</w:t>
      </w:r>
      <w:r>
        <w:t>)</w:t>
      </w:r>
      <w:r w:rsidRPr="00C442DD">
        <w:t xml:space="preserve">, increase lipids, increased risk of genital infections, decrease weight and decrease </w:t>
      </w:r>
      <w:r>
        <w:t>blood pressure (</w:t>
      </w:r>
      <w:r w:rsidRPr="00C442DD">
        <w:t>BP</w:t>
      </w:r>
      <w:r>
        <w:t>)</w:t>
      </w:r>
      <w:r w:rsidRPr="00C442DD">
        <w:t>.</w:t>
      </w:r>
    </w:p>
    <w:p w14:paraId="25FDC15B" w14:textId="77777777" w:rsidR="00326C01" w:rsidRDefault="00326C01" w:rsidP="00ED332D">
      <w:pPr>
        <w:pStyle w:val="Heading4"/>
      </w:pPr>
      <w:bookmarkStart w:id="16" w:name="_Toc504037244"/>
      <w:r w:rsidRPr="00E709B3">
        <w:t>Information on the condition being treated</w:t>
      </w:r>
      <w:bookmarkEnd w:id="16"/>
    </w:p>
    <w:p w14:paraId="12EF8B11" w14:textId="77777777" w:rsidR="00326C01" w:rsidRPr="002A406C" w:rsidRDefault="00326C01" w:rsidP="00BF2AB2">
      <w:pPr>
        <w:rPr>
          <w:color w:val="000000"/>
        </w:rPr>
      </w:pPr>
      <w:r w:rsidRPr="008C2EA4">
        <w:t>The increasing worldwide prevalence of T2DM, along with its microvascular and</w:t>
      </w:r>
      <w:r>
        <w:t xml:space="preserve"> </w:t>
      </w:r>
      <w:r w:rsidRPr="008C2EA4">
        <w:t>macrovascular complications, is a major health issue and poses an increasing burden to</w:t>
      </w:r>
      <w:r>
        <w:t xml:space="preserve"> </w:t>
      </w:r>
      <w:r w:rsidRPr="008C2EA4">
        <w:t>health care systems around the world. The worldwide prevalence of diabetes in adults is expected to increase from 8.8% in 2015 (approximately</w:t>
      </w:r>
      <w:r>
        <w:t xml:space="preserve"> </w:t>
      </w:r>
      <w:r w:rsidRPr="008C2EA4">
        <w:t xml:space="preserve">415 million people) to an estimated 10.4% (642 million people) by </w:t>
      </w:r>
      <w:r w:rsidRPr="002A406C">
        <w:t>2040; this represents a 55% increase in the number of people with diabetes relative to 2015</w:t>
      </w:r>
      <w:r w:rsidRPr="002A406C">
        <w:rPr>
          <w:rStyle w:val="FootnoteReference"/>
          <w:rFonts w:asciiTheme="minorHAnsi" w:eastAsia="TimesNewRoman" w:hAnsiTheme="minorHAnsi" w:cs="TimesNewRoman"/>
        </w:rPr>
        <w:footnoteReference w:id="4"/>
      </w:r>
      <w:r w:rsidRPr="002A406C">
        <w:t>.</w:t>
      </w:r>
      <w:r w:rsidRPr="002A406C">
        <w:rPr>
          <w:rFonts w:eastAsiaTheme="minorHAnsi" w:cs="TimesNewRomanPSMT"/>
        </w:rPr>
        <w:t xml:space="preserve"> There are 1.7 million Australians with diabetes (85% of these have T2DM)</w:t>
      </w:r>
      <w:r w:rsidRPr="002A406C">
        <w:rPr>
          <w:rStyle w:val="FootnoteReference"/>
          <w:rFonts w:asciiTheme="minorHAnsi" w:eastAsiaTheme="minorHAnsi" w:hAnsiTheme="minorHAnsi" w:cs="TimesNewRomanPSMT"/>
        </w:rPr>
        <w:footnoteReference w:id="5"/>
      </w:r>
      <w:r w:rsidRPr="002A406C">
        <w:rPr>
          <w:rFonts w:eastAsiaTheme="minorHAnsi" w:cs="TimesNewRomanPSMT"/>
        </w:rPr>
        <w:t xml:space="preserve">. </w:t>
      </w:r>
      <w:r w:rsidR="00013647">
        <w:rPr>
          <w:rFonts w:eastAsiaTheme="minorHAnsi" w:cs="TimesNewRomanPSMT"/>
        </w:rPr>
        <w:t>T2DM</w:t>
      </w:r>
      <w:r w:rsidRPr="002A406C">
        <w:rPr>
          <w:rFonts w:eastAsiaTheme="minorHAnsi" w:cs="TimesNewRomanPSMT"/>
        </w:rPr>
        <w:t xml:space="preserve"> is associated with reduced life expectancy, significant morbidity due to the specific diabetes related microvascular complications (retinopathy, nephropathy and</w:t>
      </w:r>
      <w:r>
        <w:rPr>
          <w:rFonts w:eastAsiaTheme="minorHAnsi" w:cs="TimesNewRomanPSMT"/>
        </w:rPr>
        <w:t xml:space="preserve"> </w:t>
      </w:r>
      <w:r w:rsidRPr="002A406C">
        <w:rPr>
          <w:rFonts w:eastAsiaTheme="minorHAnsi" w:cs="TimesNewRomanPSMT"/>
        </w:rPr>
        <w:t>neuropathy), and the increased risk of macrovascular complications (ischemic heart disease,</w:t>
      </w:r>
      <w:r>
        <w:rPr>
          <w:rFonts w:eastAsiaTheme="minorHAnsi" w:cs="TimesNewRomanPSMT"/>
        </w:rPr>
        <w:t xml:space="preserve"> </w:t>
      </w:r>
      <w:r w:rsidRPr="002A406C">
        <w:rPr>
          <w:rFonts w:eastAsiaTheme="minorHAnsi" w:cs="TimesNewRomanPSMT"/>
        </w:rPr>
        <w:t>stroke and peripheral vascular disease). The development of these complications impacts on</w:t>
      </w:r>
      <w:r>
        <w:rPr>
          <w:rFonts w:eastAsiaTheme="minorHAnsi" w:cs="TimesNewRomanPSMT"/>
        </w:rPr>
        <w:t xml:space="preserve"> </w:t>
      </w:r>
      <w:r w:rsidRPr="002A406C">
        <w:rPr>
          <w:rFonts w:eastAsiaTheme="minorHAnsi" w:cs="TimesNewRomanPSMT"/>
        </w:rPr>
        <w:t>quality of life.</w:t>
      </w:r>
    </w:p>
    <w:p w14:paraId="0AB6B7D6" w14:textId="1A3CD93E" w:rsidR="00326C01" w:rsidRDefault="00326C01">
      <w:pPr>
        <w:rPr>
          <w:lang w:eastAsia="ja-JP"/>
        </w:rPr>
      </w:pPr>
      <w:r w:rsidRPr="00542A99">
        <w:t>Multiple pathophysiologic deficits contribute to hyperglycaemia in patients with T2DM</w:t>
      </w:r>
      <w:r>
        <w:t xml:space="preserve">. </w:t>
      </w:r>
      <w:r w:rsidRPr="00542A99">
        <w:t xml:space="preserve">Insulin resistance in muscle and liver as well as </w:t>
      </w:r>
      <w:r w:rsidR="00667271">
        <w:t>beta</w:t>
      </w:r>
      <w:r w:rsidRPr="00542A99">
        <w:t>-cell failure represent</w:t>
      </w:r>
      <w:r>
        <w:t xml:space="preserve"> </w:t>
      </w:r>
      <w:r w:rsidRPr="00542A99">
        <w:t>the core pathophysiologic defects in T2DM. Approximately 85% of patients with T2DM are</w:t>
      </w:r>
      <w:r>
        <w:t xml:space="preserve"> </w:t>
      </w:r>
      <w:r w:rsidRPr="00542A99">
        <w:t>obese or overweight, a key factor underlying the development and maintenance of insulin</w:t>
      </w:r>
      <w:r>
        <w:t xml:space="preserve"> </w:t>
      </w:r>
      <w:r w:rsidRPr="00542A99">
        <w:t>resistance. In addition to muscle and liver, the kidney also plays a key role in glucose homeostasis.</w:t>
      </w:r>
      <w:r>
        <w:t xml:space="preserve"> </w:t>
      </w:r>
      <w:r w:rsidRPr="00542A99">
        <w:t>Under normal physiologic conditions, the kidney reabsorbs all of the glucose from the</w:t>
      </w:r>
      <w:r>
        <w:t xml:space="preserve"> </w:t>
      </w:r>
      <w:r w:rsidRPr="00542A99">
        <w:t>glomerular filtrate, and returns it to the blood. The SGLT2 protein, which is primarily</w:t>
      </w:r>
      <w:r>
        <w:t xml:space="preserve"> </w:t>
      </w:r>
      <w:r w:rsidRPr="00542A99">
        <w:t>expressed in the renal proximal tubules, is responsible for approximately 90% of the</w:t>
      </w:r>
      <w:r>
        <w:t xml:space="preserve"> </w:t>
      </w:r>
      <w:r w:rsidRPr="00542A99">
        <w:t>reabsorption of glucose filtered through the glomerulus. Filtered glucose is completely</w:t>
      </w:r>
      <w:r>
        <w:t xml:space="preserve"> </w:t>
      </w:r>
      <w:r w:rsidRPr="00542A99">
        <w:t>reabsorbed until the transporters reach their maximum capacity, which is called the transport</w:t>
      </w:r>
      <w:r>
        <w:t xml:space="preserve"> </w:t>
      </w:r>
      <w:r w:rsidRPr="00542A99">
        <w:t>maximum for glucose. The plasma glucose concentration at which this occurs is referred to</w:t>
      </w:r>
      <w:r>
        <w:t xml:space="preserve"> </w:t>
      </w:r>
      <w:r w:rsidRPr="00542A99">
        <w:t>as the renal threshold for glucose (RTG). Above this threshold, UGE increases in proportion</w:t>
      </w:r>
      <w:r>
        <w:t xml:space="preserve"> </w:t>
      </w:r>
      <w:r w:rsidRPr="00542A99">
        <w:t xml:space="preserve">to plasma glucose concentrations. In healthy subjects, the RTG is approximately </w:t>
      </w:r>
      <w:r>
        <w:t>10</w:t>
      </w:r>
      <w:r w:rsidR="00667271">
        <w:t xml:space="preserve"> </w:t>
      </w:r>
      <w:r>
        <w:t>mmol/L</w:t>
      </w:r>
      <w:r w:rsidRPr="00542A99">
        <w:t>.</w:t>
      </w:r>
      <w:r>
        <w:t xml:space="preserve"> </w:t>
      </w:r>
      <w:r w:rsidRPr="00542A99">
        <w:t xml:space="preserve">Patients with diabetes have an increase in the </w:t>
      </w:r>
      <w:r>
        <w:t xml:space="preserve">RTG </w:t>
      </w:r>
      <w:r w:rsidRPr="00542A99">
        <w:t>compared with healthy</w:t>
      </w:r>
      <w:r>
        <w:t xml:space="preserve"> </w:t>
      </w:r>
      <w:r w:rsidRPr="00542A99">
        <w:t>subjects such that glucosuria generally does not occur until plasma glucose values reach</w:t>
      </w:r>
      <w:r>
        <w:t xml:space="preserve"> </w:t>
      </w:r>
      <w:r w:rsidRPr="00542A99">
        <w:t xml:space="preserve">approximately </w:t>
      </w:r>
      <w:r>
        <w:t>13.5</w:t>
      </w:r>
      <w:r w:rsidR="006D7D02">
        <w:t xml:space="preserve"> </w:t>
      </w:r>
      <w:r>
        <w:t>mmol/L</w:t>
      </w:r>
      <w:r w:rsidRPr="00542A99">
        <w:t>. Studies have shown that SGLT2 inhibitors</w:t>
      </w:r>
      <w:r>
        <w:t xml:space="preserve"> </w:t>
      </w:r>
      <w:r w:rsidRPr="00542A99">
        <w:t>lower the RTG, resulting in increased UGE, which is responsible for many of the</w:t>
      </w:r>
      <w:r>
        <w:t xml:space="preserve"> </w:t>
      </w:r>
      <w:r w:rsidRPr="00542A99">
        <w:t>pharmacodynamic (PD) effects seen with this class of agents. While SGLT2 inhibitors lower</w:t>
      </w:r>
      <w:r>
        <w:t xml:space="preserve"> </w:t>
      </w:r>
      <w:r w:rsidRPr="00542A99">
        <w:t>the RTG, the new RTG set point is above the usual threshold for hypoglycaemia suggesting</w:t>
      </w:r>
      <w:r>
        <w:t xml:space="preserve"> </w:t>
      </w:r>
      <w:r w:rsidRPr="00542A99">
        <w:t>that hypoglycaemia is unlikely with this mechanism.</w:t>
      </w:r>
    </w:p>
    <w:p w14:paraId="1EB74A1C" w14:textId="77777777" w:rsidR="00326C01" w:rsidRDefault="00326C01" w:rsidP="00ED332D">
      <w:pPr>
        <w:pStyle w:val="Heading4"/>
      </w:pPr>
      <w:bookmarkStart w:id="17" w:name="_Toc504037245"/>
      <w:r>
        <w:lastRenderedPageBreak/>
        <w:t>Current treatment options</w:t>
      </w:r>
      <w:bookmarkEnd w:id="17"/>
    </w:p>
    <w:p w14:paraId="78A2E4F1" w14:textId="079B0B5B" w:rsidR="00326C01" w:rsidRDefault="00326C01" w:rsidP="00BF2AB2">
      <w:r w:rsidRPr="008C2EA4">
        <w:t>Current guidelines from the American Diabetes Association (ADA)</w:t>
      </w:r>
      <w:r>
        <w:t>,</w:t>
      </w:r>
      <w:r w:rsidRPr="008C2EA4">
        <w:t xml:space="preserve"> the European</w:t>
      </w:r>
      <w:r>
        <w:t xml:space="preserve"> </w:t>
      </w:r>
      <w:r w:rsidRPr="008C2EA4">
        <w:t xml:space="preserve">Association for the Study of Diabetes (EASD) </w:t>
      </w:r>
      <w:r>
        <w:t xml:space="preserve">and Diabetes Australia </w:t>
      </w:r>
      <w:r w:rsidRPr="008C2EA4">
        <w:t>recommend a stepwise and individuali</w:t>
      </w:r>
      <w:r>
        <w:t>s</w:t>
      </w:r>
      <w:r w:rsidRPr="008C2EA4">
        <w:t>ed</w:t>
      </w:r>
      <w:r>
        <w:t xml:space="preserve"> </w:t>
      </w:r>
      <w:r w:rsidRPr="008C2EA4">
        <w:t>treatment approach to T2DM. These guidelines recommend metformin as the optimal</w:t>
      </w:r>
      <w:r>
        <w:t xml:space="preserve"> </w:t>
      </w:r>
      <w:r w:rsidR="00667271">
        <w:t xml:space="preserve">first </w:t>
      </w:r>
      <w:r w:rsidRPr="008C2EA4">
        <w:t xml:space="preserve">line anti-hyperglycaemic agent (AHA), unless the patient has </w:t>
      </w:r>
      <w:r>
        <w:t xml:space="preserve">contraindications to </w:t>
      </w:r>
      <w:r w:rsidRPr="008C2EA4">
        <w:t xml:space="preserve">metformin. Subsequently, if the </w:t>
      </w:r>
      <w:r w:rsidR="003F2DE3">
        <w:t>Hb</w:t>
      </w:r>
      <w:r w:rsidR="00A04B32">
        <w:t>A1C</w:t>
      </w:r>
      <w:r w:rsidRPr="008C2EA4">
        <w:t xml:space="preserve"> target is not achieved after approximately 3 months,</w:t>
      </w:r>
      <w:r>
        <w:t xml:space="preserve"> </w:t>
      </w:r>
      <w:r w:rsidRPr="008C2EA4">
        <w:t>therapy should be augmented to a 2</w:t>
      </w:r>
      <w:r w:rsidR="00667271">
        <w:t xml:space="preserve"> </w:t>
      </w:r>
      <w:r w:rsidRPr="008C2EA4">
        <w:t>drug combination followed by the addition of other</w:t>
      </w:r>
      <w:r>
        <w:t xml:space="preserve"> </w:t>
      </w:r>
      <w:r w:rsidRPr="008C2EA4">
        <w:t xml:space="preserve">AHAs approximately every 3 months if the </w:t>
      </w:r>
      <w:r w:rsidR="003F2DE3">
        <w:t>Hb</w:t>
      </w:r>
      <w:r w:rsidR="00A04B32">
        <w:t>A1C</w:t>
      </w:r>
      <w:r w:rsidRPr="008C2EA4">
        <w:t xml:space="preserve"> goal is not achieved.</w:t>
      </w:r>
    </w:p>
    <w:p w14:paraId="1C35EA6A" w14:textId="7EADB8D4" w:rsidR="00326C01" w:rsidRDefault="00326C01" w:rsidP="00BF2AB2">
      <w:pPr>
        <w:rPr>
          <w:rFonts w:eastAsia="TimesNewRoman" w:cs="TimesNewRoman"/>
          <w:color w:val="000000"/>
        </w:rPr>
      </w:pPr>
      <w:r w:rsidRPr="00CD46DB">
        <w:t xml:space="preserve">A number of </w:t>
      </w:r>
      <w:r w:rsidRPr="00E10564">
        <w:t>systematic reviews have examined the relationship between blood glucose control and long term complications in people with T2DM</w:t>
      </w:r>
      <w:r>
        <w:t xml:space="preserve">. </w:t>
      </w:r>
      <w:r w:rsidRPr="00E10564">
        <w:t xml:space="preserve">These studies concluded that improved glycaemic control can reduce retinopathy, renal disease and neuropathy in </w:t>
      </w:r>
      <w:r>
        <w:t xml:space="preserve">T2DM. </w:t>
      </w:r>
      <w:r w:rsidRPr="00542A99">
        <w:rPr>
          <w:rFonts w:eastAsia="TimesNewRoman" w:cs="TimesNewRoman"/>
          <w:color w:val="000000"/>
        </w:rPr>
        <w:t>Long term data from the United Kingdom Pr</w:t>
      </w:r>
      <w:r>
        <w:rPr>
          <w:rFonts w:eastAsia="TimesNewRoman" w:cs="TimesNewRoman"/>
          <w:color w:val="000000"/>
        </w:rPr>
        <w:t>ospective Diabetes Study (UKPDS</w:t>
      </w:r>
      <w:r w:rsidR="00BF2AB2">
        <w:rPr>
          <w:rFonts w:eastAsia="TimesNewRoman" w:cs="TimesNewRoman"/>
          <w:color w:val="000000"/>
        </w:rPr>
        <w:t>);</w:t>
      </w:r>
      <w:r w:rsidR="00040671">
        <w:rPr>
          <w:rStyle w:val="FootnoteReference"/>
          <w:rFonts w:asciiTheme="minorHAnsi" w:eastAsia="TimesNewRoman" w:hAnsiTheme="minorHAnsi" w:cs="TimesNewRoman"/>
          <w:color w:val="000000"/>
        </w:rPr>
        <w:footnoteReference w:id="6"/>
      </w:r>
      <w:r w:rsidRPr="00542A99">
        <w:rPr>
          <w:rFonts w:eastAsia="TimesNewRoman" w:cs="TimesNewRoman"/>
          <w:color w:val="000000"/>
        </w:rPr>
        <w:t xml:space="preserve"> also suggests that glycaemic control reduces the risk of macrovascular complications of T2DM. Although pharmacological intervention, either in the form of a single agent or in combination, may provide effective glycaemic control for some patients, many do not achieve their target </w:t>
      </w:r>
      <w:r w:rsidR="003F2DE3">
        <w:t>Hb</w:t>
      </w:r>
      <w:r w:rsidR="00A04B32">
        <w:t>A1c</w:t>
      </w:r>
      <w:r w:rsidRPr="00542A99">
        <w:rPr>
          <w:rFonts w:eastAsia="TimesNewRoman" w:cs="TimesNewRoman"/>
          <w:color w:val="000000"/>
        </w:rPr>
        <w:t xml:space="preserve"> levels, and glycaemic control deteriorates over time. The SGLT2 inhibitors are a new class of agents for T2DM therapy that have been shown to improve glycaemic control, reduce body weight and lower blood pressure.</w:t>
      </w:r>
    </w:p>
    <w:p w14:paraId="5B6E9788" w14:textId="1BEFAA1D" w:rsidR="00326C01" w:rsidRDefault="00326C01">
      <w:pPr>
        <w:rPr>
          <w:lang w:eastAsia="ja-JP"/>
        </w:rPr>
      </w:pPr>
      <w:r>
        <w:t>Agents of this class approved for use in Australia include empagliflozin (Jardiance, approved in April 2014), dapagliflozin (Forxiga in Oct</w:t>
      </w:r>
      <w:r w:rsidR="00040671">
        <w:t>ober</w:t>
      </w:r>
      <w:r>
        <w:t xml:space="preserve"> 2012) and canagliflozin (Invokana in Sept</w:t>
      </w:r>
      <w:r w:rsidR="000B5869">
        <w:t>ember</w:t>
      </w:r>
      <w:r>
        <w:t xml:space="preserve"> 2013). FDCs of empagliflozin with metformin (Jardiamet in July</w:t>
      </w:r>
      <w:r w:rsidR="00BF2AB2">
        <w:t> </w:t>
      </w:r>
      <w:r>
        <w:t>2015) and dapagliflozin with metformin (Xigduo XR in July 2014) are also approved in Australia.</w:t>
      </w:r>
    </w:p>
    <w:p w14:paraId="3CB830FF" w14:textId="77777777" w:rsidR="00983BA4" w:rsidRDefault="00983BA4" w:rsidP="00983BA4">
      <w:pPr>
        <w:pStyle w:val="Heading4"/>
      </w:pPr>
      <w:bookmarkStart w:id="18" w:name="_Toc504037253"/>
      <w:bookmarkStart w:id="19" w:name="_Toc314842485"/>
      <w:bookmarkStart w:id="20" w:name="_Toc247691504"/>
      <w:r>
        <w:t>Related submissions</w:t>
      </w:r>
      <w:bookmarkEnd w:id="18"/>
    </w:p>
    <w:p w14:paraId="013C7265" w14:textId="77777777" w:rsidR="00983BA4" w:rsidRPr="000A39B2" w:rsidRDefault="00983BA4" w:rsidP="00BF2AB2">
      <w:pPr>
        <w:rPr>
          <w:lang w:eastAsia="ja-JP"/>
        </w:rPr>
      </w:pPr>
      <w:r w:rsidRPr="000A39B2">
        <w:t>Registration of ertugliflozin</w:t>
      </w:r>
      <w:r>
        <w:t xml:space="preserve"> (Steglatro)</w:t>
      </w:r>
      <w:r w:rsidRPr="000A39B2">
        <w:t xml:space="preserve">, ertugliflozin/sitagliptin FDC </w:t>
      </w:r>
      <w:r>
        <w:t xml:space="preserve">(Steglujan) </w:t>
      </w:r>
      <w:r w:rsidRPr="000A39B2">
        <w:t>and</w:t>
      </w:r>
      <w:r>
        <w:t xml:space="preserve"> </w:t>
      </w:r>
      <w:r w:rsidRPr="000A39B2">
        <w:t>ertugliflozin/metformin FDC</w:t>
      </w:r>
      <w:r>
        <w:t xml:space="preserve"> (Segluromet)</w:t>
      </w:r>
      <w:r w:rsidRPr="000A39B2">
        <w:t xml:space="preserve"> for the treatment of T2DM are being pursued concurrently.</w:t>
      </w:r>
    </w:p>
    <w:p w14:paraId="06FD324F" w14:textId="77777777" w:rsidR="008E7846" w:rsidRPr="003F31A2" w:rsidRDefault="00386150" w:rsidP="008E7846">
      <w:pPr>
        <w:pStyle w:val="Heading3"/>
      </w:pPr>
      <w:bookmarkStart w:id="21" w:name="_Toc4405815"/>
      <w:r>
        <w:t>Regulatory s</w:t>
      </w:r>
      <w:r w:rsidR="008E7846">
        <w:t>tatus</w:t>
      </w:r>
      <w:bookmarkEnd w:id="19"/>
      <w:bookmarkEnd w:id="20"/>
      <w:bookmarkEnd w:id="21"/>
    </w:p>
    <w:p w14:paraId="5AA94F33" w14:textId="77777777" w:rsidR="00BF2AB2" w:rsidRPr="00B654E6" w:rsidRDefault="00BF2AB2" w:rsidP="00BF2AB2">
      <w:bookmarkStart w:id="22" w:name="_Toc247691505"/>
      <w:bookmarkStart w:id="23" w:name="_Toc314842486"/>
      <w:r w:rsidRPr="00B654E6">
        <w:t xml:space="preserve">This AusPAR includes the submission of an application to register a </w:t>
      </w:r>
      <w:r>
        <w:t>NCE</w:t>
      </w:r>
      <w:r w:rsidRPr="00B654E6">
        <w:t xml:space="preserve"> ertugliflozin (Steglatro) on its own as well as in two separate FDCs is also proposed: with sitagliptin as Steglujan and with metformin as Segluromet. Metformin has been approved for many decades in Australia and sitagliptin was first registered in Australia in 2007.</w:t>
      </w:r>
    </w:p>
    <w:p w14:paraId="513E335D" w14:textId="77777777" w:rsidR="00326C01" w:rsidRDefault="00FA6C7E" w:rsidP="00FA6C7E">
      <w:pPr>
        <w:pStyle w:val="Heading4"/>
      </w:pPr>
      <w:bookmarkStart w:id="24" w:name="_Toc504037254"/>
      <w:r>
        <w:t>International</w:t>
      </w:r>
      <w:r w:rsidR="00326C01">
        <w:t xml:space="preserve"> regulatory history</w:t>
      </w:r>
      <w:bookmarkEnd w:id="24"/>
    </w:p>
    <w:p w14:paraId="5A455B1D" w14:textId="0C19FAF9" w:rsidR="00ED332D" w:rsidRDefault="00ED332D" w:rsidP="00ED332D">
      <w:r>
        <w:t>Ertugliflozin, ertugliflozin/metformin and ertugliflozin/</w:t>
      </w:r>
      <w:r w:rsidR="006D7B64">
        <w:t>sitagliptin</w:t>
      </w:r>
      <w:r>
        <w:t xml:space="preserve"> were approved by the FDA in December 2017.</w:t>
      </w:r>
    </w:p>
    <w:p w14:paraId="31C549B1" w14:textId="5BBDDC27" w:rsidR="00ED332D" w:rsidRDefault="00ED332D" w:rsidP="00ED332D">
      <w:r>
        <w:t>Ertugliflozin, ertugliflozin/metformin and ertugliflozin/</w:t>
      </w:r>
      <w:r w:rsidR="006D7B64">
        <w:t>sitagliptin</w:t>
      </w:r>
      <w:r>
        <w:t xml:space="preserve"> were given a positive recommendation by the </w:t>
      </w:r>
      <w:r w:rsidR="003F2DE3" w:rsidRPr="003F2DE3">
        <w:t xml:space="preserve">Committee for Medicinal Products for Human Use </w:t>
      </w:r>
      <w:r w:rsidR="003F2DE3">
        <w:t>(</w:t>
      </w:r>
      <w:r>
        <w:t>CHMP</w:t>
      </w:r>
      <w:r w:rsidR="003F2DE3">
        <w:t>)</w:t>
      </w:r>
      <w:r>
        <w:t xml:space="preserve"> in January 2018.</w:t>
      </w:r>
    </w:p>
    <w:p w14:paraId="78A8E330" w14:textId="77777777" w:rsidR="008E7846" w:rsidRDefault="008E7846" w:rsidP="00940A89">
      <w:pPr>
        <w:pStyle w:val="Heading3"/>
      </w:pPr>
      <w:bookmarkStart w:id="25" w:name="_Toc4405816"/>
      <w:r>
        <w:lastRenderedPageBreak/>
        <w:t>Product Information</w:t>
      </w:r>
      <w:bookmarkEnd w:id="22"/>
      <w:bookmarkEnd w:id="23"/>
      <w:bookmarkEnd w:id="25"/>
    </w:p>
    <w:p w14:paraId="0220AB1E" w14:textId="1DB398C4" w:rsidR="00940A89" w:rsidRDefault="006136D7" w:rsidP="00940A89">
      <w:bookmarkStart w:id="26" w:name="_Toc247691506"/>
      <w:bookmarkStart w:id="27" w:name="_Toc314842487"/>
      <w:r w:rsidRPr="00940A89">
        <w:t xml:space="preserve">The Product Information (PI) </w:t>
      </w:r>
      <w:r>
        <w:t xml:space="preserve">approved with the submission which is described in </w:t>
      </w:r>
      <w:r w:rsidRPr="00940A89">
        <w:t>this AusPAR can be found as Attachment 1</w:t>
      </w:r>
      <w:r w:rsidR="007976A6">
        <w:t>a Steglatro; Attachment 1b Steglujan; Attachment 1c Segluromet</w:t>
      </w:r>
      <w:r w:rsidRPr="00940A89">
        <w:t xml:space="preserve">. For the most recent </w:t>
      </w:r>
      <w:r>
        <w:t>PI</w:t>
      </w:r>
      <w:r w:rsidR="007976A6">
        <w:t>s</w:t>
      </w:r>
      <w:r>
        <w:t>,</w:t>
      </w:r>
      <w:r w:rsidRPr="00940A89">
        <w:t xml:space="preserve"> ple</w:t>
      </w:r>
      <w:r>
        <w:t>ase refer to the TGA website</w:t>
      </w:r>
      <w:r w:rsidRPr="00441C3F">
        <w:t xml:space="preserve"> at </w:t>
      </w:r>
      <w:r w:rsidR="00441C3F" w:rsidRPr="00441C3F">
        <w:t>&lt;</w:t>
      </w:r>
      <w:hyperlink r:id="rId19" w:history="1">
        <w:r w:rsidR="00441C3F" w:rsidRPr="00441C3F">
          <w:rPr>
            <w:rStyle w:val="Hyperlink"/>
          </w:rPr>
          <w:t>https://www.tga.gov.au/product-information-pi</w:t>
        </w:r>
      </w:hyperlink>
      <w:proofErr w:type="gramStart"/>
      <w:r w:rsidR="00AD51CF">
        <w:t xml:space="preserve">&gt; </w:t>
      </w:r>
      <w:r w:rsidR="00940A89" w:rsidRPr="00940A89">
        <w:t>.</w:t>
      </w:r>
      <w:proofErr w:type="gramEnd"/>
    </w:p>
    <w:p w14:paraId="3A5148FC" w14:textId="77777777" w:rsidR="00500337" w:rsidRPr="00AD73A6" w:rsidRDefault="00500337" w:rsidP="00500337">
      <w:pPr>
        <w:pStyle w:val="Heading2"/>
      </w:pPr>
      <w:bookmarkStart w:id="28" w:name="_Toc504480011"/>
      <w:bookmarkStart w:id="29" w:name="_Toc4405817"/>
      <w:r>
        <w:t xml:space="preserve">II. </w:t>
      </w:r>
      <w:r w:rsidRPr="00AD73A6">
        <w:t>Registration time line</w:t>
      </w:r>
      <w:bookmarkEnd w:id="28"/>
      <w:bookmarkEnd w:id="29"/>
    </w:p>
    <w:p w14:paraId="5B69B008" w14:textId="77777777" w:rsidR="00500337" w:rsidRDefault="00500337" w:rsidP="00500337">
      <w:r w:rsidRPr="00AD73A6">
        <w:t>The following table captures the key steps and dates for this application and which are detailed and discussed in this AusPAR and Attachment</w:t>
      </w:r>
      <w:r>
        <w:t xml:space="preserve"> 2.</w:t>
      </w:r>
    </w:p>
    <w:p w14:paraId="33FDF041" w14:textId="3C73EC9E" w:rsidR="00E600D5" w:rsidRPr="00AD51CF" w:rsidRDefault="00E600D5" w:rsidP="00BF2AB2">
      <w:pPr>
        <w:pStyle w:val="TableTitle"/>
      </w:pPr>
      <w:r>
        <w:t xml:space="preserve">Table 3: Timeline for submissions PM 2017-01328-1-5, </w:t>
      </w:r>
      <w:r w:rsidRPr="00715B39">
        <w:t>PM 2017-0132</w:t>
      </w:r>
      <w:r w:rsidRPr="00BF2AB2">
        <w:t>9</w:t>
      </w:r>
      <w:r w:rsidRPr="00715B39">
        <w:t>-1-5</w:t>
      </w:r>
      <w:r w:rsidRPr="00E600D5">
        <w:t xml:space="preserve"> and PM 2017-013</w:t>
      </w:r>
      <w:r w:rsidRPr="00BF2AB2">
        <w:t>30</w:t>
      </w:r>
      <w:r w:rsidRPr="00715B39">
        <w:t>-1-5</w:t>
      </w:r>
    </w:p>
    <w:tbl>
      <w:tblPr>
        <w:tblStyle w:val="TableTGAblue"/>
        <w:tblW w:w="0" w:type="auto"/>
        <w:tblLook w:val="04A0" w:firstRow="1" w:lastRow="0" w:firstColumn="1" w:lastColumn="0" w:noHBand="0" w:noVBand="1"/>
      </w:tblPr>
      <w:tblGrid>
        <w:gridCol w:w="4360"/>
        <w:gridCol w:w="4360"/>
      </w:tblGrid>
      <w:tr w:rsidR="00AD73A6" w:rsidRPr="00BF2AB2" w14:paraId="2888212F" w14:textId="77777777" w:rsidTr="00500337">
        <w:trPr>
          <w:cnfStyle w:val="100000000000" w:firstRow="1" w:lastRow="0" w:firstColumn="0" w:lastColumn="0" w:oddVBand="0" w:evenVBand="0" w:oddHBand="0" w:evenHBand="0" w:firstRowFirstColumn="0" w:firstRowLastColumn="0" w:lastRowFirstColumn="0" w:lastRowLastColumn="0"/>
        </w:trPr>
        <w:tc>
          <w:tcPr>
            <w:tcW w:w="4360" w:type="dxa"/>
          </w:tcPr>
          <w:p w14:paraId="00931480" w14:textId="77777777" w:rsidR="00AD73A6" w:rsidRPr="00BF2AB2" w:rsidRDefault="00AD73A6" w:rsidP="00500337">
            <w:pPr>
              <w:rPr>
                <w:sz w:val="20"/>
                <w:szCs w:val="20"/>
              </w:rPr>
            </w:pPr>
            <w:r w:rsidRPr="00BF2AB2">
              <w:rPr>
                <w:sz w:val="20"/>
                <w:szCs w:val="20"/>
              </w:rPr>
              <w:t>Milestone</w:t>
            </w:r>
          </w:p>
        </w:tc>
        <w:tc>
          <w:tcPr>
            <w:tcW w:w="4360" w:type="dxa"/>
          </w:tcPr>
          <w:p w14:paraId="25863410" w14:textId="77777777" w:rsidR="00AD73A6" w:rsidRPr="00BF2AB2" w:rsidRDefault="00AD73A6" w:rsidP="00500337">
            <w:pPr>
              <w:rPr>
                <w:sz w:val="20"/>
                <w:szCs w:val="20"/>
              </w:rPr>
            </w:pPr>
            <w:r w:rsidRPr="00BF2AB2">
              <w:rPr>
                <w:sz w:val="20"/>
                <w:szCs w:val="20"/>
              </w:rPr>
              <w:t>Date</w:t>
            </w:r>
          </w:p>
        </w:tc>
      </w:tr>
      <w:tr w:rsidR="00AD73A6" w:rsidRPr="00BF2AB2" w14:paraId="65B78D63" w14:textId="77777777" w:rsidTr="00500337">
        <w:tc>
          <w:tcPr>
            <w:tcW w:w="4360" w:type="dxa"/>
          </w:tcPr>
          <w:p w14:paraId="096DBF1D" w14:textId="77777777" w:rsidR="00AD73A6" w:rsidRPr="00BF2AB2" w:rsidRDefault="00AD73A6" w:rsidP="00AD73A6">
            <w:pPr>
              <w:rPr>
                <w:sz w:val="20"/>
                <w:szCs w:val="20"/>
              </w:rPr>
            </w:pPr>
            <w:r w:rsidRPr="00BF2AB2">
              <w:rPr>
                <w:sz w:val="20"/>
                <w:szCs w:val="20"/>
              </w:rPr>
              <w:t>Submission dossier accepted and first round evaluation commenced</w:t>
            </w:r>
          </w:p>
        </w:tc>
        <w:tc>
          <w:tcPr>
            <w:tcW w:w="4360" w:type="dxa"/>
          </w:tcPr>
          <w:p w14:paraId="52496BC0" w14:textId="77777777" w:rsidR="00AD73A6" w:rsidRPr="00BF2AB2" w:rsidRDefault="00AD73A6" w:rsidP="00B27FD6">
            <w:pPr>
              <w:rPr>
                <w:sz w:val="20"/>
                <w:szCs w:val="20"/>
              </w:rPr>
            </w:pPr>
            <w:r w:rsidRPr="00BF2AB2">
              <w:rPr>
                <w:sz w:val="20"/>
                <w:szCs w:val="20"/>
              </w:rPr>
              <w:t>31 May 2017</w:t>
            </w:r>
          </w:p>
        </w:tc>
      </w:tr>
      <w:tr w:rsidR="00500337" w:rsidRPr="00BF2AB2" w14:paraId="1AA0C18B" w14:textId="77777777" w:rsidTr="00500337">
        <w:tc>
          <w:tcPr>
            <w:tcW w:w="4360" w:type="dxa"/>
          </w:tcPr>
          <w:p w14:paraId="4DB7EF06" w14:textId="77777777" w:rsidR="00500337" w:rsidRPr="00BF2AB2" w:rsidRDefault="00500337" w:rsidP="00AD73A6">
            <w:pPr>
              <w:rPr>
                <w:sz w:val="20"/>
                <w:szCs w:val="20"/>
              </w:rPr>
            </w:pPr>
            <w:r w:rsidRPr="00BF2AB2">
              <w:rPr>
                <w:sz w:val="20"/>
                <w:szCs w:val="20"/>
              </w:rPr>
              <w:t>First round evaluation completed</w:t>
            </w:r>
          </w:p>
        </w:tc>
        <w:tc>
          <w:tcPr>
            <w:tcW w:w="4360" w:type="dxa"/>
          </w:tcPr>
          <w:p w14:paraId="24598DC7" w14:textId="77777777" w:rsidR="00500337" w:rsidRPr="00BF2AB2" w:rsidRDefault="00AD73A6" w:rsidP="00B27FD6">
            <w:pPr>
              <w:rPr>
                <w:sz w:val="20"/>
                <w:szCs w:val="20"/>
              </w:rPr>
            </w:pPr>
            <w:r w:rsidRPr="00BF2AB2">
              <w:rPr>
                <w:sz w:val="20"/>
                <w:szCs w:val="20"/>
              </w:rPr>
              <w:t>15 December 2017</w:t>
            </w:r>
          </w:p>
        </w:tc>
      </w:tr>
      <w:tr w:rsidR="00500337" w:rsidRPr="00BF2AB2" w14:paraId="62C174F3" w14:textId="77777777" w:rsidTr="00500337">
        <w:tc>
          <w:tcPr>
            <w:tcW w:w="4360" w:type="dxa"/>
          </w:tcPr>
          <w:p w14:paraId="242DB875" w14:textId="77777777" w:rsidR="00500337" w:rsidRPr="00BF2AB2" w:rsidRDefault="00500337" w:rsidP="00AD73A6">
            <w:pPr>
              <w:rPr>
                <w:sz w:val="20"/>
                <w:szCs w:val="20"/>
              </w:rPr>
            </w:pPr>
            <w:r w:rsidRPr="00BF2AB2">
              <w:rPr>
                <w:sz w:val="20"/>
                <w:szCs w:val="20"/>
              </w:rPr>
              <w:t>Sponsor provides responses on questions raised in first round evaluation</w:t>
            </w:r>
          </w:p>
        </w:tc>
        <w:tc>
          <w:tcPr>
            <w:tcW w:w="4360" w:type="dxa"/>
          </w:tcPr>
          <w:p w14:paraId="090A1482" w14:textId="77777777" w:rsidR="00500337" w:rsidRPr="00BF2AB2" w:rsidRDefault="00AD73A6" w:rsidP="00B27FD6">
            <w:pPr>
              <w:rPr>
                <w:sz w:val="20"/>
                <w:szCs w:val="20"/>
              </w:rPr>
            </w:pPr>
            <w:r w:rsidRPr="00BF2AB2">
              <w:rPr>
                <w:sz w:val="20"/>
                <w:szCs w:val="20"/>
              </w:rPr>
              <w:t>19 December 2017</w:t>
            </w:r>
          </w:p>
        </w:tc>
      </w:tr>
      <w:tr w:rsidR="00500337" w:rsidRPr="00BF2AB2" w14:paraId="42DE7F33" w14:textId="77777777" w:rsidTr="00500337">
        <w:tc>
          <w:tcPr>
            <w:tcW w:w="4360" w:type="dxa"/>
          </w:tcPr>
          <w:p w14:paraId="32B0712F" w14:textId="77777777" w:rsidR="00500337" w:rsidRPr="00BF2AB2" w:rsidRDefault="00500337" w:rsidP="00AD73A6">
            <w:pPr>
              <w:rPr>
                <w:sz w:val="20"/>
                <w:szCs w:val="20"/>
              </w:rPr>
            </w:pPr>
            <w:r w:rsidRPr="00BF2AB2">
              <w:rPr>
                <w:sz w:val="20"/>
                <w:szCs w:val="20"/>
              </w:rPr>
              <w:t>Second round evaluation completed</w:t>
            </w:r>
          </w:p>
        </w:tc>
        <w:tc>
          <w:tcPr>
            <w:tcW w:w="4360" w:type="dxa"/>
          </w:tcPr>
          <w:p w14:paraId="35F2E8EC" w14:textId="5A29AE64" w:rsidR="00500337" w:rsidRPr="00BF2AB2" w:rsidRDefault="008459AB" w:rsidP="00A879FA">
            <w:pPr>
              <w:rPr>
                <w:sz w:val="20"/>
                <w:szCs w:val="20"/>
              </w:rPr>
            </w:pPr>
            <w:r w:rsidRPr="00BF2AB2">
              <w:rPr>
                <w:sz w:val="20"/>
                <w:szCs w:val="20"/>
              </w:rPr>
              <w:t xml:space="preserve">2 February </w:t>
            </w:r>
            <w:r w:rsidR="00A879FA" w:rsidRPr="00BF2AB2">
              <w:rPr>
                <w:sz w:val="20"/>
                <w:szCs w:val="20"/>
              </w:rPr>
              <w:t>2018</w:t>
            </w:r>
          </w:p>
        </w:tc>
      </w:tr>
      <w:tr w:rsidR="00500337" w:rsidRPr="00BF2AB2" w14:paraId="71DC0074" w14:textId="77777777" w:rsidTr="00500337">
        <w:tc>
          <w:tcPr>
            <w:tcW w:w="4360" w:type="dxa"/>
          </w:tcPr>
          <w:p w14:paraId="6CC29CB8" w14:textId="77777777" w:rsidR="00500337" w:rsidRPr="00BF2AB2" w:rsidRDefault="00500337" w:rsidP="00AD73A6">
            <w:pPr>
              <w:rPr>
                <w:sz w:val="20"/>
                <w:szCs w:val="20"/>
              </w:rPr>
            </w:pPr>
            <w:r w:rsidRPr="00BF2AB2">
              <w:rPr>
                <w:sz w:val="20"/>
                <w:szCs w:val="20"/>
              </w:rPr>
              <w:t>Delegate’s Overall benefit-risk assessment and request for Advisory Committee advice</w:t>
            </w:r>
          </w:p>
        </w:tc>
        <w:tc>
          <w:tcPr>
            <w:tcW w:w="4360" w:type="dxa"/>
          </w:tcPr>
          <w:p w14:paraId="01032CD8" w14:textId="4D49BD5D" w:rsidR="00500337" w:rsidRPr="00BF2AB2" w:rsidRDefault="00B27FD6" w:rsidP="00B27FD6">
            <w:pPr>
              <w:rPr>
                <w:sz w:val="20"/>
                <w:szCs w:val="20"/>
              </w:rPr>
            </w:pPr>
            <w:r w:rsidRPr="00BF2AB2">
              <w:rPr>
                <w:sz w:val="20"/>
                <w:szCs w:val="20"/>
              </w:rPr>
              <w:t>1</w:t>
            </w:r>
            <w:r w:rsidR="005F3010" w:rsidRPr="00BF2AB2">
              <w:rPr>
                <w:sz w:val="20"/>
                <w:szCs w:val="20"/>
              </w:rPr>
              <w:t>6</w:t>
            </w:r>
            <w:r w:rsidRPr="00BF2AB2">
              <w:rPr>
                <w:sz w:val="20"/>
                <w:szCs w:val="20"/>
              </w:rPr>
              <w:t xml:space="preserve"> February 2018</w:t>
            </w:r>
          </w:p>
        </w:tc>
      </w:tr>
      <w:tr w:rsidR="00500337" w:rsidRPr="00BF2AB2" w14:paraId="00E6D8EB" w14:textId="77777777" w:rsidTr="00500337">
        <w:tc>
          <w:tcPr>
            <w:tcW w:w="4360" w:type="dxa"/>
          </w:tcPr>
          <w:p w14:paraId="200A65DE" w14:textId="77777777" w:rsidR="00500337" w:rsidRPr="00BF2AB2" w:rsidRDefault="00500337" w:rsidP="00AD73A6">
            <w:pPr>
              <w:rPr>
                <w:sz w:val="20"/>
                <w:szCs w:val="20"/>
              </w:rPr>
            </w:pPr>
            <w:r w:rsidRPr="00BF2AB2">
              <w:rPr>
                <w:sz w:val="20"/>
                <w:szCs w:val="20"/>
              </w:rPr>
              <w:t>Sponsor’s pre-Advisory Committee response</w:t>
            </w:r>
          </w:p>
        </w:tc>
        <w:tc>
          <w:tcPr>
            <w:tcW w:w="4360" w:type="dxa"/>
          </w:tcPr>
          <w:p w14:paraId="49F2C11A" w14:textId="77777777" w:rsidR="00500337" w:rsidRPr="00BF2AB2" w:rsidRDefault="00B27FD6" w:rsidP="00B27FD6">
            <w:pPr>
              <w:rPr>
                <w:sz w:val="20"/>
                <w:szCs w:val="20"/>
              </w:rPr>
            </w:pPr>
            <w:r w:rsidRPr="00BF2AB2">
              <w:rPr>
                <w:sz w:val="20"/>
                <w:szCs w:val="20"/>
              </w:rPr>
              <w:t>13 March 2018</w:t>
            </w:r>
          </w:p>
        </w:tc>
      </w:tr>
      <w:tr w:rsidR="00500337" w:rsidRPr="00BF2AB2" w14:paraId="1E898368" w14:textId="77777777" w:rsidTr="00500337">
        <w:tc>
          <w:tcPr>
            <w:tcW w:w="4360" w:type="dxa"/>
          </w:tcPr>
          <w:p w14:paraId="331C5403" w14:textId="77777777" w:rsidR="00500337" w:rsidRPr="00BF2AB2" w:rsidRDefault="00500337" w:rsidP="00AD73A6">
            <w:pPr>
              <w:rPr>
                <w:sz w:val="20"/>
                <w:szCs w:val="20"/>
              </w:rPr>
            </w:pPr>
            <w:r w:rsidRPr="00BF2AB2">
              <w:rPr>
                <w:sz w:val="20"/>
                <w:szCs w:val="20"/>
              </w:rPr>
              <w:t>Advisory Committee meeting</w:t>
            </w:r>
          </w:p>
        </w:tc>
        <w:tc>
          <w:tcPr>
            <w:tcW w:w="4360" w:type="dxa"/>
          </w:tcPr>
          <w:p w14:paraId="60CFCA1C" w14:textId="77777777" w:rsidR="00500337" w:rsidRPr="00BF2AB2" w:rsidRDefault="00B27FD6" w:rsidP="00B27FD6">
            <w:pPr>
              <w:rPr>
                <w:sz w:val="20"/>
                <w:szCs w:val="20"/>
              </w:rPr>
            </w:pPr>
            <w:r w:rsidRPr="00BF2AB2">
              <w:rPr>
                <w:sz w:val="20"/>
                <w:szCs w:val="20"/>
              </w:rPr>
              <w:t>5-6 April 2018</w:t>
            </w:r>
          </w:p>
        </w:tc>
      </w:tr>
      <w:tr w:rsidR="008459AB" w:rsidRPr="00BF2AB2" w14:paraId="4206607E" w14:textId="77777777" w:rsidTr="00500337">
        <w:tc>
          <w:tcPr>
            <w:tcW w:w="4360" w:type="dxa"/>
          </w:tcPr>
          <w:p w14:paraId="1C82E5E1" w14:textId="77777777" w:rsidR="008459AB" w:rsidRPr="00BF2AB2" w:rsidRDefault="008459AB" w:rsidP="00AD73A6">
            <w:pPr>
              <w:rPr>
                <w:sz w:val="20"/>
                <w:szCs w:val="20"/>
              </w:rPr>
            </w:pPr>
            <w:r w:rsidRPr="00BF2AB2">
              <w:rPr>
                <w:sz w:val="20"/>
                <w:szCs w:val="20"/>
              </w:rPr>
              <w:t>Registration decision (Outcome)</w:t>
            </w:r>
          </w:p>
        </w:tc>
        <w:tc>
          <w:tcPr>
            <w:tcW w:w="4360" w:type="dxa"/>
          </w:tcPr>
          <w:p w14:paraId="64B9ABF2" w14:textId="77777777" w:rsidR="008459AB" w:rsidRPr="00BF2AB2" w:rsidRDefault="008459AB" w:rsidP="00307ECF">
            <w:pPr>
              <w:rPr>
                <w:sz w:val="20"/>
                <w:szCs w:val="20"/>
              </w:rPr>
            </w:pPr>
            <w:r w:rsidRPr="00BF2AB2">
              <w:rPr>
                <w:sz w:val="20"/>
                <w:szCs w:val="20"/>
              </w:rPr>
              <w:t>14 May 2018/14 May 2018/ 15 May 2018</w:t>
            </w:r>
          </w:p>
        </w:tc>
      </w:tr>
      <w:tr w:rsidR="008459AB" w:rsidRPr="00BF2AB2" w14:paraId="4407A417" w14:textId="77777777" w:rsidTr="00500337">
        <w:tc>
          <w:tcPr>
            <w:tcW w:w="4360" w:type="dxa"/>
          </w:tcPr>
          <w:p w14:paraId="09B0AC1A" w14:textId="77777777" w:rsidR="008459AB" w:rsidRPr="00BF2AB2" w:rsidRDefault="008459AB" w:rsidP="00AD73A6">
            <w:pPr>
              <w:rPr>
                <w:sz w:val="20"/>
                <w:szCs w:val="20"/>
              </w:rPr>
            </w:pPr>
            <w:r w:rsidRPr="00BF2AB2">
              <w:rPr>
                <w:sz w:val="20"/>
                <w:szCs w:val="20"/>
              </w:rPr>
              <w:t>Completion of administrative activities and registration on ARTG</w:t>
            </w:r>
          </w:p>
        </w:tc>
        <w:tc>
          <w:tcPr>
            <w:tcW w:w="4360" w:type="dxa"/>
          </w:tcPr>
          <w:p w14:paraId="59C70B41" w14:textId="77777777" w:rsidR="008459AB" w:rsidRPr="00BF2AB2" w:rsidRDefault="008459AB" w:rsidP="00307ECF">
            <w:pPr>
              <w:rPr>
                <w:i/>
                <w:sz w:val="20"/>
                <w:szCs w:val="20"/>
              </w:rPr>
            </w:pPr>
            <w:r w:rsidRPr="00BF2AB2">
              <w:rPr>
                <w:sz w:val="20"/>
                <w:szCs w:val="20"/>
              </w:rPr>
              <w:t>17 May 2018</w:t>
            </w:r>
          </w:p>
        </w:tc>
      </w:tr>
      <w:tr w:rsidR="008459AB" w:rsidRPr="00BF2AB2" w14:paraId="61BAD0D8" w14:textId="77777777" w:rsidTr="00500337">
        <w:tc>
          <w:tcPr>
            <w:tcW w:w="4360" w:type="dxa"/>
          </w:tcPr>
          <w:p w14:paraId="742EDA46" w14:textId="77777777" w:rsidR="008459AB" w:rsidRPr="00BF2AB2" w:rsidRDefault="008459AB" w:rsidP="00AD73A6">
            <w:pPr>
              <w:rPr>
                <w:sz w:val="20"/>
                <w:szCs w:val="20"/>
              </w:rPr>
            </w:pPr>
            <w:r w:rsidRPr="00BF2AB2">
              <w:rPr>
                <w:sz w:val="20"/>
                <w:szCs w:val="20"/>
              </w:rPr>
              <w:t>Number of working days from submission dossier acceptance to registration decision*</w:t>
            </w:r>
          </w:p>
        </w:tc>
        <w:tc>
          <w:tcPr>
            <w:tcW w:w="4360" w:type="dxa"/>
          </w:tcPr>
          <w:p w14:paraId="44789A0D" w14:textId="12887C8A" w:rsidR="008459AB" w:rsidRPr="00BF2AB2" w:rsidRDefault="008459AB" w:rsidP="00B27FD6">
            <w:pPr>
              <w:rPr>
                <w:sz w:val="20"/>
                <w:szCs w:val="20"/>
              </w:rPr>
            </w:pPr>
            <w:r w:rsidRPr="00BF2AB2">
              <w:rPr>
                <w:sz w:val="20"/>
                <w:szCs w:val="20"/>
              </w:rPr>
              <w:t>235</w:t>
            </w:r>
            <w:r w:rsidR="00BF2AB2">
              <w:rPr>
                <w:sz w:val="20"/>
                <w:szCs w:val="20"/>
              </w:rPr>
              <w:t xml:space="preserve"> to </w:t>
            </w:r>
            <w:r w:rsidRPr="00BF2AB2">
              <w:rPr>
                <w:sz w:val="20"/>
                <w:szCs w:val="20"/>
              </w:rPr>
              <w:t>236</w:t>
            </w:r>
          </w:p>
        </w:tc>
      </w:tr>
    </w:tbl>
    <w:p w14:paraId="56EACC6E" w14:textId="77777777" w:rsidR="00500337" w:rsidRDefault="00500337" w:rsidP="00500337">
      <w:pPr>
        <w:pStyle w:val="TableDescription"/>
      </w:pPr>
      <w:r>
        <w:t>*</w:t>
      </w:r>
      <w:r w:rsidR="000B5869">
        <w:t>The statutory</w:t>
      </w:r>
      <w:r>
        <w:t xml:space="preserve"> timeframe </w:t>
      </w:r>
      <w:proofErr w:type="gramStart"/>
      <w:r>
        <w:t xml:space="preserve">for </w:t>
      </w:r>
      <w:r w:rsidR="000B5869">
        <w:t xml:space="preserve">a </w:t>
      </w:r>
      <w:r>
        <w:t>standard applications</w:t>
      </w:r>
      <w:proofErr w:type="gramEnd"/>
      <w:r>
        <w:t xml:space="preserve"> is 2</w:t>
      </w:r>
      <w:r w:rsidR="000B5869">
        <w:t>55</w:t>
      </w:r>
      <w:r>
        <w:t xml:space="preserve"> working days</w:t>
      </w:r>
    </w:p>
    <w:p w14:paraId="08B16943" w14:textId="77777777" w:rsidR="00500337" w:rsidRDefault="00500337" w:rsidP="00500337">
      <w:r>
        <w:t>Evaluations included under Quality findings and Nonclinical findings incorporate both the first and second round evaluations.</w:t>
      </w:r>
    </w:p>
    <w:p w14:paraId="191FE5E4" w14:textId="77777777" w:rsidR="008E7846" w:rsidRPr="003602A9" w:rsidRDefault="00500337" w:rsidP="008E7846">
      <w:pPr>
        <w:pStyle w:val="Heading2"/>
        <w:ind w:left="-11"/>
      </w:pPr>
      <w:bookmarkStart w:id="30" w:name="_Toc4405818"/>
      <w:r>
        <w:t>I</w:t>
      </w:r>
      <w:r w:rsidR="008E7846">
        <w:t>II. Quality</w:t>
      </w:r>
      <w:bookmarkEnd w:id="1"/>
      <w:r w:rsidR="008E7846">
        <w:t xml:space="preserve"> findings</w:t>
      </w:r>
      <w:bookmarkEnd w:id="26"/>
      <w:bookmarkEnd w:id="27"/>
      <w:bookmarkEnd w:id="30"/>
    </w:p>
    <w:p w14:paraId="77C3184B" w14:textId="77777777" w:rsidR="00C008B6" w:rsidRDefault="00940A89" w:rsidP="00940A89">
      <w:pPr>
        <w:pStyle w:val="Heading3"/>
      </w:pPr>
      <w:bookmarkStart w:id="31" w:name="_Toc247691507"/>
      <w:bookmarkStart w:id="32" w:name="_Toc314842488"/>
      <w:bookmarkStart w:id="33" w:name="_Toc4405819"/>
      <w:r w:rsidRPr="00940A89">
        <w:t>Introduction</w:t>
      </w:r>
      <w:bookmarkEnd w:id="33"/>
    </w:p>
    <w:p w14:paraId="1287E57E" w14:textId="77777777" w:rsidR="00C008B6" w:rsidRDefault="00C008B6" w:rsidP="00ED332D">
      <w:r w:rsidRPr="006E4CF1">
        <w:t xml:space="preserve">This </w:t>
      </w:r>
      <w:r w:rsidR="006473CB">
        <w:t>quality</w:t>
      </w:r>
      <w:r w:rsidRPr="006E4CF1">
        <w:t xml:space="preserve"> summary document summarises the pharmaceutical chemistry and quality control aspects of all three submissions</w:t>
      </w:r>
      <w:r w:rsidR="006473CB">
        <w:t xml:space="preserve"> listed in Table 2.</w:t>
      </w:r>
    </w:p>
    <w:p w14:paraId="3ABC62A7" w14:textId="77777777" w:rsidR="00BF2AB2" w:rsidRPr="007B536C" w:rsidRDefault="00BF2AB2" w:rsidP="00BF2AB2">
      <w:r w:rsidRPr="007B536C">
        <w:lastRenderedPageBreak/>
        <w:t>There is no British Pharmacopeia (BP)/European Pharmacopeia (Ph.Eur.) or US</w:t>
      </w:r>
      <w:r>
        <w:t> </w:t>
      </w:r>
      <w:r w:rsidRPr="007B536C">
        <w:t xml:space="preserve">Pharmacopeia (USP) monographs for either the drug substance, </w:t>
      </w:r>
      <w:r>
        <w:t>e</w:t>
      </w:r>
      <w:r w:rsidRPr="007B536C">
        <w:t>rtugliflozin pyroglutamic acid or for any of the finished products.</w:t>
      </w:r>
    </w:p>
    <w:p w14:paraId="62011074" w14:textId="77777777" w:rsidR="00C008B6" w:rsidRPr="007B536C" w:rsidRDefault="00C008B6" w:rsidP="00ED332D">
      <w:r w:rsidRPr="007B536C">
        <w:t xml:space="preserve">There is BP/Ph.Eur. </w:t>
      </w:r>
      <w:proofErr w:type="gramStart"/>
      <w:r w:rsidRPr="007B536C">
        <w:t>and</w:t>
      </w:r>
      <w:proofErr w:type="gramEnd"/>
      <w:r w:rsidRPr="007B536C">
        <w:t xml:space="preserve"> USP monographs for the drug substance, </w:t>
      </w:r>
      <w:r w:rsidR="008F1FD4">
        <w:t>s</w:t>
      </w:r>
      <w:r w:rsidRPr="007B536C">
        <w:t xml:space="preserve">itagliptin phosphate and BP and USP monographs for </w:t>
      </w:r>
      <w:r w:rsidR="008F1FD4">
        <w:t>s</w:t>
      </w:r>
      <w:r w:rsidRPr="007B536C">
        <w:t xml:space="preserve">itagliptin </w:t>
      </w:r>
      <w:r w:rsidR="008F1FD4">
        <w:t>t</w:t>
      </w:r>
      <w:r w:rsidRPr="007B536C">
        <w:t>ablets.</w:t>
      </w:r>
    </w:p>
    <w:p w14:paraId="5DE123A8" w14:textId="77777777" w:rsidR="00C008B6" w:rsidRPr="007B536C" w:rsidRDefault="00C008B6" w:rsidP="00ED332D">
      <w:r w:rsidRPr="007B536C">
        <w:t xml:space="preserve">There </w:t>
      </w:r>
      <w:proofErr w:type="gramStart"/>
      <w:r w:rsidRPr="007B536C">
        <w:t>are</w:t>
      </w:r>
      <w:proofErr w:type="gramEnd"/>
      <w:r w:rsidRPr="007B536C">
        <w:t xml:space="preserve"> BP/Ph.Eur. </w:t>
      </w:r>
      <w:proofErr w:type="gramStart"/>
      <w:r w:rsidRPr="007B536C">
        <w:t>and</w:t>
      </w:r>
      <w:proofErr w:type="gramEnd"/>
      <w:r w:rsidRPr="007B536C">
        <w:t xml:space="preserve"> USP monographs for the drug substance, </w:t>
      </w:r>
      <w:r w:rsidR="008F1FD4">
        <w:t>m</w:t>
      </w:r>
      <w:r w:rsidRPr="007B536C">
        <w:t xml:space="preserve">etformin hydrochloride and a BP. monograph for </w:t>
      </w:r>
      <w:r w:rsidR="008F1FD4">
        <w:t>m</w:t>
      </w:r>
      <w:r w:rsidR="006473CB">
        <w:t>etformin t</w:t>
      </w:r>
      <w:r w:rsidRPr="007B536C">
        <w:t xml:space="preserve">ablets. The USP also has a monograph for </w:t>
      </w:r>
      <w:r w:rsidR="008F1FD4">
        <w:t>m</w:t>
      </w:r>
      <w:r w:rsidRPr="007B536C">
        <w:t xml:space="preserve">etformin </w:t>
      </w:r>
      <w:r w:rsidR="008F1FD4">
        <w:t>h</w:t>
      </w:r>
      <w:r w:rsidRPr="007B536C">
        <w:t xml:space="preserve">ydrochloride </w:t>
      </w:r>
      <w:r w:rsidR="008F1FD4">
        <w:t>t</w:t>
      </w:r>
      <w:r w:rsidRPr="007B536C">
        <w:t xml:space="preserve">ablets as well as dual active tablets for </w:t>
      </w:r>
      <w:r w:rsidR="008F1FD4">
        <w:t>g</w:t>
      </w:r>
      <w:r w:rsidRPr="007B536C">
        <w:t xml:space="preserve">lyburide and </w:t>
      </w:r>
      <w:r w:rsidR="008F1FD4">
        <w:t>m</w:t>
      </w:r>
      <w:r w:rsidRPr="007B536C">
        <w:t xml:space="preserve">etformin </w:t>
      </w:r>
      <w:r w:rsidR="008F1FD4">
        <w:t>t</w:t>
      </w:r>
      <w:r w:rsidRPr="007B536C">
        <w:t xml:space="preserve">ablets, </w:t>
      </w:r>
      <w:r w:rsidR="008F1FD4">
        <w:t>g</w:t>
      </w:r>
      <w:r w:rsidRPr="007B536C">
        <w:t xml:space="preserve">lipizide and </w:t>
      </w:r>
      <w:r w:rsidR="008F1FD4">
        <w:t>m</w:t>
      </w:r>
      <w:r w:rsidRPr="007B536C">
        <w:t xml:space="preserve">etformin </w:t>
      </w:r>
      <w:r w:rsidR="008F1FD4">
        <w:t>t</w:t>
      </w:r>
      <w:r w:rsidRPr="007B536C">
        <w:t xml:space="preserve">ablets and </w:t>
      </w:r>
      <w:r w:rsidR="008F1FD4">
        <w:t>pioglitazone and m</w:t>
      </w:r>
      <w:r w:rsidRPr="007B536C">
        <w:t xml:space="preserve">etformin </w:t>
      </w:r>
      <w:r w:rsidR="008F1FD4">
        <w:t>t</w:t>
      </w:r>
      <w:r w:rsidRPr="007B536C">
        <w:t>ablets.</w:t>
      </w:r>
    </w:p>
    <w:p w14:paraId="2121DBFE" w14:textId="77777777" w:rsidR="008E7846" w:rsidRDefault="008E7846" w:rsidP="00940A89">
      <w:pPr>
        <w:pStyle w:val="Heading3"/>
      </w:pPr>
      <w:bookmarkStart w:id="34" w:name="_Toc4405820"/>
      <w:r w:rsidRPr="008751DC">
        <w:t xml:space="preserve">Drug </w:t>
      </w:r>
      <w:r>
        <w:t>s</w:t>
      </w:r>
      <w:r w:rsidRPr="008751DC">
        <w:t>ubstance</w:t>
      </w:r>
      <w:r>
        <w:t xml:space="preserve"> (active ingredient)</w:t>
      </w:r>
      <w:bookmarkEnd w:id="31"/>
      <w:bookmarkEnd w:id="32"/>
      <w:bookmarkEnd w:id="34"/>
    </w:p>
    <w:p w14:paraId="2B0171B2" w14:textId="77777777" w:rsidR="00D819A2" w:rsidRPr="00D819A2" w:rsidRDefault="00D819A2" w:rsidP="00D819A2">
      <w:pPr>
        <w:pStyle w:val="Heading4"/>
      </w:pPr>
      <w:r>
        <w:t>E</w:t>
      </w:r>
      <w:r w:rsidRPr="00AB1449">
        <w:t>rtugliflozin</w:t>
      </w:r>
    </w:p>
    <w:p w14:paraId="71738C02" w14:textId="77777777" w:rsidR="0071292A" w:rsidRPr="00AB1449" w:rsidRDefault="006473CB" w:rsidP="0071292A">
      <w:r>
        <w:t xml:space="preserve">The following figures show the chemical structure </w:t>
      </w:r>
      <w:r w:rsidR="0071292A">
        <w:t>of e</w:t>
      </w:r>
      <w:r w:rsidR="0071292A" w:rsidRPr="00AB1449">
        <w:t>rtugliflozin pyroglutamic acid</w:t>
      </w:r>
      <w:r w:rsidR="0071292A">
        <w:t xml:space="preserve"> and ertugliflozin.</w:t>
      </w:r>
    </w:p>
    <w:p w14:paraId="41018FC6" w14:textId="77777777" w:rsidR="00223EDB" w:rsidRDefault="00223EDB" w:rsidP="00223EDB">
      <w:pPr>
        <w:pStyle w:val="FigureTitle"/>
      </w:pPr>
      <w:r w:rsidRPr="0011303F">
        <w:t>Figure 1: Chemical structure of ertugliflozin pyroglutamic acid; and ertugliflozin (active moiety)</w:t>
      </w:r>
    </w:p>
    <w:p w14:paraId="7E4A963B" w14:textId="4BE6FF90" w:rsidR="00E600D5" w:rsidRPr="00E600D5" w:rsidRDefault="00223EDB" w:rsidP="00571879">
      <w:r>
        <w:rPr>
          <w:noProof/>
          <w:lang w:eastAsia="en-AU"/>
        </w:rPr>
        <w:drawing>
          <wp:inline distT="0" distB="0" distL="0" distR="0" wp14:anchorId="0245D700" wp14:editId="44C9C3B9">
            <wp:extent cx="3028950" cy="3714750"/>
            <wp:effectExtent l="0" t="0" r="0" b="0"/>
            <wp:docPr id="3" name="Picture 3" descr="Chemical structure of ertugliflozin pyroglutamic acid; and ertugliflozin (active mo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28950" cy="3714750"/>
                    </a:xfrm>
                    <a:prstGeom prst="rect">
                      <a:avLst/>
                    </a:prstGeom>
                  </pic:spPr>
                </pic:pic>
              </a:graphicData>
            </a:graphic>
          </wp:inline>
        </w:drawing>
      </w:r>
    </w:p>
    <w:p w14:paraId="656E2970" w14:textId="091D45EA" w:rsidR="00C008B6" w:rsidRDefault="00C008B6" w:rsidP="00B9327A">
      <w:pPr>
        <w:rPr>
          <w:rFonts w:eastAsia="TimesNewRoman" w:cs="TimesNewRoman"/>
          <w:lang w:eastAsia="en-AU"/>
        </w:rPr>
      </w:pPr>
      <w:r w:rsidRPr="00C66F55">
        <w:t xml:space="preserve">Ertugliflozin is the active moiety and </w:t>
      </w:r>
      <w:r w:rsidR="00307ECF">
        <w:t>e</w:t>
      </w:r>
      <w:r w:rsidRPr="00C66F55">
        <w:t>rtugliflozin L-pyroglutamic acid (L-PGA) represents the co-crystal of ertugliflozin and L-PGA.</w:t>
      </w:r>
      <w:r w:rsidR="009A3F68">
        <w:t xml:space="preserve"> </w:t>
      </w:r>
      <w:r w:rsidRPr="00C66F55">
        <w:rPr>
          <w:rFonts w:eastAsia="TimesNewRoman" w:cs="TimesNewRoman"/>
          <w:lang w:eastAsia="en-AU"/>
        </w:rPr>
        <w:t>Ertugliflozin in its free form is an amorphous solid</w:t>
      </w:r>
      <w:r w:rsidR="00E600D5">
        <w:rPr>
          <w:rFonts w:eastAsia="TimesNewRoman" w:cs="TimesNewRoman"/>
          <w:lang w:eastAsia="en-AU"/>
        </w:rPr>
        <w:t>.</w:t>
      </w:r>
    </w:p>
    <w:p w14:paraId="4E388D5F" w14:textId="50921253" w:rsidR="00C008B6" w:rsidRDefault="00C008B6" w:rsidP="00B9327A">
      <w:r w:rsidRPr="00307ECF">
        <w:t>Ertugliflozin L-pyroglutamic acid is a white to of</w:t>
      </w:r>
      <w:r w:rsidR="00307ECF">
        <w:t>f</w:t>
      </w:r>
      <w:r w:rsidRPr="00307ECF">
        <w:t>-white powder which is soluble in ethanol and acetone, slightly soluble in ethyl acetate and acetonitrile and very slightly soluble in water.</w:t>
      </w:r>
      <w:r w:rsidR="009A3F68" w:rsidRPr="00307ECF">
        <w:t xml:space="preserve"> </w:t>
      </w:r>
      <w:r w:rsidRPr="00307ECF">
        <w:t>Ertugliflozin L-PGA co-crystal rapidly dissociates within one minute when in an aqueous environment</w:t>
      </w:r>
      <w:r w:rsidRPr="008C6EF9">
        <w:t xml:space="preserve">; therefore, the thermodynamic solubility of the co-crystal cannot be determined. The amorphous ertugliflozin free form solubility was </w:t>
      </w:r>
      <w:r w:rsidRPr="008C6EF9">
        <w:lastRenderedPageBreak/>
        <w:t xml:space="preserve">determined to be 0.64 </w:t>
      </w:r>
      <w:r w:rsidR="00E600D5">
        <w:t>to</w:t>
      </w:r>
      <w:r w:rsidRPr="008C6EF9">
        <w:t xml:space="preserve"> 0.74 </w:t>
      </w:r>
      <w:r w:rsidR="006D7D02">
        <w:t>mg</w:t>
      </w:r>
      <w:r w:rsidRPr="008C6EF9">
        <w:t>/mL throughout the physiological pH range.</w:t>
      </w:r>
      <w:r w:rsidR="009A3F68">
        <w:t xml:space="preserve"> </w:t>
      </w:r>
      <w:r w:rsidRPr="008C6EF9">
        <w:t>Solubility is pH-independent as ertugliflozin is</w:t>
      </w:r>
      <w:r w:rsidR="00F56832">
        <w:t xml:space="preserve"> </w:t>
      </w:r>
      <w:r w:rsidRPr="008C6EF9">
        <w:t>non-ionisable under physiological conditions</w:t>
      </w:r>
      <w:r>
        <w:t>.</w:t>
      </w:r>
      <w:r w:rsidR="009A3F68">
        <w:t xml:space="preserve"> </w:t>
      </w:r>
      <w:r>
        <w:t>Ertugliflozin L-PGA is classified as a BCS Class I substance.</w:t>
      </w:r>
      <w:r w:rsidR="00F56832">
        <w:rPr>
          <w:rStyle w:val="FootnoteReference"/>
        </w:rPr>
        <w:footnoteReference w:id="7"/>
      </w:r>
    </w:p>
    <w:p w14:paraId="6A944DA0" w14:textId="77777777" w:rsidR="00C008B6" w:rsidRPr="00781D39" w:rsidRDefault="00C008B6" w:rsidP="00B9327A">
      <w:r w:rsidRPr="00781D39">
        <w:rPr>
          <w:color w:val="000000"/>
        </w:rPr>
        <w:t>Ertugli</w:t>
      </w:r>
      <w:r>
        <w:rPr>
          <w:color w:val="000000"/>
        </w:rPr>
        <w:t>flozin has five asymmetric centres</w:t>
      </w:r>
      <w:r w:rsidRPr="00781D39">
        <w:rPr>
          <w:color w:val="000000"/>
        </w:rPr>
        <w:t xml:space="preserve"> (1</w:t>
      </w:r>
      <w:r w:rsidRPr="00781D39">
        <w:rPr>
          <w:i/>
          <w:iCs/>
          <w:color w:val="000000"/>
        </w:rPr>
        <w:t>S</w:t>
      </w:r>
      <w:r w:rsidRPr="00781D39">
        <w:rPr>
          <w:color w:val="000000"/>
        </w:rPr>
        <w:t>,</w:t>
      </w:r>
      <w:r>
        <w:rPr>
          <w:color w:val="000000"/>
        </w:rPr>
        <w:t xml:space="preserve"> </w:t>
      </w:r>
      <w:r w:rsidRPr="00781D39">
        <w:rPr>
          <w:color w:val="000000"/>
        </w:rPr>
        <w:t>2</w:t>
      </w:r>
      <w:r w:rsidRPr="00781D39">
        <w:rPr>
          <w:i/>
          <w:iCs/>
          <w:color w:val="000000"/>
        </w:rPr>
        <w:t>S</w:t>
      </w:r>
      <w:r w:rsidRPr="00781D39">
        <w:rPr>
          <w:color w:val="000000"/>
        </w:rPr>
        <w:t>,</w:t>
      </w:r>
      <w:r>
        <w:rPr>
          <w:color w:val="000000"/>
        </w:rPr>
        <w:t xml:space="preserve"> </w:t>
      </w:r>
      <w:r w:rsidRPr="00781D39">
        <w:rPr>
          <w:color w:val="000000"/>
        </w:rPr>
        <w:t>3</w:t>
      </w:r>
      <w:r w:rsidRPr="00781D39">
        <w:rPr>
          <w:i/>
          <w:iCs/>
          <w:color w:val="000000"/>
        </w:rPr>
        <w:t>S</w:t>
      </w:r>
      <w:r w:rsidRPr="00781D39">
        <w:rPr>
          <w:color w:val="000000"/>
        </w:rPr>
        <w:t>,</w:t>
      </w:r>
      <w:r>
        <w:rPr>
          <w:color w:val="000000"/>
        </w:rPr>
        <w:t xml:space="preserve"> </w:t>
      </w:r>
      <w:r w:rsidRPr="00781D39">
        <w:rPr>
          <w:color w:val="000000"/>
        </w:rPr>
        <w:t>4</w:t>
      </w:r>
      <w:r w:rsidRPr="00781D39">
        <w:rPr>
          <w:i/>
          <w:iCs/>
          <w:color w:val="000000"/>
        </w:rPr>
        <w:t>R</w:t>
      </w:r>
      <w:r w:rsidRPr="00781D39">
        <w:rPr>
          <w:color w:val="000000"/>
        </w:rPr>
        <w:t>,</w:t>
      </w:r>
      <w:r>
        <w:rPr>
          <w:color w:val="000000"/>
        </w:rPr>
        <w:t xml:space="preserve"> </w:t>
      </w:r>
      <w:r w:rsidR="00F14099" w:rsidRPr="00781D39">
        <w:rPr>
          <w:color w:val="000000"/>
        </w:rPr>
        <w:t>and 5S</w:t>
      </w:r>
      <w:r w:rsidRPr="00781D39">
        <w:rPr>
          <w:color w:val="000000"/>
        </w:rPr>
        <w:t>).</w:t>
      </w:r>
      <w:r w:rsidR="009A3F68">
        <w:rPr>
          <w:color w:val="000000"/>
        </w:rPr>
        <w:t xml:space="preserve"> </w:t>
      </w:r>
      <w:r w:rsidRPr="00781D39">
        <w:rPr>
          <w:color w:val="000000"/>
        </w:rPr>
        <w:t>Ertugliflozin L-PG</w:t>
      </w:r>
      <w:r>
        <w:rPr>
          <w:color w:val="000000"/>
        </w:rPr>
        <w:t>A has an additional stereo centre</w:t>
      </w:r>
      <w:r w:rsidRPr="00781D39">
        <w:rPr>
          <w:color w:val="000000"/>
        </w:rPr>
        <w:t xml:space="preserve"> in the L-PGA molecule (2</w:t>
      </w:r>
      <w:r w:rsidRPr="00781D39">
        <w:rPr>
          <w:i/>
          <w:iCs/>
          <w:color w:val="000000"/>
        </w:rPr>
        <w:t xml:space="preserve">S </w:t>
      </w:r>
      <w:r>
        <w:rPr>
          <w:color w:val="000000"/>
        </w:rPr>
        <w:t>configuration).</w:t>
      </w:r>
    </w:p>
    <w:p w14:paraId="10AEC90E" w14:textId="40405C65" w:rsidR="00C008B6" w:rsidRPr="00E87390" w:rsidRDefault="00C008B6" w:rsidP="00E87390">
      <w:r>
        <w:t xml:space="preserve">The drug substance has a melting point of </w:t>
      </w:r>
      <w:r w:rsidR="00D87593">
        <w:t xml:space="preserve">approximately </w:t>
      </w:r>
      <w:r>
        <w:t>142°C, it is not hygroscopic, and has an optical rotation of +8.8° in methanol at 25°C.</w:t>
      </w:r>
      <w:r w:rsidR="009A3F68">
        <w:t xml:space="preserve"> </w:t>
      </w:r>
      <w:r>
        <w:t>Only one crystalline form of ertugliflozin L-PGA has been identified to date (Form A) and has been confirmed by powder x-ray diffraction (PXRD).</w:t>
      </w:r>
    </w:p>
    <w:p w14:paraId="7F2C4AD8" w14:textId="77777777" w:rsidR="00223EDB" w:rsidRPr="00E87390" w:rsidRDefault="00223EDB" w:rsidP="00223EDB">
      <w:r w:rsidRPr="00E87390">
        <w:t xml:space="preserve">The quality control of the drug substance includes tests and limits for </w:t>
      </w:r>
      <w:r>
        <w:t>i</w:t>
      </w:r>
      <w:r w:rsidRPr="00E87390">
        <w:t xml:space="preserve">dentification (by IR), </w:t>
      </w:r>
      <w:r>
        <w:t>e</w:t>
      </w:r>
      <w:r w:rsidRPr="00E87390">
        <w:t xml:space="preserve">rtugliflozin </w:t>
      </w:r>
      <w:r>
        <w:t>a</w:t>
      </w:r>
      <w:r w:rsidRPr="00E87390">
        <w:t xml:space="preserve">ssay, L-PGA content, </w:t>
      </w:r>
      <w:r>
        <w:t>w</w:t>
      </w:r>
      <w:r w:rsidRPr="00E87390">
        <w:t xml:space="preserve">ater content, </w:t>
      </w:r>
      <w:r>
        <w:t>p</w:t>
      </w:r>
      <w:r w:rsidRPr="00E87390">
        <w:t xml:space="preserve">article size, </w:t>
      </w:r>
      <w:r>
        <w:t>r</w:t>
      </w:r>
      <w:r w:rsidRPr="00E87390">
        <w:t xml:space="preserve">esidue on </w:t>
      </w:r>
      <w:r>
        <w:t>i</w:t>
      </w:r>
      <w:r w:rsidRPr="00E87390">
        <w:t xml:space="preserve">gnition, </w:t>
      </w:r>
      <w:r>
        <w:t>h</w:t>
      </w:r>
      <w:r w:rsidRPr="00E87390">
        <w:t xml:space="preserve">eavy metals, </w:t>
      </w:r>
      <w:r>
        <w:t>o</w:t>
      </w:r>
      <w:r w:rsidRPr="00E87390">
        <w:t xml:space="preserve">rganic impurities (9 specified impurities) and </w:t>
      </w:r>
      <w:r>
        <w:t>r</w:t>
      </w:r>
      <w:r w:rsidRPr="00E87390">
        <w:t>esidual solvents.</w:t>
      </w:r>
    </w:p>
    <w:p w14:paraId="3F22F3B0" w14:textId="77777777" w:rsidR="00C008B6" w:rsidRPr="006473CB" w:rsidRDefault="00C008B6" w:rsidP="006473CB">
      <w:r w:rsidRPr="006473CB">
        <w:t>All tests and limits proposed for the drug specification are considered acceptable.</w:t>
      </w:r>
    </w:p>
    <w:p w14:paraId="3AEB807A" w14:textId="2728BAD2" w:rsidR="00C008B6" w:rsidRPr="006473CB" w:rsidRDefault="00C008B6" w:rsidP="006473CB">
      <w:r w:rsidRPr="006473CB">
        <w:t xml:space="preserve">The tightening of the </w:t>
      </w:r>
      <w:r w:rsidR="00223EDB">
        <w:t>e</w:t>
      </w:r>
      <w:r w:rsidR="00223EDB" w:rsidRPr="006473CB">
        <w:t xml:space="preserve">rtugliflozin </w:t>
      </w:r>
      <w:r w:rsidR="00F56832">
        <w:t>A</w:t>
      </w:r>
      <w:r w:rsidRPr="006473CB">
        <w:t>ssay limits has been negotiated.</w:t>
      </w:r>
      <w:r w:rsidR="009A3F68" w:rsidRPr="006473CB">
        <w:t xml:space="preserve"> </w:t>
      </w:r>
      <w:r w:rsidRPr="006473CB">
        <w:t xml:space="preserve">The proposed limits are still wider than potency limits typically set for drug substances determined using </w:t>
      </w:r>
      <w:r w:rsidR="000352A7" w:rsidRPr="000352A7">
        <w:t>High-performance liquid chromatography (HPLC</w:t>
      </w:r>
      <w:r w:rsidR="000352A7">
        <w:t>)</w:t>
      </w:r>
      <w:r w:rsidRPr="006473CB">
        <w:t xml:space="preserve"> analysis</w:t>
      </w:r>
      <w:r w:rsidR="000352A7">
        <w:t xml:space="preserve">. </w:t>
      </w:r>
      <w:r w:rsidRPr="006473CB">
        <w:t>The wider potency limits do not pose a safety concern but is considered to be more of a quality issue.</w:t>
      </w:r>
      <w:r w:rsidR="009A3F68" w:rsidRPr="006473CB">
        <w:t xml:space="preserve"> </w:t>
      </w:r>
      <w:r w:rsidRPr="006473CB">
        <w:t xml:space="preserve">However, </w:t>
      </w:r>
      <w:r w:rsidR="0024546B" w:rsidRPr="006473CB">
        <w:t>the sponsor</w:t>
      </w:r>
      <w:r w:rsidRPr="006473CB">
        <w:t xml:space="preserve"> has stated that the proposed specification will be reassessed and updated if warranted after data on additional commercial </w:t>
      </w:r>
      <w:r w:rsidR="000352A7" w:rsidRPr="000352A7">
        <w:t xml:space="preserve">active pharmaceutical ingredient (API) </w:t>
      </w:r>
      <w:r w:rsidRPr="006473CB">
        <w:t xml:space="preserve">batches </w:t>
      </w:r>
      <w:r w:rsidR="000352A7">
        <w:t xml:space="preserve">are </w:t>
      </w:r>
      <w:r w:rsidR="000352A7" w:rsidRPr="00B70EC0">
        <w:t>generated</w:t>
      </w:r>
      <w:r w:rsidRPr="00B70EC0">
        <w:t>.</w:t>
      </w:r>
      <w:r w:rsidR="009A3F68" w:rsidRPr="00D920AA">
        <w:t xml:space="preserve"> </w:t>
      </w:r>
      <w:r w:rsidRPr="00D920AA">
        <w:t xml:space="preserve">It has been suggested to </w:t>
      </w:r>
      <w:r w:rsidRPr="00C65C63">
        <w:t xml:space="preserve">the Delegate that </w:t>
      </w:r>
      <w:r w:rsidR="0024546B" w:rsidRPr="006D7B64">
        <w:t>the sponsor</w:t>
      </w:r>
      <w:r w:rsidRPr="006D7B64">
        <w:t>’s commitment to review the results of</w:t>
      </w:r>
      <w:r w:rsidR="006473CB" w:rsidRPr="00B70EC0">
        <w:t xml:space="preserve"> </w:t>
      </w:r>
      <w:r w:rsidRPr="00B70EC0">
        <w:t>20 commercial scale API batches and revise the ertugliflozin drug substance specification if warranted, be made a Condition of Registration to ensure that this course of action is taken.</w:t>
      </w:r>
    </w:p>
    <w:p w14:paraId="77ACA47B" w14:textId="77777777" w:rsidR="00C008B6" w:rsidRPr="006473CB" w:rsidRDefault="00C008B6" w:rsidP="006473CB">
      <w:r w:rsidRPr="006473CB">
        <w:t>The analytical methods used for the routine quality control assessment of the drug substance were all adequately validated and appropriate for use.</w:t>
      </w:r>
    </w:p>
    <w:p w14:paraId="352EEC8F" w14:textId="77777777" w:rsidR="00C008B6" w:rsidRDefault="00C008B6" w:rsidP="00B9327A">
      <w:pPr>
        <w:pStyle w:val="Heading4"/>
      </w:pPr>
      <w:r w:rsidRPr="00011282">
        <w:t>Sitagliptin (as phosphate monohydrate)</w:t>
      </w:r>
    </w:p>
    <w:p w14:paraId="6435F6C0" w14:textId="77777777" w:rsidR="000352A7" w:rsidRDefault="000352A7" w:rsidP="000352A7">
      <w:r>
        <w:t>The following figure shows the chemical structure of sitagliptin.</w:t>
      </w:r>
    </w:p>
    <w:p w14:paraId="05480490" w14:textId="77777777" w:rsidR="000352A7" w:rsidRPr="000352A7" w:rsidRDefault="000352A7" w:rsidP="000352A7">
      <w:pPr>
        <w:pStyle w:val="FigureTitle"/>
      </w:pPr>
      <w:r>
        <w:t>Figure 2: Chemical structure of sitagliptin</w:t>
      </w:r>
    </w:p>
    <w:p w14:paraId="36E3AF80" w14:textId="77777777" w:rsidR="00C008B6" w:rsidRPr="00FB1ED7" w:rsidRDefault="00C008B6" w:rsidP="00571879">
      <w:pPr>
        <w:rPr>
          <w:rStyle w:val="CommentReference"/>
          <w:rFonts w:asciiTheme="majorHAnsi" w:hAnsiTheme="majorHAnsi"/>
          <w:b/>
        </w:rPr>
      </w:pPr>
      <w:r>
        <w:rPr>
          <w:noProof/>
          <w:lang w:eastAsia="en-AU"/>
        </w:rPr>
        <w:drawing>
          <wp:inline distT="0" distB="0" distL="0" distR="0" wp14:anchorId="570544DB" wp14:editId="002F7522">
            <wp:extent cx="3424537" cy="1293962"/>
            <wp:effectExtent l="0" t="0" r="5080" b="1905"/>
            <wp:docPr id="2" name="Picture 2" descr="Chemical structure of sitaglip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35926" cy="1298265"/>
                    </a:xfrm>
                    <a:prstGeom prst="rect">
                      <a:avLst/>
                    </a:prstGeom>
                  </pic:spPr>
                </pic:pic>
              </a:graphicData>
            </a:graphic>
          </wp:inline>
        </w:drawing>
      </w:r>
    </w:p>
    <w:p w14:paraId="57D09B43" w14:textId="77777777" w:rsidR="00C008B6" w:rsidRPr="00FB1ED7" w:rsidRDefault="00C008B6" w:rsidP="000F7272">
      <w:pPr>
        <w:pStyle w:val="FigureDescription"/>
      </w:pPr>
      <w:r w:rsidRPr="00FB1ED7">
        <w:t>C</w:t>
      </w:r>
      <w:r w:rsidRPr="00FB1ED7">
        <w:rPr>
          <w:vertAlign w:val="subscript"/>
        </w:rPr>
        <w:t>63</w:t>
      </w:r>
      <w:r w:rsidRPr="00FB1ED7">
        <w:t>H</w:t>
      </w:r>
      <w:r w:rsidRPr="00FB1ED7">
        <w:rPr>
          <w:vertAlign w:val="subscript"/>
        </w:rPr>
        <w:t>15</w:t>
      </w:r>
      <w:r w:rsidRPr="00FB1ED7">
        <w:t>F</w:t>
      </w:r>
      <w:r w:rsidRPr="00FB1ED7">
        <w:rPr>
          <w:vertAlign w:val="subscript"/>
        </w:rPr>
        <w:t>6</w:t>
      </w:r>
      <w:r w:rsidRPr="00FB1ED7">
        <w:t>N</w:t>
      </w:r>
      <w:r w:rsidRPr="00FB1ED7">
        <w:rPr>
          <w:vertAlign w:val="subscript"/>
        </w:rPr>
        <w:t>5</w:t>
      </w:r>
      <w:r w:rsidRPr="00FB1ED7">
        <w:t>O.H</w:t>
      </w:r>
      <w:r w:rsidRPr="00FB1ED7">
        <w:rPr>
          <w:vertAlign w:val="subscript"/>
        </w:rPr>
        <w:t>3</w:t>
      </w:r>
      <w:r w:rsidRPr="00FB1ED7">
        <w:t>PO</w:t>
      </w:r>
      <w:r w:rsidRPr="00FB1ED7">
        <w:rPr>
          <w:vertAlign w:val="subscript"/>
        </w:rPr>
        <w:t>4</w:t>
      </w:r>
      <w:r w:rsidRPr="00FB1ED7">
        <w:t>.H</w:t>
      </w:r>
      <w:r w:rsidRPr="00FB1ED7">
        <w:rPr>
          <w:vertAlign w:val="subscript"/>
        </w:rPr>
        <w:t>2</w:t>
      </w:r>
      <w:r w:rsidRPr="00FB1ED7">
        <w:t>O</w:t>
      </w:r>
      <w:r w:rsidR="000352A7">
        <w:t xml:space="preserve"> </w:t>
      </w:r>
      <w:r w:rsidRPr="00FB1ED7">
        <w:t>MW: 523.32</w:t>
      </w:r>
      <w:r w:rsidR="000352A7">
        <w:t xml:space="preserve"> </w:t>
      </w:r>
      <w:r w:rsidRPr="00FB1ED7">
        <w:t>CAS number:</w:t>
      </w:r>
      <w:r w:rsidR="009A3F68">
        <w:t xml:space="preserve"> </w:t>
      </w:r>
      <w:r w:rsidRPr="00FB1ED7">
        <w:t>654671-77-9</w:t>
      </w:r>
    </w:p>
    <w:p w14:paraId="78E14A67" w14:textId="77777777" w:rsidR="00C008B6" w:rsidRPr="008836A9" w:rsidRDefault="000352A7" w:rsidP="00B9327A">
      <w:r>
        <w:t xml:space="preserve">The sitagliptin </w:t>
      </w:r>
      <w:r w:rsidR="00C008B6" w:rsidRPr="00FB1ED7">
        <w:t>drug substance is a white, crystalline powder, non-hygroscopic powder.</w:t>
      </w:r>
      <w:r w:rsidR="009A3F68">
        <w:t xml:space="preserve"> </w:t>
      </w:r>
      <w:r w:rsidR="00C008B6" w:rsidRPr="00FB1ED7">
        <w:t xml:space="preserve">It is soluble in water and </w:t>
      </w:r>
      <w:r w:rsidR="00C008B6" w:rsidRPr="00FB1ED7">
        <w:rPr>
          <w:i/>
        </w:rPr>
        <w:t>N</w:t>
      </w:r>
      <w:proofErr w:type="gramStart"/>
      <w:r w:rsidR="00C008B6" w:rsidRPr="00FB1ED7">
        <w:rPr>
          <w:i/>
        </w:rPr>
        <w:t>,N</w:t>
      </w:r>
      <w:proofErr w:type="gramEnd"/>
      <w:r w:rsidR="00C008B6" w:rsidRPr="00FB1ED7">
        <w:t xml:space="preserve">-dimethylformamide; slightly soluble in methanol; very slightly </w:t>
      </w:r>
      <w:r w:rsidR="00C008B6" w:rsidRPr="00FB1ED7">
        <w:lastRenderedPageBreak/>
        <w:t>soluble in ethanol, acetone, and acetonitrile and insoluble in isopropanol and isopropyl acetate.</w:t>
      </w:r>
    </w:p>
    <w:p w14:paraId="2004EC19" w14:textId="5160B22D" w:rsidR="00C008B6" w:rsidRPr="009D7D3A" w:rsidRDefault="00C008B6" w:rsidP="000352A7">
      <w:r w:rsidRPr="009D7D3A">
        <w:t xml:space="preserve">The proposed drug substance specifications applied by the finished product manufacturer include all tests stated in the Ph.Eur. </w:t>
      </w:r>
      <w:proofErr w:type="gramStart"/>
      <w:r w:rsidRPr="009D7D3A">
        <w:t>monograph</w:t>
      </w:r>
      <w:proofErr w:type="gramEnd"/>
      <w:r w:rsidRPr="009D7D3A">
        <w:t xml:space="preserve"> for </w:t>
      </w:r>
      <w:r w:rsidR="001C6E73">
        <w:t>s</w:t>
      </w:r>
      <w:r w:rsidRPr="001C6E73">
        <w:t>itagliptin</w:t>
      </w:r>
      <w:r w:rsidRPr="009D7D3A">
        <w:t xml:space="preserve"> as well as an additional test for </w:t>
      </w:r>
      <w:r w:rsidR="001C6E73">
        <w:t>r</w:t>
      </w:r>
      <w:r w:rsidRPr="009D7D3A">
        <w:t>esidual solvents.</w:t>
      </w:r>
    </w:p>
    <w:p w14:paraId="77E24A6E" w14:textId="77777777" w:rsidR="00C008B6" w:rsidRDefault="00C008B6" w:rsidP="000352A7">
      <w:r w:rsidRPr="00FB1ED7">
        <w:t>The quality control of the drug substance (including the drug substance specification) is acceptable.</w:t>
      </w:r>
    </w:p>
    <w:p w14:paraId="3F4E4583" w14:textId="77777777" w:rsidR="00C008B6" w:rsidRDefault="00C008B6" w:rsidP="00B9327A">
      <w:pPr>
        <w:pStyle w:val="Heading4"/>
      </w:pPr>
      <w:r>
        <w:t>Metformin hydrochloride</w:t>
      </w:r>
    </w:p>
    <w:p w14:paraId="38CD8D7B" w14:textId="77777777" w:rsidR="001C6E73" w:rsidRDefault="001C6E73" w:rsidP="001C6E73">
      <w:r>
        <w:t>The following figure shows the chemical structure of metformin hydrochloride.</w:t>
      </w:r>
    </w:p>
    <w:p w14:paraId="40B967D3" w14:textId="77777777" w:rsidR="001C6E73" w:rsidRDefault="001C6E73" w:rsidP="001C6E73">
      <w:pPr>
        <w:pStyle w:val="FigureTitle"/>
      </w:pPr>
      <w:r>
        <w:t xml:space="preserve">Figure 3: </w:t>
      </w:r>
      <w:r w:rsidRPr="001C6E73">
        <w:t xml:space="preserve">Chemical structure of </w:t>
      </w:r>
      <w:r>
        <w:t>metformin hydrochloride</w:t>
      </w:r>
    </w:p>
    <w:p w14:paraId="23D0CFB6" w14:textId="77777777" w:rsidR="00C008B6" w:rsidRDefault="00C008B6" w:rsidP="00C008B6">
      <w:pPr>
        <w:spacing w:before="360"/>
        <w:rPr>
          <w:b/>
          <w:u w:val="single"/>
        </w:rPr>
      </w:pPr>
      <w:r w:rsidRPr="008553B3">
        <w:rPr>
          <w:noProof/>
          <w:lang w:eastAsia="en-AU"/>
        </w:rPr>
        <w:drawing>
          <wp:inline distT="0" distB="0" distL="0" distR="0" wp14:anchorId="37AD4F3A" wp14:editId="0EC52E8E">
            <wp:extent cx="2176678" cy="931652"/>
            <wp:effectExtent l="0" t="0" r="0" b="1905"/>
            <wp:docPr id="7" name="Picture 7" descr="Chemical structure of metformin hydrochlo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184923" cy="935181"/>
                    </a:xfrm>
                    <a:prstGeom prst="rect">
                      <a:avLst/>
                    </a:prstGeom>
                  </pic:spPr>
                </pic:pic>
              </a:graphicData>
            </a:graphic>
          </wp:inline>
        </w:drawing>
      </w:r>
    </w:p>
    <w:p w14:paraId="1CBD4C97" w14:textId="77777777" w:rsidR="00C008B6" w:rsidRPr="00FB1ED7" w:rsidRDefault="00C008B6" w:rsidP="000F7272">
      <w:pPr>
        <w:pStyle w:val="FigureDescription"/>
      </w:pPr>
      <w:r w:rsidRPr="00FB1ED7">
        <w:t>C</w:t>
      </w:r>
      <w:r>
        <w:rPr>
          <w:vertAlign w:val="subscript"/>
        </w:rPr>
        <w:t>4</w:t>
      </w:r>
      <w:r w:rsidRPr="00FB1ED7">
        <w:t>H</w:t>
      </w:r>
      <w:r w:rsidRPr="00FB1ED7">
        <w:rPr>
          <w:vertAlign w:val="subscript"/>
        </w:rPr>
        <w:t>1</w:t>
      </w:r>
      <w:r>
        <w:rPr>
          <w:vertAlign w:val="subscript"/>
        </w:rPr>
        <w:t>1</w:t>
      </w:r>
      <w:r w:rsidRPr="00FB1ED7">
        <w:t>N</w:t>
      </w:r>
      <w:r w:rsidRPr="00FB1ED7">
        <w:rPr>
          <w:vertAlign w:val="subscript"/>
        </w:rPr>
        <w:t>5</w:t>
      </w:r>
      <w:r w:rsidRPr="00FB1ED7">
        <w:t>H</w:t>
      </w:r>
      <w:r>
        <w:t>Cl</w:t>
      </w:r>
      <w:r w:rsidR="001C6E73">
        <w:t xml:space="preserve"> </w:t>
      </w:r>
      <w:r w:rsidRPr="00FB1ED7">
        <w:t xml:space="preserve">MW: </w:t>
      </w:r>
      <w:r>
        <w:t>165.63</w:t>
      </w:r>
      <w:r w:rsidR="001C6E73">
        <w:t xml:space="preserve"> </w:t>
      </w:r>
      <w:r w:rsidRPr="00FB1ED7">
        <w:t>CAS number:</w:t>
      </w:r>
      <w:r w:rsidR="009A3F68">
        <w:t xml:space="preserve"> </w:t>
      </w:r>
      <w:r>
        <w:t>1115-70-4</w:t>
      </w:r>
    </w:p>
    <w:p w14:paraId="252FFDAC" w14:textId="77777777" w:rsidR="00C008B6" w:rsidRPr="00B2244F" w:rsidRDefault="00C008B6" w:rsidP="00C008B6">
      <w:pPr>
        <w:autoSpaceDE w:val="0"/>
        <w:autoSpaceDN w:val="0"/>
        <w:adjustRightInd w:val="0"/>
        <w:spacing w:before="360"/>
      </w:pPr>
      <w:r w:rsidRPr="00B2244F">
        <w:t xml:space="preserve">Metformin </w:t>
      </w:r>
      <w:r w:rsidRPr="00B2244F">
        <w:rPr>
          <w:rFonts w:eastAsia="TimesNewRoman" w:cs="TimesNewRoman"/>
          <w:lang w:eastAsia="en-AU"/>
        </w:rPr>
        <w:t>is a biguanide with anti</w:t>
      </w:r>
      <w:r>
        <w:rPr>
          <w:rFonts w:eastAsia="TimesNewRoman" w:cs="TimesNewRoman"/>
          <w:lang w:eastAsia="en-AU"/>
        </w:rPr>
        <w:t>-</w:t>
      </w:r>
      <w:r w:rsidRPr="00B2244F">
        <w:rPr>
          <w:rFonts w:eastAsia="TimesNewRoman" w:cs="TimesNewRoman"/>
          <w:lang w:eastAsia="en-AU"/>
        </w:rPr>
        <w:t>hyperglycaemic effects</w:t>
      </w:r>
      <w:r w:rsidR="001C6E73">
        <w:rPr>
          <w:rFonts w:eastAsia="TimesNewRoman" w:cs="TimesNewRoman"/>
          <w:lang w:eastAsia="en-AU"/>
        </w:rPr>
        <w:t>;</w:t>
      </w:r>
      <w:r w:rsidRPr="00B2244F">
        <w:rPr>
          <w:rFonts w:eastAsia="TimesNewRoman" w:cs="TimesNewRoman"/>
          <w:lang w:eastAsia="en-AU"/>
        </w:rPr>
        <w:t xml:space="preserve"> lowering both basal and postprandial plasma glucose. It does not stimulate insulin secretion and therefore does not produce hypoglycaemia.</w:t>
      </w:r>
      <w:r w:rsidR="009A3F68">
        <w:rPr>
          <w:rFonts w:eastAsia="TimesNewRoman" w:cs="TimesNewRoman"/>
          <w:lang w:eastAsia="en-AU"/>
        </w:rPr>
        <w:t xml:space="preserve"> </w:t>
      </w:r>
      <w:r w:rsidRPr="00B2244F">
        <w:rPr>
          <w:rFonts w:cs="Arial"/>
          <w:lang w:eastAsia="en-AU"/>
        </w:rPr>
        <w:t>Metformin hydrochloride is not chemically or pharmacologically related to any other classes of oral anti</w:t>
      </w:r>
      <w:r>
        <w:rPr>
          <w:rFonts w:cs="Arial"/>
          <w:lang w:eastAsia="en-AU"/>
        </w:rPr>
        <w:t>-</w:t>
      </w:r>
      <w:r w:rsidRPr="00B2244F">
        <w:rPr>
          <w:rFonts w:cs="Arial"/>
          <w:lang w:eastAsia="en-AU"/>
        </w:rPr>
        <w:t>hyperglycaemic agents.</w:t>
      </w:r>
    </w:p>
    <w:p w14:paraId="0BBBAB03" w14:textId="77777777" w:rsidR="008836A9" w:rsidRPr="008836A9" w:rsidRDefault="008836A9" w:rsidP="008836A9">
      <w:r w:rsidRPr="00B2244F">
        <w:t>The drug substance is a white to off-white powder that is odourless or almost odourless and is freely soluble in water and practically insoluble in acetone, ether and chloroform.</w:t>
      </w:r>
      <w:r>
        <w:t xml:space="preserve"> The dissolution constant (pKa) of metformin is 12.4 and the pH of a 1% aqueous solution of metformin hydrochloride is 6.</w:t>
      </w:r>
      <w:r w:rsidRPr="008836A9">
        <w:t>68.</w:t>
      </w:r>
    </w:p>
    <w:p w14:paraId="1247A127" w14:textId="77777777" w:rsidR="00C008B6" w:rsidRPr="00901F62" w:rsidRDefault="00C008B6" w:rsidP="001C6E73">
      <w:r w:rsidRPr="00901F62">
        <w:t xml:space="preserve">The proposed drug substance specifications applied by the finished product manufacturer include all tests stated in the Ph.Eur. </w:t>
      </w:r>
      <w:proofErr w:type="gramStart"/>
      <w:r w:rsidRPr="00901F62">
        <w:t>monograph</w:t>
      </w:r>
      <w:proofErr w:type="gramEnd"/>
      <w:r w:rsidRPr="00901F62">
        <w:t xml:space="preserve"> for </w:t>
      </w:r>
      <w:r w:rsidR="001C6E73">
        <w:t>m</w:t>
      </w:r>
      <w:r w:rsidRPr="001C6E73">
        <w:t xml:space="preserve">etformin </w:t>
      </w:r>
      <w:r w:rsidR="001C6E73">
        <w:t>h</w:t>
      </w:r>
      <w:r w:rsidRPr="001C6E73">
        <w:t>ydrochloride</w:t>
      </w:r>
      <w:r w:rsidRPr="00901F62">
        <w:t>.</w:t>
      </w:r>
    </w:p>
    <w:p w14:paraId="60FE195A" w14:textId="77777777" w:rsidR="008E7846" w:rsidRDefault="00C008B6" w:rsidP="001C6E73">
      <w:r w:rsidRPr="00901F62">
        <w:t>The quality control of the drug substance (including the drug substance specification) is acceptable.</w:t>
      </w:r>
    </w:p>
    <w:p w14:paraId="0F1F76C7" w14:textId="77777777" w:rsidR="008E7846" w:rsidRDefault="008E7846" w:rsidP="008E7846">
      <w:pPr>
        <w:pStyle w:val="Heading3"/>
      </w:pPr>
      <w:bookmarkStart w:id="35" w:name="_Toc247691508"/>
      <w:bookmarkStart w:id="36" w:name="_Toc314842490"/>
      <w:bookmarkStart w:id="37" w:name="_Toc4405821"/>
      <w:r w:rsidRPr="008751DC">
        <w:t xml:space="preserve">Drug </w:t>
      </w:r>
      <w:r>
        <w:t>p</w:t>
      </w:r>
      <w:r w:rsidRPr="008751DC">
        <w:t>roduct</w:t>
      </w:r>
      <w:bookmarkEnd w:id="35"/>
      <w:bookmarkEnd w:id="36"/>
      <w:bookmarkEnd w:id="37"/>
    </w:p>
    <w:p w14:paraId="451C650B" w14:textId="77777777" w:rsidR="00C008B6" w:rsidRPr="00901F62" w:rsidRDefault="00C008B6" w:rsidP="00B9327A">
      <w:pPr>
        <w:pStyle w:val="Heading4"/>
      </w:pPr>
      <w:r w:rsidRPr="00901F62">
        <w:t xml:space="preserve">Ertugliflozin monotherapy </w:t>
      </w:r>
      <w:r w:rsidR="001C6E73">
        <w:t>tablets</w:t>
      </w:r>
    </w:p>
    <w:p w14:paraId="6D5D2C0A" w14:textId="43DBA8F7" w:rsidR="00C008B6" w:rsidRPr="002B6B19" w:rsidRDefault="001C6E73" w:rsidP="00B9327A">
      <w:r>
        <w:t xml:space="preserve">Two strengths for the </w:t>
      </w:r>
      <w:r w:rsidR="00307ECF">
        <w:t>Steglatro</w:t>
      </w:r>
      <w:r>
        <w:t>/</w:t>
      </w:r>
      <w:r w:rsidR="00C008B6" w:rsidRPr="002B6B19">
        <w:t>MSD-ertugliflozin immediate release tablets are proposed for registration, namely 5</w:t>
      </w:r>
      <w:r w:rsidR="006D7D02">
        <w:t xml:space="preserve"> mg</w:t>
      </w:r>
      <w:r w:rsidR="00C008B6" w:rsidRPr="002B6B19">
        <w:t xml:space="preserve"> and 15 </w:t>
      </w:r>
      <w:r w:rsidR="006D7D02">
        <w:t>mg</w:t>
      </w:r>
      <w:r w:rsidR="00C008B6" w:rsidRPr="002B6B19">
        <w:t>.</w:t>
      </w:r>
      <w:r w:rsidR="009A3F68">
        <w:t xml:space="preserve"> </w:t>
      </w:r>
      <w:r w:rsidR="00C008B6" w:rsidRPr="002B6B19">
        <w:t>The tablet strengths are easily distinguishable from each other in terms of colour, size and debossing.</w:t>
      </w:r>
      <w:r w:rsidR="009A3F68">
        <w:t xml:space="preserve"> </w:t>
      </w:r>
      <w:r w:rsidR="00C008B6" w:rsidRPr="002B6B19">
        <w:t>Both tablets are film-coated and unscored.</w:t>
      </w:r>
      <w:r w:rsidR="00C008B6">
        <w:t xml:space="preserve"> They are </w:t>
      </w:r>
      <w:r>
        <w:t xml:space="preserve">to be </w:t>
      </w:r>
      <w:r w:rsidR="00C008B6">
        <w:t>taken once a day.</w:t>
      </w:r>
    </w:p>
    <w:p w14:paraId="2A6F5BB1" w14:textId="77777777" w:rsidR="00C008B6" w:rsidRDefault="00C008B6" w:rsidP="00B9327A">
      <w:r w:rsidRPr="002B6B19">
        <w:t xml:space="preserve">The active ingredient, ertugliflozin (as ertugliflozin L-PGA) represents </w:t>
      </w:r>
      <w:r w:rsidR="001C6E73">
        <w:t>approximately</w:t>
      </w:r>
      <w:r w:rsidRPr="002B6B19">
        <w:rPr>
          <w:i/>
        </w:rPr>
        <w:t xml:space="preserve"> </w:t>
      </w:r>
      <w:r w:rsidRPr="002B6B19">
        <w:t>4.8% of the of the total tablet weight of both tablet strengths.</w:t>
      </w:r>
      <w:r w:rsidR="009A3F68">
        <w:t xml:space="preserve"> </w:t>
      </w:r>
      <w:r w:rsidRPr="002B6B19">
        <w:t>The two tablet strengths are direct scales with the only differences between the strengths being the relative amounts of titanium dioxide and iron oxide red.</w:t>
      </w:r>
      <w:r w:rsidR="009A3F68">
        <w:t xml:space="preserve"> </w:t>
      </w:r>
      <w:r w:rsidRPr="002B6B19">
        <w:t>No overages are used.</w:t>
      </w:r>
    </w:p>
    <w:p w14:paraId="0D1D69E6" w14:textId="77777777" w:rsidR="00C008B6" w:rsidRDefault="00C008B6" w:rsidP="00B9327A">
      <w:pPr>
        <w:rPr>
          <w:lang w:eastAsia="en-AU"/>
        </w:rPr>
      </w:pPr>
      <w:r>
        <w:t>The two tablet strengths</w:t>
      </w:r>
      <w:r w:rsidRPr="002B6B19">
        <w:t xml:space="preserve"> are manufactured </w:t>
      </w:r>
      <w:r>
        <w:t xml:space="preserve">from a common blend </w:t>
      </w:r>
      <w:r w:rsidRPr="002B6B19">
        <w:t xml:space="preserve">by a conventional </w:t>
      </w:r>
      <w:r>
        <w:t xml:space="preserve">dry granulation, </w:t>
      </w:r>
      <w:r w:rsidRPr="002B6B19">
        <w:t>direct compression process, utilising compendial excipients.</w:t>
      </w:r>
      <w:r w:rsidR="009A3F68">
        <w:t xml:space="preserve"> </w:t>
      </w:r>
      <w:r w:rsidRPr="002B6B19">
        <w:t xml:space="preserve">The </w:t>
      </w:r>
      <w:r w:rsidRPr="002B6B19">
        <w:rPr>
          <w:lang w:eastAsia="en-AU"/>
        </w:rPr>
        <w:t xml:space="preserve">proposed </w:t>
      </w:r>
      <w:r w:rsidRPr="002B6B19">
        <w:rPr>
          <w:lang w:eastAsia="en-AU"/>
        </w:rPr>
        <w:lastRenderedPageBreak/>
        <w:t>tablet formulations are identical to those used in the Phase III clinical studies, with the except</w:t>
      </w:r>
      <w:r>
        <w:rPr>
          <w:lang w:eastAsia="en-AU"/>
        </w:rPr>
        <w:t xml:space="preserve">ion of the white </w:t>
      </w:r>
      <w:r w:rsidRPr="002B6B19">
        <w:rPr>
          <w:lang w:eastAsia="en-AU"/>
        </w:rPr>
        <w:t xml:space="preserve">film-coating </w:t>
      </w:r>
      <w:r>
        <w:rPr>
          <w:lang w:eastAsia="en-AU"/>
        </w:rPr>
        <w:t xml:space="preserve">used </w:t>
      </w:r>
      <w:r w:rsidRPr="002B6B19">
        <w:rPr>
          <w:lang w:eastAsia="en-AU"/>
        </w:rPr>
        <w:t>for the clinical batches.</w:t>
      </w:r>
      <w:r>
        <w:rPr>
          <w:lang w:eastAsia="en-AU"/>
        </w:rPr>
        <w:t xml:space="preserve"> This difference was justified with acceptable comparative dissolution data.</w:t>
      </w:r>
    </w:p>
    <w:p w14:paraId="3C7452CE" w14:textId="77777777" w:rsidR="00C008B6" w:rsidRPr="0054618E" w:rsidRDefault="00C008B6" w:rsidP="00B9327A">
      <w:r>
        <w:rPr>
          <w:color w:val="000000"/>
        </w:rPr>
        <w:t xml:space="preserve">As part of the product development, </w:t>
      </w:r>
      <w:r w:rsidRPr="0054618E">
        <w:rPr>
          <w:color w:val="000000"/>
        </w:rPr>
        <w:t xml:space="preserve">Study P011 compared the relative bioavailability of ertugliflozin tablet containing the amorphous form </w:t>
      </w:r>
      <w:r>
        <w:rPr>
          <w:color w:val="000000"/>
        </w:rPr>
        <w:t xml:space="preserve">of ertugliflozin </w:t>
      </w:r>
      <w:r w:rsidRPr="0054618E">
        <w:rPr>
          <w:color w:val="000000"/>
        </w:rPr>
        <w:t xml:space="preserve">relative to tablets containing </w:t>
      </w:r>
      <w:r>
        <w:rPr>
          <w:color w:val="000000"/>
        </w:rPr>
        <w:t xml:space="preserve">the ertugliflozin L-PGA </w:t>
      </w:r>
      <w:r w:rsidRPr="0054618E">
        <w:rPr>
          <w:color w:val="000000"/>
        </w:rPr>
        <w:t>co-crystal</w:t>
      </w:r>
      <w:r>
        <w:rPr>
          <w:color w:val="000000"/>
        </w:rPr>
        <w:t>.</w:t>
      </w:r>
      <w:r w:rsidR="009A3F68">
        <w:rPr>
          <w:color w:val="000000"/>
        </w:rPr>
        <w:t xml:space="preserve"> </w:t>
      </w:r>
      <w:r>
        <w:rPr>
          <w:color w:val="000000"/>
        </w:rPr>
        <w:t xml:space="preserve">The </w:t>
      </w:r>
      <w:r w:rsidRPr="0054618E">
        <w:rPr>
          <w:color w:val="000000"/>
        </w:rPr>
        <w:t xml:space="preserve">formulations were bioequivalent and therefore any dissociation to the amorphous form that does occur in tablets containing the co-crystal </w:t>
      </w:r>
      <w:r>
        <w:rPr>
          <w:color w:val="000000"/>
        </w:rPr>
        <w:t xml:space="preserve">will </w:t>
      </w:r>
      <w:r w:rsidRPr="0054618E">
        <w:rPr>
          <w:color w:val="000000"/>
        </w:rPr>
        <w:t>not have any meaningful impact on the oral bioavailability of ertugliflozin.</w:t>
      </w:r>
    </w:p>
    <w:p w14:paraId="55996FCB" w14:textId="169E2598" w:rsidR="00C008B6" w:rsidRPr="00E26521" w:rsidRDefault="00C008B6" w:rsidP="00B9327A">
      <w:pPr>
        <w:rPr>
          <w:lang w:eastAsia="en-AU"/>
        </w:rPr>
      </w:pPr>
      <w:r w:rsidRPr="00E26521">
        <w:rPr>
          <w:lang w:eastAsia="en-AU"/>
        </w:rPr>
        <w:t xml:space="preserve">The drug products are to be manufactured </w:t>
      </w:r>
      <w:r w:rsidR="009830B2">
        <w:rPr>
          <w:lang w:eastAsia="en-AU"/>
        </w:rPr>
        <w:t xml:space="preserve">with quality control testing </w:t>
      </w:r>
      <w:r w:rsidRPr="00E26521">
        <w:rPr>
          <w:lang w:eastAsia="en-AU"/>
        </w:rPr>
        <w:t xml:space="preserve">by </w:t>
      </w:r>
      <w:r w:rsidR="001C6E73">
        <w:rPr>
          <w:lang w:eastAsia="en-AU"/>
        </w:rPr>
        <w:t xml:space="preserve">one site </w:t>
      </w:r>
      <w:r>
        <w:rPr>
          <w:lang w:eastAsia="en-AU"/>
        </w:rPr>
        <w:t xml:space="preserve">with </w:t>
      </w:r>
      <w:r w:rsidR="00893B69">
        <w:rPr>
          <w:lang w:eastAsia="en-AU"/>
        </w:rPr>
        <w:t xml:space="preserve">another </w:t>
      </w:r>
      <w:r>
        <w:rPr>
          <w:lang w:eastAsia="en-AU"/>
        </w:rPr>
        <w:t>site proposed for packaging/labelling and release for supply and another site proposed for stability testing.</w:t>
      </w:r>
      <w:r w:rsidR="009A3F68">
        <w:rPr>
          <w:lang w:eastAsia="en-AU"/>
        </w:rPr>
        <w:t xml:space="preserve"> </w:t>
      </w:r>
      <w:r w:rsidRPr="00DB1B7D">
        <w:rPr>
          <w:lang w:eastAsia="en-AU"/>
        </w:rPr>
        <w:t>G</w:t>
      </w:r>
      <w:r w:rsidR="001C6E73">
        <w:rPr>
          <w:lang w:eastAsia="en-AU"/>
        </w:rPr>
        <w:t>ood Manufacturing Practice (G</w:t>
      </w:r>
      <w:r w:rsidRPr="00DB1B7D">
        <w:rPr>
          <w:lang w:eastAsia="en-AU"/>
        </w:rPr>
        <w:t>MP</w:t>
      </w:r>
      <w:r w:rsidR="001C6E73">
        <w:rPr>
          <w:lang w:eastAsia="en-AU"/>
        </w:rPr>
        <w:t>)</w:t>
      </w:r>
      <w:r w:rsidRPr="00DB1B7D">
        <w:rPr>
          <w:lang w:eastAsia="en-AU"/>
        </w:rPr>
        <w:t xml:space="preserve"> clearances for the drug product manufacturing sites are </w:t>
      </w:r>
      <w:r w:rsidRPr="00427F69">
        <w:rPr>
          <w:lang w:eastAsia="en-AU"/>
        </w:rPr>
        <w:t>all currently valid</w:t>
      </w:r>
      <w:r>
        <w:rPr>
          <w:lang w:eastAsia="en-AU"/>
        </w:rPr>
        <w:t xml:space="preserve"> past the expected decision date.</w:t>
      </w:r>
    </w:p>
    <w:p w14:paraId="2D970377" w14:textId="77777777" w:rsidR="008836A9" w:rsidRPr="00C9161C" w:rsidRDefault="008836A9" w:rsidP="008836A9">
      <w:r w:rsidRPr="00E26521">
        <w:rPr>
          <w:lang w:eastAsia="en-AU"/>
        </w:rPr>
        <w:t xml:space="preserve">The quality of the drug products is controlled by acceptable specifications </w:t>
      </w:r>
      <w:r>
        <w:rPr>
          <w:lang w:eastAsia="en-AU"/>
        </w:rPr>
        <w:t>which include</w:t>
      </w:r>
      <w:r w:rsidRPr="00E26521">
        <w:rPr>
          <w:lang w:eastAsia="en-AU"/>
        </w:rPr>
        <w:t xml:space="preserve"> tests and limits for </w:t>
      </w:r>
      <w:r w:rsidRPr="00917EE3">
        <w:t>appearance, identification (</w:t>
      </w:r>
      <w:r>
        <w:t>HPLC</w:t>
      </w:r>
      <w:r w:rsidRPr="00917EE3">
        <w:t xml:space="preserve"> and </w:t>
      </w:r>
      <w:r>
        <w:t>UV</w:t>
      </w:r>
      <w:r w:rsidRPr="00917EE3">
        <w:t xml:space="preserve">), assay, degradation products, uniformity of dosage units and disintegration. </w:t>
      </w:r>
      <w:r>
        <w:t>The assay limits comply with TGO 78;</w:t>
      </w:r>
      <w:r>
        <w:rPr>
          <w:rStyle w:val="FootnoteReference"/>
        </w:rPr>
        <w:footnoteReference w:id="8"/>
      </w:r>
      <w:r>
        <w:t xml:space="preserve"> the individual degradant limits comply with Internal Conference on Harmonisation (ICH) qualification threshold limits, and </w:t>
      </w:r>
      <w:r w:rsidRPr="00917EE3">
        <w:t xml:space="preserve">‘Total Degradants’ </w:t>
      </w:r>
      <w:r>
        <w:t>have been based upon batch analysis and stability data generated to date.</w:t>
      </w:r>
    </w:p>
    <w:p w14:paraId="3398A343" w14:textId="16C48B0F" w:rsidR="00C008B6" w:rsidRPr="00CD0803" w:rsidRDefault="008836A9" w:rsidP="00917EE3">
      <w:r w:rsidRPr="00E26521">
        <w:t>The replacement of the</w:t>
      </w:r>
      <w:r>
        <w:rPr>
          <w:i/>
        </w:rPr>
        <w:t xml:space="preserve"> </w:t>
      </w:r>
      <w:r>
        <w:t>d</w:t>
      </w:r>
      <w:r w:rsidRPr="00917EE3">
        <w:t>issolution</w:t>
      </w:r>
      <w:r>
        <w:rPr>
          <w:i/>
        </w:rPr>
        <w:t xml:space="preserve"> </w:t>
      </w:r>
      <w:r w:rsidRPr="00E26521">
        <w:t>test with the</w:t>
      </w:r>
      <w:r>
        <w:rPr>
          <w:i/>
        </w:rPr>
        <w:t xml:space="preserve"> </w:t>
      </w:r>
      <w:r>
        <w:t>d</w:t>
      </w:r>
      <w:r w:rsidRPr="00917EE3">
        <w:t>isintegration</w:t>
      </w:r>
      <w:r>
        <w:rPr>
          <w:i/>
        </w:rPr>
        <w:t xml:space="preserve"> </w:t>
      </w:r>
      <w:r w:rsidRPr="00C9161C">
        <w:t>test</w:t>
      </w:r>
      <w:r>
        <w:rPr>
          <w:i/>
        </w:rPr>
        <w:t xml:space="preserve"> </w:t>
      </w:r>
      <w:r>
        <w:t>was</w:t>
      </w:r>
      <w:r w:rsidRPr="00CD0803">
        <w:t xml:space="preserve"> justified, given the high aqueous solubility of ertugliflozin and </w:t>
      </w:r>
      <w:r>
        <w:t xml:space="preserve">rapid dissolution observed across the physiological pH range (1.2 to 6.8). </w:t>
      </w:r>
      <w:r w:rsidRPr="00CD0803">
        <w:t xml:space="preserve">Furthermore, a </w:t>
      </w:r>
      <w:r w:rsidRPr="00CD0803">
        <w:rPr>
          <w:color w:val="000000"/>
        </w:rPr>
        <w:t xml:space="preserve">linear relationship was demonstrated </w:t>
      </w:r>
      <w:r w:rsidRPr="00CD0803">
        <w:t xml:space="preserve">between </w:t>
      </w:r>
      <w:r>
        <w:t xml:space="preserve">the </w:t>
      </w:r>
      <w:r w:rsidRPr="00CD0803">
        <w:t>disintegration and dissolution results</w:t>
      </w:r>
      <w:r>
        <w:t>.</w:t>
      </w:r>
    </w:p>
    <w:p w14:paraId="01BBFDF6" w14:textId="77777777" w:rsidR="00C008B6" w:rsidRPr="00E26521" w:rsidRDefault="00C008B6" w:rsidP="00917EE3">
      <w:pPr>
        <w:rPr>
          <w:lang w:eastAsia="en-AU"/>
        </w:rPr>
      </w:pPr>
      <w:r w:rsidRPr="00E26521">
        <w:rPr>
          <w:lang w:eastAsia="en-AU"/>
        </w:rPr>
        <w:t>The analytical methods used to analyse the product were adequately described and validated.</w:t>
      </w:r>
    </w:p>
    <w:p w14:paraId="240A77D2" w14:textId="77777777" w:rsidR="00C008B6" w:rsidRPr="00E26521" w:rsidRDefault="00C008B6" w:rsidP="00917EE3">
      <w:pPr>
        <w:rPr>
          <w:lang w:eastAsia="en-AU"/>
        </w:rPr>
      </w:pPr>
      <w:r w:rsidRPr="00E26521">
        <w:rPr>
          <w:lang w:eastAsia="en-AU"/>
        </w:rPr>
        <w:t xml:space="preserve">The drug product is to be packaged in </w:t>
      </w:r>
      <w:r w:rsidRPr="00E26521">
        <w:t>Al</w:t>
      </w:r>
      <w:r w:rsidR="00917EE3">
        <w:t>uminium (Al)</w:t>
      </w:r>
      <w:r w:rsidRPr="00E26521">
        <w:t>/Al blisters in packs of 7 and 28 tablets.</w:t>
      </w:r>
    </w:p>
    <w:p w14:paraId="40A388A3" w14:textId="77777777" w:rsidR="00C008B6" w:rsidRDefault="00C008B6" w:rsidP="00917EE3">
      <w:pPr>
        <w:rPr>
          <w:b/>
          <w:u w:val="single"/>
          <w:lang w:eastAsia="en-AU"/>
        </w:rPr>
      </w:pPr>
      <w:r w:rsidRPr="00E26521">
        <w:rPr>
          <w:lang w:eastAsia="en-AU"/>
        </w:rPr>
        <w:t>The stability data supplied supported a shelf life of 24 months for the unopened product when stored at or below 30°C. No other storage conditions are required.</w:t>
      </w:r>
    </w:p>
    <w:p w14:paraId="5CBD9B6C" w14:textId="77777777" w:rsidR="00C008B6" w:rsidRDefault="00C008B6" w:rsidP="00917EE3">
      <w:pPr>
        <w:pStyle w:val="Heading4"/>
        <w:rPr>
          <w:lang w:eastAsia="en-AU"/>
        </w:rPr>
      </w:pPr>
      <w:r w:rsidRPr="00CD0803">
        <w:rPr>
          <w:lang w:eastAsia="en-AU"/>
        </w:rPr>
        <w:t xml:space="preserve">Ertugliflozin </w:t>
      </w:r>
      <w:r w:rsidR="00D819A2">
        <w:rPr>
          <w:lang w:eastAsia="en-AU"/>
        </w:rPr>
        <w:t>s</w:t>
      </w:r>
      <w:r w:rsidRPr="00CD0803">
        <w:rPr>
          <w:lang w:eastAsia="en-AU"/>
        </w:rPr>
        <w:t xml:space="preserve">itagliptin FDC </w:t>
      </w:r>
      <w:r w:rsidR="00BD5DE7">
        <w:rPr>
          <w:lang w:eastAsia="en-AU"/>
        </w:rPr>
        <w:t>t</w:t>
      </w:r>
      <w:r w:rsidRPr="00CD0803">
        <w:rPr>
          <w:lang w:eastAsia="en-AU"/>
        </w:rPr>
        <w:t>ablets</w:t>
      </w:r>
    </w:p>
    <w:p w14:paraId="71005FA3" w14:textId="3CD42215" w:rsidR="00C008B6" w:rsidRPr="004C04C3" w:rsidRDefault="00917EE3" w:rsidP="00B9327A">
      <w:r>
        <w:t xml:space="preserve">Two strengths for the </w:t>
      </w:r>
      <w:r w:rsidR="00453FBE">
        <w:t>Steglujan</w:t>
      </w:r>
      <w:r>
        <w:t xml:space="preserve"> X /Y /</w:t>
      </w:r>
      <w:r w:rsidR="00C008B6" w:rsidRPr="004C04C3">
        <w:t>MSD-ertugliflozin-sitagliptin X /Y immediate release FDC tablets are proposed for registration, namely</w:t>
      </w:r>
      <w:r>
        <w:t xml:space="preserve"> </w:t>
      </w:r>
      <w:r w:rsidR="00C008B6" w:rsidRPr="004C04C3">
        <w:t>5</w:t>
      </w:r>
      <w:r w:rsidR="006D7D02">
        <w:t xml:space="preserve"> mg</w:t>
      </w:r>
      <w:r w:rsidR="00C008B6" w:rsidRPr="004C04C3">
        <w:t>/100</w:t>
      </w:r>
      <w:r w:rsidR="006D7D02">
        <w:t xml:space="preserve"> mg</w:t>
      </w:r>
      <w:r w:rsidR="00C008B6" w:rsidRPr="004C04C3">
        <w:t xml:space="preserve"> and 15 </w:t>
      </w:r>
      <w:r w:rsidR="006D7D02">
        <w:t>mg</w:t>
      </w:r>
      <w:r w:rsidR="00C008B6" w:rsidRPr="004C04C3">
        <w:t xml:space="preserve">/100 </w:t>
      </w:r>
      <w:r w:rsidR="006D7D02">
        <w:t>mg</w:t>
      </w:r>
      <w:r w:rsidR="00C008B6" w:rsidRPr="004C04C3">
        <w:t xml:space="preserve"> for ertugliflozin and sitagliptin respectively.</w:t>
      </w:r>
      <w:r w:rsidR="009A3F68">
        <w:t xml:space="preserve"> </w:t>
      </w:r>
      <w:r w:rsidR="00C008B6" w:rsidRPr="004C04C3">
        <w:t>The tablet strengths are easily distinguishable from each other in terms of colour and debossing.</w:t>
      </w:r>
      <w:r w:rsidR="009A3F68">
        <w:t xml:space="preserve"> </w:t>
      </w:r>
      <w:r w:rsidR="00C008B6" w:rsidRPr="004C04C3">
        <w:t>Both tablets are film-coated and unscored.</w:t>
      </w:r>
      <w:r w:rsidR="009A3F68">
        <w:t xml:space="preserve"> </w:t>
      </w:r>
      <w:r w:rsidR="00C008B6" w:rsidRPr="004C04C3">
        <w:t xml:space="preserve">They are </w:t>
      </w:r>
      <w:r>
        <w:t xml:space="preserve">to be </w:t>
      </w:r>
      <w:r w:rsidR="00C008B6" w:rsidRPr="004C04C3">
        <w:t>taken once a day.</w:t>
      </w:r>
    </w:p>
    <w:p w14:paraId="7BCD524E" w14:textId="77777777" w:rsidR="00E73C18" w:rsidRDefault="00E73C18" w:rsidP="00B9327A">
      <w:r w:rsidRPr="00917EE3">
        <w:t xml:space="preserve">The active ingredient, ertugliflozin (as ertugliflozin L-PGA) represents </w:t>
      </w:r>
      <w:r>
        <w:t>around</w:t>
      </w:r>
      <w:r w:rsidRPr="00917EE3">
        <w:t xml:space="preserve"> 1.6%, and 4.7 % of the of the total tablet weight of the 5 mg /100 mg, and 15 mg /100 mg tablet strengths, respectively.</w:t>
      </w:r>
    </w:p>
    <w:p w14:paraId="18C55053" w14:textId="022E5942" w:rsidR="00C008B6" w:rsidRPr="004C04C3" w:rsidRDefault="00C008B6" w:rsidP="00B9327A">
      <w:r w:rsidRPr="00917EE3">
        <w:t xml:space="preserve">The active ingredient, sitagliptin (as phosphate monohydrate) represents ca 31.2% of the total tablet weight of the 5 </w:t>
      </w:r>
      <w:r w:rsidR="006D7D02">
        <w:t>mg</w:t>
      </w:r>
      <w:r w:rsidRPr="00917EE3">
        <w:t xml:space="preserve"> /100 </w:t>
      </w:r>
      <w:r w:rsidR="006D7D02">
        <w:t>mg</w:t>
      </w:r>
      <w:r w:rsidRPr="00917EE3">
        <w:t xml:space="preserve"> and 15 </w:t>
      </w:r>
      <w:r w:rsidR="006D7D02">
        <w:t>mg</w:t>
      </w:r>
      <w:r w:rsidRPr="00917EE3">
        <w:t xml:space="preserve"> /100 </w:t>
      </w:r>
      <w:r w:rsidR="006D7D02">
        <w:t>mg</w:t>
      </w:r>
      <w:r w:rsidRPr="004C04C3">
        <w:t xml:space="preserve"> tablet strengths.</w:t>
      </w:r>
    </w:p>
    <w:p w14:paraId="64A73D5E" w14:textId="77777777" w:rsidR="00C008B6" w:rsidRPr="004C04C3" w:rsidRDefault="00C008B6" w:rsidP="00B9327A">
      <w:r w:rsidRPr="004C04C3">
        <w:t>No overages are used.</w:t>
      </w:r>
    </w:p>
    <w:p w14:paraId="7EEA2858" w14:textId="77777777" w:rsidR="00C008B6" w:rsidRPr="004C04C3" w:rsidRDefault="00C008B6" w:rsidP="00B9327A">
      <w:r w:rsidRPr="004C04C3">
        <w:t>As for the monotherapy tablets, the two tablet strengths are manufactured using a conventional dry granulation, direct compression process, utilising compendial excipients.</w:t>
      </w:r>
    </w:p>
    <w:p w14:paraId="781AB911" w14:textId="77777777" w:rsidR="00C008B6" w:rsidRPr="004C04C3" w:rsidRDefault="00C008B6" w:rsidP="00B9327A">
      <w:r w:rsidRPr="004C04C3">
        <w:lastRenderedPageBreak/>
        <w:t>The Phase III clinical studies used the monotherapy products for ertugliflozin and sitagliptin. The proposed commercial manufacturing process is the same as the process used to manufacture the bioequivalence study batches, except for an increase in batch size.</w:t>
      </w:r>
      <w:r w:rsidRPr="004C04C3">
        <w:rPr>
          <w:lang w:eastAsia="en-AU"/>
        </w:rPr>
        <w:t xml:space="preserve"> This difference was justified with acceptable comparative dissolution data.</w:t>
      </w:r>
    </w:p>
    <w:p w14:paraId="343AC02E" w14:textId="4722F60B" w:rsidR="00C008B6" w:rsidRPr="004C04C3" w:rsidRDefault="009830B2" w:rsidP="00B9327A">
      <w:pPr>
        <w:rPr>
          <w:lang w:eastAsia="en-AU"/>
        </w:rPr>
      </w:pPr>
      <w:r w:rsidRPr="00E26521">
        <w:rPr>
          <w:lang w:eastAsia="en-AU"/>
        </w:rPr>
        <w:t xml:space="preserve">The drug products are to be manufactured </w:t>
      </w:r>
      <w:r>
        <w:rPr>
          <w:lang w:eastAsia="en-AU"/>
        </w:rPr>
        <w:t xml:space="preserve">with quality control testing, packaging/labelling and release for supply </w:t>
      </w:r>
      <w:r w:rsidRPr="00E26521">
        <w:rPr>
          <w:lang w:eastAsia="en-AU"/>
        </w:rPr>
        <w:t xml:space="preserve">by </w:t>
      </w:r>
      <w:r>
        <w:rPr>
          <w:lang w:eastAsia="en-AU"/>
        </w:rPr>
        <w:t xml:space="preserve">one site and another site is proposed for stability testing. </w:t>
      </w:r>
      <w:r w:rsidR="00C008B6" w:rsidRPr="004C04C3">
        <w:rPr>
          <w:lang w:eastAsia="en-AU"/>
        </w:rPr>
        <w:t>The GMP clearance</w:t>
      </w:r>
      <w:r w:rsidR="00815C15">
        <w:rPr>
          <w:lang w:eastAsia="en-AU"/>
        </w:rPr>
        <w:t>s</w:t>
      </w:r>
      <w:r w:rsidR="00C008B6" w:rsidRPr="004C04C3">
        <w:rPr>
          <w:lang w:eastAsia="en-AU"/>
        </w:rPr>
        <w:t xml:space="preserve"> for the drug product manufacturing site</w:t>
      </w:r>
      <w:r w:rsidR="00893B69">
        <w:rPr>
          <w:lang w:eastAsia="en-AU"/>
        </w:rPr>
        <w:t>s</w:t>
      </w:r>
      <w:r w:rsidR="00C008B6" w:rsidRPr="004C04C3">
        <w:rPr>
          <w:lang w:eastAsia="en-AU"/>
        </w:rPr>
        <w:t xml:space="preserve"> </w:t>
      </w:r>
      <w:r w:rsidR="00893B69">
        <w:rPr>
          <w:lang w:eastAsia="en-AU"/>
        </w:rPr>
        <w:t>are</w:t>
      </w:r>
      <w:r w:rsidR="00893B69" w:rsidRPr="004C04C3">
        <w:rPr>
          <w:lang w:eastAsia="en-AU"/>
        </w:rPr>
        <w:t xml:space="preserve"> </w:t>
      </w:r>
      <w:r w:rsidR="00C008B6" w:rsidRPr="004C04C3">
        <w:rPr>
          <w:lang w:eastAsia="en-AU"/>
        </w:rPr>
        <w:t>currently valid past the expected decision date.</w:t>
      </w:r>
    </w:p>
    <w:p w14:paraId="6C3FEB3D" w14:textId="77777777" w:rsidR="00E73C18" w:rsidRDefault="00E73C18" w:rsidP="00B9327A">
      <w:r w:rsidRPr="004C04C3">
        <w:rPr>
          <w:lang w:eastAsia="en-AU"/>
        </w:rPr>
        <w:t xml:space="preserve">The quality of the drug products is controlled by acceptable specifications that include tests and limits for </w:t>
      </w:r>
      <w:r w:rsidRPr="00917EE3">
        <w:t>appearance, identification of both actives (</w:t>
      </w:r>
      <w:r>
        <w:t>HPLC</w:t>
      </w:r>
      <w:r w:rsidRPr="00917EE3">
        <w:t xml:space="preserve"> and </w:t>
      </w:r>
      <w:r>
        <w:t>UV</w:t>
      </w:r>
      <w:r w:rsidRPr="00917EE3">
        <w:t xml:space="preserve">), assay for both actives, degradation products, uniformity of dosage units, and disintegration. </w:t>
      </w:r>
      <w:r w:rsidRPr="004C04C3">
        <w:t>The assay limits of both drug substances comply with TGO 78</w:t>
      </w:r>
      <w:r>
        <w:t>;</w:t>
      </w:r>
      <w:r w:rsidRPr="00D920AA">
        <w:rPr>
          <w:vertAlign w:val="superscript"/>
        </w:rPr>
        <w:t>7</w:t>
      </w:r>
      <w:r w:rsidRPr="004C04C3">
        <w:t xml:space="preserve"> and the degradant limits of both drug substances ICH identification or qualification threshold limits </w:t>
      </w:r>
      <w:r w:rsidRPr="00BD5DE7">
        <w:t>and ‘Total Degradants’ have been based upon batch analysis and stability data generated</w:t>
      </w:r>
      <w:r w:rsidRPr="004C04C3">
        <w:t xml:space="preserve"> to date.</w:t>
      </w:r>
    </w:p>
    <w:p w14:paraId="00B640A9" w14:textId="60AACC7F" w:rsidR="00C008B6" w:rsidRPr="00BD5DE7" w:rsidRDefault="00E73C18" w:rsidP="00B9327A">
      <w:r w:rsidRPr="004C04C3">
        <w:t>The replacement of the</w:t>
      </w:r>
      <w:r w:rsidRPr="004C04C3">
        <w:rPr>
          <w:i/>
        </w:rPr>
        <w:t xml:space="preserve"> </w:t>
      </w:r>
      <w:r>
        <w:t>d</w:t>
      </w:r>
      <w:r w:rsidRPr="00BD5DE7">
        <w:t>issolution</w:t>
      </w:r>
      <w:r w:rsidRPr="004C04C3">
        <w:rPr>
          <w:i/>
        </w:rPr>
        <w:t xml:space="preserve"> </w:t>
      </w:r>
      <w:r w:rsidRPr="004C04C3">
        <w:t>test with the</w:t>
      </w:r>
      <w:r>
        <w:t xml:space="preserve"> d</w:t>
      </w:r>
      <w:r w:rsidR="00C008B6" w:rsidRPr="00BD5DE7">
        <w:t>isintegration</w:t>
      </w:r>
      <w:r>
        <w:t xml:space="preserve"> </w:t>
      </w:r>
      <w:r w:rsidR="00C008B6" w:rsidRPr="00D920AA">
        <w:t>test</w:t>
      </w:r>
      <w:r w:rsidR="00C008B6" w:rsidRPr="004C04C3">
        <w:rPr>
          <w:i/>
        </w:rPr>
        <w:t xml:space="preserve"> </w:t>
      </w:r>
      <w:r w:rsidR="00C008B6" w:rsidRPr="004C04C3">
        <w:t xml:space="preserve">was justified, given the high aqueous solubility of ertugliflozin and sitagliptin, and rapid dissolution observed across the physiological pH range (1.2 to 6.8) and the </w:t>
      </w:r>
      <w:r w:rsidR="00C008B6" w:rsidRPr="00BD5DE7">
        <w:t>Disintegration</w:t>
      </w:r>
      <w:r w:rsidR="00C008B6" w:rsidRPr="004C04C3">
        <w:t xml:space="preserve"> test was shown to be more discriminating compared to the dissolution test with regard to changes in tablet properties.</w:t>
      </w:r>
      <w:r w:rsidR="009A3F68">
        <w:t xml:space="preserve"> </w:t>
      </w:r>
      <w:r w:rsidR="00C008B6" w:rsidRPr="004C04C3">
        <w:t xml:space="preserve">The disintegration limit is tighter than the Ph.Eur. </w:t>
      </w:r>
      <w:proofErr w:type="gramStart"/>
      <w:r w:rsidR="00C008B6" w:rsidRPr="004C04C3">
        <w:t>general</w:t>
      </w:r>
      <w:proofErr w:type="gramEnd"/>
      <w:r w:rsidR="00C008B6" w:rsidRPr="004C04C3">
        <w:t xml:space="preserve"> monograph for </w:t>
      </w:r>
      <w:r>
        <w:t>‘</w:t>
      </w:r>
      <w:r w:rsidR="00BD5DE7" w:rsidRPr="00BD5DE7">
        <w:t>Tablets Coated tablets</w:t>
      </w:r>
      <w:r>
        <w:t>’</w:t>
      </w:r>
      <w:r w:rsidR="00C008B6" w:rsidRPr="00BD5DE7">
        <w:t>.</w:t>
      </w:r>
    </w:p>
    <w:p w14:paraId="6ADB3124" w14:textId="77777777" w:rsidR="00C008B6" w:rsidRPr="004C04C3" w:rsidRDefault="00C008B6" w:rsidP="00B9327A">
      <w:pPr>
        <w:rPr>
          <w:lang w:eastAsia="en-AU"/>
        </w:rPr>
      </w:pPr>
      <w:r w:rsidRPr="004C04C3">
        <w:rPr>
          <w:lang w:eastAsia="en-AU"/>
        </w:rPr>
        <w:t>The analytical methods used to analyse the product were adequately described and validated.</w:t>
      </w:r>
    </w:p>
    <w:p w14:paraId="75F91030" w14:textId="77777777" w:rsidR="00C008B6" w:rsidRPr="004C04C3" w:rsidRDefault="00C008B6" w:rsidP="00B9327A">
      <w:pPr>
        <w:rPr>
          <w:lang w:eastAsia="en-AU"/>
        </w:rPr>
      </w:pPr>
      <w:r w:rsidRPr="004C04C3">
        <w:rPr>
          <w:lang w:eastAsia="en-AU"/>
        </w:rPr>
        <w:t xml:space="preserve">The drug product is to be packaged in </w:t>
      </w:r>
      <w:r w:rsidRPr="004C04C3">
        <w:t>Al/Al blisters in packs of 7 and 28 tablets.</w:t>
      </w:r>
    </w:p>
    <w:p w14:paraId="6EEEEC35" w14:textId="137415A8" w:rsidR="00C008B6" w:rsidRDefault="00C008B6" w:rsidP="00B9327A">
      <w:pPr>
        <w:rPr>
          <w:b/>
          <w:u w:val="single"/>
          <w:lang w:eastAsia="en-AU"/>
        </w:rPr>
      </w:pPr>
      <w:r w:rsidRPr="004C04C3">
        <w:rPr>
          <w:lang w:eastAsia="en-AU"/>
        </w:rPr>
        <w:t>The stability data supplied supported a shelf life of 24 months for the unopened product when stored at or below 30°C. No other storage conditions are required.</w:t>
      </w:r>
    </w:p>
    <w:p w14:paraId="5EE8A74F" w14:textId="77777777" w:rsidR="00C008B6" w:rsidRPr="0054618E" w:rsidRDefault="00C008B6" w:rsidP="00BD5DE7">
      <w:pPr>
        <w:pStyle w:val="Heading4"/>
        <w:rPr>
          <w:lang w:eastAsia="en-AU"/>
        </w:rPr>
      </w:pPr>
      <w:r w:rsidRPr="0054618E">
        <w:rPr>
          <w:lang w:eastAsia="en-AU"/>
        </w:rPr>
        <w:t>Ertuglif</w:t>
      </w:r>
      <w:r w:rsidR="00BD5DE7">
        <w:rPr>
          <w:lang w:eastAsia="en-AU"/>
        </w:rPr>
        <w:t xml:space="preserve">lozin </w:t>
      </w:r>
      <w:r w:rsidR="00D819A2">
        <w:rPr>
          <w:lang w:eastAsia="en-AU"/>
        </w:rPr>
        <w:t>m</w:t>
      </w:r>
      <w:r w:rsidR="00BD5DE7">
        <w:rPr>
          <w:lang w:eastAsia="en-AU"/>
        </w:rPr>
        <w:t>etformin FDC tablets</w:t>
      </w:r>
    </w:p>
    <w:p w14:paraId="1E677DDC" w14:textId="3968DEA3" w:rsidR="00C008B6" w:rsidRPr="003434F8" w:rsidRDefault="00C008B6" w:rsidP="00B9327A">
      <w:r>
        <w:t>Four</w:t>
      </w:r>
      <w:r w:rsidR="00BD5DE7">
        <w:t xml:space="preserve"> strengths for the </w:t>
      </w:r>
      <w:r w:rsidR="00453FBE">
        <w:t>Segluromet</w:t>
      </w:r>
      <w:r>
        <w:t xml:space="preserve"> </w:t>
      </w:r>
      <w:r w:rsidRPr="003434F8">
        <w:t xml:space="preserve">X /Y </w:t>
      </w:r>
      <w:r w:rsidR="00BD5DE7">
        <w:t>/</w:t>
      </w:r>
      <w:r w:rsidRPr="003434F8">
        <w:t>MSD-ertugliflozin-</w:t>
      </w:r>
      <w:r>
        <w:t>metformin</w:t>
      </w:r>
      <w:r w:rsidRPr="003434F8">
        <w:t xml:space="preserve"> X /Y immediate release </w:t>
      </w:r>
      <w:r>
        <w:t xml:space="preserve">FDC </w:t>
      </w:r>
      <w:r w:rsidRPr="003434F8">
        <w:t>tablets are proposed for registration, namely</w:t>
      </w:r>
      <w:r w:rsidR="00BD5DE7">
        <w:t xml:space="preserve"> </w:t>
      </w:r>
      <w:r>
        <w:t>2.</w:t>
      </w:r>
      <w:r w:rsidRPr="003434F8">
        <w:t xml:space="preserve">5 </w:t>
      </w:r>
      <w:r w:rsidR="006D7D02">
        <w:t>mg</w:t>
      </w:r>
      <w:r>
        <w:t>/5</w:t>
      </w:r>
      <w:r w:rsidRPr="003434F8">
        <w:t xml:space="preserve">00 </w:t>
      </w:r>
      <w:r w:rsidR="006D7D02">
        <w:t>mg</w:t>
      </w:r>
      <w:r>
        <w:t>, 2.5</w:t>
      </w:r>
      <w:r w:rsidR="00715B39">
        <w:t> </w:t>
      </w:r>
      <w:r w:rsidR="006D7D02">
        <w:t>mg</w:t>
      </w:r>
      <w:r>
        <w:t>/1000</w:t>
      </w:r>
      <w:r w:rsidR="00715B39">
        <w:t> </w:t>
      </w:r>
      <w:r w:rsidR="006D7D02">
        <w:t>mg</w:t>
      </w:r>
      <w:r>
        <w:t xml:space="preserve">, 7.5 </w:t>
      </w:r>
      <w:r w:rsidR="006D7D02">
        <w:t>mg</w:t>
      </w:r>
      <w:r>
        <w:t>/500</w:t>
      </w:r>
      <w:r w:rsidR="006D7D02">
        <w:t xml:space="preserve"> mg</w:t>
      </w:r>
      <w:r>
        <w:t xml:space="preserve">, and 7.5/1000 </w:t>
      </w:r>
      <w:r w:rsidR="006D7D02">
        <w:t>mg</w:t>
      </w:r>
      <w:r>
        <w:t xml:space="preserve"> </w:t>
      </w:r>
      <w:r w:rsidRPr="003434F8">
        <w:t>for ertuglifloz</w:t>
      </w:r>
      <w:r>
        <w:t>in and metformin hydrochloride respectively</w:t>
      </w:r>
      <w:r w:rsidRPr="003434F8">
        <w:t>.</w:t>
      </w:r>
      <w:r w:rsidR="009A3F68">
        <w:t xml:space="preserve"> </w:t>
      </w:r>
      <w:r w:rsidRPr="003434F8">
        <w:t xml:space="preserve">The </w:t>
      </w:r>
      <w:r>
        <w:t>four</w:t>
      </w:r>
      <w:r w:rsidRPr="003434F8">
        <w:t xml:space="preserve"> tablet strengths are easily distinguishable from each other in terms of colour</w:t>
      </w:r>
      <w:r>
        <w:t xml:space="preserve">, size, </w:t>
      </w:r>
      <w:r w:rsidRPr="003434F8">
        <w:t>and debossing.</w:t>
      </w:r>
      <w:r w:rsidR="009A3F68">
        <w:t xml:space="preserve"> </w:t>
      </w:r>
      <w:r>
        <w:t>All</w:t>
      </w:r>
      <w:r w:rsidRPr="003434F8">
        <w:t xml:space="preserve"> tablets are film-coated and unscored.</w:t>
      </w:r>
      <w:r>
        <w:t xml:space="preserve"> They are taken twice a day.</w:t>
      </w:r>
    </w:p>
    <w:p w14:paraId="03541394" w14:textId="54786961" w:rsidR="00C008B6" w:rsidRDefault="00C008B6" w:rsidP="00B9327A">
      <w:r w:rsidRPr="00EA7591">
        <w:t xml:space="preserve">The active ingredient, ertugliflozin (as ertugliflozin L-PGA) represents </w:t>
      </w:r>
      <w:r w:rsidR="00BD5DE7">
        <w:t>approximately</w:t>
      </w:r>
      <w:r w:rsidRPr="00EA7591">
        <w:rPr>
          <w:i/>
        </w:rPr>
        <w:t xml:space="preserve"> </w:t>
      </w:r>
      <w:r w:rsidRPr="00EA7591">
        <w:t>0.5%, 0.25%, 1.45% and 0.73% of the of the total tablet weight of the 2.5 </w:t>
      </w:r>
      <w:r w:rsidR="006D7D02">
        <w:t>mg</w:t>
      </w:r>
      <w:r w:rsidRPr="00EA7591">
        <w:t xml:space="preserve">/500 </w:t>
      </w:r>
      <w:r w:rsidR="006D7D02">
        <w:t>mg</w:t>
      </w:r>
      <w:r w:rsidRPr="00EA7591">
        <w:t>, 2.5</w:t>
      </w:r>
      <w:r w:rsidR="00E600D5">
        <w:t> </w:t>
      </w:r>
      <w:r w:rsidR="006D7D02">
        <w:t>mg</w:t>
      </w:r>
      <w:r w:rsidRPr="00EA7591">
        <w:t xml:space="preserve">/1000 </w:t>
      </w:r>
      <w:r w:rsidR="006D7D02">
        <w:t>mg</w:t>
      </w:r>
      <w:r w:rsidRPr="00EA7591">
        <w:t xml:space="preserve">, 7.5 </w:t>
      </w:r>
      <w:r w:rsidR="006D7D02">
        <w:t>mg</w:t>
      </w:r>
      <w:r w:rsidRPr="00EA7591">
        <w:t>/500</w:t>
      </w:r>
      <w:r w:rsidR="006D7D02">
        <w:t xml:space="preserve"> mg</w:t>
      </w:r>
      <w:r w:rsidRPr="00EA7591">
        <w:t xml:space="preserve"> and 7.5 </w:t>
      </w:r>
      <w:r w:rsidR="006D7D02">
        <w:t>mg</w:t>
      </w:r>
      <w:r w:rsidRPr="00EA7591">
        <w:t xml:space="preserve">/1000 </w:t>
      </w:r>
      <w:r w:rsidR="006D7D02">
        <w:t>mg</w:t>
      </w:r>
      <w:r w:rsidRPr="00EA7591">
        <w:t xml:space="preserve"> t</w:t>
      </w:r>
      <w:r>
        <w:t>ablet strengths, respectively.</w:t>
      </w:r>
    </w:p>
    <w:p w14:paraId="4B7FC026" w14:textId="435A3B63" w:rsidR="00C008B6" w:rsidRDefault="00C008B6" w:rsidP="00B9327A">
      <w:r w:rsidRPr="00EA7591">
        <w:t xml:space="preserve">The active ingredient, metformin hydrochloride, represents </w:t>
      </w:r>
      <w:r w:rsidR="00BD5DE7">
        <w:t>approximately</w:t>
      </w:r>
      <w:r w:rsidRPr="00EA7591">
        <w:rPr>
          <w:i/>
        </w:rPr>
        <w:t xml:space="preserve"> </w:t>
      </w:r>
      <w:r w:rsidRPr="00EA7591">
        <w:t>74.6% of the total tablet weight of all tablet strengths.</w:t>
      </w:r>
      <w:r w:rsidR="009A3F68">
        <w:t xml:space="preserve"> </w:t>
      </w:r>
      <w:r w:rsidRPr="00EA7591">
        <w:t xml:space="preserve">Except for the quantities of ertugliflozin L-PGA and the microcrystalline cellulose, the 2.5 </w:t>
      </w:r>
      <w:r w:rsidR="006D7D02">
        <w:t>mg</w:t>
      </w:r>
      <w:r w:rsidRPr="00EA7591">
        <w:t>/500</w:t>
      </w:r>
      <w:r w:rsidR="006D7D02">
        <w:t xml:space="preserve"> mg</w:t>
      </w:r>
      <w:r w:rsidRPr="00EA7591">
        <w:t xml:space="preserve"> and 2.5 </w:t>
      </w:r>
      <w:r w:rsidR="006D7D02">
        <w:t>mg</w:t>
      </w:r>
      <w:r w:rsidRPr="00EA7591">
        <w:t>/1000</w:t>
      </w:r>
      <w:r w:rsidR="006D7D02">
        <w:t xml:space="preserve"> mg</w:t>
      </w:r>
      <w:r w:rsidRPr="00EA7591">
        <w:t xml:space="preserve"> strengths and the 7.5 </w:t>
      </w:r>
      <w:r w:rsidR="006D7D02">
        <w:t>mg</w:t>
      </w:r>
      <w:r w:rsidRPr="00EA7591">
        <w:t xml:space="preserve">/500 </w:t>
      </w:r>
      <w:r w:rsidR="006D7D02">
        <w:t>mg</w:t>
      </w:r>
      <w:r w:rsidRPr="00EA7591">
        <w:t xml:space="preserve"> and </w:t>
      </w:r>
      <w:r w:rsidR="00E600D5">
        <w:t>7.</w:t>
      </w:r>
      <w:r w:rsidRPr="00EA7591">
        <w:t xml:space="preserve">5 </w:t>
      </w:r>
      <w:r w:rsidR="006D7D02">
        <w:t>mg</w:t>
      </w:r>
      <w:r w:rsidRPr="00EA7591">
        <w:t xml:space="preserve">/1000 </w:t>
      </w:r>
      <w:r w:rsidR="006D7D02">
        <w:t>mg</w:t>
      </w:r>
      <w:r>
        <w:t xml:space="preserve"> strengths are direct scales.</w:t>
      </w:r>
    </w:p>
    <w:p w14:paraId="7EFB5229" w14:textId="77777777" w:rsidR="00C008B6" w:rsidRPr="00EA7591" w:rsidRDefault="00C008B6" w:rsidP="00B9327A">
      <w:r w:rsidRPr="00EA7591">
        <w:t>No overages are used.</w:t>
      </w:r>
    </w:p>
    <w:p w14:paraId="0A8BF65E" w14:textId="6F943EE9" w:rsidR="00C008B6" w:rsidRPr="00843A61" w:rsidRDefault="00C008B6" w:rsidP="00B9327A">
      <w:r>
        <w:t>Differently from the other products, t</w:t>
      </w:r>
      <w:r w:rsidRPr="00843A61">
        <w:t xml:space="preserve">he proposed manufacturing process employs a granulation process (milling, mixing, granulation, drying and milling) to manufacture </w:t>
      </w:r>
      <w:r w:rsidRPr="00BD5DE7">
        <w:t>metformin granules</w:t>
      </w:r>
      <w:r>
        <w:t>.</w:t>
      </w:r>
      <w:r w:rsidR="009A3F68">
        <w:t xml:space="preserve"> </w:t>
      </w:r>
      <w:r>
        <w:t xml:space="preserve">The metformin granules are then dry blended with ertugliflozin L-PGA and excipients, </w:t>
      </w:r>
      <w:r w:rsidRPr="00843A61">
        <w:t>followed by a direct compression and coating process, using conventional techniques (</w:t>
      </w:r>
      <w:r w:rsidR="00BD5DE7">
        <w:t xml:space="preserve">for example, </w:t>
      </w:r>
      <w:r w:rsidRPr="00843A61">
        <w:t>blending, lubrication, compression and film coating).</w:t>
      </w:r>
    </w:p>
    <w:p w14:paraId="36773736" w14:textId="2E2C298E" w:rsidR="00C008B6" w:rsidRPr="00BE60EA" w:rsidRDefault="00C008B6" w:rsidP="00B9327A">
      <w:r>
        <w:lastRenderedPageBreak/>
        <w:t xml:space="preserve">The Phase III clinical studies used the monotherapy products. </w:t>
      </w:r>
      <w:r w:rsidRPr="00843A61">
        <w:t xml:space="preserve">Bioequivalence studies were performed </w:t>
      </w:r>
      <w:r>
        <w:t>comparing</w:t>
      </w:r>
      <w:r w:rsidRPr="00843A61">
        <w:t xml:space="preserve"> the proposed market formulation tablets for the highest (7.5/1000</w:t>
      </w:r>
      <w:r w:rsidR="00E600D5">
        <w:t> </w:t>
      </w:r>
      <w:r w:rsidR="006D7D02">
        <w:t>mg</w:t>
      </w:r>
      <w:r w:rsidRPr="00843A61">
        <w:t xml:space="preserve">) and lowest (2.5/500 </w:t>
      </w:r>
      <w:r w:rsidR="006D7D02">
        <w:t>mg</w:t>
      </w:r>
      <w:r w:rsidRPr="00843A61">
        <w:t>) strengths and the ertugliflozin and metformin hydrochloride monotherapy tablets used in Phase III studies.</w:t>
      </w:r>
      <w:r w:rsidR="009A3F68">
        <w:t xml:space="preserve"> </w:t>
      </w:r>
      <w:r w:rsidRPr="00BE60EA">
        <w:rPr>
          <w:color w:val="000000"/>
        </w:rPr>
        <w:t>The tablets administered in the bioequivalence study were identical to those of the proposed market formulation except the tablets were not debossed.</w:t>
      </w:r>
      <w:r w:rsidRPr="001E500F">
        <w:rPr>
          <w:lang w:eastAsia="en-AU"/>
        </w:rPr>
        <w:t xml:space="preserve"> </w:t>
      </w:r>
      <w:r>
        <w:rPr>
          <w:lang w:eastAsia="en-AU"/>
        </w:rPr>
        <w:t>This difference was justified with acceptable comparative dissolution data.</w:t>
      </w:r>
    </w:p>
    <w:p w14:paraId="168DDBE6" w14:textId="753C14E6" w:rsidR="00C008B6" w:rsidRPr="00843A61" w:rsidRDefault="00C008B6" w:rsidP="00B9327A">
      <w:pPr>
        <w:rPr>
          <w:lang w:eastAsia="en-AU"/>
        </w:rPr>
      </w:pPr>
      <w:r w:rsidRPr="00843A61">
        <w:rPr>
          <w:lang w:eastAsia="en-AU"/>
        </w:rPr>
        <w:t xml:space="preserve">The drug products are to be manufactured </w:t>
      </w:r>
      <w:r w:rsidR="009830B2">
        <w:rPr>
          <w:lang w:eastAsia="en-AU"/>
        </w:rPr>
        <w:t xml:space="preserve">with quality control testing </w:t>
      </w:r>
      <w:r w:rsidR="00BD5DE7">
        <w:rPr>
          <w:lang w:eastAsia="en-AU"/>
        </w:rPr>
        <w:t>at one site</w:t>
      </w:r>
      <w:r w:rsidRPr="00843A61">
        <w:rPr>
          <w:i/>
          <w:lang w:eastAsia="en-AU"/>
        </w:rPr>
        <w:t xml:space="preserve"> </w:t>
      </w:r>
      <w:r w:rsidRPr="00843A61">
        <w:rPr>
          <w:lang w:eastAsia="en-AU"/>
        </w:rPr>
        <w:t xml:space="preserve">with an alternate site proposed for </w:t>
      </w:r>
      <w:r w:rsidR="00BD5DE7">
        <w:rPr>
          <w:lang w:eastAsia="en-AU"/>
        </w:rPr>
        <w:t xml:space="preserve">quality control </w:t>
      </w:r>
      <w:r w:rsidRPr="00843A61">
        <w:rPr>
          <w:lang w:eastAsia="en-AU"/>
        </w:rPr>
        <w:t>testing, packaging/labelling, and release for supply; and another site proposed for stability testing.</w:t>
      </w:r>
      <w:r w:rsidR="009A3F68">
        <w:rPr>
          <w:lang w:eastAsia="en-AU"/>
        </w:rPr>
        <w:t xml:space="preserve"> </w:t>
      </w:r>
      <w:r w:rsidRPr="00843A61">
        <w:rPr>
          <w:lang w:eastAsia="en-AU"/>
        </w:rPr>
        <w:t>The GMP clearances for the drug product manufacturing and testing sites are currently valid past the expected decision date.</w:t>
      </w:r>
    </w:p>
    <w:p w14:paraId="5B39D2C1" w14:textId="77777777" w:rsidR="00C008B6" w:rsidRPr="00303011" w:rsidRDefault="00C008B6" w:rsidP="00BD5DE7">
      <w:r w:rsidRPr="00BD5DE7">
        <w:rPr>
          <w:lang w:eastAsia="en-AU"/>
        </w:rPr>
        <w:t xml:space="preserve">The quality of the drug products is controlled by acceptable </w:t>
      </w:r>
      <w:r w:rsidR="00F14099" w:rsidRPr="00BD5DE7">
        <w:rPr>
          <w:lang w:eastAsia="en-AU"/>
        </w:rPr>
        <w:t>specifications that include</w:t>
      </w:r>
      <w:r w:rsidRPr="00BD5DE7">
        <w:rPr>
          <w:lang w:eastAsia="en-AU"/>
        </w:rPr>
        <w:t xml:space="preserve"> tests and limits for </w:t>
      </w:r>
      <w:r w:rsidR="00BD5DE7" w:rsidRPr="00BD5DE7">
        <w:t>appearance, identification of both actives (</w:t>
      </w:r>
      <w:r w:rsidR="00BD5DE7">
        <w:t>HPLC</w:t>
      </w:r>
      <w:r w:rsidR="00BD5DE7" w:rsidRPr="00BD5DE7">
        <w:t xml:space="preserve"> and </w:t>
      </w:r>
      <w:r w:rsidR="00BD5DE7">
        <w:t>UV</w:t>
      </w:r>
      <w:r w:rsidR="00BD5DE7" w:rsidRPr="00BD5DE7">
        <w:t xml:space="preserve">), assay for </w:t>
      </w:r>
      <w:r w:rsidR="00BD5DE7" w:rsidRPr="00303011">
        <w:t>both actives, degradation products, uniformity of dosage units and disintegration</w:t>
      </w:r>
      <w:r w:rsidRPr="00303011">
        <w:t>.</w:t>
      </w:r>
    </w:p>
    <w:p w14:paraId="2F3C0513" w14:textId="3C95DD82" w:rsidR="00C008B6" w:rsidRPr="00843A61" w:rsidRDefault="00C008B6" w:rsidP="00463DFC">
      <w:pPr>
        <w:rPr>
          <w:lang w:eastAsia="en-AU"/>
        </w:rPr>
      </w:pPr>
      <w:r w:rsidRPr="00303011">
        <w:t>The replacement of the</w:t>
      </w:r>
      <w:r w:rsidRPr="00303011">
        <w:rPr>
          <w:i/>
        </w:rPr>
        <w:t xml:space="preserve"> </w:t>
      </w:r>
      <w:r w:rsidR="00E73C18">
        <w:t>d</w:t>
      </w:r>
      <w:r w:rsidR="00E73C18" w:rsidRPr="00303011">
        <w:t>issolution</w:t>
      </w:r>
      <w:r w:rsidR="00E73C18" w:rsidRPr="00303011">
        <w:rPr>
          <w:i/>
        </w:rPr>
        <w:t xml:space="preserve"> </w:t>
      </w:r>
      <w:r w:rsidRPr="00303011">
        <w:t>test with the</w:t>
      </w:r>
      <w:r w:rsidRPr="00303011">
        <w:rPr>
          <w:i/>
        </w:rPr>
        <w:t xml:space="preserve"> </w:t>
      </w:r>
      <w:r w:rsidR="00E73C18">
        <w:t>d</w:t>
      </w:r>
      <w:r w:rsidR="00E73C18" w:rsidRPr="00303011">
        <w:t xml:space="preserve">isintegration </w:t>
      </w:r>
      <w:r w:rsidRPr="00303011">
        <w:t>test</w:t>
      </w:r>
      <w:r w:rsidRPr="00303011">
        <w:rPr>
          <w:i/>
        </w:rPr>
        <w:t xml:space="preserve"> </w:t>
      </w:r>
      <w:r w:rsidRPr="00303011">
        <w:t>was justified, given the high aqueous solubility of ertugliflozin and sitagliptin and rapid dis</w:t>
      </w:r>
      <w:r w:rsidR="00463DFC" w:rsidRPr="00303011">
        <w:t xml:space="preserve">solution </w:t>
      </w:r>
      <w:r w:rsidRPr="00303011">
        <w:t>observed across the physiological pH range (1.2 to 6.8).</w:t>
      </w:r>
      <w:r w:rsidR="009A3F68" w:rsidRPr="00303011">
        <w:t xml:space="preserve"> </w:t>
      </w:r>
      <w:r w:rsidRPr="00303011">
        <w:t>A linear relationship between tablet disintegration and dissolution was demonstrated.</w:t>
      </w:r>
      <w:r w:rsidR="009A3F68" w:rsidRPr="00303011">
        <w:t xml:space="preserve"> </w:t>
      </w:r>
      <w:r w:rsidRPr="00303011">
        <w:rPr>
          <w:lang w:eastAsia="en-AU"/>
        </w:rPr>
        <w:t>The analytical methods used to analyse the product were adequately described and validated.</w:t>
      </w:r>
    </w:p>
    <w:p w14:paraId="2C9B80AC" w14:textId="77777777" w:rsidR="00C008B6" w:rsidRPr="00843A61" w:rsidRDefault="00C008B6" w:rsidP="00463DFC">
      <w:pPr>
        <w:rPr>
          <w:lang w:eastAsia="en-AU"/>
        </w:rPr>
      </w:pPr>
      <w:r w:rsidRPr="00843A61">
        <w:rPr>
          <w:lang w:eastAsia="en-AU"/>
        </w:rPr>
        <w:t xml:space="preserve">The drug product is to be packaged in </w:t>
      </w:r>
      <w:r w:rsidRPr="00843A61">
        <w:t>Al/Al blisters in packs of 14 and 56 tablets.</w:t>
      </w:r>
    </w:p>
    <w:p w14:paraId="64A406FF" w14:textId="77777777" w:rsidR="00940A89" w:rsidRPr="00940A89" w:rsidRDefault="00C008B6" w:rsidP="00B9327A">
      <w:r w:rsidRPr="00843A61">
        <w:rPr>
          <w:lang w:eastAsia="en-AU"/>
        </w:rPr>
        <w:t>The stability data supplied supported a shelf life of 24 months for the unopened product when stored at or below 30°C. No other storage conditions are required.</w:t>
      </w:r>
    </w:p>
    <w:p w14:paraId="03AD4D8A" w14:textId="77777777" w:rsidR="008E7846" w:rsidRDefault="008E7846" w:rsidP="008E7846">
      <w:pPr>
        <w:pStyle w:val="Heading3"/>
      </w:pPr>
      <w:bookmarkStart w:id="38" w:name="_Toc314842491"/>
      <w:bookmarkStart w:id="39" w:name="_Toc4405822"/>
      <w:r>
        <w:t>Biopharmaceutics</w:t>
      </w:r>
      <w:bookmarkEnd w:id="38"/>
      <w:bookmarkEnd w:id="39"/>
    </w:p>
    <w:p w14:paraId="1A69F542" w14:textId="77777777" w:rsidR="009733A9" w:rsidRPr="003F4F1B" w:rsidRDefault="009733A9" w:rsidP="009733A9">
      <w:r w:rsidRPr="001E500F">
        <w:t>A large number of</w:t>
      </w:r>
      <w:r>
        <w:t xml:space="preserve"> bioequivalence studies (18) were performed. Only those relating </w:t>
      </w:r>
      <w:r w:rsidRPr="00463DFC">
        <w:t xml:space="preserve">directly to the product development and relative bioavailability of the proposed product </w:t>
      </w:r>
      <w:r w:rsidRPr="003F4F1B">
        <w:t xml:space="preserve">compared to the Phase III clinical studies were assessed by </w:t>
      </w:r>
      <w:r>
        <w:t>the TGA</w:t>
      </w:r>
      <w:r w:rsidRPr="003F4F1B">
        <w:t>.</w:t>
      </w:r>
    </w:p>
    <w:p w14:paraId="3449D0B0" w14:textId="3CBCE28A" w:rsidR="00C008B6" w:rsidRPr="00463DFC" w:rsidRDefault="00C008B6" w:rsidP="00463DFC">
      <w:r w:rsidRPr="003F4F1B">
        <w:t xml:space="preserve">The results for </w:t>
      </w:r>
      <w:r w:rsidR="00B80593">
        <w:t>the</w:t>
      </w:r>
      <w:r w:rsidR="003F4F1B" w:rsidRPr="003F4F1B">
        <w:t xml:space="preserve"> </w:t>
      </w:r>
      <w:r w:rsidRPr="003F4F1B">
        <w:t xml:space="preserve">bioavailability/bioequivalence studies are currently in doubt as critical information relating to the work up of whole blood samples after sampling and the bioanalytical methods used in </w:t>
      </w:r>
      <w:r w:rsidR="00B80593">
        <w:t>three</w:t>
      </w:r>
      <w:r w:rsidRPr="003F4F1B">
        <w:t xml:space="preserve"> evaluated clinical studies have not as yet been provided to for </w:t>
      </w:r>
      <w:r w:rsidR="00463DFC" w:rsidRPr="003F4F1B">
        <w:t xml:space="preserve">TGA </w:t>
      </w:r>
      <w:r w:rsidRPr="003F4F1B">
        <w:t>review.</w:t>
      </w:r>
      <w:r w:rsidR="009A3F68" w:rsidRPr="003F4F1B">
        <w:t xml:space="preserve"> </w:t>
      </w:r>
      <w:r w:rsidRPr="003F4F1B">
        <w:t>The statistical analyses used for each of the evaluated studies were considered acceptable.</w:t>
      </w:r>
    </w:p>
    <w:p w14:paraId="0ED7BCBE" w14:textId="77777777" w:rsidR="00C008B6" w:rsidRPr="00463DFC" w:rsidRDefault="00C008B6" w:rsidP="00463DFC">
      <w:r w:rsidRPr="00463DFC">
        <w:t xml:space="preserve">These matters have been brought to the attention of </w:t>
      </w:r>
      <w:r w:rsidR="0024546B" w:rsidRPr="00463DFC">
        <w:t>the sponsor</w:t>
      </w:r>
      <w:r w:rsidRPr="00463DFC">
        <w:t xml:space="preserve"> and may be resolved prior to the expected decision phase for the submission.</w:t>
      </w:r>
    </w:p>
    <w:p w14:paraId="05707F79" w14:textId="354B928A" w:rsidR="00C008B6" w:rsidRPr="0054618E" w:rsidRDefault="00C008B6" w:rsidP="00463DFC">
      <w:pPr>
        <w:pStyle w:val="Heading4"/>
      </w:pPr>
      <w:r w:rsidRPr="0054618E">
        <w:t>Ertu</w:t>
      </w:r>
      <w:r w:rsidR="00463DFC">
        <w:t xml:space="preserve">gliflozin monotherapy </w:t>
      </w:r>
      <w:r w:rsidR="00463DFC" w:rsidRPr="00463DFC">
        <w:t>tablets</w:t>
      </w:r>
    </w:p>
    <w:p w14:paraId="47D6EC25" w14:textId="77777777" w:rsidR="00C008B6" w:rsidRPr="00733162" w:rsidRDefault="00C008B6" w:rsidP="00463DFC">
      <w:pPr>
        <w:pStyle w:val="Heading5"/>
      </w:pPr>
      <w:r w:rsidRPr="00733162">
        <w:t>Absolute bioavailability Study P020</w:t>
      </w:r>
      <w:r>
        <w:t>/1043</w:t>
      </w:r>
    </w:p>
    <w:p w14:paraId="7E5B3763" w14:textId="77777777" w:rsidR="005E6E8D" w:rsidRDefault="005E6E8D" w:rsidP="00463DFC">
      <w:r>
        <w:rPr>
          <w:i/>
        </w:rPr>
        <w:t>Study t</w:t>
      </w:r>
      <w:r w:rsidRPr="00B654E6">
        <w:rPr>
          <w:i/>
        </w:rPr>
        <w:t>itle:</w:t>
      </w:r>
      <w:r>
        <w:t xml:space="preserve"> </w:t>
      </w:r>
      <w:r w:rsidRPr="00733162">
        <w:t xml:space="preserve">A </w:t>
      </w:r>
      <w:r>
        <w:t>Phase I</w:t>
      </w:r>
      <w:r w:rsidRPr="00733162">
        <w:t xml:space="preserve">, </w:t>
      </w:r>
      <w:r>
        <w:t>o</w:t>
      </w:r>
      <w:r w:rsidRPr="00733162">
        <w:t>pen</w:t>
      </w:r>
      <w:r>
        <w:t xml:space="preserve"> </w:t>
      </w:r>
      <w:r w:rsidRPr="00733162">
        <w:t>label, non-randomi</w:t>
      </w:r>
      <w:r>
        <w:t>s</w:t>
      </w:r>
      <w:r w:rsidRPr="00733162">
        <w:t xml:space="preserve">ed, </w:t>
      </w:r>
      <w:r>
        <w:t xml:space="preserve">two </w:t>
      </w:r>
      <w:proofErr w:type="gramStart"/>
      <w:r w:rsidRPr="00733162">
        <w:t>period</w:t>
      </w:r>
      <w:proofErr w:type="gramEnd"/>
      <w:r w:rsidRPr="00733162">
        <w:t xml:space="preserve">, fixed sequence, study to assess the absolute </w:t>
      </w:r>
      <w:r>
        <w:t>BA</w:t>
      </w:r>
      <w:r w:rsidRPr="00733162">
        <w:t xml:space="preserve"> and fraction absorbed of ertugliflozin in healthy male subjects </w:t>
      </w:r>
      <w:r>
        <w:t>u</w:t>
      </w:r>
      <w:r w:rsidRPr="00733162">
        <w:t xml:space="preserve">sing a </w:t>
      </w:r>
      <w:r w:rsidRPr="00733162">
        <w:rPr>
          <w:vertAlign w:val="superscript"/>
        </w:rPr>
        <w:t>14</w:t>
      </w:r>
      <w:r w:rsidRPr="00733162">
        <w:t>C-</w:t>
      </w:r>
      <w:r>
        <w:t>m</w:t>
      </w:r>
      <w:r w:rsidRPr="00733162">
        <w:t xml:space="preserve">icrodose </w:t>
      </w:r>
      <w:r>
        <w:t>a</w:t>
      </w:r>
      <w:r w:rsidRPr="00733162">
        <w:t>pproach</w:t>
      </w:r>
      <w:r>
        <w:t>.</w:t>
      </w:r>
    </w:p>
    <w:p w14:paraId="53BCB8F5" w14:textId="0C68D105" w:rsidR="00C008B6" w:rsidRDefault="00C008B6" w:rsidP="00463DFC">
      <w:r w:rsidRPr="00733162">
        <w:t>Following oral administration of ertugliflozin, estimates of absolute bioavailability and fraction absorbed were approximately 100% (F = 105% and Fa = 111%), suggesting complete absorption</w:t>
      </w:r>
      <w:r>
        <w:t>.</w:t>
      </w:r>
    </w:p>
    <w:p w14:paraId="0A106C85" w14:textId="26FA0145" w:rsidR="00C008B6" w:rsidRDefault="00C008B6" w:rsidP="00463DFC">
      <w:pPr>
        <w:pStyle w:val="Heading5"/>
      </w:pPr>
      <w:r>
        <w:lastRenderedPageBreak/>
        <w:t>Relative Bioequivalence Study P023/1037</w:t>
      </w:r>
    </w:p>
    <w:p w14:paraId="4A6C1947" w14:textId="77777777" w:rsidR="005E6E8D" w:rsidRDefault="005E6E8D" w:rsidP="005E6E8D">
      <w:r w:rsidRPr="00B654E6">
        <w:rPr>
          <w:i/>
        </w:rPr>
        <w:t>Study title:</w:t>
      </w:r>
      <w:r>
        <w:t xml:space="preserve"> A Phase I</w:t>
      </w:r>
      <w:r w:rsidRPr="00733162">
        <w:t>, single dose, open</w:t>
      </w:r>
      <w:r>
        <w:t xml:space="preserve"> </w:t>
      </w:r>
      <w:r w:rsidRPr="00733162">
        <w:t>label, randomi</w:t>
      </w:r>
      <w:r>
        <w:t>s</w:t>
      </w:r>
      <w:r w:rsidRPr="00733162">
        <w:t>ed, cross</w:t>
      </w:r>
      <w:r>
        <w:t xml:space="preserve"> </w:t>
      </w:r>
      <w:r w:rsidRPr="00733162">
        <w:t>over bioequivalence study of ertugliflozin 15 mg commercial image tablet v</w:t>
      </w:r>
      <w:r>
        <w:t>ersu</w:t>
      </w:r>
      <w:r w:rsidRPr="00733162">
        <w:t xml:space="preserve">s ertugliflozin </w:t>
      </w:r>
      <w:r>
        <w:t>Phase III</w:t>
      </w:r>
      <w:r w:rsidRPr="00733162">
        <w:t xml:space="preserve"> tablets in healthy subjects.</w:t>
      </w:r>
    </w:p>
    <w:p w14:paraId="66C09B1C" w14:textId="635DB28C" w:rsidR="00C008B6" w:rsidRPr="00463DFC" w:rsidRDefault="00C008B6" w:rsidP="00463DFC">
      <w:r w:rsidRPr="00463DFC">
        <w:t xml:space="preserve">The proposed 15 </w:t>
      </w:r>
      <w:r w:rsidR="006D7D02">
        <w:t>mg</w:t>
      </w:r>
      <w:r w:rsidRPr="00463DFC">
        <w:t xml:space="preserve"> commercial and Phase III clinical tablet formulations were concluded to be bioequivalent. This is as expected given that ertugliflozin is BCS class 1.</w:t>
      </w:r>
    </w:p>
    <w:p w14:paraId="060B61C2" w14:textId="77777777" w:rsidR="00463DFC" w:rsidRPr="001B65FC" w:rsidRDefault="00463DFC" w:rsidP="0007636A">
      <w:pPr>
        <w:pStyle w:val="TableTitle"/>
      </w:pPr>
      <w:r>
        <w:t xml:space="preserve">Table </w:t>
      </w:r>
      <w:r w:rsidR="00E55ACA">
        <w:t>3</w:t>
      </w:r>
      <w:r>
        <w:t>: Pharmacokinetic parameters</w:t>
      </w:r>
    </w:p>
    <w:tbl>
      <w:tblPr>
        <w:tblW w:w="857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752"/>
        <w:gridCol w:w="694"/>
        <w:gridCol w:w="1559"/>
        <w:gridCol w:w="1276"/>
        <w:gridCol w:w="1559"/>
        <w:gridCol w:w="1735"/>
      </w:tblGrid>
      <w:tr w:rsidR="0007636A" w:rsidRPr="00CD18ED" w14:paraId="4EDAD96F" w14:textId="77777777" w:rsidTr="00CD18ED">
        <w:trPr>
          <w:cantSplit/>
          <w:trHeight w:val="845"/>
          <w:tblHeader/>
          <w:jc w:val="center"/>
        </w:trPr>
        <w:tc>
          <w:tcPr>
            <w:tcW w:w="1752" w:type="dxa"/>
            <w:shd w:val="clear" w:color="auto" w:fill="0070C0"/>
          </w:tcPr>
          <w:p w14:paraId="7DB2081E" w14:textId="77777777" w:rsidR="00C008B6" w:rsidRPr="00CD18ED" w:rsidRDefault="00C008B6" w:rsidP="0007636A">
            <w:pPr>
              <w:rPr>
                <w:b/>
                <w:color w:val="FFFFFF" w:themeColor="background1"/>
                <w:sz w:val="20"/>
                <w:szCs w:val="20"/>
              </w:rPr>
            </w:pPr>
            <w:r w:rsidRPr="00CD18ED">
              <w:rPr>
                <w:b/>
                <w:color w:val="FFFFFF" w:themeColor="background1"/>
                <w:sz w:val="20"/>
                <w:szCs w:val="20"/>
              </w:rPr>
              <w:t>Single dose, prompt release</w:t>
            </w:r>
          </w:p>
        </w:tc>
        <w:tc>
          <w:tcPr>
            <w:tcW w:w="694" w:type="dxa"/>
            <w:shd w:val="clear" w:color="auto" w:fill="0070C0"/>
          </w:tcPr>
          <w:p w14:paraId="31EE7364" w14:textId="77777777" w:rsidR="00C008B6" w:rsidRPr="00CD18ED" w:rsidRDefault="00C008B6" w:rsidP="0007636A">
            <w:pPr>
              <w:rPr>
                <w:b/>
                <w:color w:val="FFFFFF" w:themeColor="background1"/>
                <w:sz w:val="20"/>
                <w:szCs w:val="20"/>
              </w:rPr>
            </w:pPr>
            <w:r w:rsidRPr="00CD18ED">
              <w:rPr>
                <w:b/>
                <w:color w:val="FFFFFF" w:themeColor="background1"/>
                <w:sz w:val="20"/>
                <w:szCs w:val="20"/>
              </w:rPr>
              <w:t>n</w:t>
            </w:r>
          </w:p>
        </w:tc>
        <w:tc>
          <w:tcPr>
            <w:tcW w:w="1559" w:type="dxa"/>
            <w:shd w:val="clear" w:color="auto" w:fill="0070C0"/>
          </w:tcPr>
          <w:p w14:paraId="23CD8CFC" w14:textId="1C978884" w:rsidR="00C008B6" w:rsidRPr="00CD18ED" w:rsidRDefault="00E700A6" w:rsidP="0007636A">
            <w:pPr>
              <w:rPr>
                <w:b/>
                <w:color w:val="FFFFFF" w:themeColor="background1"/>
                <w:sz w:val="20"/>
                <w:szCs w:val="20"/>
              </w:rPr>
            </w:pPr>
            <w:r w:rsidRPr="00CD18ED">
              <w:rPr>
                <w:b/>
                <w:color w:val="FFFFFF" w:themeColor="background1"/>
                <w:sz w:val="20"/>
                <w:szCs w:val="20"/>
              </w:rPr>
              <w:t>T</w:t>
            </w:r>
            <w:r w:rsidRPr="00CD18ED">
              <w:rPr>
                <w:b/>
                <w:color w:val="FFFFFF" w:themeColor="background1"/>
                <w:sz w:val="20"/>
                <w:szCs w:val="20"/>
                <w:vertAlign w:val="subscript"/>
              </w:rPr>
              <w:t>max</w:t>
            </w:r>
            <w:r w:rsidR="00C008B6" w:rsidRPr="00CD18ED">
              <w:rPr>
                <w:b/>
                <w:color w:val="FFFFFF" w:themeColor="background1"/>
                <w:sz w:val="20"/>
                <w:szCs w:val="20"/>
              </w:rPr>
              <w:t xml:space="preserve"> (h)</w:t>
            </w:r>
            <w:r w:rsidR="00AD51CF" w:rsidRPr="00CD18ED">
              <w:rPr>
                <w:b/>
                <w:color w:val="FFFFFF" w:themeColor="background1"/>
                <w:sz w:val="20"/>
                <w:szCs w:val="20"/>
              </w:rPr>
              <w:t xml:space="preserve"> </w:t>
            </w:r>
            <w:r w:rsidR="00C008B6" w:rsidRPr="00CD18ED">
              <w:rPr>
                <w:b/>
                <w:color w:val="FFFFFF" w:themeColor="background1"/>
                <w:sz w:val="20"/>
                <w:szCs w:val="20"/>
              </w:rPr>
              <w:t>(range)</w:t>
            </w:r>
          </w:p>
        </w:tc>
        <w:tc>
          <w:tcPr>
            <w:tcW w:w="1276" w:type="dxa"/>
            <w:shd w:val="clear" w:color="auto" w:fill="0070C0"/>
          </w:tcPr>
          <w:p w14:paraId="4DF95A40" w14:textId="6BBE510C" w:rsidR="00C008B6" w:rsidRPr="00CD18ED" w:rsidRDefault="00E700A6" w:rsidP="00CD18ED">
            <w:pPr>
              <w:rPr>
                <w:b/>
                <w:color w:val="FFFFFF" w:themeColor="background1"/>
                <w:sz w:val="20"/>
                <w:szCs w:val="20"/>
              </w:rPr>
            </w:pPr>
            <w:r w:rsidRPr="00CD18ED">
              <w:rPr>
                <w:b/>
                <w:color w:val="FFFFFF" w:themeColor="background1"/>
                <w:sz w:val="20"/>
                <w:szCs w:val="20"/>
              </w:rPr>
              <w:t>C</w:t>
            </w:r>
            <w:r w:rsidRPr="00CD18ED">
              <w:rPr>
                <w:b/>
                <w:color w:val="FFFFFF" w:themeColor="background1"/>
                <w:sz w:val="20"/>
                <w:szCs w:val="20"/>
                <w:vertAlign w:val="subscript"/>
              </w:rPr>
              <w:t>max</w:t>
            </w:r>
            <w:r w:rsidR="00C008B6" w:rsidRPr="00CD18ED">
              <w:rPr>
                <w:b/>
                <w:color w:val="FFFFFF" w:themeColor="background1"/>
                <w:sz w:val="20"/>
                <w:szCs w:val="20"/>
              </w:rPr>
              <w:t xml:space="preserve"> (ng/mL)</w:t>
            </w:r>
          </w:p>
        </w:tc>
        <w:tc>
          <w:tcPr>
            <w:tcW w:w="1559" w:type="dxa"/>
            <w:shd w:val="clear" w:color="auto" w:fill="0070C0"/>
          </w:tcPr>
          <w:p w14:paraId="4098341A" w14:textId="7F381E82" w:rsidR="00C008B6" w:rsidRPr="00CD18ED" w:rsidRDefault="00C008B6" w:rsidP="00CD18ED">
            <w:pPr>
              <w:rPr>
                <w:b/>
                <w:color w:val="FFFFFF" w:themeColor="background1"/>
                <w:sz w:val="20"/>
                <w:szCs w:val="20"/>
              </w:rPr>
            </w:pPr>
            <w:r w:rsidRPr="00CD18ED">
              <w:rPr>
                <w:b/>
                <w:color w:val="FFFFFF" w:themeColor="background1"/>
                <w:sz w:val="20"/>
                <w:szCs w:val="20"/>
              </w:rPr>
              <w:t>AUC</w:t>
            </w:r>
            <w:r w:rsidRPr="00CD18ED">
              <w:rPr>
                <w:b/>
                <w:color w:val="FFFFFF" w:themeColor="background1"/>
                <w:sz w:val="20"/>
                <w:szCs w:val="20"/>
                <w:vertAlign w:val="subscript"/>
              </w:rPr>
              <w:t>0-t</w:t>
            </w:r>
            <w:r w:rsidRPr="00CD18ED">
              <w:rPr>
                <w:b/>
                <w:color w:val="FFFFFF" w:themeColor="background1"/>
                <w:sz w:val="20"/>
                <w:szCs w:val="20"/>
              </w:rPr>
              <w:t xml:space="preserve"> (ng.h/mL) </w:t>
            </w:r>
          </w:p>
        </w:tc>
        <w:tc>
          <w:tcPr>
            <w:tcW w:w="1735" w:type="dxa"/>
            <w:shd w:val="clear" w:color="auto" w:fill="0070C0"/>
          </w:tcPr>
          <w:p w14:paraId="4C720FF4" w14:textId="7C9DBC7A" w:rsidR="00C008B6" w:rsidRPr="00CD18ED" w:rsidRDefault="00C008B6" w:rsidP="00CD18ED">
            <w:pPr>
              <w:rPr>
                <w:b/>
                <w:color w:val="FFFFFF" w:themeColor="background1"/>
                <w:sz w:val="20"/>
                <w:szCs w:val="20"/>
              </w:rPr>
            </w:pPr>
            <w:r w:rsidRPr="00CD18ED">
              <w:rPr>
                <w:b/>
                <w:color w:val="FFFFFF" w:themeColor="background1"/>
                <w:sz w:val="20"/>
                <w:szCs w:val="20"/>
              </w:rPr>
              <w:t>AUC</w:t>
            </w:r>
            <w:r w:rsidRPr="00CD18ED">
              <w:rPr>
                <w:b/>
                <w:color w:val="FFFFFF" w:themeColor="background1"/>
                <w:sz w:val="20"/>
                <w:szCs w:val="20"/>
                <w:vertAlign w:val="subscript"/>
              </w:rPr>
              <w:t>0-</w:t>
            </w:r>
            <w:r w:rsidRPr="00CD18ED">
              <w:rPr>
                <w:rFonts w:cs="Arial"/>
                <w:b/>
                <w:color w:val="FFFFFF" w:themeColor="background1"/>
                <w:sz w:val="20"/>
                <w:szCs w:val="20"/>
                <w:vertAlign w:val="subscript"/>
              </w:rPr>
              <w:t>∞</w:t>
            </w:r>
            <w:r w:rsidR="00CD18ED" w:rsidRPr="00CD18ED">
              <w:rPr>
                <w:rFonts w:cs="Arial"/>
                <w:b/>
                <w:color w:val="FFFFFF" w:themeColor="background1"/>
                <w:sz w:val="20"/>
                <w:szCs w:val="20"/>
                <w:vertAlign w:val="subscript"/>
              </w:rPr>
              <w:t xml:space="preserve"> </w:t>
            </w:r>
            <w:r w:rsidRPr="00CD18ED">
              <w:rPr>
                <w:b/>
                <w:color w:val="FFFFFF" w:themeColor="background1"/>
                <w:sz w:val="20"/>
                <w:szCs w:val="20"/>
              </w:rPr>
              <w:t>(ng.h/mL)</w:t>
            </w:r>
          </w:p>
        </w:tc>
      </w:tr>
      <w:tr w:rsidR="00C008B6" w:rsidRPr="00CD18ED" w14:paraId="65B53D89" w14:textId="77777777" w:rsidTr="00CD18ED">
        <w:trPr>
          <w:cantSplit/>
          <w:trHeight w:val="834"/>
          <w:jc w:val="center"/>
        </w:trPr>
        <w:tc>
          <w:tcPr>
            <w:tcW w:w="1752" w:type="dxa"/>
          </w:tcPr>
          <w:p w14:paraId="3CD45057" w14:textId="77777777" w:rsidR="00C008B6" w:rsidRPr="00CD18ED" w:rsidRDefault="00C008B6" w:rsidP="0007636A">
            <w:pPr>
              <w:rPr>
                <w:rFonts w:cs="Arial"/>
                <w:sz w:val="20"/>
                <w:szCs w:val="20"/>
              </w:rPr>
            </w:pPr>
            <w:r w:rsidRPr="00CD18ED">
              <w:rPr>
                <w:rFonts w:cs="Arial"/>
                <w:sz w:val="20"/>
                <w:szCs w:val="20"/>
              </w:rPr>
              <w:t>Treatment A –Phase</w:t>
            </w:r>
            <w:r w:rsidR="00463DFC" w:rsidRPr="00CD18ED">
              <w:rPr>
                <w:rFonts w:cs="Arial"/>
                <w:sz w:val="20"/>
                <w:szCs w:val="20"/>
              </w:rPr>
              <w:t xml:space="preserve"> III</w:t>
            </w:r>
          </w:p>
        </w:tc>
        <w:tc>
          <w:tcPr>
            <w:tcW w:w="694" w:type="dxa"/>
          </w:tcPr>
          <w:p w14:paraId="381AEB5A" w14:textId="77777777" w:rsidR="00C008B6" w:rsidRPr="00CD18ED" w:rsidRDefault="00C008B6" w:rsidP="0007636A">
            <w:pPr>
              <w:rPr>
                <w:sz w:val="20"/>
                <w:szCs w:val="20"/>
              </w:rPr>
            </w:pPr>
            <w:r w:rsidRPr="00CD18ED">
              <w:rPr>
                <w:sz w:val="20"/>
                <w:szCs w:val="20"/>
              </w:rPr>
              <w:t>16</w:t>
            </w:r>
          </w:p>
        </w:tc>
        <w:tc>
          <w:tcPr>
            <w:tcW w:w="1559" w:type="dxa"/>
          </w:tcPr>
          <w:p w14:paraId="250CABD5" w14:textId="7C5CF9C1" w:rsidR="00AD51CF" w:rsidRPr="00CD18ED" w:rsidRDefault="00C008B6" w:rsidP="0007636A">
            <w:pPr>
              <w:rPr>
                <w:sz w:val="20"/>
                <w:szCs w:val="20"/>
              </w:rPr>
            </w:pPr>
            <w:r w:rsidRPr="00CD18ED">
              <w:rPr>
                <w:sz w:val="20"/>
                <w:szCs w:val="20"/>
              </w:rPr>
              <w:t>1.00</w:t>
            </w:r>
          </w:p>
          <w:p w14:paraId="7BC3BC0D" w14:textId="15E65E19" w:rsidR="00C008B6" w:rsidRPr="00CD18ED" w:rsidRDefault="00C008B6" w:rsidP="0007636A">
            <w:pPr>
              <w:rPr>
                <w:sz w:val="20"/>
                <w:szCs w:val="20"/>
              </w:rPr>
            </w:pPr>
            <w:r w:rsidRPr="00CD18ED">
              <w:rPr>
                <w:sz w:val="20"/>
                <w:szCs w:val="20"/>
              </w:rPr>
              <w:t>(0.500, 2.00)</w:t>
            </w:r>
          </w:p>
        </w:tc>
        <w:tc>
          <w:tcPr>
            <w:tcW w:w="1276" w:type="dxa"/>
          </w:tcPr>
          <w:p w14:paraId="1F122F31" w14:textId="77777777" w:rsidR="00C008B6" w:rsidRPr="00CD18ED" w:rsidRDefault="00C008B6" w:rsidP="0007636A">
            <w:pPr>
              <w:rPr>
                <w:sz w:val="20"/>
                <w:szCs w:val="20"/>
              </w:rPr>
            </w:pPr>
            <w:r w:rsidRPr="00CD18ED">
              <w:rPr>
                <w:sz w:val="20"/>
                <w:szCs w:val="20"/>
              </w:rPr>
              <w:t>272.3</w:t>
            </w:r>
          </w:p>
        </w:tc>
        <w:tc>
          <w:tcPr>
            <w:tcW w:w="1559" w:type="dxa"/>
          </w:tcPr>
          <w:p w14:paraId="17A93701" w14:textId="77777777" w:rsidR="00C008B6" w:rsidRPr="00CD18ED" w:rsidRDefault="00C008B6" w:rsidP="0007636A">
            <w:pPr>
              <w:rPr>
                <w:sz w:val="20"/>
                <w:szCs w:val="20"/>
                <w:highlight w:val="yellow"/>
              </w:rPr>
            </w:pPr>
            <w:r w:rsidRPr="00CD18ED">
              <w:rPr>
                <w:sz w:val="20"/>
                <w:szCs w:val="20"/>
              </w:rPr>
              <w:t>1358</w:t>
            </w:r>
          </w:p>
        </w:tc>
        <w:tc>
          <w:tcPr>
            <w:tcW w:w="1735" w:type="dxa"/>
          </w:tcPr>
          <w:p w14:paraId="51AFF0C9" w14:textId="77777777" w:rsidR="00C008B6" w:rsidRPr="00CD18ED" w:rsidRDefault="00C008B6" w:rsidP="0007636A">
            <w:pPr>
              <w:rPr>
                <w:sz w:val="20"/>
                <w:szCs w:val="20"/>
              </w:rPr>
            </w:pPr>
            <w:r w:rsidRPr="00CD18ED">
              <w:rPr>
                <w:sz w:val="20"/>
                <w:szCs w:val="20"/>
              </w:rPr>
              <w:t>1380</w:t>
            </w:r>
          </w:p>
        </w:tc>
      </w:tr>
      <w:tr w:rsidR="00C008B6" w:rsidRPr="00CD18ED" w14:paraId="36EFB199" w14:textId="77777777" w:rsidTr="00CD18ED">
        <w:trPr>
          <w:cantSplit/>
          <w:trHeight w:val="942"/>
          <w:jc w:val="center"/>
        </w:trPr>
        <w:tc>
          <w:tcPr>
            <w:tcW w:w="1752" w:type="dxa"/>
          </w:tcPr>
          <w:p w14:paraId="7506ADE6" w14:textId="77777777" w:rsidR="00C008B6" w:rsidRPr="00CD18ED" w:rsidRDefault="00C008B6" w:rsidP="0007636A">
            <w:pPr>
              <w:rPr>
                <w:rFonts w:cs="Arial"/>
                <w:sz w:val="20"/>
                <w:szCs w:val="20"/>
              </w:rPr>
            </w:pPr>
            <w:r w:rsidRPr="00CD18ED">
              <w:rPr>
                <w:rFonts w:cs="Arial"/>
                <w:sz w:val="20"/>
                <w:szCs w:val="20"/>
              </w:rPr>
              <w:t>Treatment B – Commercial Product</w:t>
            </w:r>
          </w:p>
        </w:tc>
        <w:tc>
          <w:tcPr>
            <w:tcW w:w="694" w:type="dxa"/>
          </w:tcPr>
          <w:p w14:paraId="1C4A376F" w14:textId="77777777" w:rsidR="00C008B6" w:rsidRPr="00CD18ED" w:rsidRDefault="00C008B6" w:rsidP="0007636A">
            <w:pPr>
              <w:rPr>
                <w:sz w:val="20"/>
                <w:szCs w:val="20"/>
              </w:rPr>
            </w:pPr>
            <w:r w:rsidRPr="00CD18ED">
              <w:rPr>
                <w:sz w:val="20"/>
                <w:szCs w:val="20"/>
              </w:rPr>
              <w:t>16</w:t>
            </w:r>
          </w:p>
        </w:tc>
        <w:tc>
          <w:tcPr>
            <w:tcW w:w="1559" w:type="dxa"/>
          </w:tcPr>
          <w:p w14:paraId="78E4D864" w14:textId="6A9BBFE2" w:rsidR="00AD51CF" w:rsidRPr="00CD18ED" w:rsidRDefault="00C008B6" w:rsidP="0007636A">
            <w:pPr>
              <w:rPr>
                <w:sz w:val="20"/>
                <w:szCs w:val="20"/>
              </w:rPr>
            </w:pPr>
            <w:r w:rsidRPr="00CD18ED">
              <w:rPr>
                <w:sz w:val="20"/>
                <w:szCs w:val="20"/>
              </w:rPr>
              <w:t>1.00</w:t>
            </w:r>
            <w:r w:rsidR="00CD18ED">
              <w:rPr>
                <w:sz w:val="20"/>
                <w:szCs w:val="20"/>
              </w:rPr>
              <w:t xml:space="preserve"> </w:t>
            </w:r>
          </w:p>
          <w:p w14:paraId="663D5FEF" w14:textId="482AF92C" w:rsidR="00C008B6" w:rsidRPr="00CD18ED" w:rsidRDefault="00C008B6" w:rsidP="0007636A">
            <w:pPr>
              <w:rPr>
                <w:sz w:val="20"/>
                <w:szCs w:val="20"/>
              </w:rPr>
            </w:pPr>
            <w:r w:rsidRPr="00CD18ED">
              <w:rPr>
                <w:sz w:val="20"/>
                <w:szCs w:val="20"/>
              </w:rPr>
              <w:t>(0.500, 1.50)</w:t>
            </w:r>
          </w:p>
        </w:tc>
        <w:tc>
          <w:tcPr>
            <w:tcW w:w="1276" w:type="dxa"/>
          </w:tcPr>
          <w:p w14:paraId="5B964005" w14:textId="77777777" w:rsidR="00C008B6" w:rsidRPr="00CD18ED" w:rsidRDefault="00C008B6" w:rsidP="0007636A">
            <w:pPr>
              <w:rPr>
                <w:sz w:val="20"/>
                <w:szCs w:val="20"/>
              </w:rPr>
            </w:pPr>
            <w:r w:rsidRPr="00CD18ED">
              <w:rPr>
                <w:sz w:val="20"/>
                <w:szCs w:val="20"/>
              </w:rPr>
              <w:t>262.4</w:t>
            </w:r>
          </w:p>
        </w:tc>
        <w:tc>
          <w:tcPr>
            <w:tcW w:w="1559" w:type="dxa"/>
          </w:tcPr>
          <w:p w14:paraId="2E22E4BF" w14:textId="77777777" w:rsidR="00C008B6" w:rsidRPr="00CD18ED" w:rsidRDefault="00C008B6" w:rsidP="0007636A">
            <w:pPr>
              <w:rPr>
                <w:sz w:val="20"/>
                <w:szCs w:val="20"/>
              </w:rPr>
            </w:pPr>
            <w:r w:rsidRPr="00CD18ED">
              <w:rPr>
                <w:sz w:val="20"/>
                <w:szCs w:val="20"/>
              </w:rPr>
              <w:t>1334</w:t>
            </w:r>
          </w:p>
        </w:tc>
        <w:tc>
          <w:tcPr>
            <w:tcW w:w="1735" w:type="dxa"/>
          </w:tcPr>
          <w:p w14:paraId="0BAE4091" w14:textId="77777777" w:rsidR="00C008B6" w:rsidRPr="00CD18ED" w:rsidRDefault="00C008B6" w:rsidP="0007636A">
            <w:pPr>
              <w:rPr>
                <w:sz w:val="20"/>
                <w:szCs w:val="20"/>
              </w:rPr>
            </w:pPr>
            <w:r w:rsidRPr="00CD18ED">
              <w:rPr>
                <w:sz w:val="20"/>
                <w:szCs w:val="20"/>
              </w:rPr>
              <w:t>1354</w:t>
            </w:r>
          </w:p>
        </w:tc>
      </w:tr>
      <w:tr w:rsidR="00C008B6" w:rsidRPr="00CD18ED" w14:paraId="21A89212" w14:textId="77777777" w:rsidTr="00CD18ED">
        <w:trPr>
          <w:cantSplit/>
          <w:trHeight w:val="717"/>
          <w:jc w:val="center"/>
        </w:trPr>
        <w:tc>
          <w:tcPr>
            <w:tcW w:w="1752" w:type="dxa"/>
          </w:tcPr>
          <w:p w14:paraId="247D19E5" w14:textId="77777777" w:rsidR="00C008B6" w:rsidRPr="00CD18ED" w:rsidRDefault="00C008B6" w:rsidP="0007636A">
            <w:pPr>
              <w:rPr>
                <w:sz w:val="20"/>
                <w:szCs w:val="20"/>
              </w:rPr>
            </w:pPr>
            <w:r w:rsidRPr="00CD18ED">
              <w:rPr>
                <w:sz w:val="20"/>
                <w:szCs w:val="20"/>
              </w:rPr>
              <w:t>Statistical analysis:</w:t>
            </w:r>
          </w:p>
        </w:tc>
        <w:tc>
          <w:tcPr>
            <w:tcW w:w="694" w:type="dxa"/>
          </w:tcPr>
          <w:p w14:paraId="6E571B77" w14:textId="77777777" w:rsidR="00C008B6" w:rsidRPr="00CD18ED" w:rsidRDefault="00C008B6" w:rsidP="0007636A">
            <w:pPr>
              <w:rPr>
                <w:sz w:val="20"/>
                <w:szCs w:val="20"/>
              </w:rPr>
            </w:pPr>
          </w:p>
        </w:tc>
        <w:tc>
          <w:tcPr>
            <w:tcW w:w="1559" w:type="dxa"/>
          </w:tcPr>
          <w:p w14:paraId="1EC583B1" w14:textId="77777777" w:rsidR="00C008B6" w:rsidRPr="00CD18ED" w:rsidRDefault="00C008B6" w:rsidP="0007636A">
            <w:pPr>
              <w:rPr>
                <w:sz w:val="20"/>
                <w:szCs w:val="20"/>
              </w:rPr>
            </w:pPr>
            <w:r w:rsidRPr="00CD18ED">
              <w:rPr>
                <w:sz w:val="20"/>
                <w:szCs w:val="20"/>
              </w:rPr>
              <w:t>Median diff.</w:t>
            </w:r>
          </w:p>
        </w:tc>
        <w:tc>
          <w:tcPr>
            <w:tcW w:w="1276" w:type="dxa"/>
          </w:tcPr>
          <w:p w14:paraId="1A59E084" w14:textId="77777777" w:rsidR="00C008B6" w:rsidRPr="00CD18ED" w:rsidRDefault="00F14099" w:rsidP="0007636A">
            <w:pPr>
              <w:rPr>
                <w:sz w:val="20"/>
                <w:szCs w:val="20"/>
              </w:rPr>
            </w:pPr>
            <w:r w:rsidRPr="00CD18ED">
              <w:rPr>
                <w:sz w:val="20"/>
                <w:szCs w:val="20"/>
              </w:rPr>
              <w:t>Ratio</w:t>
            </w:r>
            <w:r w:rsidR="00C008B6" w:rsidRPr="00CD18ED">
              <w:rPr>
                <w:sz w:val="20"/>
                <w:szCs w:val="20"/>
              </w:rPr>
              <w:t xml:space="preserve"> (%)</w:t>
            </w:r>
          </w:p>
        </w:tc>
        <w:tc>
          <w:tcPr>
            <w:tcW w:w="1559" w:type="dxa"/>
          </w:tcPr>
          <w:p w14:paraId="0506D8CF" w14:textId="77777777" w:rsidR="00C008B6" w:rsidRPr="00CD18ED" w:rsidRDefault="00F14099" w:rsidP="0007636A">
            <w:pPr>
              <w:rPr>
                <w:sz w:val="20"/>
                <w:szCs w:val="20"/>
              </w:rPr>
            </w:pPr>
            <w:r w:rsidRPr="00CD18ED">
              <w:rPr>
                <w:sz w:val="20"/>
                <w:szCs w:val="20"/>
              </w:rPr>
              <w:t>Ratio</w:t>
            </w:r>
            <w:r w:rsidR="00C008B6" w:rsidRPr="00CD18ED">
              <w:rPr>
                <w:sz w:val="20"/>
                <w:szCs w:val="20"/>
              </w:rPr>
              <w:t xml:space="preserve"> (%)</w:t>
            </w:r>
          </w:p>
        </w:tc>
        <w:tc>
          <w:tcPr>
            <w:tcW w:w="1735" w:type="dxa"/>
          </w:tcPr>
          <w:p w14:paraId="72B84128" w14:textId="77777777" w:rsidR="00C008B6" w:rsidRPr="00CD18ED" w:rsidRDefault="00F14099" w:rsidP="0007636A">
            <w:pPr>
              <w:rPr>
                <w:sz w:val="20"/>
                <w:szCs w:val="20"/>
              </w:rPr>
            </w:pPr>
            <w:r w:rsidRPr="00CD18ED">
              <w:rPr>
                <w:sz w:val="20"/>
                <w:szCs w:val="20"/>
              </w:rPr>
              <w:t>Ratio</w:t>
            </w:r>
            <w:r w:rsidR="00C008B6" w:rsidRPr="00CD18ED">
              <w:rPr>
                <w:sz w:val="20"/>
                <w:szCs w:val="20"/>
              </w:rPr>
              <w:t xml:space="preserve"> (%)</w:t>
            </w:r>
          </w:p>
        </w:tc>
      </w:tr>
      <w:tr w:rsidR="00C008B6" w:rsidRPr="00CD18ED" w14:paraId="4BEDD4BF" w14:textId="77777777" w:rsidTr="00CD18ED">
        <w:trPr>
          <w:cantSplit/>
          <w:trHeight w:val="706"/>
          <w:jc w:val="center"/>
        </w:trPr>
        <w:tc>
          <w:tcPr>
            <w:tcW w:w="1752" w:type="dxa"/>
          </w:tcPr>
          <w:p w14:paraId="5AF87DA7" w14:textId="77777777" w:rsidR="00C008B6" w:rsidRPr="00CD18ED" w:rsidRDefault="00C008B6" w:rsidP="0007636A">
            <w:pPr>
              <w:rPr>
                <w:sz w:val="20"/>
                <w:szCs w:val="20"/>
              </w:rPr>
            </w:pPr>
            <w:r w:rsidRPr="00CD18ED">
              <w:rPr>
                <w:sz w:val="20"/>
                <w:szCs w:val="20"/>
              </w:rPr>
              <w:t>B</w:t>
            </w:r>
            <w:r w:rsidR="000E32B5" w:rsidRPr="00CD18ED">
              <w:rPr>
                <w:sz w:val="20"/>
                <w:szCs w:val="20"/>
              </w:rPr>
              <w:t xml:space="preserve"> versus </w:t>
            </w:r>
            <w:r w:rsidRPr="00CD18ED">
              <w:rPr>
                <w:sz w:val="20"/>
                <w:szCs w:val="20"/>
              </w:rPr>
              <w:t>A Estimate</w:t>
            </w:r>
          </w:p>
        </w:tc>
        <w:tc>
          <w:tcPr>
            <w:tcW w:w="694" w:type="dxa"/>
          </w:tcPr>
          <w:p w14:paraId="09F94397" w14:textId="77777777" w:rsidR="00C008B6" w:rsidRPr="00CD18ED" w:rsidRDefault="00C008B6" w:rsidP="0007636A">
            <w:pPr>
              <w:rPr>
                <w:sz w:val="20"/>
                <w:szCs w:val="20"/>
              </w:rPr>
            </w:pPr>
          </w:p>
        </w:tc>
        <w:tc>
          <w:tcPr>
            <w:tcW w:w="1559" w:type="dxa"/>
          </w:tcPr>
          <w:p w14:paraId="3AA2BC1E" w14:textId="77777777" w:rsidR="00C008B6" w:rsidRPr="00CD18ED" w:rsidRDefault="00C008B6" w:rsidP="0007636A">
            <w:pPr>
              <w:rPr>
                <w:sz w:val="20"/>
                <w:szCs w:val="20"/>
              </w:rPr>
            </w:pPr>
            <w:r w:rsidRPr="00CD18ED">
              <w:rPr>
                <w:sz w:val="20"/>
                <w:szCs w:val="20"/>
              </w:rPr>
              <w:t>0.0</w:t>
            </w:r>
          </w:p>
        </w:tc>
        <w:tc>
          <w:tcPr>
            <w:tcW w:w="1276" w:type="dxa"/>
          </w:tcPr>
          <w:p w14:paraId="10179096" w14:textId="77777777" w:rsidR="00C008B6" w:rsidRPr="00CD18ED" w:rsidRDefault="00C008B6" w:rsidP="0007636A">
            <w:pPr>
              <w:rPr>
                <w:sz w:val="20"/>
                <w:szCs w:val="20"/>
              </w:rPr>
            </w:pPr>
            <w:r w:rsidRPr="00CD18ED">
              <w:rPr>
                <w:sz w:val="20"/>
                <w:szCs w:val="20"/>
              </w:rPr>
              <w:t>96.3</w:t>
            </w:r>
          </w:p>
        </w:tc>
        <w:tc>
          <w:tcPr>
            <w:tcW w:w="1559" w:type="dxa"/>
          </w:tcPr>
          <w:p w14:paraId="73127B1E" w14:textId="77777777" w:rsidR="00C008B6" w:rsidRPr="00CD18ED" w:rsidRDefault="00C008B6" w:rsidP="0007636A">
            <w:pPr>
              <w:rPr>
                <w:sz w:val="20"/>
                <w:szCs w:val="20"/>
              </w:rPr>
            </w:pPr>
            <w:r w:rsidRPr="00CD18ED">
              <w:rPr>
                <w:sz w:val="20"/>
                <w:szCs w:val="20"/>
              </w:rPr>
              <w:t>98.2</w:t>
            </w:r>
          </w:p>
        </w:tc>
        <w:tc>
          <w:tcPr>
            <w:tcW w:w="1735" w:type="dxa"/>
          </w:tcPr>
          <w:p w14:paraId="270A29AF" w14:textId="77777777" w:rsidR="00C008B6" w:rsidRPr="00CD18ED" w:rsidRDefault="00C008B6" w:rsidP="0007636A">
            <w:pPr>
              <w:rPr>
                <w:sz w:val="20"/>
                <w:szCs w:val="20"/>
              </w:rPr>
            </w:pPr>
            <w:r w:rsidRPr="00CD18ED">
              <w:rPr>
                <w:sz w:val="20"/>
                <w:szCs w:val="20"/>
              </w:rPr>
              <w:t>98.1</w:t>
            </w:r>
          </w:p>
        </w:tc>
      </w:tr>
      <w:tr w:rsidR="00C008B6" w:rsidRPr="00CD18ED" w14:paraId="670A9094" w14:textId="77777777" w:rsidTr="00CD18ED">
        <w:trPr>
          <w:cantSplit/>
          <w:trHeight w:val="482"/>
          <w:jc w:val="center"/>
        </w:trPr>
        <w:tc>
          <w:tcPr>
            <w:tcW w:w="1752" w:type="dxa"/>
          </w:tcPr>
          <w:p w14:paraId="7E0789BC" w14:textId="77777777" w:rsidR="00C008B6" w:rsidRPr="00CD18ED" w:rsidRDefault="00C008B6" w:rsidP="0007636A">
            <w:pPr>
              <w:rPr>
                <w:sz w:val="20"/>
                <w:szCs w:val="20"/>
              </w:rPr>
            </w:pPr>
            <w:r w:rsidRPr="00CD18ED">
              <w:rPr>
                <w:sz w:val="20"/>
                <w:szCs w:val="20"/>
              </w:rPr>
              <w:t>90% CI</w:t>
            </w:r>
          </w:p>
        </w:tc>
        <w:tc>
          <w:tcPr>
            <w:tcW w:w="694" w:type="dxa"/>
          </w:tcPr>
          <w:p w14:paraId="023BF626" w14:textId="77777777" w:rsidR="00C008B6" w:rsidRPr="00CD18ED" w:rsidRDefault="00C008B6" w:rsidP="0007636A">
            <w:pPr>
              <w:rPr>
                <w:sz w:val="20"/>
                <w:szCs w:val="20"/>
              </w:rPr>
            </w:pPr>
          </w:p>
        </w:tc>
        <w:tc>
          <w:tcPr>
            <w:tcW w:w="1559" w:type="dxa"/>
          </w:tcPr>
          <w:p w14:paraId="515EC53A" w14:textId="77777777" w:rsidR="00C008B6" w:rsidRPr="00CD18ED" w:rsidRDefault="00C008B6" w:rsidP="0007636A">
            <w:pPr>
              <w:rPr>
                <w:sz w:val="20"/>
                <w:szCs w:val="20"/>
              </w:rPr>
            </w:pPr>
            <w:r w:rsidRPr="00CD18ED">
              <w:rPr>
                <w:sz w:val="20"/>
                <w:szCs w:val="20"/>
              </w:rPr>
              <w:t>-</w:t>
            </w:r>
          </w:p>
        </w:tc>
        <w:tc>
          <w:tcPr>
            <w:tcW w:w="1276" w:type="dxa"/>
          </w:tcPr>
          <w:p w14:paraId="3BC12F78" w14:textId="33A5F177" w:rsidR="00C008B6" w:rsidRPr="00CD18ED" w:rsidRDefault="00C008B6" w:rsidP="0007636A">
            <w:pPr>
              <w:rPr>
                <w:sz w:val="20"/>
                <w:szCs w:val="20"/>
              </w:rPr>
            </w:pPr>
            <w:r w:rsidRPr="00CD18ED">
              <w:rPr>
                <w:sz w:val="20"/>
                <w:szCs w:val="20"/>
              </w:rPr>
              <w:t xml:space="preserve">86.3 </w:t>
            </w:r>
            <w:r w:rsidR="00AD51CF" w:rsidRPr="00CD18ED">
              <w:rPr>
                <w:sz w:val="20"/>
                <w:szCs w:val="20"/>
              </w:rPr>
              <w:t>to</w:t>
            </w:r>
            <w:r w:rsidRPr="00CD18ED">
              <w:rPr>
                <w:sz w:val="20"/>
                <w:szCs w:val="20"/>
              </w:rPr>
              <w:t xml:space="preserve"> 107.6</w:t>
            </w:r>
          </w:p>
        </w:tc>
        <w:tc>
          <w:tcPr>
            <w:tcW w:w="1559" w:type="dxa"/>
          </w:tcPr>
          <w:p w14:paraId="7D46E090" w14:textId="002D2BF7" w:rsidR="00C008B6" w:rsidRPr="00CD18ED" w:rsidRDefault="00C008B6" w:rsidP="0007636A">
            <w:pPr>
              <w:rPr>
                <w:sz w:val="20"/>
                <w:szCs w:val="20"/>
              </w:rPr>
            </w:pPr>
            <w:r w:rsidRPr="00CD18ED">
              <w:rPr>
                <w:sz w:val="20"/>
                <w:szCs w:val="20"/>
              </w:rPr>
              <w:t xml:space="preserve">95.6 </w:t>
            </w:r>
            <w:r w:rsidR="00AD51CF" w:rsidRPr="00CD18ED">
              <w:rPr>
                <w:sz w:val="20"/>
                <w:szCs w:val="20"/>
              </w:rPr>
              <w:t>to</w:t>
            </w:r>
            <w:r w:rsidRPr="00CD18ED">
              <w:rPr>
                <w:sz w:val="20"/>
                <w:szCs w:val="20"/>
              </w:rPr>
              <w:t xml:space="preserve"> 101.0</w:t>
            </w:r>
          </w:p>
        </w:tc>
        <w:tc>
          <w:tcPr>
            <w:tcW w:w="1735" w:type="dxa"/>
          </w:tcPr>
          <w:p w14:paraId="2321E994" w14:textId="5FFC4C04" w:rsidR="00C008B6" w:rsidRPr="00CD18ED" w:rsidRDefault="00C008B6" w:rsidP="0007636A">
            <w:pPr>
              <w:rPr>
                <w:sz w:val="20"/>
                <w:szCs w:val="20"/>
              </w:rPr>
            </w:pPr>
            <w:r w:rsidRPr="00CD18ED">
              <w:rPr>
                <w:sz w:val="20"/>
                <w:szCs w:val="20"/>
              </w:rPr>
              <w:t xml:space="preserve">95.4 </w:t>
            </w:r>
            <w:r w:rsidR="00AD51CF" w:rsidRPr="00CD18ED">
              <w:rPr>
                <w:sz w:val="20"/>
                <w:szCs w:val="20"/>
              </w:rPr>
              <w:t>to</w:t>
            </w:r>
            <w:r w:rsidRPr="00CD18ED">
              <w:rPr>
                <w:sz w:val="20"/>
                <w:szCs w:val="20"/>
              </w:rPr>
              <w:t xml:space="preserve"> 100.8</w:t>
            </w:r>
          </w:p>
        </w:tc>
      </w:tr>
    </w:tbl>
    <w:p w14:paraId="0C85E3AA" w14:textId="77777777" w:rsidR="005E6E8D" w:rsidRDefault="005E6E8D" w:rsidP="005E6E8D">
      <w:pPr>
        <w:pStyle w:val="Heading5"/>
      </w:pPr>
      <w:r>
        <w:t>Food effect Study P024/1048</w:t>
      </w:r>
    </w:p>
    <w:p w14:paraId="70120F1F" w14:textId="77777777" w:rsidR="005E6E8D" w:rsidRDefault="005E6E8D" w:rsidP="005E6E8D">
      <w:r w:rsidRPr="00B654E6">
        <w:rPr>
          <w:i/>
        </w:rPr>
        <w:t>Study title:</w:t>
      </w:r>
      <w:r>
        <w:t xml:space="preserve"> A</w:t>
      </w:r>
      <w:r w:rsidRPr="00733162">
        <w:t xml:space="preserve"> </w:t>
      </w:r>
      <w:r>
        <w:t>Phase I</w:t>
      </w:r>
      <w:r w:rsidRPr="00733162">
        <w:t xml:space="preserve">, </w:t>
      </w:r>
      <w:r>
        <w:t>randomised</w:t>
      </w:r>
      <w:r w:rsidRPr="00733162">
        <w:t>, open</w:t>
      </w:r>
      <w:r>
        <w:t xml:space="preserve"> </w:t>
      </w:r>
      <w:r w:rsidRPr="00733162">
        <w:t>label, 2</w:t>
      </w:r>
      <w:r>
        <w:t xml:space="preserve"> </w:t>
      </w:r>
      <w:proofErr w:type="gramStart"/>
      <w:r w:rsidRPr="00733162">
        <w:t>sequence</w:t>
      </w:r>
      <w:proofErr w:type="gramEnd"/>
      <w:r w:rsidRPr="00733162">
        <w:t>, 2</w:t>
      </w:r>
      <w:r>
        <w:t xml:space="preserve"> </w:t>
      </w:r>
      <w:r w:rsidRPr="00733162">
        <w:t xml:space="preserve">period crossover study to estimate the effect of food on the </w:t>
      </w:r>
      <w:r>
        <w:t>PK</w:t>
      </w:r>
      <w:r w:rsidRPr="00733162">
        <w:t xml:space="preserve"> of an ertugliflozin commercial image tablet in healthy subjects</w:t>
      </w:r>
      <w:r>
        <w:t>.</w:t>
      </w:r>
    </w:p>
    <w:p w14:paraId="667F86CA" w14:textId="70BE99A0" w:rsidR="00C008B6" w:rsidRDefault="00C008B6" w:rsidP="0007636A">
      <w:r w:rsidRPr="008D702F">
        <w:t xml:space="preserve">Administration of </w:t>
      </w:r>
      <w:r>
        <w:t xml:space="preserve">the </w:t>
      </w:r>
      <w:r w:rsidRPr="008D702F">
        <w:t xml:space="preserve">ertugliflozin 15 </w:t>
      </w:r>
      <w:r w:rsidR="006D7D02">
        <w:t>mg</w:t>
      </w:r>
      <w:r w:rsidRPr="008D702F">
        <w:t xml:space="preserve"> commercial image tablet with a high-fat meal resulted in no meaningful effect on </w:t>
      </w:r>
      <w:r w:rsidR="005D5405" w:rsidRPr="005D5405">
        <w:t>Area under the plasma concentration-time profile from time 0 extrapolated to infinite time</w:t>
      </w:r>
      <w:r w:rsidR="005D5405">
        <w:t xml:space="preserve"> (</w:t>
      </w:r>
      <w:r w:rsidR="00E700A6">
        <w:t>AUC</w:t>
      </w:r>
      <w:r w:rsidR="00E700A6" w:rsidRPr="00E700A6">
        <w:rPr>
          <w:vertAlign w:val="subscript"/>
        </w:rPr>
        <w:t>inf</w:t>
      </w:r>
      <w:r w:rsidR="005D5405">
        <w:t>).</w:t>
      </w:r>
    </w:p>
    <w:p w14:paraId="4562F23D" w14:textId="77777777" w:rsidR="00C008B6" w:rsidRDefault="00C008B6" w:rsidP="0007636A">
      <w:r w:rsidRPr="008D702F">
        <w:t xml:space="preserve">Food delayed median </w:t>
      </w:r>
      <w:r w:rsidR="00E700A6">
        <w:t>T</w:t>
      </w:r>
      <w:r w:rsidR="00E700A6" w:rsidRPr="00E700A6">
        <w:rPr>
          <w:vertAlign w:val="subscript"/>
        </w:rPr>
        <w:t>max</w:t>
      </w:r>
      <w:r w:rsidRPr="008D702F">
        <w:rPr>
          <w:vertAlign w:val="subscript"/>
        </w:rPr>
        <w:t xml:space="preserve"> </w:t>
      </w:r>
      <w:r w:rsidRPr="008D702F">
        <w:t xml:space="preserve">by 1 </w:t>
      </w:r>
      <w:r w:rsidR="0007636A">
        <w:t>h</w:t>
      </w:r>
      <w:r w:rsidRPr="008D702F">
        <w:t xml:space="preserve"> and reduced mean </w:t>
      </w:r>
      <w:r w:rsidR="005D5405">
        <w:t>m</w:t>
      </w:r>
      <w:r w:rsidR="005D5405" w:rsidRPr="005D5405">
        <w:t xml:space="preserve">aximum observed plasma concentration </w:t>
      </w:r>
      <w:r w:rsidR="005D5405">
        <w:t>(</w:t>
      </w:r>
      <w:r w:rsidR="00E700A6">
        <w:t>C</w:t>
      </w:r>
      <w:r w:rsidR="00E700A6" w:rsidRPr="00E700A6">
        <w:rPr>
          <w:vertAlign w:val="subscript"/>
        </w:rPr>
        <w:t>max</w:t>
      </w:r>
      <w:r w:rsidR="005D5405">
        <w:t xml:space="preserve">) </w:t>
      </w:r>
      <w:r w:rsidRPr="008D702F">
        <w:t>by approximately 30% compared to fasted conditions.</w:t>
      </w:r>
      <w:r w:rsidR="009A3F68">
        <w:t xml:space="preserve"> </w:t>
      </w:r>
      <w:r w:rsidRPr="008D702F">
        <w:t xml:space="preserve">The decrease in ertugliflozin </w:t>
      </w:r>
      <w:r w:rsidR="00E700A6">
        <w:t>C</w:t>
      </w:r>
      <w:r w:rsidR="00E700A6" w:rsidRPr="00E700A6">
        <w:rPr>
          <w:vertAlign w:val="subscript"/>
        </w:rPr>
        <w:t>max</w:t>
      </w:r>
      <w:r w:rsidRPr="008D702F">
        <w:t xml:space="preserve"> with food </w:t>
      </w:r>
      <w:r>
        <w:t>was</w:t>
      </w:r>
      <w:r w:rsidRPr="008D702F">
        <w:t xml:space="preserve"> not anticipated to be clinically relevant by </w:t>
      </w:r>
      <w:r w:rsidR="0024546B">
        <w:t>the sponsor</w:t>
      </w:r>
      <w:r w:rsidRPr="008D702F">
        <w:rPr>
          <w:color w:val="00B050"/>
        </w:rPr>
        <w:t xml:space="preserve"> </w:t>
      </w:r>
      <w:r w:rsidRPr="008D702F">
        <w:t>and it was concluded that ertugliflozin may be administered without regard to meals.</w:t>
      </w:r>
    </w:p>
    <w:p w14:paraId="7FF3D57D" w14:textId="3AA4E80B" w:rsidR="00C008B6" w:rsidRPr="00E032B9" w:rsidRDefault="00C008B6" w:rsidP="0007636A">
      <w:pPr>
        <w:pStyle w:val="Heading5"/>
      </w:pPr>
      <w:r w:rsidRPr="00E032B9">
        <w:t xml:space="preserve">PK/PD </w:t>
      </w:r>
      <w:r w:rsidR="005E6E8D">
        <w:t>s</w:t>
      </w:r>
      <w:r w:rsidR="005E6E8D" w:rsidRPr="00E032B9">
        <w:t xml:space="preserve">tudy </w:t>
      </w:r>
      <w:r w:rsidRPr="00E032B9">
        <w:t xml:space="preserve">of </w:t>
      </w:r>
      <w:r w:rsidR="0007636A">
        <w:t>d</w:t>
      </w:r>
      <w:r w:rsidRPr="00E032B9">
        <w:t xml:space="preserve">osing </w:t>
      </w:r>
      <w:r w:rsidR="0007636A">
        <w:t>r</w:t>
      </w:r>
      <w:r w:rsidRPr="00E032B9">
        <w:t>egimen Study P040/1007</w:t>
      </w:r>
    </w:p>
    <w:p w14:paraId="76CFCCFD" w14:textId="77777777" w:rsidR="005E6E8D" w:rsidRPr="00BF6622" w:rsidRDefault="005E6E8D" w:rsidP="005E6E8D">
      <w:pPr>
        <w:rPr>
          <w:lang w:eastAsia="en-AU"/>
        </w:rPr>
      </w:pPr>
      <w:r w:rsidRPr="00B654E6">
        <w:rPr>
          <w:i/>
          <w:lang w:eastAsia="en-AU"/>
        </w:rPr>
        <w:t>Study title:</w:t>
      </w:r>
      <w:r>
        <w:rPr>
          <w:lang w:eastAsia="en-AU"/>
        </w:rPr>
        <w:t xml:space="preserve"> </w:t>
      </w:r>
      <w:r w:rsidRPr="00BF6622">
        <w:rPr>
          <w:lang w:eastAsia="en-AU"/>
        </w:rPr>
        <w:t xml:space="preserve">A </w:t>
      </w:r>
      <w:r>
        <w:rPr>
          <w:lang w:eastAsia="en-AU"/>
        </w:rPr>
        <w:t>Phase I</w:t>
      </w:r>
      <w:r w:rsidRPr="00BF6622">
        <w:rPr>
          <w:lang w:eastAsia="en-AU"/>
        </w:rPr>
        <w:t xml:space="preserve"> </w:t>
      </w:r>
      <w:r>
        <w:rPr>
          <w:lang w:eastAsia="en-AU"/>
        </w:rPr>
        <w:t>randomised</w:t>
      </w:r>
      <w:r w:rsidRPr="00BF6622">
        <w:rPr>
          <w:lang w:eastAsia="en-AU"/>
        </w:rPr>
        <w:t>, double</w:t>
      </w:r>
      <w:r>
        <w:rPr>
          <w:lang w:eastAsia="en-AU"/>
        </w:rPr>
        <w:t xml:space="preserve"> </w:t>
      </w:r>
      <w:r w:rsidRPr="00BF6622">
        <w:rPr>
          <w:lang w:eastAsia="en-AU"/>
        </w:rPr>
        <w:t>blind, placebo</w:t>
      </w:r>
      <w:r>
        <w:rPr>
          <w:lang w:eastAsia="en-AU"/>
        </w:rPr>
        <w:t xml:space="preserve"> </w:t>
      </w:r>
      <w:r w:rsidRPr="00BF6622">
        <w:rPr>
          <w:lang w:eastAsia="en-AU"/>
        </w:rPr>
        <w:t>controlled, 2</w:t>
      </w:r>
      <w:r>
        <w:rPr>
          <w:lang w:eastAsia="en-AU"/>
        </w:rPr>
        <w:t xml:space="preserve"> </w:t>
      </w:r>
      <w:proofErr w:type="gramStart"/>
      <w:r w:rsidRPr="00BF6622">
        <w:rPr>
          <w:lang w:eastAsia="en-AU"/>
        </w:rPr>
        <w:t>period</w:t>
      </w:r>
      <w:proofErr w:type="gramEnd"/>
      <w:r w:rsidRPr="00BF6622">
        <w:rPr>
          <w:lang w:eastAsia="en-AU"/>
        </w:rPr>
        <w:t>, cross</w:t>
      </w:r>
      <w:r>
        <w:rPr>
          <w:lang w:eastAsia="en-AU"/>
        </w:rPr>
        <w:t xml:space="preserve"> </w:t>
      </w:r>
      <w:r w:rsidRPr="00BF6622">
        <w:rPr>
          <w:lang w:eastAsia="en-AU"/>
        </w:rPr>
        <w:t>over single day evaluation of the pharmacokinetic-pharmacodynamic effect of once and twice daily oral administration of PF-04971729 in patients with type 2 diabetes mellitus</w:t>
      </w:r>
      <w:r>
        <w:rPr>
          <w:lang w:eastAsia="en-AU"/>
        </w:rPr>
        <w:t>.</w:t>
      </w:r>
    </w:p>
    <w:p w14:paraId="10AD89F5" w14:textId="5080F27D" w:rsidR="00C008B6" w:rsidRPr="00E032B9" w:rsidRDefault="00C008B6" w:rsidP="0007636A">
      <w:r w:rsidRPr="00E032B9">
        <w:rPr>
          <w:lang w:eastAsia="en-AU"/>
        </w:rPr>
        <w:t xml:space="preserve">Doses administered were </w:t>
      </w:r>
      <w:r>
        <w:rPr>
          <w:lang w:eastAsia="en-AU"/>
        </w:rPr>
        <w:t>ertugliflozin</w:t>
      </w:r>
      <w:r w:rsidRPr="00E032B9">
        <w:rPr>
          <w:lang w:eastAsia="en-AU"/>
        </w:rPr>
        <w:t xml:space="preserve"> 1 </w:t>
      </w:r>
      <w:r w:rsidR="006D7D02">
        <w:rPr>
          <w:lang w:eastAsia="en-AU"/>
        </w:rPr>
        <w:t>mg</w:t>
      </w:r>
      <w:r w:rsidRPr="00E032B9">
        <w:rPr>
          <w:lang w:eastAsia="en-AU"/>
        </w:rPr>
        <w:t xml:space="preserve"> twice daily (</w:t>
      </w:r>
      <w:r w:rsidR="00AD51CF">
        <w:rPr>
          <w:lang w:eastAsia="en-AU"/>
        </w:rPr>
        <w:t>BD</w:t>
      </w:r>
      <w:r w:rsidRPr="00E032B9">
        <w:rPr>
          <w:lang w:eastAsia="en-AU"/>
        </w:rPr>
        <w:t xml:space="preserve">), 2 </w:t>
      </w:r>
      <w:r w:rsidR="006D7D02">
        <w:rPr>
          <w:lang w:eastAsia="en-AU"/>
        </w:rPr>
        <w:t>mg</w:t>
      </w:r>
      <w:r>
        <w:rPr>
          <w:lang w:eastAsia="en-AU"/>
        </w:rPr>
        <w:t xml:space="preserve"> </w:t>
      </w:r>
      <w:r w:rsidRPr="00E032B9">
        <w:rPr>
          <w:lang w:eastAsia="en-AU"/>
        </w:rPr>
        <w:t>once daily (QD),</w:t>
      </w:r>
      <w:r w:rsidR="0007636A">
        <w:rPr>
          <w:lang w:eastAsia="en-AU"/>
        </w:rPr>
        <w:t xml:space="preserve"> </w:t>
      </w:r>
      <w:r w:rsidRPr="00E032B9">
        <w:rPr>
          <w:lang w:eastAsia="en-AU"/>
        </w:rPr>
        <w:t xml:space="preserve">2 </w:t>
      </w:r>
      <w:r w:rsidR="006D7D02">
        <w:rPr>
          <w:lang w:eastAsia="en-AU"/>
        </w:rPr>
        <w:t>mg</w:t>
      </w:r>
      <w:r w:rsidRPr="00E032B9">
        <w:rPr>
          <w:lang w:eastAsia="en-AU"/>
        </w:rPr>
        <w:t xml:space="preserve"> </w:t>
      </w:r>
      <w:r w:rsidR="00AD51CF">
        <w:rPr>
          <w:lang w:eastAsia="en-AU"/>
        </w:rPr>
        <w:t>BD</w:t>
      </w:r>
      <w:r w:rsidRPr="00E032B9">
        <w:rPr>
          <w:lang w:eastAsia="en-AU"/>
        </w:rPr>
        <w:t xml:space="preserve">, and 4 </w:t>
      </w:r>
      <w:r w:rsidR="006D7D02">
        <w:rPr>
          <w:lang w:eastAsia="en-AU"/>
        </w:rPr>
        <w:t>mg</w:t>
      </w:r>
      <w:r w:rsidRPr="00E032B9">
        <w:rPr>
          <w:lang w:eastAsia="en-AU"/>
        </w:rPr>
        <w:t xml:space="preserve"> QD.</w:t>
      </w:r>
      <w:r w:rsidR="009A3F68">
        <w:rPr>
          <w:lang w:eastAsia="en-AU"/>
        </w:rPr>
        <w:t xml:space="preserve"> </w:t>
      </w:r>
      <w:r>
        <w:rPr>
          <w:lang w:eastAsia="en-AU"/>
        </w:rPr>
        <w:t xml:space="preserve">Administration of oral doses of ertugliflozin up to 4 </w:t>
      </w:r>
      <w:r w:rsidR="006D7D02">
        <w:rPr>
          <w:lang w:eastAsia="en-AU"/>
        </w:rPr>
        <w:t>mg</w:t>
      </w:r>
      <w:r>
        <w:rPr>
          <w:lang w:eastAsia="en-AU"/>
        </w:rPr>
        <w:t xml:space="preserve"> was considered to be safe and well tolerated.</w:t>
      </w:r>
      <w:r w:rsidR="009A3F68">
        <w:rPr>
          <w:lang w:eastAsia="en-AU"/>
        </w:rPr>
        <w:t xml:space="preserve"> </w:t>
      </w:r>
      <w:r w:rsidR="00AD51CF">
        <w:rPr>
          <w:lang w:eastAsia="en-AU"/>
        </w:rPr>
        <w:t>BD</w:t>
      </w:r>
      <w:r>
        <w:rPr>
          <w:lang w:eastAsia="en-AU"/>
        </w:rPr>
        <w:t xml:space="preserve"> dosing of ertugliflozin resulted in delayed plasma </w:t>
      </w:r>
      <w:r w:rsidR="00E700A6">
        <w:t>T</w:t>
      </w:r>
      <w:r w:rsidR="00E700A6" w:rsidRPr="00E700A6">
        <w:rPr>
          <w:vertAlign w:val="subscript"/>
        </w:rPr>
        <w:t>max</w:t>
      </w:r>
      <w:r>
        <w:rPr>
          <w:lang w:eastAsia="en-AU"/>
        </w:rPr>
        <w:t xml:space="preserve">, lower </w:t>
      </w:r>
      <w:r w:rsidR="00E700A6">
        <w:t>C</w:t>
      </w:r>
      <w:r w:rsidR="00E700A6" w:rsidRPr="00E700A6">
        <w:rPr>
          <w:vertAlign w:val="subscript"/>
        </w:rPr>
        <w:t>max</w:t>
      </w:r>
      <w:r>
        <w:rPr>
          <w:lang w:eastAsia="en-AU"/>
        </w:rPr>
        <w:t xml:space="preserve"> but similar </w:t>
      </w:r>
      <w:r w:rsidR="005D5405" w:rsidRPr="005D5405">
        <w:rPr>
          <w:lang w:eastAsia="en-AU"/>
        </w:rPr>
        <w:t>Area under the plasma concentration-time profile from time 0 to the time of the last quantifiable concentration</w:t>
      </w:r>
      <w:r w:rsidR="005D5405">
        <w:rPr>
          <w:lang w:eastAsia="en-AU"/>
        </w:rPr>
        <w:t xml:space="preserve"> (</w:t>
      </w:r>
      <w:r>
        <w:rPr>
          <w:lang w:eastAsia="en-AU"/>
        </w:rPr>
        <w:t>AUC</w:t>
      </w:r>
      <w:r w:rsidRPr="005D5405">
        <w:rPr>
          <w:vertAlign w:val="subscript"/>
          <w:lang w:eastAsia="en-AU"/>
        </w:rPr>
        <w:t>0</w:t>
      </w:r>
      <w:r w:rsidR="005D5405">
        <w:rPr>
          <w:vertAlign w:val="subscript"/>
          <w:lang w:eastAsia="en-AU"/>
        </w:rPr>
        <w:t>-</w:t>
      </w:r>
      <w:r w:rsidRPr="005D5405">
        <w:rPr>
          <w:vertAlign w:val="subscript"/>
          <w:lang w:eastAsia="en-AU"/>
        </w:rPr>
        <w:t>last</w:t>
      </w:r>
      <w:r w:rsidR="005D5405">
        <w:rPr>
          <w:lang w:eastAsia="en-AU"/>
        </w:rPr>
        <w:t xml:space="preserve">) </w:t>
      </w:r>
      <w:r>
        <w:rPr>
          <w:lang w:eastAsia="en-AU"/>
        </w:rPr>
        <w:t>relative to QD administration of the same dose.</w:t>
      </w:r>
    </w:p>
    <w:p w14:paraId="74C41564" w14:textId="77777777" w:rsidR="00816092" w:rsidRPr="008D702F" w:rsidRDefault="00816092" w:rsidP="00816092">
      <w:pPr>
        <w:pStyle w:val="Heading4"/>
        <w:rPr>
          <w:lang w:eastAsia="en-AU"/>
        </w:rPr>
      </w:pPr>
      <w:r w:rsidRPr="008D702F">
        <w:rPr>
          <w:lang w:eastAsia="en-AU"/>
        </w:rPr>
        <w:lastRenderedPageBreak/>
        <w:t xml:space="preserve">Ertugliflozin </w:t>
      </w:r>
      <w:r>
        <w:rPr>
          <w:lang w:eastAsia="en-AU"/>
        </w:rPr>
        <w:t>s</w:t>
      </w:r>
      <w:r w:rsidRPr="008D702F">
        <w:rPr>
          <w:lang w:eastAsia="en-AU"/>
        </w:rPr>
        <w:t xml:space="preserve">itagliptin FDC </w:t>
      </w:r>
      <w:r>
        <w:rPr>
          <w:lang w:eastAsia="en-AU"/>
        </w:rPr>
        <w:t>t</w:t>
      </w:r>
      <w:r w:rsidRPr="008D702F">
        <w:rPr>
          <w:lang w:eastAsia="en-AU"/>
        </w:rPr>
        <w:t>ablets</w:t>
      </w:r>
    </w:p>
    <w:p w14:paraId="384DA68D" w14:textId="77777777" w:rsidR="00816092" w:rsidRDefault="00816092" w:rsidP="00816092">
      <w:pPr>
        <w:pStyle w:val="ListParagraph"/>
        <w:autoSpaceDE w:val="0"/>
        <w:autoSpaceDN w:val="0"/>
        <w:adjustRightInd w:val="0"/>
        <w:ind w:left="0"/>
        <w:contextualSpacing w:val="0"/>
      </w:pPr>
      <w:r>
        <w:t>In addition to the ertugliflozin monotherapy bioavailability (BA)/</w:t>
      </w:r>
      <w:r>
        <w:rPr>
          <w:rFonts w:eastAsia="TimesNewRoman"/>
        </w:rPr>
        <w:t>b</w:t>
      </w:r>
      <w:r w:rsidRPr="004D575B">
        <w:rPr>
          <w:rFonts w:eastAsia="TimesNewRoman"/>
        </w:rPr>
        <w:t>ioequivalence</w:t>
      </w:r>
      <w:r>
        <w:t xml:space="preserve"> (BE) studies presented above, the following clinical studies were also applicable for consideration.</w:t>
      </w:r>
    </w:p>
    <w:p w14:paraId="492B7F64" w14:textId="02B8B608" w:rsidR="00C008B6" w:rsidRDefault="00C008B6" w:rsidP="0007636A">
      <w:pPr>
        <w:pStyle w:val="Heading5"/>
      </w:pPr>
      <w:r>
        <w:t xml:space="preserve">Relative </w:t>
      </w:r>
      <w:r w:rsidR="00816092">
        <w:t xml:space="preserve">bioequivalence </w:t>
      </w:r>
      <w:r>
        <w:t>Study P025/1038</w:t>
      </w:r>
    </w:p>
    <w:p w14:paraId="3DB02766" w14:textId="77777777" w:rsidR="00816092" w:rsidRPr="007A0E4E" w:rsidRDefault="00816092" w:rsidP="00816092">
      <w:pPr>
        <w:rPr>
          <w:b/>
          <w:u w:val="single"/>
        </w:rPr>
      </w:pPr>
      <w:r w:rsidRPr="00B654E6">
        <w:rPr>
          <w:i/>
        </w:rPr>
        <w:t>Study title:</w:t>
      </w:r>
      <w:r>
        <w:t xml:space="preserve"> </w:t>
      </w:r>
      <w:r w:rsidRPr="007A0E4E">
        <w:t xml:space="preserve">A </w:t>
      </w:r>
      <w:r>
        <w:t>Phase I</w:t>
      </w:r>
      <w:r w:rsidRPr="007A0E4E">
        <w:t>, single dose, open</w:t>
      </w:r>
      <w:r>
        <w:t xml:space="preserve"> </w:t>
      </w:r>
      <w:r w:rsidRPr="007A0E4E">
        <w:t xml:space="preserve">label, </w:t>
      </w:r>
      <w:r>
        <w:t>randomised</w:t>
      </w:r>
      <w:r w:rsidRPr="007A0E4E">
        <w:t>, crossover bioequivalence study of a sitagliptin 100 mg/ertugliflozin 15 mg fixed dose combination tablet v</w:t>
      </w:r>
      <w:r>
        <w:t>ersu</w:t>
      </w:r>
      <w:r w:rsidRPr="007A0E4E">
        <w:t>s Co</w:t>
      </w:r>
      <w:r>
        <w:noBreakHyphen/>
      </w:r>
      <w:r w:rsidRPr="007A0E4E">
        <w:t>administratio</w:t>
      </w:r>
      <w:r>
        <w:t>n of the individual components (s</w:t>
      </w:r>
      <w:r w:rsidRPr="007A0E4E">
        <w:t xml:space="preserve">itagliptin </w:t>
      </w:r>
      <w:r>
        <w:t xml:space="preserve">(100 mg) </w:t>
      </w:r>
      <w:r w:rsidRPr="007A0E4E">
        <w:t xml:space="preserve">and </w:t>
      </w:r>
      <w:r>
        <w:t>e</w:t>
      </w:r>
      <w:r w:rsidRPr="007A0E4E">
        <w:t>rtugliflozin</w:t>
      </w:r>
      <w:r>
        <w:t xml:space="preserve"> (15 mg))</w:t>
      </w:r>
      <w:r w:rsidRPr="007A0E4E">
        <w:t xml:space="preserve"> in </w:t>
      </w:r>
      <w:r>
        <w:t>h</w:t>
      </w:r>
      <w:r w:rsidRPr="007A0E4E">
        <w:t xml:space="preserve">ealthy </w:t>
      </w:r>
      <w:r>
        <w:t>s</w:t>
      </w:r>
      <w:r w:rsidRPr="007A0E4E">
        <w:t>ubjects</w:t>
      </w:r>
      <w:r>
        <w:t>.</w:t>
      </w:r>
    </w:p>
    <w:p w14:paraId="68170A32" w14:textId="0E88635D" w:rsidR="00C008B6" w:rsidRDefault="0024546B" w:rsidP="0007636A">
      <w:r>
        <w:t>The sponsor</w:t>
      </w:r>
      <w:r w:rsidR="00C008B6" w:rsidRPr="00DE15BC">
        <w:t xml:space="preserve"> confirmed that the </w:t>
      </w:r>
      <w:r w:rsidR="00C008B6">
        <w:t xml:space="preserve">monotherapy, </w:t>
      </w:r>
      <w:r w:rsidR="00816092">
        <w:t xml:space="preserve">sitagliptin </w:t>
      </w:r>
      <w:r w:rsidR="00C008B6">
        <w:t xml:space="preserve">100 </w:t>
      </w:r>
      <w:r w:rsidR="006D7D02">
        <w:t>mg</w:t>
      </w:r>
      <w:r w:rsidR="00C008B6">
        <w:t xml:space="preserve"> film-coated tablets are identical to the </w:t>
      </w:r>
      <w:r w:rsidR="0007636A">
        <w:t>Januvia</w:t>
      </w:r>
      <w:r w:rsidR="00C008B6">
        <w:t xml:space="preserve"> sitagliptin 100</w:t>
      </w:r>
      <w:r w:rsidR="006D7D02">
        <w:t xml:space="preserve"> mg</w:t>
      </w:r>
      <w:r w:rsidR="00C008B6">
        <w:t xml:space="preserve"> tablets marketed in Australia.</w:t>
      </w:r>
    </w:p>
    <w:p w14:paraId="56EF04B7" w14:textId="620B4C84" w:rsidR="00C008B6" w:rsidRDefault="00C008B6" w:rsidP="0007636A">
      <w:r w:rsidRPr="001D692D">
        <w:t xml:space="preserve">Bioequivalence of the monotherapy tablets and the proposed 15 </w:t>
      </w:r>
      <w:r w:rsidR="006D7D02">
        <w:t>mg</w:t>
      </w:r>
      <w:r w:rsidRPr="001D692D">
        <w:t xml:space="preserve">/100 </w:t>
      </w:r>
      <w:r w:rsidR="006D7D02">
        <w:t>mg</w:t>
      </w:r>
      <w:r w:rsidRPr="001D692D">
        <w:t xml:space="preserve"> FDC tablets was </w:t>
      </w:r>
      <w:r>
        <w:t>concluded</w:t>
      </w:r>
      <w:r w:rsidRPr="001D692D">
        <w:t>.</w:t>
      </w:r>
    </w:p>
    <w:p w14:paraId="2A94D78B" w14:textId="77777777" w:rsidR="0007636A" w:rsidRPr="0007636A" w:rsidRDefault="0007636A" w:rsidP="008E7ACE">
      <w:pPr>
        <w:pStyle w:val="TableTitle"/>
      </w:pPr>
      <w:r>
        <w:t xml:space="preserve">Table </w:t>
      </w:r>
      <w:r w:rsidR="00E55ACA">
        <w:t>4</w:t>
      </w:r>
      <w:r>
        <w:t>: Pharmacokinetics of e</w:t>
      </w:r>
      <w:r w:rsidRPr="0007636A">
        <w:t>rtugliflozin</w:t>
      </w:r>
    </w:p>
    <w:tbl>
      <w:tblPr>
        <w:tblW w:w="899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906"/>
        <w:gridCol w:w="709"/>
        <w:gridCol w:w="1515"/>
        <w:gridCol w:w="1482"/>
        <w:gridCol w:w="1554"/>
        <w:gridCol w:w="1825"/>
      </w:tblGrid>
      <w:tr w:rsidR="0007636A" w:rsidRPr="0007636A" w14:paraId="2E9CB29E" w14:textId="77777777" w:rsidTr="00CD18ED">
        <w:trPr>
          <w:cantSplit/>
          <w:trHeight w:val="468"/>
          <w:tblHeader/>
          <w:jc w:val="center"/>
        </w:trPr>
        <w:tc>
          <w:tcPr>
            <w:tcW w:w="8991" w:type="dxa"/>
            <w:gridSpan w:val="6"/>
            <w:tcBorders>
              <w:bottom w:val="single" w:sz="2" w:space="0" w:color="auto"/>
            </w:tcBorders>
            <w:shd w:val="clear" w:color="auto" w:fill="0070C0"/>
            <w:vAlign w:val="center"/>
          </w:tcPr>
          <w:p w14:paraId="2B1DBB07" w14:textId="77777777" w:rsidR="00C008B6" w:rsidRPr="0007636A" w:rsidRDefault="0007636A" w:rsidP="008E7ACE">
            <w:pPr>
              <w:keepNext/>
              <w:rPr>
                <w:b/>
                <w:color w:val="FFFFFF" w:themeColor="background1"/>
                <w:sz w:val="18"/>
                <w:szCs w:val="18"/>
              </w:rPr>
            </w:pPr>
            <w:r>
              <w:rPr>
                <w:b/>
                <w:color w:val="FFFFFF" w:themeColor="background1"/>
                <w:sz w:val="18"/>
                <w:szCs w:val="18"/>
              </w:rPr>
              <w:t>E</w:t>
            </w:r>
            <w:r w:rsidR="00C008B6" w:rsidRPr="0007636A">
              <w:rPr>
                <w:b/>
                <w:color w:val="FFFFFF" w:themeColor="background1"/>
                <w:sz w:val="18"/>
                <w:szCs w:val="18"/>
              </w:rPr>
              <w:t>rtugliflozin</w:t>
            </w:r>
          </w:p>
        </w:tc>
      </w:tr>
      <w:tr w:rsidR="0007636A" w:rsidRPr="0007636A" w14:paraId="0CA18330" w14:textId="77777777" w:rsidTr="00CD18ED">
        <w:trPr>
          <w:cantSplit/>
          <w:tblHeader/>
          <w:jc w:val="center"/>
        </w:trPr>
        <w:tc>
          <w:tcPr>
            <w:tcW w:w="1906" w:type="dxa"/>
            <w:shd w:val="clear" w:color="auto" w:fill="0070C0"/>
          </w:tcPr>
          <w:p w14:paraId="4C7D1E48" w14:textId="77777777" w:rsidR="00C008B6" w:rsidRPr="0007636A" w:rsidRDefault="00C008B6" w:rsidP="008E7ACE">
            <w:pPr>
              <w:keepNext/>
              <w:rPr>
                <w:b/>
                <w:color w:val="FFFFFF" w:themeColor="background1"/>
                <w:sz w:val="18"/>
                <w:szCs w:val="18"/>
              </w:rPr>
            </w:pPr>
            <w:r w:rsidRPr="0007636A">
              <w:rPr>
                <w:b/>
                <w:color w:val="FFFFFF" w:themeColor="background1"/>
                <w:sz w:val="18"/>
                <w:szCs w:val="18"/>
              </w:rPr>
              <w:t>Single dose, prompt release</w:t>
            </w:r>
          </w:p>
        </w:tc>
        <w:tc>
          <w:tcPr>
            <w:tcW w:w="709" w:type="dxa"/>
            <w:shd w:val="clear" w:color="auto" w:fill="0070C0"/>
          </w:tcPr>
          <w:p w14:paraId="76FF838C" w14:textId="77777777" w:rsidR="00C008B6" w:rsidRPr="0007636A" w:rsidRDefault="00C008B6" w:rsidP="008E7ACE">
            <w:pPr>
              <w:keepNext/>
              <w:rPr>
                <w:b/>
                <w:color w:val="FFFFFF" w:themeColor="background1"/>
                <w:sz w:val="18"/>
                <w:szCs w:val="18"/>
              </w:rPr>
            </w:pPr>
            <w:r w:rsidRPr="0007636A">
              <w:rPr>
                <w:b/>
                <w:color w:val="FFFFFF" w:themeColor="background1"/>
                <w:sz w:val="18"/>
                <w:szCs w:val="18"/>
              </w:rPr>
              <w:t>n</w:t>
            </w:r>
          </w:p>
        </w:tc>
        <w:tc>
          <w:tcPr>
            <w:tcW w:w="1515" w:type="dxa"/>
            <w:shd w:val="clear" w:color="auto" w:fill="0070C0"/>
          </w:tcPr>
          <w:p w14:paraId="4366986E" w14:textId="66834429" w:rsidR="00C008B6" w:rsidRPr="00FA6C7E" w:rsidRDefault="00E700A6" w:rsidP="008E7ACE">
            <w:pPr>
              <w:keepNext/>
              <w:rPr>
                <w:b/>
                <w:color w:val="FFFFFF" w:themeColor="background1"/>
                <w:sz w:val="18"/>
                <w:szCs w:val="18"/>
              </w:rPr>
            </w:pPr>
            <w:r w:rsidRPr="00FA6C7E">
              <w:rPr>
                <w:color w:val="FFFFFF" w:themeColor="background1"/>
              </w:rPr>
              <w:t>T</w:t>
            </w:r>
            <w:r w:rsidRPr="00FA6C7E">
              <w:rPr>
                <w:color w:val="FFFFFF" w:themeColor="background1"/>
                <w:vertAlign w:val="subscript"/>
              </w:rPr>
              <w:t>max</w:t>
            </w:r>
            <w:r w:rsidR="00C008B6" w:rsidRPr="00FA6C7E">
              <w:rPr>
                <w:b/>
                <w:color w:val="FFFFFF" w:themeColor="background1"/>
                <w:sz w:val="18"/>
                <w:szCs w:val="18"/>
              </w:rPr>
              <w:t xml:space="preserve"> (h)</w:t>
            </w:r>
            <w:r w:rsidR="00AD51CF">
              <w:rPr>
                <w:b/>
                <w:color w:val="FFFFFF" w:themeColor="background1"/>
                <w:sz w:val="18"/>
                <w:szCs w:val="18"/>
              </w:rPr>
              <w:t xml:space="preserve"> </w:t>
            </w:r>
            <w:r w:rsidR="00C008B6" w:rsidRPr="00FA6C7E">
              <w:rPr>
                <w:b/>
                <w:color w:val="FFFFFF" w:themeColor="background1"/>
                <w:sz w:val="18"/>
                <w:szCs w:val="18"/>
              </w:rPr>
              <w:t>(range)</w:t>
            </w:r>
          </w:p>
        </w:tc>
        <w:tc>
          <w:tcPr>
            <w:tcW w:w="1482" w:type="dxa"/>
            <w:shd w:val="clear" w:color="auto" w:fill="0070C0"/>
          </w:tcPr>
          <w:p w14:paraId="62843424" w14:textId="54DABB6D" w:rsidR="00C008B6" w:rsidRPr="00FA6C7E" w:rsidRDefault="00E700A6" w:rsidP="008E7ACE">
            <w:pPr>
              <w:keepNext/>
              <w:rPr>
                <w:b/>
                <w:color w:val="FFFFFF" w:themeColor="background1"/>
                <w:sz w:val="18"/>
                <w:szCs w:val="18"/>
              </w:rPr>
            </w:pPr>
            <w:r w:rsidRPr="00FA6C7E">
              <w:rPr>
                <w:color w:val="FFFFFF" w:themeColor="background1"/>
              </w:rPr>
              <w:t>C</w:t>
            </w:r>
            <w:r w:rsidRPr="00FA6C7E">
              <w:rPr>
                <w:color w:val="FFFFFF" w:themeColor="background1"/>
                <w:vertAlign w:val="subscript"/>
              </w:rPr>
              <w:t>max</w:t>
            </w:r>
            <w:r w:rsidR="00C008B6" w:rsidRPr="00FA6C7E">
              <w:rPr>
                <w:b/>
                <w:color w:val="FFFFFF" w:themeColor="background1"/>
                <w:sz w:val="18"/>
                <w:szCs w:val="18"/>
              </w:rPr>
              <w:t xml:space="preserve"> (ng/mL)</w:t>
            </w:r>
          </w:p>
        </w:tc>
        <w:tc>
          <w:tcPr>
            <w:tcW w:w="1554" w:type="dxa"/>
            <w:shd w:val="clear" w:color="auto" w:fill="0070C0"/>
          </w:tcPr>
          <w:p w14:paraId="693D801F" w14:textId="665518F7" w:rsidR="00C008B6" w:rsidRPr="00FA6C7E" w:rsidRDefault="00C008B6" w:rsidP="008E7ACE">
            <w:pPr>
              <w:keepNext/>
              <w:rPr>
                <w:b/>
                <w:color w:val="FFFFFF" w:themeColor="background1"/>
                <w:sz w:val="18"/>
                <w:szCs w:val="18"/>
              </w:rPr>
            </w:pPr>
            <w:r w:rsidRPr="00FA6C7E">
              <w:rPr>
                <w:b/>
                <w:color w:val="FFFFFF" w:themeColor="background1"/>
                <w:sz w:val="18"/>
                <w:szCs w:val="18"/>
              </w:rPr>
              <w:t>AUC</w:t>
            </w:r>
            <w:r w:rsidRPr="00FA6C7E">
              <w:rPr>
                <w:b/>
                <w:color w:val="FFFFFF" w:themeColor="background1"/>
                <w:sz w:val="18"/>
                <w:szCs w:val="18"/>
                <w:vertAlign w:val="subscript"/>
              </w:rPr>
              <w:t>0-t</w:t>
            </w:r>
            <w:r w:rsidRPr="00FA6C7E">
              <w:rPr>
                <w:b/>
                <w:color w:val="FFFFFF" w:themeColor="background1"/>
                <w:sz w:val="18"/>
                <w:szCs w:val="18"/>
              </w:rPr>
              <w:t xml:space="preserve"> (ng.h/mL) </w:t>
            </w:r>
          </w:p>
        </w:tc>
        <w:tc>
          <w:tcPr>
            <w:tcW w:w="1825" w:type="dxa"/>
            <w:shd w:val="clear" w:color="auto" w:fill="0070C0"/>
          </w:tcPr>
          <w:p w14:paraId="17B818F1" w14:textId="69ABA9CC" w:rsidR="00C008B6" w:rsidRPr="0007636A" w:rsidRDefault="00C008B6" w:rsidP="008E7ACE">
            <w:pPr>
              <w:keepNext/>
              <w:rPr>
                <w:b/>
                <w:color w:val="FFFFFF" w:themeColor="background1"/>
                <w:sz w:val="18"/>
                <w:szCs w:val="18"/>
              </w:rPr>
            </w:pPr>
            <w:r w:rsidRPr="0007636A">
              <w:rPr>
                <w:b/>
                <w:color w:val="FFFFFF" w:themeColor="background1"/>
                <w:sz w:val="18"/>
                <w:szCs w:val="18"/>
              </w:rPr>
              <w:t>AUC</w:t>
            </w:r>
            <w:r w:rsidRPr="0007636A">
              <w:rPr>
                <w:b/>
                <w:color w:val="FFFFFF" w:themeColor="background1"/>
                <w:sz w:val="18"/>
                <w:szCs w:val="18"/>
                <w:vertAlign w:val="subscript"/>
              </w:rPr>
              <w:t>0-</w:t>
            </w:r>
            <w:r w:rsidRPr="0007636A">
              <w:rPr>
                <w:rFonts w:cs="Arial"/>
                <w:b/>
                <w:color w:val="FFFFFF" w:themeColor="background1"/>
                <w:sz w:val="18"/>
                <w:szCs w:val="18"/>
                <w:vertAlign w:val="subscript"/>
              </w:rPr>
              <w:t>∞</w:t>
            </w:r>
            <w:r w:rsidRPr="0007636A">
              <w:rPr>
                <w:b/>
                <w:color w:val="FFFFFF" w:themeColor="background1"/>
                <w:sz w:val="18"/>
                <w:szCs w:val="18"/>
              </w:rPr>
              <w:t xml:space="preserve"> (ng.h/mL)</w:t>
            </w:r>
          </w:p>
        </w:tc>
      </w:tr>
      <w:tr w:rsidR="00C008B6" w:rsidRPr="0007636A" w14:paraId="0CEF1804" w14:textId="77777777" w:rsidTr="00CD18ED">
        <w:trPr>
          <w:cantSplit/>
          <w:jc w:val="center"/>
        </w:trPr>
        <w:tc>
          <w:tcPr>
            <w:tcW w:w="1906" w:type="dxa"/>
          </w:tcPr>
          <w:p w14:paraId="2B326D4E" w14:textId="2843FC28" w:rsidR="00C008B6" w:rsidRPr="0007636A" w:rsidRDefault="00C008B6" w:rsidP="008E7ACE">
            <w:pPr>
              <w:keepNext/>
              <w:rPr>
                <w:rFonts w:cs="Arial"/>
                <w:sz w:val="18"/>
                <w:szCs w:val="18"/>
              </w:rPr>
            </w:pPr>
            <w:r w:rsidRPr="0007636A">
              <w:rPr>
                <w:rFonts w:cs="Arial"/>
                <w:sz w:val="18"/>
                <w:szCs w:val="18"/>
              </w:rPr>
              <w:t>Treatment A</w:t>
            </w:r>
            <w:r w:rsidR="00CD18ED">
              <w:rPr>
                <w:rFonts w:cs="Arial"/>
                <w:sz w:val="18"/>
                <w:szCs w:val="18"/>
              </w:rPr>
              <w:t xml:space="preserve"> </w:t>
            </w:r>
          </w:p>
          <w:p w14:paraId="48980AE6" w14:textId="77777777" w:rsidR="00C008B6" w:rsidRPr="0007636A" w:rsidRDefault="00C008B6" w:rsidP="008E7ACE">
            <w:pPr>
              <w:keepNext/>
              <w:rPr>
                <w:rFonts w:cs="Arial"/>
                <w:sz w:val="18"/>
                <w:szCs w:val="18"/>
              </w:rPr>
            </w:pPr>
            <w:r w:rsidRPr="0007636A">
              <w:rPr>
                <w:rFonts w:cs="Arial"/>
                <w:sz w:val="18"/>
                <w:szCs w:val="18"/>
              </w:rPr>
              <w:t>Monotherapy</w:t>
            </w:r>
          </w:p>
        </w:tc>
        <w:tc>
          <w:tcPr>
            <w:tcW w:w="709" w:type="dxa"/>
          </w:tcPr>
          <w:p w14:paraId="0BE6F0ED" w14:textId="77777777" w:rsidR="00C008B6" w:rsidRPr="0007636A" w:rsidRDefault="00C008B6" w:rsidP="008E7ACE">
            <w:pPr>
              <w:keepNext/>
              <w:rPr>
                <w:sz w:val="18"/>
                <w:szCs w:val="18"/>
              </w:rPr>
            </w:pPr>
            <w:r w:rsidRPr="0007636A">
              <w:rPr>
                <w:sz w:val="18"/>
                <w:szCs w:val="18"/>
              </w:rPr>
              <w:t>18, 17</w:t>
            </w:r>
          </w:p>
        </w:tc>
        <w:tc>
          <w:tcPr>
            <w:tcW w:w="1515" w:type="dxa"/>
          </w:tcPr>
          <w:p w14:paraId="35B55FA2" w14:textId="3B2B74FC" w:rsidR="00C008B6" w:rsidRPr="0007636A" w:rsidRDefault="00C008B6" w:rsidP="008E7ACE">
            <w:pPr>
              <w:keepNext/>
              <w:rPr>
                <w:sz w:val="18"/>
                <w:szCs w:val="18"/>
              </w:rPr>
            </w:pPr>
            <w:r w:rsidRPr="0007636A">
              <w:rPr>
                <w:sz w:val="18"/>
                <w:szCs w:val="18"/>
              </w:rPr>
              <w:t>1.010</w:t>
            </w:r>
          </w:p>
          <w:p w14:paraId="0A2291C9" w14:textId="77777777" w:rsidR="00C008B6" w:rsidRPr="0007636A" w:rsidRDefault="00C008B6" w:rsidP="008E7ACE">
            <w:pPr>
              <w:keepNext/>
              <w:rPr>
                <w:sz w:val="18"/>
                <w:szCs w:val="18"/>
              </w:rPr>
            </w:pPr>
            <w:r w:rsidRPr="0007636A">
              <w:rPr>
                <w:sz w:val="18"/>
                <w:szCs w:val="18"/>
              </w:rPr>
              <w:t>(0.500, 5.000)</w:t>
            </w:r>
          </w:p>
        </w:tc>
        <w:tc>
          <w:tcPr>
            <w:tcW w:w="1482" w:type="dxa"/>
          </w:tcPr>
          <w:p w14:paraId="6B3F8DE1" w14:textId="77777777" w:rsidR="00C008B6" w:rsidRPr="0007636A" w:rsidRDefault="00C008B6" w:rsidP="008E7ACE">
            <w:pPr>
              <w:keepNext/>
              <w:rPr>
                <w:sz w:val="18"/>
                <w:szCs w:val="18"/>
              </w:rPr>
            </w:pPr>
            <w:r w:rsidRPr="0007636A">
              <w:rPr>
                <w:sz w:val="18"/>
                <w:szCs w:val="18"/>
              </w:rPr>
              <w:t>198.144</w:t>
            </w:r>
          </w:p>
        </w:tc>
        <w:tc>
          <w:tcPr>
            <w:tcW w:w="1554" w:type="dxa"/>
          </w:tcPr>
          <w:p w14:paraId="0032E3FB" w14:textId="77777777" w:rsidR="00C008B6" w:rsidRPr="0007636A" w:rsidRDefault="00C008B6" w:rsidP="008E7ACE">
            <w:pPr>
              <w:keepNext/>
              <w:rPr>
                <w:sz w:val="18"/>
                <w:szCs w:val="18"/>
              </w:rPr>
            </w:pPr>
            <w:r w:rsidRPr="0007636A">
              <w:rPr>
                <w:sz w:val="18"/>
                <w:szCs w:val="18"/>
              </w:rPr>
              <w:t>1183.849</w:t>
            </w:r>
          </w:p>
        </w:tc>
        <w:tc>
          <w:tcPr>
            <w:tcW w:w="1825" w:type="dxa"/>
          </w:tcPr>
          <w:p w14:paraId="3B60D599" w14:textId="77777777" w:rsidR="00C008B6" w:rsidRPr="0007636A" w:rsidRDefault="00C008B6" w:rsidP="008E7ACE">
            <w:pPr>
              <w:keepNext/>
              <w:rPr>
                <w:sz w:val="18"/>
                <w:szCs w:val="18"/>
              </w:rPr>
            </w:pPr>
            <w:r w:rsidRPr="0007636A">
              <w:rPr>
                <w:sz w:val="18"/>
                <w:szCs w:val="18"/>
              </w:rPr>
              <w:t>1242.192</w:t>
            </w:r>
          </w:p>
        </w:tc>
      </w:tr>
      <w:tr w:rsidR="00C008B6" w:rsidRPr="0007636A" w14:paraId="7993E162" w14:textId="77777777" w:rsidTr="00CD18ED">
        <w:trPr>
          <w:cantSplit/>
          <w:jc w:val="center"/>
        </w:trPr>
        <w:tc>
          <w:tcPr>
            <w:tcW w:w="1906" w:type="dxa"/>
          </w:tcPr>
          <w:p w14:paraId="4B79139D" w14:textId="0D33CE47" w:rsidR="00C008B6" w:rsidRPr="0007636A" w:rsidRDefault="00C008B6" w:rsidP="0007636A">
            <w:pPr>
              <w:rPr>
                <w:rFonts w:cs="Arial"/>
                <w:sz w:val="18"/>
                <w:szCs w:val="18"/>
              </w:rPr>
            </w:pPr>
            <w:r w:rsidRPr="0007636A">
              <w:rPr>
                <w:rFonts w:cs="Arial"/>
                <w:sz w:val="18"/>
                <w:szCs w:val="18"/>
              </w:rPr>
              <w:t>Treatment B</w:t>
            </w:r>
          </w:p>
          <w:p w14:paraId="7EF256C8" w14:textId="77777777" w:rsidR="00C008B6" w:rsidRPr="0007636A" w:rsidRDefault="00C008B6" w:rsidP="0007636A">
            <w:pPr>
              <w:rPr>
                <w:rFonts w:cs="Arial"/>
                <w:sz w:val="18"/>
                <w:szCs w:val="18"/>
              </w:rPr>
            </w:pPr>
            <w:r w:rsidRPr="0007636A">
              <w:rPr>
                <w:rFonts w:cs="Arial"/>
                <w:sz w:val="18"/>
                <w:szCs w:val="18"/>
              </w:rPr>
              <w:t>FDC</w:t>
            </w:r>
          </w:p>
        </w:tc>
        <w:tc>
          <w:tcPr>
            <w:tcW w:w="709" w:type="dxa"/>
          </w:tcPr>
          <w:p w14:paraId="31F83450" w14:textId="77777777" w:rsidR="00C008B6" w:rsidRPr="0007636A" w:rsidRDefault="00C008B6" w:rsidP="0007636A">
            <w:pPr>
              <w:rPr>
                <w:sz w:val="18"/>
                <w:szCs w:val="18"/>
              </w:rPr>
            </w:pPr>
            <w:r w:rsidRPr="0007636A">
              <w:rPr>
                <w:sz w:val="18"/>
                <w:szCs w:val="18"/>
              </w:rPr>
              <w:t>18, 18</w:t>
            </w:r>
          </w:p>
        </w:tc>
        <w:tc>
          <w:tcPr>
            <w:tcW w:w="1515" w:type="dxa"/>
          </w:tcPr>
          <w:p w14:paraId="19FBAC12" w14:textId="77777777" w:rsidR="00C008B6" w:rsidRPr="0007636A" w:rsidRDefault="00C008B6" w:rsidP="0007636A">
            <w:pPr>
              <w:rPr>
                <w:sz w:val="18"/>
                <w:szCs w:val="18"/>
              </w:rPr>
            </w:pPr>
            <w:r w:rsidRPr="0007636A">
              <w:rPr>
                <w:sz w:val="18"/>
                <w:szCs w:val="18"/>
              </w:rPr>
              <w:t>1.010</w:t>
            </w:r>
          </w:p>
          <w:p w14:paraId="6704DB32" w14:textId="77777777" w:rsidR="00C008B6" w:rsidRPr="0007636A" w:rsidRDefault="00C008B6" w:rsidP="0007636A">
            <w:pPr>
              <w:rPr>
                <w:sz w:val="18"/>
                <w:szCs w:val="18"/>
              </w:rPr>
            </w:pPr>
            <w:r w:rsidRPr="0007636A">
              <w:rPr>
                <w:sz w:val="18"/>
                <w:szCs w:val="18"/>
              </w:rPr>
              <w:t>(0.500, 4.000)</w:t>
            </w:r>
          </w:p>
        </w:tc>
        <w:tc>
          <w:tcPr>
            <w:tcW w:w="1482" w:type="dxa"/>
          </w:tcPr>
          <w:p w14:paraId="4059F0E5" w14:textId="77777777" w:rsidR="00C008B6" w:rsidRPr="0007636A" w:rsidRDefault="00C008B6" w:rsidP="0007636A">
            <w:pPr>
              <w:rPr>
                <w:sz w:val="18"/>
                <w:szCs w:val="18"/>
              </w:rPr>
            </w:pPr>
            <w:r w:rsidRPr="0007636A">
              <w:rPr>
                <w:sz w:val="18"/>
                <w:szCs w:val="18"/>
              </w:rPr>
              <w:t>202.363</w:t>
            </w:r>
          </w:p>
        </w:tc>
        <w:tc>
          <w:tcPr>
            <w:tcW w:w="1554" w:type="dxa"/>
          </w:tcPr>
          <w:p w14:paraId="557B51F7" w14:textId="77777777" w:rsidR="00C008B6" w:rsidRPr="0007636A" w:rsidRDefault="00C008B6" w:rsidP="0007636A">
            <w:pPr>
              <w:rPr>
                <w:sz w:val="18"/>
                <w:szCs w:val="18"/>
              </w:rPr>
            </w:pPr>
            <w:r w:rsidRPr="0007636A">
              <w:rPr>
                <w:sz w:val="18"/>
                <w:szCs w:val="18"/>
              </w:rPr>
              <w:t>116.356</w:t>
            </w:r>
          </w:p>
        </w:tc>
        <w:tc>
          <w:tcPr>
            <w:tcW w:w="1825" w:type="dxa"/>
          </w:tcPr>
          <w:p w14:paraId="77044339" w14:textId="77777777" w:rsidR="00C008B6" w:rsidRPr="0007636A" w:rsidRDefault="00C008B6" w:rsidP="0007636A">
            <w:pPr>
              <w:rPr>
                <w:sz w:val="18"/>
                <w:szCs w:val="18"/>
              </w:rPr>
            </w:pPr>
            <w:r w:rsidRPr="0007636A">
              <w:rPr>
                <w:sz w:val="18"/>
                <w:szCs w:val="18"/>
              </w:rPr>
              <w:t>1187.932</w:t>
            </w:r>
          </w:p>
        </w:tc>
      </w:tr>
      <w:tr w:rsidR="00C008B6" w:rsidRPr="0007636A" w14:paraId="764124F6" w14:textId="77777777" w:rsidTr="00CD18ED">
        <w:trPr>
          <w:cantSplit/>
          <w:jc w:val="center"/>
        </w:trPr>
        <w:tc>
          <w:tcPr>
            <w:tcW w:w="1906" w:type="dxa"/>
          </w:tcPr>
          <w:p w14:paraId="393A5A39" w14:textId="77777777" w:rsidR="00C008B6" w:rsidRPr="0007636A" w:rsidRDefault="00C008B6" w:rsidP="0007636A">
            <w:pPr>
              <w:rPr>
                <w:sz w:val="18"/>
                <w:szCs w:val="18"/>
              </w:rPr>
            </w:pPr>
            <w:r w:rsidRPr="0007636A">
              <w:rPr>
                <w:sz w:val="18"/>
                <w:szCs w:val="18"/>
              </w:rPr>
              <w:t>Statistical analysis:</w:t>
            </w:r>
          </w:p>
        </w:tc>
        <w:tc>
          <w:tcPr>
            <w:tcW w:w="709" w:type="dxa"/>
          </w:tcPr>
          <w:p w14:paraId="0EA40CA9" w14:textId="77777777" w:rsidR="00C008B6" w:rsidRPr="0007636A" w:rsidRDefault="00C008B6" w:rsidP="0007636A">
            <w:pPr>
              <w:rPr>
                <w:sz w:val="18"/>
                <w:szCs w:val="18"/>
              </w:rPr>
            </w:pPr>
          </w:p>
        </w:tc>
        <w:tc>
          <w:tcPr>
            <w:tcW w:w="1515" w:type="dxa"/>
          </w:tcPr>
          <w:p w14:paraId="46865B9A" w14:textId="77777777" w:rsidR="00C008B6" w:rsidRPr="0007636A" w:rsidRDefault="00C008B6" w:rsidP="0007636A">
            <w:pPr>
              <w:rPr>
                <w:sz w:val="18"/>
                <w:szCs w:val="18"/>
              </w:rPr>
            </w:pPr>
            <w:r w:rsidRPr="0007636A">
              <w:rPr>
                <w:sz w:val="18"/>
                <w:szCs w:val="18"/>
              </w:rPr>
              <w:t>Median diff.</w:t>
            </w:r>
          </w:p>
        </w:tc>
        <w:tc>
          <w:tcPr>
            <w:tcW w:w="1482" w:type="dxa"/>
          </w:tcPr>
          <w:p w14:paraId="2B75033B" w14:textId="77777777" w:rsidR="00C008B6" w:rsidRPr="0007636A" w:rsidRDefault="00F14099" w:rsidP="0007636A">
            <w:pPr>
              <w:rPr>
                <w:sz w:val="18"/>
                <w:szCs w:val="18"/>
              </w:rPr>
            </w:pPr>
            <w:r w:rsidRPr="0007636A">
              <w:rPr>
                <w:sz w:val="18"/>
                <w:szCs w:val="18"/>
              </w:rPr>
              <w:t>Ratio</w:t>
            </w:r>
            <w:r w:rsidR="00C008B6" w:rsidRPr="0007636A">
              <w:rPr>
                <w:sz w:val="18"/>
                <w:szCs w:val="18"/>
              </w:rPr>
              <w:t xml:space="preserve"> (%)</w:t>
            </w:r>
          </w:p>
        </w:tc>
        <w:tc>
          <w:tcPr>
            <w:tcW w:w="1554" w:type="dxa"/>
          </w:tcPr>
          <w:p w14:paraId="4309B192" w14:textId="77777777" w:rsidR="00C008B6" w:rsidRPr="0007636A" w:rsidRDefault="00F14099" w:rsidP="0007636A">
            <w:pPr>
              <w:rPr>
                <w:sz w:val="18"/>
                <w:szCs w:val="18"/>
              </w:rPr>
            </w:pPr>
            <w:r w:rsidRPr="0007636A">
              <w:rPr>
                <w:sz w:val="18"/>
                <w:szCs w:val="18"/>
              </w:rPr>
              <w:t>Ratio</w:t>
            </w:r>
            <w:r w:rsidR="00C008B6" w:rsidRPr="0007636A">
              <w:rPr>
                <w:sz w:val="18"/>
                <w:szCs w:val="18"/>
              </w:rPr>
              <w:t xml:space="preserve"> (%)</w:t>
            </w:r>
          </w:p>
        </w:tc>
        <w:tc>
          <w:tcPr>
            <w:tcW w:w="1825" w:type="dxa"/>
          </w:tcPr>
          <w:p w14:paraId="65EDFE49" w14:textId="77777777" w:rsidR="00C008B6" w:rsidRPr="0007636A" w:rsidRDefault="00F14099" w:rsidP="0007636A">
            <w:pPr>
              <w:rPr>
                <w:sz w:val="18"/>
                <w:szCs w:val="18"/>
              </w:rPr>
            </w:pPr>
            <w:r w:rsidRPr="0007636A">
              <w:rPr>
                <w:sz w:val="18"/>
                <w:szCs w:val="18"/>
              </w:rPr>
              <w:t>Ratio</w:t>
            </w:r>
            <w:r w:rsidR="00C008B6" w:rsidRPr="0007636A">
              <w:rPr>
                <w:sz w:val="18"/>
                <w:szCs w:val="18"/>
              </w:rPr>
              <w:t xml:space="preserve"> (%)</w:t>
            </w:r>
          </w:p>
        </w:tc>
      </w:tr>
      <w:tr w:rsidR="00C008B6" w:rsidRPr="0007636A" w14:paraId="758FEDB6" w14:textId="77777777" w:rsidTr="00CD18ED">
        <w:trPr>
          <w:cantSplit/>
          <w:jc w:val="center"/>
        </w:trPr>
        <w:tc>
          <w:tcPr>
            <w:tcW w:w="1906" w:type="dxa"/>
          </w:tcPr>
          <w:p w14:paraId="3C33E788" w14:textId="77777777" w:rsidR="00C008B6" w:rsidRPr="0007636A" w:rsidRDefault="00C008B6" w:rsidP="0007636A">
            <w:pPr>
              <w:rPr>
                <w:sz w:val="18"/>
                <w:szCs w:val="18"/>
              </w:rPr>
            </w:pPr>
            <w:r w:rsidRPr="0007636A">
              <w:rPr>
                <w:sz w:val="18"/>
                <w:szCs w:val="18"/>
              </w:rPr>
              <w:t>B</w:t>
            </w:r>
            <w:r w:rsidR="000E32B5" w:rsidRPr="0007636A">
              <w:rPr>
                <w:sz w:val="18"/>
                <w:szCs w:val="18"/>
              </w:rPr>
              <w:t xml:space="preserve"> versus </w:t>
            </w:r>
            <w:r w:rsidRPr="0007636A">
              <w:rPr>
                <w:sz w:val="18"/>
                <w:szCs w:val="18"/>
              </w:rPr>
              <w:t>A Estimate</w:t>
            </w:r>
          </w:p>
        </w:tc>
        <w:tc>
          <w:tcPr>
            <w:tcW w:w="709" w:type="dxa"/>
          </w:tcPr>
          <w:p w14:paraId="2E46111E" w14:textId="77777777" w:rsidR="00C008B6" w:rsidRPr="0007636A" w:rsidRDefault="00C008B6" w:rsidP="0007636A">
            <w:pPr>
              <w:rPr>
                <w:sz w:val="18"/>
                <w:szCs w:val="18"/>
              </w:rPr>
            </w:pPr>
          </w:p>
        </w:tc>
        <w:tc>
          <w:tcPr>
            <w:tcW w:w="1515" w:type="dxa"/>
          </w:tcPr>
          <w:p w14:paraId="510B7507" w14:textId="77777777" w:rsidR="00C008B6" w:rsidRPr="0007636A" w:rsidRDefault="00C008B6" w:rsidP="0007636A">
            <w:pPr>
              <w:rPr>
                <w:sz w:val="18"/>
                <w:szCs w:val="18"/>
              </w:rPr>
            </w:pPr>
            <w:r w:rsidRPr="0007636A">
              <w:rPr>
                <w:sz w:val="18"/>
                <w:szCs w:val="18"/>
              </w:rPr>
              <w:t>0.0</w:t>
            </w:r>
          </w:p>
        </w:tc>
        <w:tc>
          <w:tcPr>
            <w:tcW w:w="1482" w:type="dxa"/>
          </w:tcPr>
          <w:p w14:paraId="3F95722C" w14:textId="77777777" w:rsidR="00C008B6" w:rsidRPr="0007636A" w:rsidRDefault="00C008B6" w:rsidP="0007636A">
            <w:pPr>
              <w:rPr>
                <w:sz w:val="18"/>
                <w:szCs w:val="18"/>
              </w:rPr>
            </w:pPr>
            <w:r w:rsidRPr="0007636A">
              <w:rPr>
                <w:sz w:val="18"/>
                <w:szCs w:val="18"/>
              </w:rPr>
              <w:t>102.1</w:t>
            </w:r>
          </w:p>
        </w:tc>
        <w:tc>
          <w:tcPr>
            <w:tcW w:w="1554" w:type="dxa"/>
          </w:tcPr>
          <w:p w14:paraId="6349D9A6" w14:textId="77777777" w:rsidR="00C008B6" w:rsidRPr="0007636A" w:rsidRDefault="00C008B6" w:rsidP="0007636A">
            <w:pPr>
              <w:rPr>
                <w:sz w:val="18"/>
                <w:szCs w:val="18"/>
              </w:rPr>
            </w:pPr>
            <w:r w:rsidRPr="0007636A">
              <w:rPr>
                <w:sz w:val="18"/>
                <w:szCs w:val="18"/>
              </w:rPr>
              <w:t>98.2</w:t>
            </w:r>
          </w:p>
        </w:tc>
        <w:tc>
          <w:tcPr>
            <w:tcW w:w="1825" w:type="dxa"/>
          </w:tcPr>
          <w:p w14:paraId="232FA314" w14:textId="77777777" w:rsidR="00C008B6" w:rsidRPr="0007636A" w:rsidRDefault="00C008B6" w:rsidP="0007636A">
            <w:pPr>
              <w:rPr>
                <w:sz w:val="18"/>
                <w:szCs w:val="18"/>
              </w:rPr>
            </w:pPr>
            <w:r w:rsidRPr="0007636A">
              <w:rPr>
                <w:sz w:val="18"/>
                <w:szCs w:val="18"/>
              </w:rPr>
              <w:t>95.6</w:t>
            </w:r>
          </w:p>
        </w:tc>
      </w:tr>
      <w:tr w:rsidR="00C008B6" w:rsidRPr="0007636A" w14:paraId="07850BD4" w14:textId="77777777" w:rsidTr="00CD18ED">
        <w:trPr>
          <w:cantSplit/>
          <w:jc w:val="center"/>
        </w:trPr>
        <w:tc>
          <w:tcPr>
            <w:tcW w:w="1906" w:type="dxa"/>
          </w:tcPr>
          <w:p w14:paraId="2D9F48D8" w14:textId="77777777" w:rsidR="00C008B6" w:rsidRPr="0007636A" w:rsidRDefault="00C008B6" w:rsidP="0007636A">
            <w:pPr>
              <w:rPr>
                <w:sz w:val="18"/>
                <w:szCs w:val="18"/>
              </w:rPr>
            </w:pPr>
            <w:r w:rsidRPr="0007636A">
              <w:rPr>
                <w:sz w:val="18"/>
                <w:szCs w:val="18"/>
              </w:rPr>
              <w:t>90% CI</w:t>
            </w:r>
          </w:p>
        </w:tc>
        <w:tc>
          <w:tcPr>
            <w:tcW w:w="709" w:type="dxa"/>
          </w:tcPr>
          <w:p w14:paraId="52BA4555" w14:textId="77777777" w:rsidR="00C008B6" w:rsidRPr="0007636A" w:rsidRDefault="00C008B6" w:rsidP="0007636A">
            <w:pPr>
              <w:rPr>
                <w:sz w:val="18"/>
                <w:szCs w:val="18"/>
              </w:rPr>
            </w:pPr>
          </w:p>
        </w:tc>
        <w:tc>
          <w:tcPr>
            <w:tcW w:w="1515" w:type="dxa"/>
          </w:tcPr>
          <w:p w14:paraId="4F02B6EE" w14:textId="77777777" w:rsidR="00C008B6" w:rsidRPr="0007636A" w:rsidRDefault="00C008B6" w:rsidP="0007636A">
            <w:pPr>
              <w:rPr>
                <w:sz w:val="18"/>
                <w:szCs w:val="18"/>
              </w:rPr>
            </w:pPr>
            <w:r w:rsidRPr="0007636A">
              <w:rPr>
                <w:sz w:val="18"/>
                <w:szCs w:val="18"/>
              </w:rPr>
              <w:t>-</w:t>
            </w:r>
          </w:p>
        </w:tc>
        <w:tc>
          <w:tcPr>
            <w:tcW w:w="1482" w:type="dxa"/>
          </w:tcPr>
          <w:p w14:paraId="36309543" w14:textId="177D2E65" w:rsidR="00C008B6" w:rsidRPr="0007636A" w:rsidRDefault="00C008B6" w:rsidP="0007636A">
            <w:pPr>
              <w:rPr>
                <w:sz w:val="18"/>
                <w:szCs w:val="18"/>
              </w:rPr>
            </w:pPr>
            <w:r w:rsidRPr="0007636A">
              <w:rPr>
                <w:sz w:val="18"/>
                <w:szCs w:val="18"/>
              </w:rPr>
              <w:t xml:space="preserve">92.3 </w:t>
            </w:r>
            <w:r w:rsidR="00AD51CF">
              <w:rPr>
                <w:sz w:val="18"/>
                <w:szCs w:val="18"/>
              </w:rPr>
              <w:t>to</w:t>
            </w:r>
            <w:r w:rsidRPr="0007636A">
              <w:rPr>
                <w:sz w:val="18"/>
                <w:szCs w:val="18"/>
              </w:rPr>
              <w:t xml:space="preserve"> 113.0</w:t>
            </w:r>
          </w:p>
        </w:tc>
        <w:tc>
          <w:tcPr>
            <w:tcW w:w="1554" w:type="dxa"/>
          </w:tcPr>
          <w:p w14:paraId="00DB0C27" w14:textId="38699FCD" w:rsidR="00C008B6" w:rsidRPr="0007636A" w:rsidRDefault="00C008B6" w:rsidP="0007636A">
            <w:pPr>
              <w:rPr>
                <w:sz w:val="18"/>
                <w:szCs w:val="18"/>
              </w:rPr>
            </w:pPr>
            <w:r w:rsidRPr="0007636A">
              <w:rPr>
                <w:sz w:val="18"/>
                <w:szCs w:val="18"/>
              </w:rPr>
              <w:t xml:space="preserve">95.2 </w:t>
            </w:r>
            <w:r w:rsidR="00AD51CF">
              <w:rPr>
                <w:sz w:val="18"/>
                <w:szCs w:val="18"/>
              </w:rPr>
              <w:t>to</w:t>
            </w:r>
            <w:r w:rsidRPr="0007636A">
              <w:rPr>
                <w:sz w:val="18"/>
                <w:szCs w:val="18"/>
              </w:rPr>
              <w:t xml:space="preserve"> 101.3</w:t>
            </w:r>
          </w:p>
        </w:tc>
        <w:tc>
          <w:tcPr>
            <w:tcW w:w="1825" w:type="dxa"/>
          </w:tcPr>
          <w:p w14:paraId="6E6DDB5A" w14:textId="47243D69" w:rsidR="00C008B6" w:rsidRPr="0007636A" w:rsidRDefault="00C008B6" w:rsidP="0007636A">
            <w:pPr>
              <w:rPr>
                <w:sz w:val="18"/>
                <w:szCs w:val="18"/>
              </w:rPr>
            </w:pPr>
            <w:r w:rsidRPr="0007636A">
              <w:rPr>
                <w:sz w:val="18"/>
                <w:szCs w:val="18"/>
              </w:rPr>
              <w:t xml:space="preserve">92.6 </w:t>
            </w:r>
            <w:r w:rsidR="00AD51CF">
              <w:rPr>
                <w:sz w:val="18"/>
                <w:szCs w:val="18"/>
              </w:rPr>
              <w:t>to</w:t>
            </w:r>
            <w:r w:rsidRPr="0007636A">
              <w:rPr>
                <w:sz w:val="18"/>
                <w:szCs w:val="18"/>
              </w:rPr>
              <w:t xml:space="preserve"> 98.8</w:t>
            </w:r>
          </w:p>
        </w:tc>
      </w:tr>
    </w:tbl>
    <w:p w14:paraId="162373E6" w14:textId="77777777" w:rsidR="00C008B6" w:rsidRPr="0007636A" w:rsidRDefault="006B573B" w:rsidP="006B573B">
      <w:pPr>
        <w:pStyle w:val="TableTitle"/>
        <w:rPr>
          <w:sz w:val="18"/>
          <w:szCs w:val="18"/>
        </w:rPr>
      </w:pPr>
      <w:r>
        <w:t xml:space="preserve">Table </w:t>
      </w:r>
      <w:r w:rsidR="00E55ACA">
        <w:t>5</w:t>
      </w:r>
      <w:r>
        <w:t>: Pharmacokinetics of sitagliptin</w:t>
      </w:r>
    </w:p>
    <w:tbl>
      <w:tblPr>
        <w:tblW w:w="866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069"/>
        <w:gridCol w:w="684"/>
        <w:gridCol w:w="1462"/>
        <w:gridCol w:w="1430"/>
        <w:gridCol w:w="1500"/>
        <w:gridCol w:w="1522"/>
      </w:tblGrid>
      <w:tr w:rsidR="006B573B" w:rsidRPr="006B573B" w14:paraId="56B38A0D" w14:textId="77777777" w:rsidTr="00816092">
        <w:trPr>
          <w:cantSplit/>
          <w:trHeight w:val="537"/>
          <w:tblHeader/>
          <w:jc w:val="center"/>
        </w:trPr>
        <w:tc>
          <w:tcPr>
            <w:tcW w:w="8667" w:type="dxa"/>
            <w:gridSpan w:val="6"/>
            <w:tcBorders>
              <w:bottom w:val="single" w:sz="2" w:space="0" w:color="auto"/>
            </w:tcBorders>
            <w:shd w:val="clear" w:color="auto" w:fill="0070C0"/>
            <w:vAlign w:val="center"/>
          </w:tcPr>
          <w:p w14:paraId="6921F4A7" w14:textId="77777777" w:rsidR="00C008B6" w:rsidRPr="006B573B" w:rsidRDefault="00C008B6" w:rsidP="006B573B">
            <w:pPr>
              <w:rPr>
                <w:b/>
                <w:color w:val="FFFFFF" w:themeColor="background1"/>
                <w:sz w:val="20"/>
                <w:szCs w:val="20"/>
              </w:rPr>
            </w:pPr>
            <w:r w:rsidRPr="006B573B">
              <w:rPr>
                <w:b/>
                <w:color w:val="FFFFFF" w:themeColor="background1"/>
                <w:sz w:val="20"/>
                <w:szCs w:val="20"/>
              </w:rPr>
              <w:t>Sitagliptin</w:t>
            </w:r>
          </w:p>
        </w:tc>
      </w:tr>
      <w:tr w:rsidR="006B573B" w:rsidRPr="006B573B" w14:paraId="22162675" w14:textId="77777777" w:rsidTr="00816092">
        <w:trPr>
          <w:cantSplit/>
          <w:trHeight w:val="731"/>
          <w:tblHeader/>
          <w:jc w:val="center"/>
        </w:trPr>
        <w:tc>
          <w:tcPr>
            <w:tcW w:w="2069" w:type="dxa"/>
            <w:shd w:val="clear" w:color="auto" w:fill="0070C0"/>
          </w:tcPr>
          <w:p w14:paraId="40C3F754" w14:textId="77777777" w:rsidR="00C008B6" w:rsidRPr="006B573B" w:rsidRDefault="00C008B6" w:rsidP="006B573B">
            <w:pPr>
              <w:rPr>
                <w:b/>
                <w:color w:val="FFFFFF" w:themeColor="background1"/>
                <w:sz w:val="20"/>
                <w:szCs w:val="20"/>
              </w:rPr>
            </w:pPr>
            <w:r w:rsidRPr="006B573B">
              <w:rPr>
                <w:b/>
                <w:color w:val="FFFFFF" w:themeColor="background1"/>
                <w:sz w:val="20"/>
                <w:szCs w:val="20"/>
              </w:rPr>
              <w:t>Single dose, prompt release</w:t>
            </w:r>
          </w:p>
        </w:tc>
        <w:tc>
          <w:tcPr>
            <w:tcW w:w="684" w:type="dxa"/>
            <w:shd w:val="clear" w:color="auto" w:fill="0070C0"/>
          </w:tcPr>
          <w:p w14:paraId="38F42CDB" w14:textId="77777777" w:rsidR="00C008B6" w:rsidRPr="006B573B" w:rsidRDefault="00C008B6" w:rsidP="006B573B">
            <w:pPr>
              <w:rPr>
                <w:b/>
                <w:color w:val="FFFFFF" w:themeColor="background1"/>
                <w:sz w:val="20"/>
                <w:szCs w:val="20"/>
              </w:rPr>
            </w:pPr>
            <w:r w:rsidRPr="006B573B">
              <w:rPr>
                <w:b/>
                <w:color w:val="FFFFFF" w:themeColor="background1"/>
                <w:sz w:val="20"/>
                <w:szCs w:val="20"/>
              </w:rPr>
              <w:t>n</w:t>
            </w:r>
          </w:p>
        </w:tc>
        <w:tc>
          <w:tcPr>
            <w:tcW w:w="1462" w:type="dxa"/>
            <w:shd w:val="clear" w:color="auto" w:fill="0070C0"/>
          </w:tcPr>
          <w:p w14:paraId="0A699126" w14:textId="5454B8FD" w:rsidR="00C008B6" w:rsidRPr="00FA6C7E" w:rsidRDefault="00E700A6" w:rsidP="006B573B">
            <w:pPr>
              <w:rPr>
                <w:b/>
                <w:color w:val="FFFFFF" w:themeColor="background1"/>
                <w:sz w:val="20"/>
                <w:szCs w:val="20"/>
              </w:rPr>
            </w:pPr>
            <w:r w:rsidRPr="00FA6C7E">
              <w:rPr>
                <w:color w:val="FFFFFF" w:themeColor="background1"/>
              </w:rPr>
              <w:t>T</w:t>
            </w:r>
            <w:r w:rsidRPr="00FA6C7E">
              <w:rPr>
                <w:color w:val="FFFFFF" w:themeColor="background1"/>
                <w:vertAlign w:val="subscript"/>
              </w:rPr>
              <w:t>max</w:t>
            </w:r>
            <w:r w:rsidR="00C008B6" w:rsidRPr="00FA6C7E">
              <w:rPr>
                <w:b/>
                <w:color w:val="FFFFFF" w:themeColor="background1"/>
                <w:sz w:val="20"/>
                <w:szCs w:val="20"/>
              </w:rPr>
              <w:t xml:space="preserve"> (h)</w:t>
            </w:r>
            <w:r w:rsidR="00AD51CF">
              <w:rPr>
                <w:b/>
                <w:color w:val="FFFFFF" w:themeColor="background1"/>
                <w:sz w:val="20"/>
                <w:szCs w:val="20"/>
              </w:rPr>
              <w:t xml:space="preserve"> </w:t>
            </w:r>
            <w:r w:rsidR="00C008B6" w:rsidRPr="00FA6C7E">
              <w:rPr>
                <w:b/>
                <w:color w:val="FFFFFF" w:themeColor="background1"/>
                <w:sz w:val="20"/>
                <w:szCs w:val="20"/>
              </w:rPr>
              <w:t>(range)</w:t>
            </w:r>
          </w:p>
        </w:tc>
        <w:tc>
          <w:tcPr>
            <w:tcW w:w="1430" w:type="dxa"/>
            <w:shd w:val="clear" w:color="auto" w:fill="0070C0"/>
          </w:tcPr>
          <w:p w14:paraId="0EF20C24" w14:textId="5149A590" w:rsidR="00C008B6" w:rsidRPr="00FA6C7E" w:rsidRDefault="00E700A6" w:rsidP="006B573B">
            <w:pPr>
              <w:rPr>
                <w:b/>
                <w:color w:val="FFFFFF" w:themeColor="background1"/>
                <w:sz w:val="20"/>
                <w:szCs w:val="20"/>
              </w:rPr>
            </w:pPr>
            <w:r w:rsidRPr="00FA6C7E">
              <w:rPr>
                <w:color w:val="FFFFFF" w:themeColor="background1"/>
              </w:rPr>
              <w:t>C</w:t>
            </w:r>
            <w:r w:rsidRPr="00FA6C7E">
              <w:rPr>
                <w:color w:val="FFFFFF" w:themeColor="background1"/>
                <w:vertAlign w:val="subscript"/>
              </w:rPr>
              <w:t>max</w:t>
            </w:r>
            <w:r w:rsidR="00C008B6" w:rsidRPr="00FA6C7E">
              <w:rPr>
                <w:b/>
                <w:color w:val="FFFFFF" w:themeColor="background1"/>
                <w:sz w:val="20"/>
                <w:szCs w:val="20"/>
              </w:rPr>
              <w:t xml:space="preserve"> (</w:t>
            </w:r>
            <w:r w:rsidR="00C008B6" w:rsidRPr="00FA6C7E">
              <w:rPr>
                <w:rFonts w:cs="Arial"/>
                <w:b/>
                <w:color w:val="FFFFFF" w:themeColor="background1"/>
                <w:sz w:val="20"/>
                <w:szCs w:val="20"/>
              </w:rPr>
              <w:t>n</w:t>
            </w:r>
            <w:r w:rsidR="00C008B6" w:rsidRPr="00FA6C7E">
              <w:rPr>
                <w:b/>
                <w:color w:val="FFFFFF" w:themeColor="background1"/>
                <w:sz w:val="20"/>
                <w:szCs w:val="20"/>
              </w:rPr>
              <w:t>M)</w:t>
            </w:r>
          </w:p>
        </w:tc>
        <w:tc>
          <w:tcPr>
            <w:tcW w:w="1500" w:type="dxa"/>
            <w:shd w:val="clear" w:color="auto" w:fill="0070C0"/>
          </w:tcPr>
          <w:p w14:paraId="76C8706E" w14:textId="1161757C" w:rsidR="00C008B6" w:rsidRPr="006B573B" w:rsidRDefault="00C008B6" w:rsidP="006B573B">
            <w:pPr>
              <w:rPr>
                <w:b/>
                <w:color w:val="FFFFFF" w:themeColor="background1"/>
                <w:sz w:val="20"/>
                <w:szCs w:val="20"/>
              </w:rPr>
            </w:pPr>
            <w:r w:rsidRPr="006B573B">
              <w:rPr>
                <w:b/>
                <w:color w:val="FFFFFF" w:themeColor="background1"/>
                <w:sz w:val="20"/>
                <w:szCs w:val="20"/>
              </w:rPr>
              <w:t>AUC</w:t>
            </w:r>
            <w:r w:rsidRPr="006B573B">
              <w:rPr>
                <w:b/>
                <w:color w:val="FFFFFF" w:themeColor="background1"/>
                <w:sz w:val="20"/>
                <w:szCs w:val="20"/>
                <w:vertAlign w:val="subscript"/>
              </w:rPr>
              <w:t>0-t</w:t>
            </w:r>
            <w:r w:rsidRPr="006B573B">
              <w:rPr>
                <w:b/>
                <w:color w:val="FFFFFF" w:themeColor="background1"/>
                <w:sz w:val="20"/>
                <w:szCs w:val="20"/>
              </w:rPr>
              <w:t xml:space="preserve"> (µM.h) </w:t>
            </w:r>
          </w:p>
        </w:tc>
        <w:tc>
          <w:tcPr>
            <w:tcW w:w="1521" w:type="dxa"/>
            <w:shd w:val="clear" w:color="auto" w:fill="0070C0"/>
          </w:tcPr>
          <w:p w14:paraId="028E2460" w14:textId="7D9850E9" w:rsidR="00C008B6" w:rsidRPr="006B573B" w:rsidRDefault="00C008B6" w:rsidP="006B573B">
            <w:pPr>
              <w:rPr>
                <w:b/>
                <w:color w:val="FFFFFF" w:themeColor="background1"/>
                <w:sz w:val="20"/>
                <w:szCs w:val="20"/>
              </w:rPr>
            </w:pPr>
            <w:r w:rsidRPr="006B573B">
              <w:rPr>
                <w:b/>
                <w:color w:val="FFFFFF" w:themeColor="background1"/>
                <w:sz w:val="20"/>
                <w:szCs w:val="20"/>
              </w:rPr>
              <w:t>AUC</w:t>
            </w:r>
            <w:r w:rsidRPr="006B573B">
              <w:rPr>
                <w:b/>
                <w:color w:val="FFFFFF" w:themeColor="background1"/>
                <w:sz w:val="20"/>
                <w:szCs w:val="20"/>
                <w:vertAlign w:val="subscript"/>
              </w:rPr>
              <w:t>0-</w:t>
            </w:r>
            <w:r w:rsidRPr="006B573B">
              <w:rPr>
                <w:rFonts w:cs="Arial"/>
                <w:b/>
                <w:color w:val="FFFFFF" w:themeColor="background1"/>
                <w:sz w:val="20"/>
                <w:szCs w:val="20"/>
                <w:vertAlign w:val="subscript"/>
              </w:rPr>
              <w:t>∞</w:t>
            </w:r>
            <w:r w:rsidRPr="006B573B">
              <w:rPr>
                <w:b/>
                <w:color w:val="FFFFFF" w:themeColor="background1"/>
                <w:sz w:val="20"/>
                <w:szCs w:val="20"/>
              </w:rPr>
              <w:t xml:space="preserve"> (µM.h)</w:t>
            </w:r>
          </w:p>
        </w:tc>
      </w:tr>
      <w:tr w:rsidR="00C008B6" w:rsidRPr="0007636A" w14:paraId="1F018C34" w14:textId="77777777" w:rsidTr="00816092">
        <w:trPr>
          <w:cantSplit/>
          <w:trHeight w:val="827"/>
          <w:jc w:val="center"/>
        </w:trPr>
        <w:tc>
          <w:tcPr>
            <w:tcW w:w="2069" w:type="dxa"/>
          </w:tcPr>
          <w:p w14:paraId="46CE1718" w14:textId="5764EBC9" w:rsidR="00C008B6" w:rsidRPr="006B573B" w:rsidRDefault="00C008B6" w:rsidP="006B573B">
            <w:pPr>
              <w:rPr>
                <w:rFonts w:cs="Arial"/>
                <w:sz w:val="20"/>
                <w:szCs w:val="20"/>
              </w:rPr>
            </w:pPr>
            <w:r w:rsidRPr="006B573B">
              <w:rPr>
                <w:rFonts w:cs="Arial"/>
                <w:sz w:val="20"/>
                <w:szCs w:val="20"/>
              </w:rPr>
              <w:t>Treatment A</w:t>
            </w:r>
          </w:p>
          <w:p w14:paraId="6B58D439" w14:textId="77777777" w:rsidR="00C008B6" w:rsidRPr="006B573B" w:rsidRDefault="00C008B6" w:rsidP="006B573B">
            <w:pPr>
              <w:rPr>
                <w:rFonts w:cs="Arial"/>
                <w:sz w:val="20"/>
                <w:szCs w:val="20"/>
              </w:rPr>
            </w:pPr>
            <w:r w:rsidRPr="006B573B">
              <w:rPr>
                <w:rFonts w:cs="Arial"/>
                <w:sz w:val="20"/>
                <w:szCs w:val="20"/>
              </w:rPr>
              <w:t>Monotherapy</w:t>
            </w:r>
          </w:p>
        </w:tc>
        <w:tc>
          <w:tcPr>
            <w:tcW w:w="684" w:type="dxa"/>
          </w:tcPr>
          <w:p w14:paraId="49D28D1C" w14:textId="77777777" w:rsidR="00C008B6" w:rsidRPr="006B573B" w:rsidRDefault="00C008B6" w:rsidP="006B573B">
            <w:pPr>
              <w:rPr>
                <w:sz w:val="20"/>
                <w:szCs w:val="20"/>
              </w:rPr>
            </w:pPr>
            <w:r w:rsidRPr="006B573B">
              <w:rPr>
                <w:sz w:val="20"/>
                <w:szCs w:val="20"/>
              </w:rPr>
              <w:t>18, 17</w:t>
            </w:r>
          </w:p>
        </w:tc>
        <w:tc>
          <w:tcPr>
            <w:tcW w:w="1462" w:type="dxa"/>
          </w:tcPr>
          <w:p w14:paraId="2D7C557F" w14:textId="55B6627F" w:rsidR="00C008B6" w:rsidRPr="006B573B" w:rsidRDefault="00C008B6" w:rsidP="006B573B">
            <w:pPr>
              <w:rPr>
                <w:sz w:val="20"/>
                <w:szCs w:val="20"/>
              </w:rPr>
            </w:pPr>
            <w:r w:rsidRPr="006B573B">
              <w:rPr>
                <w:sz w:val="20"/>
                <w:szCs w:val="20"/>
              </w:rPr>
              <w:t>3.980</w:t>
            </w:r>
          </w:p>
          <w:p w14:paraId="15E8B950" w14:textId="77777777" w:rsidR="00C008B6" w:rsidRPr="006B573B" w:rsidRDefault="00C008B6" w:rsidP="006B573B">
            <w:pPr>
              <w:rPr>
                <w:sz w:val="20"/>
                <w:szCs w:val="20"/>
              </w:rPr>
            </w:pPr>
            <w:r w:rsidRPr="006B573B">
              <w:rPr>
                <w:sz w:val="20"/>
                <w:szCs w:val="20"/>
              </w:rPr>
              <w:t>(1.980, 5.000)</w:t>
            </w:r>
          </w:p>
        </w:tc>
        <w:tc>
          <w:tcPr>
            <w:tcW w:w="1430" w:type="dxa"/>
          </w:tcPr>
          <w:p w14:paraId="1C19F32D" w14:textId="77777777" w:rsidR="00C008B6" w:rsidRPr="006B573B" w:rsidRDefault="00C008B6" w:rsidP="006B573B">
            <w:pPr>
              <w:rPr>
                <w:sz w:val="20"/>
                <w:szCs w:val="20"/>
              </w:rPr>
            </w:pPr>
            <w:r w:rsidRPr="006B573B">
              <w:rPr>
                <w:sz w:val="20"/>
                <w:szCs w:val="20"/>
              </w:rPr>
              <w:t>579.175</w:t>
            </w:r>
          </w:p>
        </w:tc>
        <w:tc>
          <w:tcPr>
            <w:tcW w:w="1500" w:type="dxa"/>
          </w:tcPr>
          <w:p w14:paraId="2A92D945" w14:textId="77777777" w:rsidR="00C008B6" w:rsidRPr="006B573B" w:rsidRDefault="00C008B6" w:rsidP="006B573B">
            <w:pPr>
              <w:rPr>
                <w:sz w:val="20"/>
                <w:szCs w:val="20"/>
              </w:rPr>
            </w:pPr>
            <w:r w:rsidRPr="006B573B">
              <w:rPr>
                <w:sz w:val="20"/>
                <w:szCs w:val="20"/>
              </w:rPr>
              <w:t>7.058</w:t>
            </w:r>
          </w:p>
        </w:tc>
        <w:tc>
          <w:tcPr>
            <w:tcW w:w="1521" w:type="dxa"/>
          </w:tcPr>
          <w:p w14:paraId="5EA5F053" w14:textId="77777777" w:rsidR="00C008B6" w:rsidRPr="006B573B" w:rsidRDefault="00C008B6" w:rsidP="006B573B">
            <w:pPr>
              <w:rPr>
                <w:sz w:val="20"/>
                <w:szCs w:val="20"/>
              </w:rPr>
            </w:pPr>
            <w:r w:rsidRPr="006B573B">
              <w:rPr>
                <w:sz w:val="20"/>
                <w:szCs w:val="20"/>
              </w:rPr>
              <w:t>7.239</w:t>
            </w:r>
          </w:p>
        </w:tc>
      </w:tr>
      <w:tr w:rsidR="00C008B6" w:rsidRPr="0007636A" w14:paraId="7F03C568" w14:textId="77777777" w:rsidTr="00816092">
        <w:trPr>
          <w:cantSplit/>
          <w:trHeight w:val="838"/>
          <w:jc w:val="center"/>
        </w:trPr>
        <w:tc>
          <w:tcPr>
            <w:tcW w:w="2069" w:type="dxa"/>
          </w:tcPr>
          <w:p w14:paraId="196C5786" w14:textId="77777777" w:rsidR="00C008B6" w:rsidRPr="006B573B" w:rsidRDefault="00C008B6" w:rsidP="00DD7FF1">
            <w:pPr>
              <w:rPr>
                <w:rFonts w:cs="Arial"/>
                <w:sz w:val="20"/>
                <w:szCs w:val="20"/>
              </w:rPr>
            </w:pPr>
            <w:r w:rsidRPr="006B573B">
              <w:rPr>
                <w:rFonts w:cs="Arial"/>
                <w:sz w:val="20"/>
                <w:szCs w:val="20"/>
              </w:rPr>
              <w:t>Treatment B</w:t>
            </w:r>
            <w:r w:rsidR="00DD7FF1">
              <w:rPr>
                <w:rFonts w:cs="Arial"/>
                <w:sz w:val="20"/>
                <w:szCs w:val="20"/>
              </w:rPr>
              <w:t xml:space="preserve"> </w:t>
            </w:r>
            <w:r w:rsidRPr="006B573B">
              <w:rPr>
                <w:rFonts w:cs="Arial"/>
                <w:sz w:val="20"/>
                <w:szCs w:val="20"/>
              </w:rPr>
              <w:t>FDC</w:t>
            </w:r>
          </w:p>
        </w:tc>
        <w:tc>
          <w:tcPr>
            <w:tcW w:w="684" w:type="dxa"/>
          </w:tcPr>
          <w:p w14:paraId="6C665EBB" w14:textId="77777777" w:rsidR="00C008B6" w:rsidRPr="006B573B" w:rsidRDefault="00C008B6" w:rsidP="006B573B">
            <w:pPr>
              <w:rPr>
                <w:sz w:val="20"/>
                <w:szCs w:val="20"/>
              </w:rPr>
            </w:pPr>
            <w:r w:rsidRPr="006B573B">
              <w:rPr>
                <w:sz w:val="20"/>
                <w:szCs w:val="20"/>
              </w:rPr>
              <w:t>18, 18</w:t>
            </w:r>
          </w:p>
        </w:tc>
        <w:tc>
          <w:tcPr>
            <w:tcW w:w="1462" w:type="dxa"/>
          </w:tcPr>
          <w:p w14:paraId="2E4D2ED6" w14:textId="50ED923B" w:rsidR="00C008B6" w:rsidRPr="006B573B" w:rsidRDefault="00C008B6" w:rsidP="006B573B">
            <w:pPr>
              <w:rPr>
                <w:sz w:val="20"/>
                <w:szCs w:val="20"/>
              </w:rPr>
            </w:pPr>
            <w:r w:rsidRPr="006B573B">
              <w:rPr>
                <w:sz w:val="20"/>
                <w:szCs w:val="20"/>
              </w:rPr>
              <w:t>3.000</w:t>
            </w:r>
          </w:p>
          <w:p w14:paraId="620A87CE" w14:textId="77777777" w:rsidR="00C008B6" w:rsidRPr="006B573B" w:rsidRDefault="00C008B6" w:rsidP="006B573B">
            <w:pPr>
              <w:rPr>
                <w:sz w:val="20"/>
                <w:szCs w:val="20"/>
              </w:rPr>
            </w:pPr>
            <w:r w:rsidRPr="006B573B">
              <w:rPr>
                <w:sz w:val="20"/>
                <w:szCs w:val="20"/>
              </w:rPr>
              <w:t>(0.500, 6.020)</w:t>
            </w:r>
          </w:p>
        </w:tc>
        <w:tc>
          <w:tcPr>
            <w:tcW w:w="1430" w:type="dxa"/>
          </w:tcPr>
          <w:p w14:paraId="4908CF4A" w14:textId="77777777" w:rsidR="00C008B6" w:rsidRPr="006B573B" w:rsidRDefault="00C008B6" w:rsidP="006B573B">
            <w:pPr>
              <w:rPr>
                <w:sz w:val="20"/>
                <w:szCs w:val="20"/>
              </w:rPr>
            </w:pPr>
            <w:r w:rsidRPr="006B573B">
              <w:rPr>
                <w:sz w:val="20"/>
                <w:szCs w:val="20"/>
              </w:rPr>
              <w:t>661.066</w:t>
            </w:r>
          </w:p>
        </w:tc>
        <w:tc>
          <w:tcPr>
            <w:tcW w:w="1500" w:type="dxa"/>
          </w:tcPr>
          <w:p w14:paraId="72052179" w14:textId="77777777" w:rsidR="00C008B6" w:rsidRPr="006B573B" w:rsidRDefault="00C008B6" w:rsidP="006B573B">
            <w:pPr>
              <w:rPr>
                <w:sz w:val="20"/>
                <w:szCs w:val="20"/>
              </w:rPr>
            </w:pPr>
            <w:r w:rsidRPr="006B573B">
              <w:rPr>
                <w:sz w:val="20"/>
                <w:szCs w:val="20"/>
              </w:rPr>
              <w:t>7.241</w:t>
            </w:r>
          </w:p>
        </w:tc>
        <w:tc>
          <w:tcPr>
            <w:tcW w:w="1521" w:type="dxa"/>
          </w:tcPr>
          <w:p w14:paraId="49E205C2" w14:textId="77777777" w:rsidR="00C008B6" w:rsidRPr="006B573B" w:rsidRDefault="00C008B6" w:rsidP="006B573B">
            <w:pPr>
              <w:rPr>
                <w:sz w:val="20"/>
                <w:szCs w:val="20"/>
              </w:rPr>
            </w:pPr>
            <w:r w:rsidRPr="006B573B">
              <w:rPr>
                <w:sz w:val="20"/>
                <w:szCs w:val="20"/>
              </w:rPr>
              <w:t>7.343</w:t>
            </w:r>
          </w:p>
        </w:tc>
      </w:tr>
      <w:tr w:rsidR="00C008B6" w:rsidRPr="0007636A" w14:paraId="270E11A3" w14:textId="77777777" w:rsidTr="00816092">
        <w:trPr>
          <w:cantSplit/>
          <w:trHeight w:val="473"/>
          <w:jc w:val="center"/>
        </w:trPr>
        <w:tc>
          <w:tcPr>
            <w:tcW w:w="2069" w:type="dxa"/>
          </w:tcPr>
          <w:p w14:paraId="4EB91021" w14:textId="77777777" w:rsidR="00C008B6" w:rsidRPr="006B573B" w:rsidRDefault="00C008B6" w:rsidP="006B573B">
            <w:pPr>
              <w:rPr>
                <w:sz w:val="20"/>
                <w:szCs w:val="20"/>
              </w:rPr>
            </w:pPr>
            <w:r w:rsidRPr="006B573B">
              <w:rPr>
                <w:sz w:val="20"/>
                <w:szCs w:val="20"/>
              </w:rPr>
              <w:t>Statistical analysis:</w:t>
            </w:r>
          </w:p>
        </w:tc>
        <w:tc>
          <w:tcPr>
            <w:tcW w:w="684" w:type="dxa"/>
          </w:tcPr>
          <w:p w14:paraId="2CACAAAA" w14:textId="77777777" w:rsidR="00C008B6" w:rsidRPr="006B573B" w:rsidRDefault="00C008B6" w:rsidP="006B573B">
            <w:pPr>
              <w:rPr>
                <w:sz w:val="20"/>
                <w:szCs w:val="20"/>
              </w:rPr>
            </w:pPr>
          </w:p>
        </w:tc>
        <w:tc>
          <w:tcPr>
            <w:tcW w:w="1462" w:type="dxa"/>
          </w:tcPr>
          <w:p w14:paraId="771C0C14" w14:textId="77777777" w:rsidR="00C008B6" w:rsidRPr="006B573B" w:rsidRDefault="00C008B6" w:rsidP="006B573B">
            <w:pPr>
              <w:rPr>
                <w:sz w:val="20"/>
                <w:szCs w:val="20"/>
              </w:rPr>
            </w:pPr>
            <w:r w:rsidRPr="006B573B">
              <w:rPr>
                <w:sz w:val="20"/>
                <w:szCs w:val="20"/>
              </w:rPr>
              <w:t>Median diff.</w:t>
            </w:r>
          </w:p>
        </w:tc>
        <w:tc>
          <w:tcPr>
            <w:tcW w:w="1430" w:type="dxa"/>
          </w:tcPr>
          <w:p w14:paraId="0A0850AF" w14:textId="77777777" w:rsidR="00C008B6" w:rsidRPr="006B573B" w:rsidRDefault="00F14099" w:rsidP="006B573B">
            <w:pPr>
              <w:rPr>
                <w:sz w:val="20"/>
                <w:szCs w:val="20"/>
              </w:rPr>
            </w:pPr>
            <w:r w:rsidRPr="006B573B">
              <w:rPr>
                <w:sz w:val="20"/>
                <w:szCs w:val="20"/>
              </w:rPr>
              <w:t>Ratio</w:t>
            </w:r>
            <w:r w:rsidR="00C008B6" w:rsidRPr="006B573B">
              <w:rPr>
                <w:sz w:val="20"/>
                <w:szCs w:val="20"/>
              </w:rPr>
              <w:t xml:space="preserve"> (%)</w:t>
            </w:r>
          </w:p>
        </w:tc>
        <w:tc>
          <w:tcPr>
            <w:tcW w:w="1500" w:type="dxa"/>
          </w:tcPr>
          <w:p w14:paraId="7C0BEEF6" w14:textId="77777777" w:rsidR="00C008B6" w:rsidRPr="006B573B" w:rsidRDefault="00F14099" w:rsidP="006B573B">
            <w:pPr>
              <w:rPr>
                <w:sz w:val="20"/>
                <w:szCs w:val="20"/>
              </w:rPr>
            </w:pPr>
            <w:r w:rsidRPr="006B573B">
              <w:rPr>
                <w:sz w:val="20"/>
                <w:szCs w:val="20"/>
              </w:rPr>
              <w:t>Ratio</w:t>
            </w:r>
            <w:r w:rsidR="00C008B6" w:rsidRPr="006B573B">
              <w:rPr>
                <w:sz w:val="20"/>
                <w:szCs w:val="20"/>
              </w:rPr>
              <w:t xml:space="preserve"> (%)</w:t>
            </w:r>
          </w:p>
        </w:tc>
        <w:tc>
          <w:tcPr>
            <w:tcW w:w="1521" w:type="dxa"/>
          </w:tcPr>
          <w:p w14:paraId="70DB45B5" w14:textId="77777777" w:rsidR="00C008B6" w:rsidRPr="006B573B" w:rsidRDefault="00F14099" w:rsidP="006B573B">
            <w:pPr>
              <w:rPr>
                <w:sz w:val="20"/>
                <w:szCs w:val="20"/>
              </w:rPr>
            </w:pPr>
            <w:r w:rsidRPr="006B573B">
              <w:rPr>
                <w:sz w:val="20"/>
                <w:szCs w:val="20"/>
              </w:rPr>
              <w:t>Ratio</w:t>
            </w:r>
            <w:r w:rsidR="00C008B6" w:rsidRPr="006B573B">
              <w:rPr>
                <w:sz w:val="20"/>
                <w:szCs w:val="20"/>
              </w:rPr>
              <w:t xml:space="preserve"> (%)</w:t>
            </w:r>
          </w:p>
        </w:tc>
      </w:tr>
      <w:tr w:rsidR="00C008B6" w:rsidRPr="0007636A" w14:paraId="123512AD" w14:textId="77777777" w:rsidTr="00816092">
        <w:trPr>
          <w:cantSplit/>
          <w:trHeight w:val="473"/>
          <w:jc w:val="center"/>
        </w:trPr>
        <w:tc>
          <w:tcPr>
            <w:tcW w:w="2069" w:type="dxa"/>
          </w:tcPr>
          <w:p w14:paraId="61C76ECF" w14:textId="77777777" w:rsidR="00C008B6" w:rsidRPr="006B573B" w:rsidRDefault="00C008B6" w:rsidP="006B573B">
            <w:pPr>
              <w:rPr>
                <w:sz w:val="20"/>
                <w:szCs w:val="20"/>
              </w:rPr>
            </w:pPr>
            <w:r w:rsidRPr="006B573B">
              <w:rPr>
                <w:sz w:val="20"/>
                <w:szCs w:val="20"/>
              </w:rPr>
              <w:t>B</w:t>
            </w:r>
            <w:r w:rsidR="000E32B5" w:rsidRPr="006B573B">
              <w:rPr>
                <w:sz w:val="20"/>
                <w:szCs w:val="20"/>
              </w:rPr>
              <w:t xml:space="preserve"> versus </w:t>
            </w:r>
            <w:r w:rsidRPr="006B573B">
              <w:rPr>
                <w:sz w:val="20"/>
                <w:szCs w:val="20"/>
              </w:rPr>
              <w:t>A Estimate</w:t>
            </w:r>
          </w:p>
        </w:tc>
        <w:tc>
          <w:tcPr>
            <w:tcW w:w="684" w:type="dxa"/>
          </w:tcPr>
          <w:p w14:paraId="3AF2D7D0" w14:textId="77777777" w:rsidR="00C008B6" w:rsidRPr="006B573B" w:rsidRDefault="00C008B6" w:rsidP="006B573B">
            <w:pPr>
              <w:rPr>
                <w:sz w:val="20"/>
                <w:szCs w:val="20"/>
              </w:rPr>
            </w:pPr>
          </w:p>
        </w:tc>
        <w:tc>
          <w:tcPr>
            <w:tcW w:w="1462" w:type="dxa"/>
          </w:tcPr>
          <w:p w14:paraId="114E0D86" w14:textId="77777777" w:rsidR="00C008B6" w:rsidRPr="006B573B" w:rsidRDefault="00C008B6" w:rsidP="006B573B">
            <w:pPr>
              <w:rPr>
                <w:sz w:val="20"/>
                <w:szCs w:val="20"/>
              </w:rPr>
            </w:pPr>
            <w:r w:rsidRPr="006B573B">
              <w:rPr>
                <w:sz w:val="20"/>
                <w:szCs w:val="20"/>
              </w:rPr>
              <w:t>1.0</w:t>
            </w:r>
          </w:p>
        </w:tc>
        <w:tc>
          <w:tcPr>
            <w:tcW w:w="1430" w:type="dxa"/>
          </w:tcPr>
          <w:p w14:paraId="7A6981AD" w14:textId="77777777" w:rsidR="00C008B6" w:rsidRPr="006B573B" w:rsidRDefault="00C008B6" w:rsidP="006B573B">
            <w:pPr>
              <w:rPr>
                <w:sz w:val="20"/>
                <w:szCs w:val="20"/>
              </w:rPr>
            </w:pPr>
            <w:r w:rsidRPr="006B573B">
              <w:rPr>
                <w:sz w:val="20"/>
                <w:szCs w:val="20"/>
              </w:rPr>
              <w:t>114.1</w:t>
            </w:r>
          </w:p>
        </w:tc>
        <w:tc>
          <w:tcPr>
            <w:tcW w:w="1500" w:type="dxa"/>
          </w:tcPr>
          <w:p w14:paraId="3CA0CC4C" w14:textId="77777777" w:rsidR="00C008B6" w:rsidRPr="006B573B" w:rsidRDefault="00C008B6" w:rsidP="006B573B">
            <w:pPr>
              <w:rPr>
                <w:sz w:val="20"/>
                <w:szCs w:val="20"/>
              </w:rPr>
            </w:pPr>
            <w:r w:rsidRPr="006B573B">
              <w:rPr>
                <w:sz w:val="20"/>
                <w:szCs w:val="20"/>
              </w:rPr>
              <w:t>102.6</w:t>
            </w:r>
          </w:p>
        </w:tc>
        <w:tc>
          <w:tcPr>
            <w:tcW w:w="1521" w:type="dxa"/>
          </w:tcPr>
          <w:p w14:paraId="7FCA6296" w14:textId="77777777" w:rsidR="00C008B6" w:rsidRPr="006B573B" w:rsidRDefault="00C008B6" w:rsidP="006B573B">
            <w:pPr>
              <w:rPr>
                <w:sz w:val="20"/>
                <w:szCs w:val="20"/>
              </w:rPr>
            </w:pPr>
            <w:r w:rsidRPr="006B573B">
              <w:rPr>
                <w:sz w:val="20"/>
                <w:szCs w:val="20"/>
              </w:rPr>
              <w:t>101.4</w:t>
            </w:r>
          </w:p>
        </w:tc>
      </w:tr>
      <w:tr w:rsidR="00C008B6" w:rsidRPr="0007636A" w14:paraId="2A069116" w14:textId="77777777" w:rsidTr="00816092">
        <w:trPr>
          <w:cantSplit/>
          <w:trHeight w:val="484"/>
          <w:jc w:val="center"/>
        </w:trPr>
        <w:tc>
          <w:tcPr>
            <w:tcW w:w="2069" w:type="dxa"/>
          </w:tcPr>
          <w:p w14:paraId="191A25D5" w14:textId="77777777" w:rsidR="00C008B6" w:rsidRPr="006B573B" w:rsidRDefault="00C008B6" w:rsidP="006B573B">
            <w:pPr>
              <w:rPr>
                <w:sz w:val="20"/>
                <w:szCs w:val="20"/>
              </w:rPr>
            </w:pPr>
            <w:r w:rsidRPr="006B573B">
              <w:rPr>
                <w:sz w:val="20"/>
                <w:szCs w:val="20"/>
              </w:rPr>
              <w:lastRenderedPageBreak/>
              <w:t>90% CI</w:t>
            </w:r>
          </w:p>
        </w:tc>
        <w:tc>
          <w:tcPr>
            <w:tcW w:w="684" w:type="dxa"/>
          </w:tcPr>
          <w:p w14:paraId="1B2A0B96" w14:textId="77777777" w:rsidR="00C008B6" w:rsidRPr="006B573B" w:rsidRDefault="00C008B6" w:rsidP="006B573B">
            <w:pPr>
              <w:rPr>
                <w:sz w:val="20"/>
                <w:szCs w:val="20"/>
              </w:rPr>
            </w:pPr>
          </w:p>
        </w:tc>
        <w:tc>
          <w:tcPr>
            <w:tcW w:w="1462" w:type="dxa"/>
          </w:tcPr>
          <w:p w14:paraId="370B3D9A" w14:textId="77777777" w:rsidR="00C008B6" w:rsidRPr="006B573B" w:rsidRDefault="00C008B6" w:rsidP="006B573B">
            <w:pPr>
              <w:rPr>
                <w:sz w:val="20"/>
                <w:szCs w:val="20"/>
              </w:rPr>
            </w:pPr>
            <w:r w:rsidRPr="006B573B">
              <w:rPr>
                <w:sz w:val="20"/>
                <w:szCs w:val="20"/>
              </w:rPr>
              <w:t>-</w:t>
            </w:r>
          </w:p>
        </w:tc>
        <w:tc>
          <w:tcPr>
            <w:tcW w:w="1430" w:type="dxa"/>
          </w:tcPr>
          <w:p w14:paraId="45471B0E" w14:textId="450FB115" w:rsidR="00C008B6" w:rsidRPr="006B573B" w:rsidRDefault="00C008B6" w:rsidP="006B573B">
            <w:pPr>
              <w:rPr>
                <w:sz w:val="20"/>
                <w:szCs w:val="20"/>
              </w:rPr>
            </w:pPr>
            <w:r w:rsidRPr="006B573B">
              <w:rPr>
                <w:sz w:val="20"/>
                <w:szCs w:val="20"/>
              </w:rPr>
              <w:t xml:space="preserve">108.3 </w:t>
            </w:r>
            <w:r w:rsidR="00AD51CF">
              <w:rPr>
                <w:sz w:val="20"/>
                <w:szCs w:val="20"/>
              </w:rPr>
              <w:t>to</w:t>
            </w:r>
            <w:r w:rsidRPr="006B573B">
              <w:rPr>
                <w:sz w:val="20"/>
                <w:szCs w:val="20"/>
              </w:rPr>
              <w:t xml:space="preserve"> 120.2</w:t>
            </w:r>
          </w:p>
        </w:tc>
        <w:tc>
          <w:tcPr>
            <w:tcW w:w="1500" w:type="dxa"/>
          </w:tcPr>
          <w:p w14:paraId="53E5C752" w14:textId="2E4303B5" w:rsidR="00C008B6" w:rsidRPr="006B573B" w:rsidRDefault="00C008B6" w:rsidP="006B573B">
            <w:pPr>
              <w:rPr>
                <w:sz w:val="20"/>
                <w:szCs w:val="20"/>
              </w:rPr>
            </w:pPr>
            <w:r w:rsidRPr="006B573B">
              <w:rPr>
                <w:sz w:val="20"/>
                <w:szCs w:val="20"/>
              </w:rPr>
              <w:t xml:space="preserve">99.8 </w:t>
            </w:r>
            <w:r w:rsidR="00AD51CF">
              <w:rPr>
                <w:sz w:val="20"/>
                <w:szCs w:val="20"/>
              </w:rPr>
              <w:t xml:space="preserve">to </w:t>
            </w:r>
            <w:r w:rsidRPr="006B573B">
              <w:rPr>
                <w:sz w:val="20"/>
                <w:szCs w:val="20"/>
              </w:rPr>
              <w:t>105.5</w:t>
            </w:r>
          </w:p>
        </w:tc>
        <w:tc>
          <w:tcPr>
            <w:tcW w:w="1521" w:type="dxa"/>
          </w:tcPr>
          <w:p w14:paraId="311C6976" w14:textId="5BF1F864" w:rsidR="00C008B6" w:rsidRPr="006B573B" w:rsidRDefault="00C008B6" w:rsidP="006B573B">
            <w:pPr>
              <w:rPr>
                <w:sz w:val="20"/>
                <w:szCs w:val="20"/>
              </w:rPr>
            </w:pPr>
            <w:r w:rsidRPr="006B573B">
              <w:rPr>
                <w:sz w:val="20"/>
                <w:szCs w:val="20"/>
              </w:rPr>
              <w:t xml:space="preserve">98.6 </w:t>
            </w:r>
            <w:r w:rsidR="00AD51CF">
              <w:rPr>
                <w:sz w:val="20"/>
                <w:szCs w:val="20"/>
              </w:rPr>
              <w:t>to</w:t>
            </w:r>
            <w:r w:rsidRPr="006B573B">
              <w:rPr>
                <w:sz w:val="20"/>
                <w:szCs w:val="20"/>
              </w:rPr>
              <w:t xml:space="preserve"> 104.4</w:t>
            </w:r>
          </w:p>
        </w:tc>
      </w:tr>
    </w:tbl>
    <w:p w14:paraId="58F8BBD4" w14:textId="6037D459" w:rsidR="00C008B6" w:rsidRPr="00A90852" w:rsidRDefault="00C008B6" w:rsidP="006B573B">
      <w:pPr>
        <w:pStyle w:val="Heading5"/>
      </w:pPr>
      <w:r w:rsidRPr="00A90852">
        <w:t xml:space="preserve">Relative </w:t>
      </w:r>
      <w:r w:rsidR="00816092">
        <w:t>b</w:t>
      </w:r>
      <w:r w:rsidR="00816092" w:rsidRPr="00A90852">
        <w:t xml:space="preserve">ioequivalence </w:t>
      </w:r>
      <w:r w:rsidRPr="00A90852">
        <w:t>Study P048/1056</w:t>
      </w:r>
    </w:p>
    <w:p w14:paraId="594A8EC1" w14:textId="72A463CE" w:rsidR="00C008B6" w:rsidRPr="00A90852" w:rsidRDefault="00C008B6" w:rsidP="006B573B">
      <w:pPr>
        <w:rPr>
          <w:b/>
          <w:u w:val="single"/>
        </w:rPr>
      </w:pPr>
      <w:r w:rsidRPr="00A90852">
        <w:t xml:space="preserve">A </w:t>
      </w:r>
      <w:r w:rsidR="00C3563C">
        <w:t>Phase I</w:t>
      </w:r>
      <w:r w:rsidRPr="00A90852">
        <w:t xml:space="preserve">, </w:t>
      </w:r>
      <w:r w:rsidR="00E600D5" w:rsidRPr="00A90852">
        <w:t xml:space="preserve">single dose, </w:t>
      </w:r>
      <w:r w:rsidR="00AD51CF">
        <w:t>open label</w:t>
      </w:r>
      <w:r w:rsidR="00E600D5" w:rsidRPr="00A90852">
        <w:t xml:space="preserve">, randomised, crossover bioequivalence study of a sitagliptin 100 </w:t>
      </w:r>
      <w:r w:rsidR="00E600D5">
        <w:t>mg</w:t>
      </w:r>
      <w:r w:rsidR="00E600D5" w:rsidRPr="00A90852">
        <w:t xml:space="preserve">/ertugliflozin 5 </w:t>
      </w:r>
      <w:r w:rsidR="00E600D5">
        <w:t>mg</w:t>
      </w:r>
      <w:r w:rsidR="00E600D5" w:rsidRPr="00A90852">
        <w:t xml:space="preserve"> fixed dose combination tablet </w:t>
      </w:r>
      <w:r w:rsidR="00E600D5">
        <w:t>versus</w:t>
      </w:r>
      <w:r w:rsidR="00E600D5" w:rsidRPr="00A90852">
        <w:t xml:space="preserve"> co-administration of the individual components </w:t>
      </w:r>
      <w:r w:rsidRPr="00A90852">
        <w:t xml:space="preserve">[Sitagliptin (100 </w:t>
      </w:r>
      <w:r w:rsidR="006D7D02">
        <w:t>mg</w:t>
      </w:r>
      <w:r w:rsidRPr="00A90852">
        <w:t>) and Ertugliflozin (15</w:t>
      </w:r>
      <w:r w:rsidR="00E600D5">
        <w:t> </w:t>
      </w:r>
      <w:r w:rsidR="006D7D02">
        <w:t>mg</w:t>
      </w:r>
      <w:r w:rsidRPr="00A90852">
        <w:t>)] in Healthy Subjects</w:t>
      </w:r>
    </w:p>
    <w:p w14:paraId="1C535AAE" w14:textId="36B7980B" w:rsidR="00C008B6" w:rsidRPr="00A90852" w:rsidRDefault="0024546B" w:rsidP="006B573B">
      <w:r>
        <w:t>The sponsor</w:t>
      </w:r>
      <w:r w:rsidR="00C008B6" w:rsidRPr="00A90852">
        <w:t xml:space="preserve"> confirmed that the monotherapy, Sitagliptin 100 </w:t>
      </w:r>
      <w:r w:rsidR="006D7D02">
        <w:t>mg</w:t>
      </w:r>
      <w:r w:rsidR="00C008B6" w:rsidRPr="00A90852">
        <w:t xml:space="preserve"> film-coated tablets are identical to the </w:t>
      </w:r>
      <w:r w:rsidR="00D819A2" w:rsidRPr="00D819A2">
        <w:t>Januvia</w:t>
      </w:r>
      <w:r w:rsidR="00C008B6" w:rsidRPr="00A90852">
        <w:t xml:space="preserve"> sitagliptin 100 </w:t>
      </w:r>
      <w:r w:rsidR="006D7D02">
        <w:t>mg</w:t>
      </w:r>
      <w:r w:rsidR="00C008B6" w:rsidRPr="00A90852">
        <w:t xml:space="preserve"> tablets marketed in Australia.</w:t>
      </w:r>
    </w:p>
    <w:p w14:paraId="44CA9383" w14:textId="7EA989EC" w:rsidR="00C008B6" w:rsidRDefault="00C008B6" w:rsidP="006B573B">
      <w:r w:rsidRPr="006B573B">
        <w:t xml:space="preserve">Bioequivalence of the monotherapy tablets and the proposed 5 </w:t>
      </w:r>
      <w:r w:rsidR="006D7D02">
        <w:t>mg</w:t>
      </w:r>
      <w:r w:rsidRPr="006B573B">
        <w:t xml:space="preserve">/100 </w:t>
      </w:r>
      <w:r w:rsidR="006D7D02">
        <w:t>mg</w:t>
      </w:r>
      <w:r w:rsidRPr="006B573B">
        <w:t xml:space="preserve"> FDC tablets was concluded.</w:t>
      </w:r>
    </w:p>
    <w:p w14:paraId="2A89DB50" w14:textId="77777777" w:rsidR="006B573B" w:rsidRPr="006B573B" w:rsidRDefault="006B573B" w:rsidP="00413227">
      <w:pPr>
        <w:pStyle w:val="TableTitle"/>
      </w:pPr>
      <w:r>
        <w:t>Table</w:t>
      </w:r>
      <w:r w:rsidR="00E55ACA">
        <w:t>6</w:t>
      </w:r>
      <w:r>
        <w:t>: Pharmacokinetics of e</w:t>
      </w:r>
      <w:r w:rsidRPr="0007636A">
        <w:t>rtugliflozin</w:t>
      </w:r>
      <w:r>
        <w:t xml:space="preserve"> and sitagliptin</w:t>
      </w:r>
    </w:p>
    <w:tbl>
      <w:tblPr>
        <w:tblW w:w="8742" w:type="dxa"/>
        <w:jc w:val="center"/>
        <w:tblInd w:w="2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906"/>
        <w:gridCol w:w="709"/>
        <w:gridCol w:w="1515"/>
        <w:gridCol w:w="1482"/>
        <w:gridCol w:w="1554"/>
        <w:gridCol w:w="1576"/>
      </w:tblGrid>
      <w:tr w:rsidR="006B573B" w:rsidRPr="006B573B" w14:paraId="32333FA1" w14:textId="77777777" w:rsidTr="004D4A17">
        <w:trPr>
          <w:cantSplit/>
          <w:trHeight w:val="468"/>
          <w:jc w:val="center"/>
        </w:trPr>
        <w:tc>
          <w:tcPr>
            <w:tcW w:w="8742" w:type="dxa"/>
            <w:gridSpan w:val="6"/>
            <w:tcBorders>
              <w:bottom w:val="single" w:sz="2" w:space="0" w:color="auto"/>
            </w:tcBorders>
            <w:shd w:val="clear" w:color="auto" w:fill="0070C0"/>
            <w:vAlign w:val="center"/>
          </w:tcPr>
          <w:p w14:paraId="05AF53EC" w14:textId="77777777" w:rsidR="00C008B6" w:rsidRPr="006B573B" w:rsidRDefault="00C008B6" w:rsidP="00413227">
            <w:pPr>
              <w:keepNext/>
              <w:numPr>
                <w:ilvl w:val="12"/>
                <w:numId w:val="0"/>
              </w:numPr>
              <w:spacing w:before="20" w:after="20"/>
              <w:rPr>
                <w:b/>
                <w:color w:val="FFFFFF" w:themeColor="background1"/>
                <w:sz w:val="18"/>
                <w:szCs w:val="18"/>
              </w:rPr>
            </w:pPr>
            <w:r w:rsidRPr="006B573B">
              <w:rPr>
                <w:b/>
                <w:color w:val="FFFFFF" w:themeColor="background1"/>
                <w:sz w:val="18"/>
                <w:szCs w:val="18"/>
              </w:rPr>
              <w:t>Ertugliflozin</w:t>
            </w:r>
          </w:p>
        </w:tc>
      </w:tr>
      <w:tr w:rsidR="006B573B" w:rsidRPr="006B573B" w14:paraId="3B8CDDF6" w14:textId="77777777" w:rsidTr="004D4A17">
        <w:trPr>
          <w:cantSplit/>
          <w:jc w:val="center"/>
        </w:trPr>
        <w:tc>
          <w:tcPr>
            <w:tcW w:w="1906" w:type="dxa"/>
            <w:shd w:val="clear" w:color="auto" w:fill="0070C0"/>
          </w:tcPr>
          <w:p w14:paraId="731CD47C" w14:textId="77777777" w:rsidR="00C008B6" w:rsidRPr="006B573B" w:rsidRDefault="00C008B6" w:rsidP="00413227">
            <w:pPr>
              <w:pStyle w:val="A-Head6"/>
              <w:keepNext/>
              <w:numPr>
                <w:ilvl w:val="12"/>
                <w:numId w:val="0"/>
              </w:numPr>
              <w:spacing w:before="20" w:after="20"/>
              <w:jc w:val="center"/>
              <w:rPr>
                <w:rFonts w:ascii="Cambria" w:hAnsi="Cambria"/>
                <w:color w:val="FFFFFF" w:themeColor="background1"/>
                <w:sz w:val="18"/>
                <w:szCs w:val="18"/>
              </w:rPr>
            </w:pPr>
            <w:r w:rsidRPr="006B573B">
              <w:rPr>
                <w:rFonts w:ascii="Cambria" w:hAnsi="Cambria"/>
                <w:color w:val="FFFFFF" w:themeColor="background1"/>
                <w:sz w:val="18"/>
                <w:szCs w:val="18"/>
              </w:rPr>
              <w:t>Single dose, prompt release</w:t>
            </w:r>
          </w:p>
        </w:tc>
        <w:tc>
          <w:tcPr>
            <w:tcW w:w="709" w:type="dxa"/>
            <w:shd w:val="clear" w:color="auto" w:fill="0070C0"/>
          </w:tcPr>
          <w:p w14:paraId="34108073" w14:textId="77777777" w:rsidR="00C008B6" w:rsidRPr="006B573B" w:rsidRDefault="00C008B6" w:rsidP="00413227">
            <w:pPr>
              <w:keepNext/>
              <w:numPr>
                <w:ilvl w:val="12"/>
                <w:numId w:val="0"/>
              </w:numPr>
              <w:spacing w:before="20" w:after="20"/>
              <w:jc w:val="center"/>
              <w:rPr>
                <w:b/>
                <w:color w:val="FFFFFF" w:themeColor="background1"/>
                <w:sz w:val="18"/>
                <w:szCs w:val="18"/>
              </w:rPr>
            </w:pPr>
            <w:r w:rsidRPr="006B573B">
              <w:rPr>
                <w:b/>
                <w:color w:val="FFFFFF" w:themeColor="background1"/>
                <w:sz w:val="18"/>
                <w:szCs w:val="18"/>
              </w:rPr>
              <w:t>n</w:t>
            </w:r>
          </w:p>
        </w:tc>
        <w:tc>
          <w:tcPr>
            <w:tcW w:w="1515" w:type="dxa"/>
            <w:shd w:val="clear" w:color="auto" w:fill="0070C0"/>
          </w:tcPr>
          <w:p w14:paraId="781C88BA" w14:textId="491D11A1" w:rsidR="00C008B6" w:rsidRPr="00FA6C7E" w:rsidRDefault="00E700A6" w:rsidP="00413227">
            <w:pPr>
              <w:keepNext/>
              <w:numPr>
                <w:ilvl w:val="12"/>
                <w:numId w:val="0"/>
              </w:numPr>
              <w:spacing w:before="20" w:after="20"/>
              <w:jc w:val="center"/>
              <w:rPr>
                <w:b/>
                <w:color w:val="FFFFFF" w:themeColor="background1"/>
                <w:sz w:val="18"/>
                <w:szCs w:val="18"/>
              </w:rPr>
            </w:pPr>
            <w:r w:rsidRPr="00FA6C7E">
              <w:rPr>
                <w:color w:val="FFFFFF" w:themeColor="background1"/>
              </w:rPr>
              <w:t>T</w:t>
            </w:r>
            <w:r w:rsidRPr="00FA6C7E">
              <w:rPr>
                <w:color w:val="FFFFFF" w:themeColor="background1"/>
                <w:vertAlign w:val="subscript"/>
              </w:rPr>
              <w:t>max</w:t>
            </w:r>
            <w:r w:rsidR="00C008B6" w:rsidRPr="00FA6C7E">
              <w:rPr>
                <w:b/>
                <w:color w:val="FFFFFF" w:themeColor="background1"/>
                <w:sz w:val="18"/>
                <w:szCs w:val="18"/>
              </w:rPr>
              <w:t xml:space="preserve"> (h)</w:t>
            </w:r>
            <w:r w:rsidR="00AD51CF">
              <w:rPr>
                <w:b/>
                <w:color w:val="FFFFFF" w:themeColor="background1"/>
                <w:sz w:val="18"/>
                <w:szCs w:val="18"/>
              </w:rPr>
              <w:t xml:space="preserve"> </w:t>
            </w:r>
            <w:r w:rsidR="00C008B6" w:rsidRPr="00FA6C7E">
              <w:rPr>
                <w:b/>
                <w:color w:val="FFFFFF" w:themeColor="background1"/>
                <w:sz w:val="18"/>
                <w:szCs w:val="18"/>
              </w:rPr>
              <w:t>(range)</w:t>
            </w:r>
          </w:p>
        </w:tc>
        <w:tc>
          <w:tcPr>
            <w:tcW w:w="1482" w:type="dxa"/>
            <w:shd w:val="clear" w:color="auto" w:fill="0070C0"/>
          </w:tcPr>
          <w:p w14:paraId="5E4E86BC" w14:textId="7B3A20BB" w:rsidR="00C008B6" w:rsidRPr="00FA6C7E" w:rsidRDefault="00E700A6">
            <w:pPr>
              <w:keepNext/>
              <w:numPr>
                <w:ilvl w:val="12"/>
                <w:numId w:val="0"/>
              </w:numPr>
              <w:spacing w:before="20" w:after="20"/>
              <w:jc w:val="center"/>
              <w:rPr>
                <w:b/>
                <w:color w:val="FFFFFF" w:themeColor="background1"/>
                <w:sz w:val="18"/>
                <w:szCs w:val="18"/>
              </w:rPr>
            </w:pPr>
            <w:r w:rsidRPr="00FA6C7E">
              <w:rPr>
                <w:color w:val="FFFFFF" w:themeColor="background1"/>
              </w:rPr>
              <w:t>C</w:t>
            </w:r>
            <w:r w:rsidRPr="00FA6C7E">
              <w:rPr>
                <w:color w:val="FFFFFF" w:themeColor="background1"/>
                <w:vertAlign w:val="subscript"/>
              </w:rPr>
              <w:t>max</w:t>
            </w:r>
            <w:r w:rsidR="00C008B6" w:rsidRPr="00FA6C7E">
              <w:rPr>
                <w:b/>
                <w:color w:val="FFFFFF" w:themeColor="background1"/>
                <w:sz w:val="18"/>
                <w:szCs w:val="18"/>
              </w:rPr>
              <w:t xml:space="preserve"> (ng/mL)</w:t>
            </w:r>
          </w:p>
        </w:tc>
        <w:tc>
          <w:tcPr>
            <w:tcW w:w="1554" w:type="dxa"/>
            <w:shd w:val="clear" w:color="auto" w:fill="0070C0"/>
          </w:tcPr>
          <w:p w14:paraId="0E8F3319" w14:textId="00069E93" w:rsidR="00C008B6" w:rsidRPr="006B573B" w:rsidRDefault="00C008B6">
            <w:pPr>
              <w:keepNext/>
              <w:numPr>
                <w:ilvl w:val="12"/>
                <w:numId w:val="0"/>
              </w:numPr>
              <w:spacing w:before="20" w:after="20"/>
              <w:jc w:val="center"/>
              <w:rPr>
                <w:b/>
                <w:color w:val="FFFFFF" w:themeColor="background1"/>
                <w:sz w:val="18"/>
                <w:szCs w:val="18"/>
              </w:rPr>
            </w:pPr>
            <w:r w:rsidRPr="006B573B">
              <w:rPr>
                <w:b/>
                <w:color w:val="FFFFFF" w:themeColor="background1"/>
                <w:sz w:val="18"/>
                <w:szCs w:val="18"/>
              </w:rPr>
              <w:t>AUC</w:t>
            </w:r>
            <w:r w:rsidRPr="006B573B">
              <w:rPr>
                <w:b/>
                <w:color w:val="FFFFFF" w:themeColor="background1"/>
                <w:sz w:val="18"/>
                <w:szCs w:val="18"/>
                <w:vertAlign w:val="subscript"/>
              </w:rPr>
              <w:t>0-t</w:t>
            </w:r>
            <w:r w:rsidRPr="006B573B">
              <w:rPr>
                <w:b/>
                <w:color w:val="FFFFFF" w:themeColor="background1"/>
                <w:sz w:val="18"/>
                <w:szCs w:val="18"/>
              </w:rPr>
              <w:t xml:space="preserve"> (ng.h/mL) </w:t>
            </w:r>
          </w:p>
        </w:tc>
        <w:tc>
          <w:tcPr>
            <w:tcW w:w="1576" w:type="dxa"/>
            <w:shd w:val="clear" w:color="auto" w:fill="0070C0"/>
          </w:tcPr>
          <w:p w14:paraId="149F3A50" w14:textId="18FE0B74" w:rsidR="00C008B6" w:rsidRPr="006B573B" w:rsidRDefault="00C008B6">
            <w:pPr>
              <w:keepNext/>
              <w:numPr>
                <w:ilvl w:val="12"/>
                <w:numId w:val="0"/>
              </w:numPr>
              <w:spacing w:before="20" w:after="20"/>
              <w:jc w:val="center"/>
              <w:rPr>
                <w:b/>
                <w:color w:val="FFFFFF" w:themeColor="background1"/>
                <w:sz w:val="18"/>
                <w:szCs w:val="18"/>
              </w:rPr>
            </w:pPr>
            <w:r w:rsidRPr="006B573B">
              <w:rPr>
                <w:b/>
                <w:color w:val="FFFFFF" w:themeColor="background1"/>
                <w:sz w:val="18"/>
                <w:szCs w:val="18"/>
              </w:rPr>
              <w:t>AUC</w:t>
            </w:r>
            <w:r w:rsidRPr="006B573B">
              <w:rPr>
                <w:b/>
                <w:color w:val="FFFFFF" w:themeColor="background1"/>
                <w:sz w:val="18"/>
                <w:szCs w:val="18"/>
                <w:vertAlign w:val="subscript"/>
              </w:rPr>
              <w:t>0-</w:t>
            </w:r>
            <w:r w:rsidRPr="006B573B">
              <w:rPr>
                <w:rFonts w:cs="Arial"/>
                <w:b/>
                <w:color w:val="FFFFFF" w:themeColor="background1"/>
                <w:sz w:val="18"/>
                <w:szCs w:val="18"/>
                <w:vertAlign w:val="subscript"/>
              </w:rPr>
              <w:t>∞</w:t>
            </w:r>
            <w:r w:rsidRPr="006B573B">
              <w:rPr>
                <w:b/>
                <w:color w:val="FFFFFF" w:themeColor="background1"/>
                <w:sz w:val="18"/>
                <w:szCs w:val="18"/>
              </w:rPr>
              <w:t xml:space="preserve"> (ng.h/mL)</w:t>
            </w:r>
          </w:p>
        </w:tc>
      </w:tr>
      <w:tr w:rsidR="00C008B6" w:rsidRPr="005F4F87" w14:paraId="09E9DE58" w14:textId="77777777" w:rsidTr="004D4A17">
        <w:trPr>
          <w:cantSplit/>
          <w:jc w:val="center"/>
        </w:trPr>
        <w:tc>
          <w:tcPr>
            <w:tcW w:w="1906" w:type="dxa"/>
          </w:tcPr>
          <w:p w14:paraId="262C0A79" w14:textId="650A0E66" w:rsidR="00C008B6" w:rsidRPr="006B573B" w:rsidRDefault="00C008B6" w:rsidP="00413227">
            <w:pPr>
              <w:keepNext/>
              <w:numPr>
                <w:ilvl w:val="12"/>
                <w:numId w:val="0"/>
              </w:numPr>
              <w:spacing w:before="20" w:after="20"/>
              <w:rPr>
                <w:rFonts w:cs="Arial"/>
                <w:sz w:val="18"/>
                <w:szCs w:val="18"/>
              </w:rPr>
            </w:pPr>
            <w:r w:rsidRPr="006B573B">
              <w:rPr>
                <w:rFonts w:cs="Arial"/>
                <w:sz w:val="18"/>
                <w:szCs w:val="18"/>
              </w:rPr>
              <w:t>Treatment A</w:t>
            </w:r>
          </w:p>
          <w:p w14:paraId="029A9136" w14:textId="77777777" w:rsidR="00C008B6" w:rsidRPr="006B573B" w:rsidRDefault="00C008B6" w:rsidP="00413227">
            <w:pPr>
              <w:keepNext/>
              <w:numPr>
                <w:ilvl w:val="12"/>
                <w:numId w:val="0"/>
              </w:numPr>
              <w:spacing w:before="20" w:after="20"/>
              <w:rPr>
                <w:rFonts w:cs="Arial"/>
                <w:sz w:val="18"/>
                <w:szCs w:val="18"/>
              </w:rPr>
            </w:pPr>
            <w:r w:rsidRPr="006B573B">
              <w:rPr>
                <w:rFonts w:cs="Arial"/>
                <w:sz w:val="18"/>
                <w:szCs w:val="18"/>
              </w:rPr>
              <w:t>Monotherapy</w:t>
            </w:r>
          </w:p>
        </w:tc>
        <w:tc>
          <w:tcPr>
            <w:tcW w:w="709" w:type="dxa"/>
          </w:tcPr>
          <w:p w14:paraId="7EC18281" w14:textId="77777777" w:rsidR="00C008B6" w:rsidRPr="006B573B" w:rsidRDefault="00C008B6" w:rsidP="00413227">
            <w:pPr>
              <w:keepNext/>
              <w:numPr>
                <w:ilvl w:val="12"/>
                <w:numId w:val="0"/>
              </w:numPr>
              <w:spacing w:before="20" w:after="20"/>
              <w:jc w:val="center"/>
              <w:rPr>
                <w:sz w:val="18"/>
                <w:szCs w:val="18"/>
              </w:rPr>
            </w:pPr>
            <w:r w:rsidRPr="006B573B">
              <w:rPr>
                <w:sz w:val="18"/>
                <w:szCs w:val="18"/>
              </w:rPr>
              <w:t>18, 17</w:t>
            </w:r>
          </w:p>
        </w:tc>
        <w:tc>
          <w:tcPr>
            <w:tcW w:w="1515" w:type="dxa"/>
          </w:tcPr>
          <w:p w14:paraId="338AF8E5" w14:textId="4DD73B76" w:rsidR="00AD51CF" w:rsidRPr="006B573B" w:rsidRDefault="00C008B6" w:rsidP="00413227">
            <w:pPr>
              <w:keepNext/>
              <w:numPr>
                <w:ilvl w:val="12"/>
                <w:numId w:val="0"/>
              </w:numPr>
              <w:spacing w:before="20" w:after="20"/>
              <w:jc w:val="center"/>
              <w:rPr>
                <w:sz w:val="18"/>
                <w:szCs w:val="18"/>
              </w:rPr>
            </w:pPr>
            <w:r w:rsidRPr="006B573B">
              <w:rPr>
                <w:sz w:val="18"/>
                <w:szCs w:val="18"/>
              </w:rPr>
              <w:t>1.010</w:t>
            </w:r>
          </w:p>
          <w:p w14:paraId="23892586" w14:textId="77777777" w:rsidR="00C008B6" w:rsidRPr="006B573B" w:rsidRDefault="00C008B6">
            <w:pPr>
              <w:keepNext/>
              <w:numPr>
                <w:ilvl w:val="12"/>
                <w:numId w:val="0"/>
              </w:numPr>
              <w:spacing w:before="20" w:after="20"/>
              <w:jc w:val="center"/>
              <w:rPr>
                <w:sz w:val="18"/>
                <w:szCs w:val="18"/>
              </w:rPr>
            </w:pPr>
            <w:r w:rsidRPr="006B573B">
              <w:rPr>
                <w:sz w:val="18"/>
                <w:szCs w:val="18"/>
              </w:rPr>
              <w:t>(0.500, 4.000)</w:t>
            </w:r>
          </w:p>
        </w:tc>
        <w:tc>
          <w:tcPr>
            <w:tcW w:w="1482" w:type="dxa"/>
          </w:tcPr>
          <w:p w14:paraId="5F71588C" w14:textId="77777777" w:rsidR="00C008B6" w:rsidRPr="006B573B" w:rsidRDefault="00C008B6" w:rsidP="00413227">
            <w:pPr>
              <w:keepNext/>
              <w:numPr>
                <w:ilvl w:val="12"/>
                <w:numId w:val="0"/>
              </w:numPr>
              <w:spacing w:before="20" w:after="20"/>
              <w:jc w:val="center"/>
              <w:rPr>
                <w:sz w:val="18"/>
                <w:szCs w:val="18"/>
              </w:rPr>
            </w:pPr>
            <w:r w:rsidRPr="006B573B">
              <w:rPr>
                <w:sz w:val="18"/>
                <w:szCs w:val="18"/>
              </w:rPr>
              <w:t>71.19</w:t>
            </w:r>
          </w:p>
        </w:tc>
        <w:tc>
          <w:tcPr>
            <w:tcW w:w="1554" w:type="dxa"/>
          </w:tcPr>
          <w:p w14:paraId="1A5EEF05" w14:textId="77777777" w:rsidR="00C008B6" w:rsidRPr="006B573B" w:rsidRDefault="00C008B6" w:rsidP="00413227">
            <w:pPr>
              <w:keepNext/>
              <w:numPr>
                <w:ilvl w:val="12"/>
                <w:numId w:val="0"/>
              </w:numPr>
              <w:spacing w:before="20" w:after="20"/>
              <w:jc w:val="center"/>
              <w:rPr>
                <w:sz w:val="18"/>
                <w:szCs w:val="18"/>
              </w:rPr>
            </w:pPr>
            <w:r w:rsidRPr="006B573B">
              <w:rPr>
                <w:sz w:val="18"/>
                <w:szCs w:val="18"/>
              </w:rPr>
              <w:t>364.3</w:t>
            </w:r>
          </w:p>
        </w:tc>
        <w:tc>
          <w:tcPr>
            <w:tcW w:w="1576" w:type="dxa"/>
          </w:tcPr>
          <w:p w14:paraId="47044578" w14:textId="77777777" w:rsidR="00C008B6" w:rsidRPr="006B573B" w:rsidRDefault="00C008B6" w:rsidP="00413227">
            <w:pPr>
              <w:keepNext/>
              <w:numPr>
                <w:ilvl w:val="12"/>
                <w:numId w:val="0"/>
              </w:numPr>
              <w:spacing w:before="20" w:after="20"/>
              <w:jc w:val="center"/>
              <w:rPr>
                <w:sz w:val="18"/>
                <w:szCs w:val="18"/>
              </w:rPr>
            </w:pPr>
            <w:r w:rsidRPr="006B573B">
              <w:rPr>
                <w:sz w:val="18"/>
                <w:szCs w:val="18"/>
              </w:rPr>
              <w:t>382.1</w:t>
            </w:r>
          </w:p>
        </w:tc>
      </w:tr>
      <w:tr w:rsidR="00C008B6" w:rsidRPr="005F4F87" w14:paraId="2D90C523" w14:textId="77777777" w:rsidTr="004D4A17">
        <w:trPr>
          <w:cantSplit/>
          <w:jc w:val="center"/>
        </w:trPr>
        <w:tc>
          <w:tcPr>
            <w:tcW w:w="1906" w:type="dxa"/>
          </w:tcPr>
          <w:p w14:paraId="6C038FF6" w14:textId="77777777" w:rsidR="00C008B6" w:rsidRPr="006B573B" w:rsidRDefault="00C008B6" w:rsidP="00C008B6">
            <w:pPr>
              <w:numPr>
                <w:ilvl w:val="12"/>
                <w:numId w:val="0"/>
              </w:numPr>
              <w:spacing w:before="20" w:after="20"/>
              <w:rPr>
                <w:rFonts w:cs="Arial"/>
                <w:sz w:val="18"/>
                <w:szCs w:val="18"/>
              </w:rPr>
            </w:pPr>
            <w:r w:rsidRPr="006B573B">
              <w:rPr>
                <w:rFonts w:cs="Arial"/>
                <w:sz w:val="18"/>
                <w:szCs w:val="18"/>
              </w:rPr>
              <w:t xml:space="preserve">Treatment B </w:t>
            </w:r>
          </w:p>
          <w:p w14:paraId="5FB6C0D5" w14:textId="77777777" w:rsidR="00C008B6" w:rsidRPr="006B573B" w:rsidRDefault="00C008B6" w:rsidP="00C008B6">
            <w:pPr>
              <w:numPr>
                <w:ilvl w:val="12"/>
                <w:numId w:val="0"/>
              </w:numPr>
              <w:spacing w:before="20" w:after="20"/>
              <w:rPr>
                <w:rFonts w:cs="Arial"/>
                <w:sz w:val="18"/>
                <w:szCs w:val="18"/>
              </w:rPr>
            </w:pPr>
            <w:r w:rsidRPr="006B573B">
              <w:rPr>
                <w:rFonts w:cs="Arial"/>
                <w:sz w:val="18"/>
                <w:szCs w:val="18"/>
              </w:rPr>
              <w:t>FDC</w:t>
            </w:r>
          </w:p>
        </w:tc>
        <w:tc>
          <w:tcPr>
            <w:tcW w:w="709" w:type="dxa"/>
          </w:tcPr>
          <w:p w14:paraId="01109DF3" w14:textId="77777777" w:rsidR="00C008B6" w:rsidRPr="006B573B" w:rsidRDefault="00C008B6" w:rsidP="00C008B6">
            <w:pPr>
              <w:numPr>
                <w:ilvl w:val="12"/>
                <w:numId w:val="0"/>
              </w:numPr>
              <w:spacing w:before="20" w:after="20"/>
              <w:jc w:val="center"/>
              <w:rPr>
                <w:sz w:val="18"/>
                <w:szCs w:val="18"/>
              </w:rPr>
            </w:pPr>
            <w:r w:rsidRPr="006B573B">
              <w:rPr>
                <w:sz w:val="18"/>
                <w:szCs w:val="18"/>
              </w:rPr>
              <w:t>18, 18</w:t>
            </w:r>
          </w:p>
        </w:tc>
        <w:tc>
          <w:tcPr>
            <w:tcW w:w="1515" w:type="dxa"/>
          </w:tcPr>
          <w:p w14:paraId="75881C56" w14:textId="77777777" w:rsidR="00C008B6" w:rsidRPr="006B573B" w:rsidRDefault="00C008B6" w:rsidP="00C008B6">
            <w:pPr>
              <w:numPr>
                <w:ilvl w:val="12"/>
                <w:numId w:val="0"/>
              </w:numPr>
              <w:spacing w:before="20" w:after="20"/>
              <w:jc w:val="center"/>
              <w:rPr>
                <w:sz w:val="18"/>
                <w:szCs w:val="18"/>
              </w:rPr>
            </w:pPr>
            <w:r w:rsidRPr="006B573B">
              <w:rPr>
                <w:sz w:val="18"/>
                <w:szCs w:val="18"/>
              </w:rPr>
              <w:t>1.010</w:t>
            </w:r>
          </w:p>
          <w:p w14:paraId="01B3FDC4" w14:textId="77777777" w:rsidR="00C008B6" w:rsidRPr="006B573B" w:rsidRDefault="00C008B6" w:rsidP="00C008B6">
            <w:pPr>
              <w:numPr>
                <w:ilvl w:val="12"/>
                <w:numId w:val="0"/>
              </w:numPr>
              <w:spacing w:before="20" w:after="20"/>
              <w:jc w:val="center"/>
              <w:rPr>
                <w:sz w:val="18"/>
                <w:szCs w:val="18"/>
              </w:rPr>
            </w:pPr>
            <w:r w:rsidRPr="006B573B">
              <w:rPr>
                <w:sz w:val="18"/>
                <w:szCs w:val="18"/>
              </w:rPr>
              <w:t>(0.500, 3.000)</w:t>
            </w:r>
          </w:p>
        </w:tc>
        <w:tc>
          <w:tcPr>
            <w:tcW w:w="1482" w:type="dxa"/>
          </w:tcPr>
          <w:p w14:paraId="711B0411" w14:textId="77777777" w:rsidR="00C008B6" w:rsidRPr="006B573B" w:rsidRDefault="00C008B6" w:rsidP="00C008B6">
            <w:pPr>
              <w:numPr>
                <w:ilvl w:val="12"/>
                <w:numId w:val="0"/>
              </w:numPr>
              <w:spacing w:before="20" w:after="20"/>
              <w:jc w:val="center"/>
              <w:rPr>
                <w:sz w:val="18"/>
                <w:szCs w:val="18"/>
              </w:rPr>
            </w:pPr>
            <w:r w:rsidRPr="006B573B">
              <w:rPr>
                <w:sz w:val="18"/>
                <w:szCs w:val="18"/>
              </w:rPr>
              <w:t>73.44</w:t>
            </w:r>
          </w:p>
        </w:tc>
        <w:tc>
          <w:tcPr>
            <w:tcW w:w="1554" w:type="dxa"/>
          </w:tcPr>
          <w:p w14:paraId="34780567" w14:textId="77777777" w:rsidR="00C008B6" w:rsidRPr="006B573B" w:rsidRDefault="00C008B6" w:rsidP="00C008B6">
            <w:pPr>
              <w:numPr>
                <w:ilvl w:val="12"/>
                <w:numId w:val="0"/>
              </w:numPr>
              <w:spacing w:before="20" w:after="20"/>
              <w:jc w:val="center"/>
              <w:rPr>
                <w:sz w:val="18"/>
                <w:szCs w:val="18"/>
              </w:rPr>
            </w:pPr>
            <w:r w:rsidRPr="006B573B">
              <w:rPr>
                <w:sz w:val="18"/>
                <w:szCs w:val="18"/>
              </w:rPr>
              <w:t>371.7</w:t>
            </w:r>
          </w:p>
        </w:tc>
        <w:tc>
          <w:tcPr>
            <w:tcW w:w="1576" w:type="dxa"/>
          </w:tcPr>
          <w:p w14:paraId="7B74092C" w14:textId="77777777" w:rsidR="00C008B6" w:rsidRPr="006B573B" w:rsidRDefault="00C008B6" w:rsidP="00C008B6">
            <w:pPr>
              <w:numPr>
                <w:ilvl w:val="12"/>
                <w:numId w:val="0"/>
              </w:numPr>
              <w:spacing w:before="20" w:after="20"/>
              <w:jc w:val="center"/>
              <w:rPr>
                <w:sz w:val="18"/>
                <w:szCs w:val="18"/>
              </w:rPr>
            </w:pPr>
            <w:r w:rsidRPr="006B573B">
              <w:rPr>
                <w:sz w:val="18"/>
                <w:szCs w:val="18"/>
              </w:rPr>
              <w:t>386.8</w:t>
            </w:r>
          </w:p>
        </w:tc>
      </w:tr>
      <w:tr w:rsidR="00C008B6" w:rsidRPr="005F4F87" w14:paraId="746C4E06" w14:textId="77777777" w:rsidTr="004D4A17">
        <w:trPr>
          <w:cantSplit/>
          <w:jc w:val="center"/>
        </w:trPr>
        <w:tc>
          <w:tcPr>
            <w:tcW w:w="1906" w:type="dxa"/>
          </w:tcPr>
          <w:p w14:paraId="25E795A0" w14:textId="77777777" w:rsidR="00C008B6" w:rsidRPr="006B573B" w:rsidRDefault="00C008B6" w:rsidP="00C008B6">
            <w:pPr>
              <w:numPr>
                <w:ilvl w:val="12"/>
                <w:numId w:val="0"/>
              </w:numPr>
              <w:spacing w:before="20" w:after="20"/>
              <w:jc w:val="center"/>
              <w:rPr>
                <w:sz w:val="18"/>
                <w:szCs w:val="18"/>
              </w:rPr>
            </w:pPr>
            <w:r w:rsidRPr="006B573B">
              <w:rPr>
                <w:sz w:val="18"/>
                <w:szCs w:val="18"/>
              </w:rPr>
              <w:t>Statistical analysis:</w:t>
            </w:r>
          </w:p>
        </w:tc>
        <w:tc>
          <w:tcPr>
            <w:tcW w:w="709" w:type="dxa"/>
          </w:tcPr>
          <w:p w14:paraId="4063E0A9" w14:textId="77777777" w:rsidR="00C008B6" w:rsidRPr="006B573B" w:rsidRDefault="00C008B6" w:rsidP="00C008B6">
            <w:pPr>
              <w:numPr>
                <w:ilvl w:val="12"/>
                <w:numId w:val="0"/>
              </w:numPr>
              <w:spacing w:before="20" w:after="20"/>
              <w:ind w:left="-74" w:right="-142"/>
              <w:jc w:val="center"/>
              <w:rPr>
                <w:sz w:val="18"/>
                <w:szCs w:val="18"/>
              </w:rPr>
            </w:pPr>
          </w:p>
        </w:tc>
        <w:tc>
          <w:tcPr>
            <w:tcW w:w="1515" w:type="dxa"/>
          </w:tcPr>
          <w:p w14:paraId="52AE7C73" w14:textId="77777777" w:rsidR="00C008B6" w:rsidRPr="006B573B" w:rsidRDefault="00C008B6" w:rsidP="00C008B6">
            <w:pPr>
              <w:numPr>
                <w:ilvl w:val="12"/>
                <w:numId w:val="0"/>
              </w:numPr>
              <w:spacing w:before="20" w:after="20"/>
              <w:ind w:left="-74" w:right="-142"/>
              <w:jc w:val="center"/>
              <w:rPr>
                <w:sz w:val="18"/>
                <w:szCs w:val="18"/>
              </w:rPr>
            </w:pPr>
            <w:r w:rsidRPr="006B573B">
              <w:rPr>
                <w:sz w:val="18"/>
                <w:szCs w:val="18"/>
              </w:rPr>
              <w:t>Median diff.</w:t>
            </w:r>
          </w:p>
        </w:tc>
        <w:tc>
          <w:tcPr>
            <w:tcW w:w="1482" w:type="dxa"/>
          </w:tcPr>
          <w:p w14:paraId="0AE92571" w14:textId="77777777" w:rsidR="00C008B6" w:rsidRPr="006B573B" w:rsidRDefault="00F14099" w:rsidP="00C008B6">
            <w:pPr>
              <w:numPr>
                <w:ilvl w:val="12"/>
                <w:numId w:val="0"/>
              </w:numPr>
              <w:spacing w:before="20" w:after="20"/>
              <w:jc w:val="center"/>
              <w:rPr>
                <w:sz w:val="18"/>
                <w:szCs w:val="18"/>
              </w:rPr>
            </w:pPr>
            <w:r w:rsidRPr="006B573B">
              <w:rPr>
                <w:sz w:val="18"/>
                <w:szCs w:val="18"/>
              </w:rPr>
              <w:t>Ratio</w:t>
            </w:r>
            <w:r w:rsidR="00C008B6" w:rsidRPr="006B573B">
              <w:rPr>
                <w:sz w:val="18"/>
                <w:szCs w:val="18"/>
              </w:rPr>
              <w:t xml:space="preserve"> (%)</w:t>
            </w:r>
          </w:p>
        </w:tc>
        <w:tc>
          <w:tcPr>
            <w:tcW w:w="1554" w:type="dxa"/>
          </w:tcPr>
          <w:p w14:paraId="2D4E157A" w14:textId="77777777" w:rsidR="00C008B6" w:rsidRPr="006B573B" w:rsidRDefault="00F14099" w:rsidP="00C008B6">
            <w:pPr>
              <w:numPr>
                <w:ilvl w:val="12"/>
                <w:numId w:val="0"/>
              </w:numPr>
              <w:spacing w:before="20" w:after="20"/>
              <w:jc w:val="center"/>
              <w:rPr>
                <w:sz w:val="18"/>
                <w:szCs w:val="18"/>
              </w:rPr>
            </w:pPr>
            <w:r w:rsidRPr="006B573B">
              <w:rPr>
                <w:sz w:val="18"/>
                <w:szCs w:val="18"/>
              </w:rPr>
              <w:t>Ratio</w:t>
            </w:r>
            <w:r w:rsidR="00C008B6" w:rsidRPr="006B573B">
              <w:rPr>
                <w:sz w:val="18"/>
                <w:szCs w:val="18"/>
              </w:rPr>
              <w:t xml:space="preserve"> (%)</w:t>
            </w:r>
          </w:p>
        </w:tc>
        <w:tc>
          <w:tcPr>
            <w:tcW w:w="1576" w:type="dxa"/>
          </w:tcPr>
          <w:p w14:paraId="279AB05B" w14:textId="77777777" w:rsidR="00C008B6" w:rsidRPr="006B573B" w:rsidRDefault="00F14099" w:rsidP="00C008B6">
            <w:pPr>
              <w:numPr>
                <w:ilvl w:val="12"/>
                <w:numId w:val="0"/>
              </w:numPr>
              <w:spacing w:before="20" w:after="20"/>
              <w:jc w:val="center"/>
              <w:rPr>
                <w:sz w:val="18"/>
                <w:szCs w:val="18"/>
              </w:rPr>
            </w:pPr>
            <w:r w:rsidRPr="006B573B">
              <w:rPr>
                <w:sz w:val="18"/>
                <w:szCs w:val="18"/>
              </w:rPr>
              <w:t>Ratio</w:t>
            </w:r>
            <w:r w:rsidR="00C008B6" w:rsidRPr="006B573B">
              <w:rPr>
                <w:sz w:val="18"/>
                <w:szCs w:val="18"/>
              </w:rPr>
              <w:t xml:space="preserve"> (%)</w:t>
            </w:r>
          </w:p>
        </w:tc>
      </w:tr>
      <w:tr w:rsidR="00C008B6" w:rsidRPr="005F4F87" w14:paraId="5ED6A152" w14:textId="77777777" w:rsidTr="004D4A17">
        <w:trPr>
          <w:cantSplit/>
          <w:jc w:val="center"/>
        </w:trPr>
        <w:tc>
          <w:tcPr>
            <w:tcW w:w="1906" w:type="dxa"/>
          </w:tcPr>
          <w:p w14:paraId="79FA3A81" w14:textId="77777777" w:rsidR="00C008B6" w:rsidRPr="006B573B" w:rsidRDefault="00C008B6" w:rsidP="00C008B6">
            <w:pPr>
              <w:numPr>
                <w:ilvl w:val="12"/>
                <w:numId w:val="0"/>
              </w:numPr>
              <w:spacing w:before="20" w:after="20"/>
              <w:rPr>
                <w:sz w:val="18"/>
                <w:szCs w:val="18"/>
              </w:rPr>
            </w:pPr>
            <w:r w:rsidRPr="006B573B">
              <w:rPr>
                <w:sz w:val="18"/>
                <w:szCs w:val="18"/>
              </w:rPr>
              <w:t>B</w:t>
            </w:r>
            <w:r w:rsidR="000E32B5" w:rsidRPr="006B573B">
              <w:rPr>
                <w:sz w:val="18"/>
                <w:szCs w:val="18"/>
              </w:rPr>
              <w:t xml:space="preserve"> versus </w:t>
            </w:r>
            <w:r w:rsidRPr="006B573B">
              <w:rPr>
                <w:sz w:val="18"/>
                <w:szCs w:val="18"/>
              </w:rPr>
              <w:t>A Estimate</w:t>
            </w:r>
          </w:p>
        </w:tc>
        <w:tc>
          <w:tcPr>
            <w:tcW w:w="709" w:type="dxa"/>
          </w:tcPr>
          <w:p w14:paraId="0FA37083" w14:textId="77777777" w:rsidR="00C008B6" w:rsidRPr="006B573B" w:rsidRDefault="00C008B6" w:rsidP="00C008B6">
            <w:pPr>
              <w:numPr>
                <w:ilvl w:val="12"/>
                <w:numId w:val="0"/>
              </w:numPr>
              <w:spacing w:before="20" w:after="20"/>
              <w:jc w:val="center"/>
              <w:rPr>
                <w:sz w:val="18"/>
                <w:szCs w:val="18"/>
              </w:rPr>
            </w:pPr>
          </w:p>
        </w:tc>
        <w:tc>
          <w:tcPr>
            <w:tcW w:w="1515" w:type="dxa"/>
          </w:tcPr>
          <w:p w14:paraId="0C1FF8A2" w14:textId="77777777" w:rsidR="00C008B6" w:rsidRPr="006B573B" w:rsidRDefault="00C008B6" w:rsidP="00C008B6">
            <w:pPr>
              <w:numPr>
                <w:ilvl w:val="12"/>
                <w:numId w:val="0"/>
              </w:numPr>
              <w:spacing w:before="20" w:after="20"/>
              <w:jc w:val="center"/>
              <w:rPr>
                <w:sz w:val="18"/>
                <w:szCs w:val="18"/>
              </w:rPr>
            </w:pPr>
            <w:r w:rsidRPr="006B573B">
              <w:rPr>
                <w:sz w:val="18"/>
                <w:szCs w:val="18"/>
              </w:rPr>
              <w:t>0.0</w:t>
            </w:r>
          </w:p>
        </w:tc>
        <w:tc>
          <w:tcPr>
            <w:tcW w:w="1482" w:type="dxa"/>
          </w:tcPr>
          <w:p w14:paraId="41920451" w14:textId="77777777" w:rsidR="00C008B6" w:rsidRPr="006B573B" w:rsidRDefault="00C008B6" w:rsidP="00C008B6">
            <w:pPr>
              <w:numPr>
                <w:ilvl w:val="12"/>
                <w:numId w:val="0"/>
              </w:numPr>
              <w:spacing w:before="20" w:after="20"/>
              <w:jc w:val="center"/>
              <w:rPr>
                <w:sz w:val="18"/>
                <w:szCs w:val="18"/>
              </w:rPr>
            </w:pPr>
            <w:r w:rsidRPr="006B573B">
              <w:rPr>
                <w:sz w:val="18"/>
                <w:szCs w:val="18"/>
              </w:rPr>
              <w:t>103.17</w:t>
            </w:r>
          </w:p>
        </w:tc>
        <w:tc>
          <w:tcPr>
            <w:tcW w:w="1554" w:type="dxa"/>
          </w:tcPr>
          <w:p w14:paraId="19BC6A60" w14:textId="77777777" w:rsidR="00C008B6" w:rsidRPr="006B573B" w:rsidRDefault="00C008B6" w:rsidP="00C008B6">
            <w:pPr>
              <w:numPr>
                <w:ilvl w:val="12"/>
                <w:numId w:val="0"/>
              </w:numPr>
              <w:spacing w:before="20" w:after="20"/>
              <w:jc w:val="center"/>
              <w:rPr>
                <w:sz w:val="18"/>
                <w:szCs w:val="18"/>
              </w:rPr>
            </w:pPr>
            <w:r w:rsidRPr="006B573B">
              <w:rPr>
                <w:sz w:val="18"/>
                <w:szCs w:val="18"/>
              </w:rPr>
              <w:t>102.01</w:t>
            </w:r>
          </w:p>
        </w:tc>
        <w:tc>
          <w:tcPr>
            <w:tcW w:w="1576" w:type="dxa"/>
          </w:tcPr>
          <w:p w14:paraId="6C499B45" w14:textId="77777777" w:rsidR="00C008B6" w:rsidRPr="006B573B" w:rsidRDefault="00C008B6" w:rsidP="00C008B6">
            <w:pPr>
              <w:numPr>
                <w:ilvl w:val="12"/>
                <w:numId w:val="0"/>
              </w:numPr>
              <w:spacing w:before="20" w:after="20"/>
              <w:jc w:val="center"/>
              <w:rPr>
                <w:sz w:val="18"/>
                <w:szCs w:val="18"/>
              </w:rPr>
            </w:pPr>
            <w:r w:rsidRPr="006B573B">
              <w:rPr>
                <w:sz w:val="18"/>
                <w:szCs w:val="18"/>
              </w:rPr>
              <w:t>101.23</w:t>
            </w:r>
          </w:p>
        </w:tc>
      </w:tr>
      <w:tr w:rsidR="00C008B6" w:rsidRPr="005F4F87" w14:paraId="2F65474C" w14:textId="77777777" w:rsidTr="004D4A17">
        <w:trPr>
          <w:cantSplit/>
          <w:jc w:val="center"/>
        </w:trPr>
        <w:tc>
          <w:tcPr>
            <w:tcW w:w="1906" w:type="dxa"/>
          </w:tcPr>
          <w:p w14:paraId="6AF7BF59" w14:textId="77777777" w:rsidR="00C008B6" w:rsidRPr="006B573B" w:rsidRDefault="00C008B6" w:rsidP="00C008B6">
            <w:pPr>
              <w:numPr>
                <w:ilvl w:val="12"/>
                <w:numId w:val="0"/>
              </w:numPr>
              <w:spacing w:before="20" w:after="20"/>
              <w:rPr>
                <w:sz w:val="18"/>
                <w:szCs w:val="18"/>
              </w:rPr>
            </w:pPr>
            <w:r w:rsidRPr="006B573B">
              <w:rPr>
                <w:sz w:val="18"/>
                <w:szCs w:val="18"/>
              </w:rPr>
              <w:t>90% CI</w:t>
            </w:r>
          </w:p>
        </w:tc>
        <w:tc>
          <w:tcPr>
            <w:tcW w:w="709" w:type="dxa"/>
          </w:tcPr>
          <w:p w14:paraId="3D749D23" w14:textId="77777777" w:rsidR="00C008B6" w:rsidRPr="006B573B" w:rsidRDefault="00C008B6" w:rsidP="00C008B6">
            <w:pPr>
              <w:numPr>
                <w:ilvl w:val="12"/>
                <w:numId w:val="0"/>
              </w:numPr>
              <w:spacing w:before="20" w:after="20"/>
              <w:jc w:val="center"/>
              <w:rPr>
                <w:sz w:val="18"/>
                <w:szCs w:val="18"/>
              </w:rPr>
            </w:pPr>
          </w:p>
        </w:tc>
        <w:tc>
          <w:tcPr>
            <w:tcW w:w="1515" w:type="dxa"/>
          </w:tcPr>
          <w:p w14:paraId="3DBD1F75" w14:textId="77777777" w:rsidR="00C008B6" w:rsidRPr="006B573B" w:rsidRDefault="00C008B6" w:rsidP="00C008B6">
            <w:pPr>
              <w:numPr>
                <w:ilvl w:val="12"/>
                <w:numId w:val="0"/>
              </w:numPr>
              <w:spacing w:before="20" w:after="20"/>
              <w:jc w:val="center"/>
              <w:rPr>
                <w:sz w:val="18"/>
                <w:szCs w:val="18"/>
              </w:rPr>
            </w:pPr>
            <w:r w:rsidRPr="006B573B">
              <w:rPr>
                <w:sz w:val="18"/>
                <w:szCs w:val="18"/>
              </w:rPr>
              <w:t>-</w:t>
            </w:r>
          </w:p>
        </w:tc>
        <w:tc>
          <w:tcPr>
            <w:tcW w:w="1482" w:type="dxa"/>
          </w:tcPr>
          <w:p w14:paraId="1B6C99E2" w14:textId="5510EE6A" w:rsidR="00C008B6" w:rsidRPr="006B573B" w:rsidRDefault="00C008B6" w:rsidP="00C008B6">
            <w:pPr>
              <w:numPr>
                <w:ilvl w:val="12"/>
                <w:numId w:val="0"/>
              </w:numPr>
              <w:spacing w:before="20" w:after="20"/>
              <w:jc w:val="center"/>
              <w:rPr>
                <w:sz w:val="18"/>
                <w:szCs w:val="18"/>
              </w:rPr>
            </w:pPr>
            <w:r w:rsidRPr="006B573B">
              <w:rPr>
                <w:sz w:val="18"/>
                <w:szCs w:val="18"/>
              </w:rPr>
              <w:t xml:space="preserve">93.76 </w:t>
            </w:r>
            <w:r w:rsidR="00AD51CF">
              <w:rPr>
                <w:sz w:val="18"/>
                <w:szCs w:val="18"/>
              </w:rPr>
              <w:t>to</w:t>
            </w:r>
            <w:r w:rsidRPr="006B573B">
              <w:rPr>
                <w:sz w:val="18"/>
                <w:szCs w:val="18"/>
              </w:rPr>
              <w:t xml:space="preserve"> 113.52</w:t>
            </w:r>
          </w:p>
        </w:tc>
        <w:tc>
          <w:tcPr>
            <w:tcW w:w="1554" w:type="dxa"/>
          </w:tcPr>
          <w:p w14:paraId="3058266E" w14:textId="05973C77" w:rsidR="00C008B6" w:rsidRPr="006B573B" w:rsidRDefault="00C008B6" w:rsidP="00C008B6">
            <w:pPr>
              <w:numPr>
                <w:ilvl w:val="12"/>
                <w:numId w:val="0"/>
              </w:numPr>
              <w:spacing w:before="20" w:after="20"/>
              <w:jc w:val="center"/>
              <w:rPr>
                <w:sz w:val="18"/>
                <w:szCs w:val="18"/>
              </w:rPr>
            </w:pPr>
            <w:r w:rsidRPr="006B573B">
              <w:rPr>
                <w:sz w:val="18"/>
                <w:szCs w:val="18"/>
              </w:rPr>
              <w:t xml:space="preserve">97.89 </w:t>
            </w:r>
            <w:r w:rsidR="00AD51CF">
              <w:rPr>
                <w:sz w:val="18"/>
                <w:szCs w:val="18"/>
              </w:rPr>
              <w:t>to</w:t>
            </w:r>
            <w:r w:rsidRPr="006B573B">
              <w:rPr>
                <w:sz w:val="18"/>
                <w:szCs w:val="18"/>
              </w:rPr>
              <w:t xml:space="preserve"> 106.32</w:t>
            </w:r>
          </w:p>
        </w:tc>
        <w:tc>
          <w:tcPr>
            <w:tcW w:w="1576" w:type="dxa"/>
          </w:tcPr>
          <w:p w14:paraId="40C70DB2" w14:textId="15F7608C" w:rsidR="00C008B6" w:rsidRPr="006B573B" w:rsidRDefault="00C008B6" w:rsidP="00C008B6">
            <w:pPr>
              <w:numPr>
                <w:ilvl w:val="12"/>
                <w:numId w:val="0"/>
              </w:numPr>
              <w:spacing w:before="20" w:after="20"/>
              <w:jc w:val="center"/>
              <w:rPr>
                <w:sz w:val="18"/>
                <w:szCs w:val="18"/>
              </w:rPr>
            </w:pPr>
            <w:r w:rsidRPr="006B573B">
              <w:rPr>
                <w:sz w:val="18"/>
                <w:szCs w:val="18"/>
              </w:rPr>
              <w:t xml:space="preserve">97.15 </w:t>
            </w:r>
            <w:r w:rsidR="00AD51CF">
              <w:rPr>
                <w:sz w:val="18"/>
                <w:szCs w:val="18"/>
              </w:rPr>
              <w:t>to</w:t>
            </w:r>
            <w:r w:rsidRPr="006B573B">
              <w:rPr>
                <w:sz w:val="18"/>
                <w:szCs w:val="18"/>
              </w:rPr>
              <w:t xml:space="preserve"> 105.49</w:t>
            </w:r>
          </w:p>
        </w:tc>
      </w:tr>
      <w:tr w:rsidR="006B573B" w:rsidRPr="006B573B" w14:paraId="7F0FAAC9" w14:textId="77777777" w:rsidTr="004D4A17">
        <w:trPr>
          <w:cantSplit/>
          <w:trHeight w:val="537"/>
          <w:jc w:val="center"/>
        </w:trPr>
        <w:tc>
          <w:tcPr>
            <w:tcW w:w="8742" w:type="dxa"/>
            <w:gridSpan w:val="6"/>
            <w:tcBorders>
              <w:bottom w:val="single" w:sz="2" w:space="0" w:color="auto"/>
            </w:tcBorders>
            <w:shd w:val="clear" w:color="auto" w:fill="0070C0"/>
            <w:vAlign w:val="center"/>
          </w:tcPr>
          <w:p w14:paraId="5B6CFC15" w14:textId="77777777" w:rsidR="00C008B6" w:rsidRPr="006B573B" w:rsidRDefault="00C008B6" w:rsidP="006B573B">
            <w:pPr>
              <w:keepNext/>
              <w:numPr>
                <w:ilvl w:val="12"/>
                <w:numId w:val="0"/>
              </w:numPr>
              <w:spacing w:before="20" w:after="20"/>
              <w:rPr>
                <w:b/>
                <w:color w:val="FFFFFF" w:themeColor="background1"/>
                <w:sz w:val="18"/>
                <w:szCs w:val="18"/>
              </w:rPr>
            </w:pPr>
            <w:r w:rsidRPr="006B573B">
              <w:rPr>
                <w:b/>
                <w:color w:val="FFFFFF" w:themeColor="background1"/>
                <w:sz w:val="18"/>
                <w:szCs w:val="18"/>
              </w:rPr>
              <w:t>Sitagliptin</w:t>
            </w:r>
          </w:p>
        </w:tc>
      </w:tr>
      <w:tr w:rsidR="006B573B" w:rsidRPr="006B573B" w14:paraId="041F6A00" w14:textId="77777777" w:rsidTr="004D4A17">
        <w:trPr>
          <w:cantSplit/>
          <w:jc w:val="center"/>
        </w:trPr>
        <w:tc>
          <w:tcPr>
            <w:tcW w:w="1906" w:type="dxa"/>
            <w:shd w:val="clear" w:color="auto" w:fill="0070C0"/>
          </w:tcPr>
          <w:p w14:paraId="1717D636" w14:textId="77777777" w:rsidR="00C008B6" w:rsidRPr="006B573B" w:rsidRDefault="00C008B6" w:rsidP="006B573B">
            <w:pPr>
              <w:pStyle w:val="A-Head6"/>
              <w:keepNext/>
              <w:numPr>
                <w:ilvl w:val="12"/>
                <w:numId w:val="0"/>
              </w:numPr>
              <w:spacing w:before="20" w:after="20"/>
              <w:jc w:val="center"/>
              <w:rPr>
                <w:rFonts w:ascii="Cambria" w:hAnsi="Cambria"/>
                <w:color w:val="FFFFFF" w:themeColor="background1"/>
                <w:sz w:val="18"/>
                <w:szCs w:val="18"/>
              </w:rPr>
            </w:pPr>
            <w:r w:rsidRPr="006B573B">
              <w:rPr>
                <w:rFonts w:ascii="Cambria" w:hAnsi="Cambria"/>
                <w:color w:val="FFFFFF" w:themeColor="background1"/>
                <w:sz w:val="18"/>
                <w:szCs w:val="18"/>
              </w:rPr>
              <w:t>Single dose, prompt release</w:t>
            </w:r>
          </w:p>
        </w:tc>
        <w:tc>
          <w:tcPr>
            <w:tcW w:w="709" w:type="dxa"/>
            <w:shd w:val="clear" w:color="auto" w:fill="0070C0"/>
          </w:tcPr>
          <w:p w14:paraId="08818C65" w14:textId="77777777" w:rsidR="00C008B6" w:rsidRPr="006B573B" w:rsidRDefault="00C008B6" w:rsidP="006B573B">
            <w:pPr>
              <w:keepNext/>
              <w:numPr>
                <w:ilvl w:val="12"/>
                <w:numId w:val="0"/>
              </w:numPr>
              <w:spacing w:before="20" w:after="20"/>
              <w:jc w:val="center"/>
              <w:rPr>
                <w:b/>
                <w:color w:val="FFFFFF" w:themeColor="background1"/>
                <w:sz w:val="18"/>
                <w:szCs w:val="18"/>
              </w:rPr>
            </w:pPr>
            <w:r w:rsidRPr="006B573B">
              <w:rPr>
                <w:b/>
                <w:color w:val="FFFFFF" w:themeColor="background1"/>
                <w:sz w:val="18"/>
                <w:szCs w:val="18"/>
              </w:rPr>
              <w:t>n</w:t>
            </w:r>
          </w:p>
        </w:tc>
        <w:tc>
          <w:tcPr>
            <w:tcW w:w="1515" w:type="dxa"/>
            <w:shd w:val="clear" w:color="auto" w:fill="0070C0"/>
          </w:tcPr>
          <w:p w14:paraId="6CF3A9B3" w14:textId="4E3FA0FE" w:rsidR="00C008B6" w:rsidRPr="00FA6C7E" w:rsidRDefault="00E700A6" w:rsidP="006B573B">
            <w:pPr>
              <w:keepNext/>
              <w:numPr>
                <w:ilvl w:val="12"/>
                <w:numId w:val="0"/>
              </w:numPr>
              <w:spacing w:before="20" w:after="20"/>
              <w:jc w:val="center"/>
              <w:rPr>
                <w:b/>
                <w:color w:val="FFFFFF" w:themeColor="background1"/>
                <w:sz w:val="18"/>
                <w:szCs w:val="18"/>
              </w:rPr>
            </w:pPr>
            <w:r w:rsidRPr="00FA6C7E">
              <w:rPr>
                <w:color w:val="FFFFFF" w:themeColor="background1"/>
              </w:rPr>
              <w:t>T</w:t>
            </w:r>
            <w:r w:rsidRPr="00FA6C7E">
              <w:rPr>
                <w:color w:val="FFFFFF" w:themeColor="background1"/>
                <w:vertAlign w:val="subscript"/>
              </w:rPr>
              <w:t>max</w:t>
            </w:r>
            <w:r w:rsidR="00C008B6" w:rsidRPr="00FA6C7E">
              <w:rPr>
                <w:b/>
                <w:color w:val="FFFFFF" w:themeColor="background1"/>
                <w:sz w:val="18"/>
                <w:szCs w:val="18"/>
              </w:rPr>
              <w:t xml:space="preserve"> (h)</w:t>
            </w:r>
            <w:r w:rsidR="00AD51CF">
              <w:rPr>
                <w:b/>
                <w:color w:val="FFFFFF" w:themeColor="background1"/>
                <w:sz w:val="18"/>
                <w:szCs w:val="18"/>
              </w:rPr>
              <w:t xml:space="preserve"> </w:t>
            </w:r>
            <w:r w:rsidR="00C008B6" w:rsidRPr="00FA6C7E">
              <w:rPr>
                <w:b/>
                <w:color w:val="FFFFFF" w:themeColor="background1"/>
                <w:sz w:val="18"/>
                <w:szCs w:val="18"/>
              </w:rPr>
              <w:t>(range)</w:t>
            </w:r>
          </w:p>
        </w:tc>
        <w:tc>
          <w:tcPr>
            <w:tcW w:w="1482" w:type="dxa"/>
            <w:shd w:val="clear" w:color="auto" w:fill="0070C0"/>
          </w:tcPr>
          <w:p w14:paraId="5AC21BE8" w14:textId="7A100AB5" w:rsidR="00C008B6" w:rsidRPr="00FA6C7E" w:rsidRDefault="00E700A6" w:rsidP="006B573B">
            <w:pPr>
              <w:keepNext/>
              <w:numPr>
                <w:ilvl w:val="12"/>
                <w:numId w:val="0"/>
              </w:numPr>
              <w:spacing w:before="20" w:after="20"/>
              <w:jc w:val="center"/>
              <w:rPr>
                <w:b/>
                <w:color w:val="FFFFFF" w:themeColor="background1"/>
                <w:sz w:val="18"/>
                <w:szCs w:val="18"/>
              </w:rPr>
            </w:pPr>
            <w:r w:rsidRPr="00FA6C7E">
              <w:rPr>
                <w:color w:val="FFFFFF" w:themeColor="background1"/>
              </w:rPr>
              <w:t>C</w:t>
            </w:r>
            <w:r w:rsidRPr="00FA6C7E">
              <w:rPr>
                <w:color w:val="FFFFFF" w:themeColor="background1"/>
                <w:vertAlign w:val="subscript"/>
              </w:rPr>
              <w:t>max</w:t>
            </w:r>
            <w:r w:rsidR="00C008B6" w:rsidRPr="00FA6C7E">
              <w:rPr>
                <w:b/>
                <w:color w:val="FFFFFF" w:themeColor="background1"/>
                <w:sz w:val="18"/>
                <w:szCs w:val="18"/>
              </w:rPr>
              <w:t xml:space="preserve"> (</w:t>
            </w:r>
            <w:r w:rsidR="00C008B6" w:rsidRPr="00FA6C7E">
              <w:rPr>
                <w:rFonts w:cs="Arial"/>
                <w:b/>
                <w:color w:val="FFFFFF" w:themeColor="background1"/>
                <w:sz w:val="18"/>
                <w:szCs w:val="18"/>
              </w:rPr>
              <w:t>n</w:t>
            </w:r>
            <w:r w:rsidR="00C008B6" w:rsidRPr="00FA6C7E">
              <w:rPr>
                <w:b/>
                <w:color w:val="FFFFFF" w:themeColor="background1"/>
                <w:sz w:val="18"/>
                <w:szCs w:val="18"/>
              </w:rPr>
              <w:t>M)</w:t>
            </w:r>
          </w:p>
        </w:tc>
        <w:tc>
          <w:tcPr>
            <w:tcW w:w="1554" w:type="dxa"/>
            <w:shd w:val="clear" w:color="auto" w:fill="0070C0"/>
          </w:tcPr>
          <w:p w14:paraId="63B57210" w14:textId="5477CB2C" w:rsidR="00C008B6" w:rsidRPr="006B573B" w:rsidRDefault="00C008B6" w:rsidP="006B573B">
            <w:pPr>
              <w:keepNext/>
              <w:numPr>
                <w:ilvl w:val="12"/>
                <w:numId w:val="0"/>
              </w:numPr>
              <w:spacing w:before="20" w:after="20"/>
              <w:jc w:val="center"/>
              <w:rPr>
                <w:b/>
                <w:color w:val="FFFFFF" w:themeColor="background1"/>
                <w:sz w:val="18"/>
                <w:szCs w:val="18"/>
              </w:rPr>
            </w:pPr>
            <w:r w:rsidRPr="006B573B">
              <w:rPr>
                <w:b/>
                <w:color w:val="FFFFFF" w:themeColor="background1"/>
                <w:sz w:val="18"/>
                <w:szCs w:val="18"/>
              </w:rPr>
              <w:t>AUC</w:t>
            </w:r>
            <w:r w:rsidRPr="006B573B">
              <w:rPr>
                <w:b/>
                <w:color w:val="FFFFFF" w:themeColor="background1"/>
                <w:sz w:val="18"/>
                <w:szCs w:val="18"/>
                <w:vertAlign w:val="subscript"/>
              </w:rPr>
              <w:t>0-t</w:t>
            </w:r>
            <w:r w:rsidRPr="006B573B">
              <w:rPr>
                <w:b/>
                <w:color w:val="FFFFFF" w:themeColor="background1"/>
                <w:sz w:val="18"/>
                <w:szCs w:val="18"/>
              </w:rPr>
              <w:t xml:space="preserve"> (µM.h) </w:t>
            </w:r>
          </w:p>
        </w:tc>
        <w:tc>
          <w:tcPr>
            <w:tcW w:w="1576" w:type="dxa"/>
            <w:shd w:val="clear" w:color="auto" w:fill="0070C0"/>
          </w:tcPr>
          <w:p w14:paraId="42E5C766" w14:textId="12BA35C6" w:rsidR="00C008B6" w:rsidRPr="006B573B" w:rsidRDefault="00C008B6" w:rsidP="006B573B">
            <w:pPr>
              <w:keepNext/>
              <w:numPr>
                <w:ilvl w:val="12"/>
                <w:numId w:val="0"/>
              </w:numPr>
              <w:spacing w:before="20" w:after="20"/>
              <w:jc w:val="center"/>
              <w:rPr>
                <w:b/>
                <w:color w:val="FFFFFF" w:themeColor="background1"/>
                <w:sz w:val="18"/>
                <w:szCs w:val="18"/>
              </w:rPr>
            </w:pPr>
            <w:r w:rsidRPr="006B573B">
              <w:rPr>
                <w:b/>
                <w:color w:val="FFFFFF" w:themeColor="background1"/>
                <w:sz w:val="18"/>
                <w:szCs w:val="18"/>
              </w:rPr>
              <w:t>AUC</w:t>
            </w:r>
            <w:r w:rsidRPr="006B573B">
              <w:rPr>
                <w:b/>
                <w:color w:val="FFFFFF" w:themeColor="background1"/>
                <w:sz w:val="18"/>
                <w:szCs w:val="18"/>
                <w:vertAlign w:val="subscript"/>
              </w:rPr>
              <w:t>0-</w:t>
            </w:r>
            <w:r w:rsidRPr="006B573B">
              <w:rPr>
                <w:rFonts w:cs="Arial"/>
                <w:b/>
                <w:color w:val="FFFFFF" w:themeColor="background1"/>
                <w:sz w:val="18"/>
                <w:szCs w:val="18"/>
                <w:vertAlign w:val="subscript"/>
              </w:rPr>
              <w:t>∞</w:t>
            </w:r>
            <w:r w:rsidRPr="006B573B">
              <w:rPr>
                <w:b/>
                <w:color w:val="FFFFFF" w:themeColor="background1"/>
                <w:sz w:val="18"/>
                <w:szCs w:val="18"/>
              </w:rPr>
              <w:t xml:space="preserve"> (µM.h) </w:t>
            </w:r>
          </w:p>
        </w:tc>
      </w:tr>
      <w:tr w:rsidR="00C008B6" w:rsidRPr="005F4F87" w14:paraId="33A86CC6" w14:textId="77777777" w:rsidTr="004D4A17">
        <w:trPr>
          <w:cantSplit/>
          <w:jc w:val="center"/>
        </w:trPr>
        <w:tc>
          <w:tcPr>
            <w:tcW w:w="1906" w:type="dxa"/>
          </w:tcPr>
          <w:p w14:paraId="44324297" w14:textId="0CAD97CB" w:rsidR="00C008B6" w:rsidRPr="006B573B" w:rsidRDefault="00C008B6" w:rsidP="006B573B">
            <w:pPr>
              <w:keepNext/>
              <w:numPr>
                <w:ilvl w:val="12"/>
                <w:numId w:val="0"/>
              </w:numPr>
              <w:spacing w:before="20" w:after="20"/>
              <w:rPr>
                <w:rFonts w:cs="Arial"/>
                <w:sz w:val="18"/>
                <w:szCs w:val="18"/>
              </w:rPr>
            </w:pPr>
            <w:r w:rsidRPr="006B573B">
              <w:rPr>
                <w:rFonts w:cs="Arial"/>
                <w:sz w:val="18"/>
                <w:szCs w:val="18"/>
              </w:rPr>
              <w:t>Treatment A</w:t>
            </w:r>
          </w:p>
          <w:p w14:paraId="5731645C" w14:textId="77777777" w:rsidR="00C008B6" w:rsidRPr="006B573B" w:rsidRDefault="00C008B6" w:rsidP="006B573B">
            <w:pPr>
              <w:keepNext/>
              <w:numPr>
                <w:ilvl w:val="12"/>
                <w:numId w:val="0"/>
              </w:numPr>
              <w:spacing w:before="20" w:after="20"/>
              <w:rPr>
                <w:rFonts w:cs="Arial"/>
                <w:sz w:val="18"/>
                <w:szCs w:val="18"/>
              </w:rPr>
            </w:pPr>
            <w:r w:rsidRPr="006B573B">
              <w:rPr>
                <w:rFonts w:cs="Arial"/>
                <w:sz w:val="18"/>
                <w:szCs w:val="18"/>
              </w:rPr>
              <w:t>Monotherapy</w:t>
            </w:r>
          </w:p>
        </w:tc>
        <w:tc>
          <w:tcPr>
            <w:tcW w:w="709" w:type="dxa"/>
          </w:tcPr>
          <w:p w14:paraId="1CE3FE88" w14:textId="77777777" w:rsidR="00C008B6" w:rsidRPr="006B573B" w:rsidRDefault="00C008B6" w:rsidP="006B573B">
            <w:pPr>
              <w:keepNext/>
              <w:numPr>
                <w:ilvl w:val="12"/>
                <w:numId w:val="0"/>
              </w:numPr>
              <w:spacing w:before="20" w:after="20"/>
              <w:jc w:val="center"/>
              <w:rPr>
                <w:sz w:val="18"/>
                <w:szCs w:val="18"/>
              </w:rPr>
            </w:pPr>
            <w:r w:rsidRPr="006B573B">
              <w:rPr>
                <w:sz w:val="18"/>
                <w:szCs w:val="18"/>
              </w:rPr>
              <w:t>18, 17</w:t>
            </w:r>
          </w:p>
        </w:tc>
        <w:tc>
          <w:tcPr>
            <w:tcW w:w="1515" w:type="dxa"/>
          </w:tcPr>
          <w:p w14:paraId="71A86A77" w14:textId="77777777" w:rsidR="00C008B6" w:rsidRPr="006B573B" w:rsidRDefault="00C008B6" w:rsidP="006B573B">
            <w:pPr>
              <w:keepNext/>
              <w:numPr>
                <w:ilvl w:val="12"/>
                <w:numId w:val="0"/>
              </w:numPr>
              <w:spacing w:before="20" w:after="20"/>
              <w:jc w:val="center"/>
              <w:rPr>
                <w:sz w:val="18"/>
                <w:szCs w:val="18"/>
              </w:rPr>
            </w:pPr>
            <w:r w:rsidRPr="006B573B">
              <w:rPr>
                <w:sz w:val="18"/>
                <w:szCs w:val="18"/>
              </w:rPr>
              <w:t>2.98</w:t>
            </w:r>
          </w:p>
          <w:p w14:paraId="650946DF" w14:textId="7AA4F653" w:rsidR="00C008B6" w:rsidRPr="006B573B" w:rsidRDefault="00C008B6" w:rsidP="006B573B">
            <w:pPr>
              <w:keepNext/>
              <w:numPr>
                <w:ilvl w:val="12"/>
                <w:numId w:val="0"/>
              </w:numPr>
              <w:spacing w:before="20" w:after="20"/>
              <w:jc w:val="center"/>
              <w:rPr>
                <w:sz w:val="18"/>
                <w:szCs w:val="18"/>
              </w:rPr>
            </w:pPr>
            <w:r w:rsidRPr="006B573B">
              <w:rPr>
                <w:sz w:val="18"/>
                <w:szCs w:val="18"/>
              </w:rPr>
              <w:t xml:space="preserve">(0.483 </w:t>
            </w:r>
            <w:r w:rsidR="00AD51CF">
              <w:rPr>
                <w:sz w:val="18"/>
                <w:szCs w:val="18"/>
              </w:rPr>
              <w:t>to</w:t>
            </w:r>
            <w:r w:rsidRPr="006B573B">
              <w:rPr>
                <w:sz w:val="18"/>
                <w:szCs w:val="18"/>
              </w:rPr>
              <w:t xml:space="preserve"> 5.00)</w:t>
            </w:r>
          </w:p>
        </w:tc>
        <w:tc>
          <w:tcPr>
            <w:tcW w:w="1482" w:type="dxa"/>
          </w:tcPr>
          <w:p w14:paraId="2FF0CB94" w14:textId="77777777" w:rsidR="00C008B6" w:rsidRPr="006B573B" w:rsidRDefault="00C008B6" w:rsidP="006B573B">
            <w:pPr>
              <w:keepNext/>
              <w:numPr>
                <w:ilvl w:val="12"/>
                <w:numId w:val="0"/>
              </w:numPr>
              <w:spacing w:before="20" w:after="20"/>
              <w:jc w:val="center"/>
              <w:rPr>
                <w:sz w:val="18"/>
                <w:szCs w:val="18"/>
              </w:rPr>
            </w:pPr>
            <w:r w:rsidRPr="006B573B">
              <w:rPr>
                <w:sz w:val="18"/>
                <w:szCs w:val="18"/>
              </w:rPr>
              <w:t>659.5</w:t>
            </w:r>
          </w:p>
        </w:tc>
        <w:tc>
          <w:tcPr>
            <w:tcW w:w="1554" w:type="dxa"/>
          </w:tcPr>
          <w:p w14:paraId="43BEBC31" w14:textId="77777777" w:rsidR="00C008B6" w:rsidRPr="006B573B" w:rsidRDefault="00C008B6" w:rsidP="006B573B">
            <w:pPr>
              <w:keepNext/>
              <w:numPr>
                <w:ilvl w:val="12"/>
                <w:numId w:val="0"/>
              </w:numPr>
              <w:spacing w:before="20" w:after="20"/>
              <w:jc w:val="center"/>
              <w:rPr>
                <w:sz w:val="18"/>
                <w:szCs w:val="18"/>
              </w:rPr>
            </w:pPr>
            <w:r w:rsidRPr="006B573B">
              <w:rPr>
                <w:sz w:val="18"/>
                <w:szCs w:val="18"/>
              </w:rPr>
              <w:t>7.005</w:t>
            </w:r>
          </w:p>
        </w:tc>
        <w:tc>
          <w:tcPr>
            <w:tcW w:w="1576" w:type="dxa"/>
          </w:tcPr>
          <w:p w14:paraId="07466BF6" w14:textId="77777777" w:rsidR="00C008B6" w:rsidRPr="006B573B" w:rsidRDefault="00C008B6" w:rsidP="006B573B">
            <w:pPr>
              <w:keepNext/>
              <w:numPr>
                <w:ilvl w:val="12"/>
                <w:numId w:val="0"/>
              </w:numPr>
              <w:spacing w:before="20" w:after="20"/>
              <w:jc w:val="center"/>
              <w:rPr>
                <w:sz w:val="18"/>
                <w:szCs w:val="18"/>
              </w:rPr>
            </w:pPr>
            <w:r w:rsidRPr="006B573B">
              <w:rPr>
                <w:sz w:val="18"/>
                <w:szCs w:val="18"/>
              </w:rPr>
              <w:t>7.077</w:t>
            </w:r>
          </w:p>
        </w:tc>
      </w:tr>
      <w:tr w:rsidR="00C008B6" w:rsidRPr="005F4F87" w14:paraId="2C8E8D8F" w14:textId="77777777" w:rsidTr="004D4A17">
        <w:trPr>
          <w:cantSplit/>
          <w:jc w:val="center"/>
        </w:trPr>
        <w:tc>
          <w:tcPr>
            <w:tcW w:w="1906" w:type="dxa"/>
          </w:tcPr>
          <w:p w14:paraId="5F61A871" w14:textId="77777777" w:rsidR="00C008B6" w:rsidRPr="006B573B" w:rsidRDefault="00C008B6" w:rsidP="00DD7FF1">
            <w:pPr>
              <w:numPr>
                <w:ilvl w:val="12"/>
                <w:numId w:val="0"/>
              </w:numPr>
              <w:spacing w:before="20" w:after="20"/>
              <w:rPr>
                <w:rFonts w:cs="Arial"/>
                <w:sz w:val="18"/>
                <w:szCs w:val="18"/>
              </w:rPr>
            </w:pPr>
            <w:r w:rsidRPr="006B573B">
              <w:rPr>
                <w:rFonts w:cs="Arial"/>
                <w:sz w:val="18"/>
                <w:szCs w:val="18"/>
              </w:rPr>
              <w:t>Treatment B FDC</w:t>
            </w:r>
          </w:p>
        </w:tc>
        <w:tc>
          <w:tcPr>
            <w:tcW w:w="709" w:type="dxa"/>
          </w:tcPr>
          <w:p w14:paraId="4087DFF3" w14:textId="77777777" w:rsidR="00C008B6" w:rsidRPr="006B573B" w:rsidRDefault="00C008B6" w:rsidP="00C008B6">
            <w:pPr>
              <w:numPr>
                <w:ilvl w:val="12"/>
                <w:numId w:val="0"/>
              </w:numPr>
              <w:spacing w:before="20" w:after="20"/>
              <w:jc w:val="center"/>
              <w:rPr>
                <w:sz w:val="18"/>
                <w:szCs w:val="18"/>
              </w:rPr>
            </w:pPr>
            <w:r w:rsidRPr="006B573B">
              <w:rPr>
                <w:sz w:val="18"/>
                <w:szCs w:val="18"/>
              </w:rPr>
              <w:t>18, 18</w:t>
            </w:r>
          </w:p>
        </w:tc>
        <w:tc>
          <w:tcPr>
            <w:tcW w:w="1515" w:type="dxa"/>
          </w:tcPr>
          <w:p w14:paraId="37A75282" w14:textId="77777777" w:rsidR="00C008B6" w:rsidRPr="006B573B" w:rsidRDefault="00C008B6" w:rsidP="00C008B6">
            <w:pPr>
              <w:numPr>
                <w:ilvl w:val="12"/>
                <w:numId w:val="0"/>
              </w:numPr>
              <w:spacing w:before="20" w:after="20"/>
              <w:jc w:val="center"/>
              <w:rPr>
                <w:sz w:val="18"/>
                <w:szCs w:val="18"/>
              </w:rPr>
            </w:pPr>
            <w:r w:rsidRPr="006B573B">
              <w:rPr>
                <w:sz w:val="18"/>
                <w:szCs w:val="18"/>
              </w:rPr>
              <w:t xml:space="preserve">3.00 </w:t>
            </w:r>
          </w:p>
          <w:p w14:paraId="291507EA" w14:textId="258AB51B" w:rsidR="00C008B6" w:rsidRPr="006B573B" w:rsidRDefault="00C008B6" w:rsidP="00C008B6">
            <w:pPr>
              <w:numPr>
                <w:ilvl w:val="12"/>
                <w:numId w:val="0"/>
              </w:numPr>
              <w:spacing w:before="20" w:after="20"/>
              <w:jc w:val="center"/>
              <w:rPr>
                <w:sz w:val="18"/>
                <w:szCs w:val="18"/>
              </w:rPr>
            </w:pPr>
            <w:r w:rsidRPr="006B573B">
              <w:rPr>
                <w:sz w:val="18"/>
                <w:szCs w:val="18"/>
              </w:rPr>
              <w:t xml:space="preserve">(1.00 </w:t>
            </w:r>
            <w:r w:rsidR="00AD51CF">
              <w:rPr>
                <w:sz w:val="18"/>
                <w:szCs w:val="18"/>
              </w:rPr>
              <w:t>to</w:t>
            </w:r>
            <w:r w:rsidRPr="006B573B">
              <w:rPr>
                <w:sz w:val="18"/>
                <w:szCs w:val="18"/>
              </w:rPr>
              <w:t xml:space="preserve"> 4.08)</w:t>
            </w:r>
          </w:p>
        </w:tc>
        <w:tc>
          <w:tcPr>
            <w:tcW w:w="1482" w:type="dxa"/>
          </w:tcPr>
          <w:p w14:paraId="26DD68D0" w14:textId="77777777" w:rsidR="00C008B6" w:rsidRPr="006B573B" w:rsidRDefault="00C008B6" w:rsidP="00C008B6">
            <w:pPr>
              <w:numPr>
                <w:ilvl w:val="12"/>
                <w:numId w:val="0"/>
              </w:numPr>
              <w:spacing w:before="20" w:after="20"/>
              <w:jc w:val="center"/>
              <w:rPr>
                <w:sz w:val="18"/>
                <w:szCs w:val="18"/>
              </w:rPr>
            </w:pPr>
            <w:r w:rsidRPr="006B573B">
              <w:rPr>
                <w:sz w:val="18"/>
                <w:szCs w:val="18"/>
              </w:rPr>
              <w:t>673.8</w:t>
            </w:r>
          </w:p>
        </w:tc>
        <w:tc>
          <w:tcPr>
            <w:tcW w:w="1554" w:type="dxa"/>
          </w:tcPr>
          <w:p w14:paraId="170AAE02" w14:textId="77777777" w:rsidR="00C008B6" w:rsidRPr="006B573B" w:rsidRDefault="00C008B6" w:rsidP="00C008B6">
            <w:pPr>
              <w:numPr>
                <w:ilvl w:val="12"/>
                <w:numId w:val="0"/>
              </w:numPr>
              <w:spacing w:before="20" w:after="20"/>
              <w:jc w:val="center"/>
              <w:rPr>
                <w:sz w:val="18"/>
                <w:szCs w:val="18"/>
              </w:rPr>
            </w:pPr>
            <w:r w:rsidRPr="006B573B">
              <w:rPr>
                <w:sz w:val="18"/>
                <w:szCs w:val="18"/>
              </w:rPr>
              <w:t>7.061</w:t>
            </w:r>
          </w:p>
        </w:tc>
        <w:tc>
          <w:tcPr>
            <w:tcW w:w="1576" w:type="dxa"/>
          </w:tcPr>
          <w:p w14:paraId="0FC25048" w14:textId="77777777" w:rsidR="00C008B6" w:rsidRPr="006B573B" w:rsidRDefault="00C008B6" w:rsidP="00C008B6">
            <w:pPr>
              <w:numPr>
                <w:ilvl w:val="12"/>
                <w:numId w:val="0"/>
              </w:numPr>
              <w:spacing w:before="20" w:after="20"/>
              <w:jc w:val="center"/>
              <w:rPr>
                <w:sz w:val="18"/>
                <w:szCs w:val="18"/>
              </w:rPr>
            </w:pPr>
            <w:r w:rsidRPr="006B573B">
              <w:rPr>
                <w:sz w:val="18"/>
                <w:szCs w:val="18"/>
              </w:rPr>
              <w:t>7.136</w:t>
            </w:r>
          </w:p>
        </w:tc>
      </w:tr>
      <w:tr w:rsidR="00C008B6" w:rsidRPr="005F4F87" w14:paraId="7A936D0C" w14:textId="77777777" w:rsidTr="004D4A17">
        <w:trPr>
          <w:cantSplit/>
          <w:jc w:val="center"/>
        </w:trPr>
        <w:tc>
          <w:tcPr>
            <w:tcW w:w="1906" w:type="dxa"/>
          </w:tcPr>
          <w:p w14:paraId="73D971A6" w14:textId="77777777" w:rsidR="00C008B6" w:rsidRPr="006B573B" w:rsidRDefault="00C008B6" w:rsidP="00C008B6">
            <w:pPr>
              <w:numPr>
                <w:ilvl w:val="12"/>
                <w:numId w:val="0"/>
              </w:numPr>
              <w:spacing w:before="20" w:after="20"/>
              <w:rPr>
                <w:sz w:val="18"/>
                <w:szCs w:val="18"/>
              </w:rPr>
            </w:pPr>
            <w:r w:rsidRPr="006B573B">
              <w:rPr>
                <w:sz w:val="18"/>
                <w:szCs w:val="18"/>
              </w:rPr>
              <w:t>Statistical analysis:</w:t>
            </w:r>
          </w:p>
        </w:tc>
        <w:tc>
          <w:tcPr>
            <w:tcW w:w="709" w:type="dxa"/>
          </w:tcPr>
          <w:p w14:paraId="77E9F12D" w14:textId="77777777" w:rsidR="00C008B6" w:rsidRPr="006B573B" w:rsidRDefault="00C008B6" w:rsidP="00C008B6">
            <w:pPr>
              <w:numPr>
                <w:ilvl w:val="12"/>
                <w:numId w:val="0"/>
              </w:numPr>
              <w:spacing w:before="20" w:after="20"/>
              <w:ind w:left="-74" w:right="-142"/>
              <w:jc w:val="center"/>
              <w:rPr>
                <w:sz w:val="18"/>
                <w:szCs w:val="18"/>
              </w:rPr>
            </w:pPr>
          </w:p>
        </w:tc>
        <w:tc>
          <w:tcPr>
            <w:tcW w:w="1515" w:type="dxa"/>
          </w:tcPr>
          <w:p w14:paraId="64D63F8F" w14:textId="77777777" w:rsidR="00C008B6" w:rsidRPr="006B573B" w:rsidRDefault="00C008B6" w:rsidP="00C008B6">
            <w:pPr>
              <w:numPr>
                <w:ilvl w:val="12"/>
                <w:numId w:val="0"/>
              </w:numPr>
              <w:spacing w:before="20" w:after="20"/>
              <w:ind w:left="-74" w:right="-142"/>
              <w:jc w:val="center"/>
              <w:rPr>
                <w:sz w:val="18"/>
                <w:szCs w:val="18"/>
              </w:rPr>
            </w:pPr>
            <w:r w:rsidRPr="006B573B">
              <w:rPr>
                <w:sz w:val="18"/>
                <w:szCs w:val="18"/>
              </w:rPr>
              <w:t>Median diff.</w:t>
            </w:r>
          </w:p>
        </w:tc>
        <w:tc>
          <w:tcPr>
            <w:tcW w:w="1482" w:type="dxa"/>
          </w:tcPr>
          <w:p w14:paraId="0A5146AA" w14:textId="77777777" w:rsidR="00C008B6" w:rsidRPr="006B573B" w:rsidRDefault="00F14099" w:rsidP="00C008B6">
            <w:pPr>
              <w:numPr>
                <w:ilvl w:val="12"/>
                <w:numId w:val="0"/>
              </w:numPr>
              <w:spacing w:before="20" w:after="20"/>
              <w:jc w:val="center"/>
              <w:rPr>
                <w:sz w:val="18"/>
                <w:szCs w:val="18"/>
              </w:rPr>
            </w:pPr>
            <w:r w:rsidRPr="006B573B">
              <w:rPr>
                <w:sz w:val="18"/>
                <w:szCs w:val="18"/>
              </w:rPr>
              <w:t>Ratio</w:t>
            </w:r>
            <w:r w:rsidR="00C008B6" w:rsidRPr="006B573B">
              <w:rPr>
                <w:sz w:val="18"/>
                <w:szCs w:val="18"/>
              </w:rPr>
              <w:t xml:space="preserve"> (%)</w:t>
            </w:r>
          </w:p>
        </w:tc>
        <w:tc>
          <w:tcPr>
            <w:tcW w:w="1554" w:type="dxa"/>
          </w:tcPr>
          <w:p w14:paraId="6B10A8F1" w14:textId="77777777" w:rsidR="00C008B6" w:rsidRPr="006B573B" w:rsidRDefault="00F14099" w:rsidP="00C008B6">
            <w:pPr>
              <w:numPr>
                <w:ilvl w:val="12"/>
                <w:numId w:val="0"/>
              </w:numPr>
              <w:spacing w:before="20" w:after="20"/>
              <w:jc w:val="center"/>
              <w:rPr>
                <w:sz w:val="18"/>
                <w:szCs w:val="18"/>
              </w:rPr>
            </w:pPr>
            <w:r w:rsidRPr="006B573B">
              <w:rPr>
                <w:sz w:val="18"/>
                <w:szCs w:val="18"/>
              </w:rPr>
              <w:t>Ratio</w:t>
            </w:r>
            <w:r w:rsidR="00C008B6" w:rsidRPr="006B573B">
              <w:rPr>
                <w:sz w:val="18"/>
                <w:szCs w:val="18"/>
              </w:rPr>
              <w:t xml:space="preserve"> (%)</w:t>
            </w:r>
          </w:p>
        </w:tc>
        <w:tc>
          <w:tcPr>
            <w:tcW w:w="1576" w:type="dxa"/>
          </w:tcPr>
          <w:p w14:paraId="792E26CD" w14:textId="77777777" w:rsidR="00C008B6" w:rsidRPr="006B573B" w:rsidRDefault="00F14099" w:rsidP="00C008B6">
            <w:pPr>
              <w:numPr>
                <w:ilvl w:val="12"/>
                <w:numId w:val="0"/>
              </w:numPr>
              <w:spacing w:before="20" w:after="20"/>
              <w:jc w:val="center"/>
              <w:rPr>
                <w:sz w:val="18"/>
                <w:szCs w:val="18"/>
              </w:rPr>
            </w:pPr>
            <w:r w:rsidRPr="006B573B">
              <w:rPr>
                <w:sz w:val="18"/>
                <w:szCs w:val="18"/>
              </w:rPr>
              <w:t>Ratio</w:t>
            </w:r>
            <w:r w:rsidR="00C008B6" w:rsidRPr="006B573B">
              <w:rPr>
                <w:sz w:val="18"/>
                <w:szCs w:val="18"/>
              </w:rPr>
              <w:t xml:space="preserve"> (%)</w:t>
            </w:r>
          </w:p>
        </w:tc>
      </w:tr>
      <w:tr w:rsidR="00C008B6" w:rsidRPr="005F4F87" w14:paraId="76A39C07" w14:textId="77777777" w:rsidTr="004D4A17">
        <w:trPr>
          <w:cantSplit/>
          <w:jc w:val="center"/>
        </w:trPr>
        <w:tc>
          <w:tcPr>
            <w:tcW w:w="1906" w:type="dxa"/>
          </w:tcPr>
          <w:p w14:paraId="04CB58D4" w14:textId="77777777" w:rsidR="00C008B6" w:rsidRPr="006B573B" w:rsidRDefault="00C008B6" w:rsidP="00C008B6">
            <w:pPr>
              <w:numPr>
                <w:ilvl w:val="12"/>
                <w:numId w:val="0"/>
              </w:numPr>
              <w:spacing w:before="20" w:after="20"/>
              <w:rPr>
                <w:sz w:val="18"/>
                <w:szCs w:val="18"/>
              </w:rPr>
            </w:pPr>
            <w:r w:rsidRPr="006B573B">
              <w:rPr>
                <w:sz w:val="18"/>
                <w:szCs w:val="18"/>
              </w:rPr>
              <w:t>B</w:t>
            </w:r>
            <w:r w:rsidR="000E32B5" w:rsidRPr="006B573B">
              <w:rPr>
                <w:sz w:val="18"/>
                <w:szCs w:val="18"/>
              </w:rPr>
              <w:t xml:space="preserve"> versus </w:t>
            </w:r>
            <w:r w:rsidRPr="006B573B">
              <w:rPr>
                <w:sz w:val="18"/>
                <w:szCs w:val="18"/>
              </w:rPr>
              <w:t>A Estimate</w:t>
            </w:r>
          </w:p>
        </w:tc>
        <w:tc>
          <w:tcPr>
            <w:tcW w:w="709" w:type="dxa"/>
          </w:tcPr>
          <w:p w14:paraId="081B6D0C" w14:textId="77777777" w:rsidR="00C008B6" w:rsidRPr="006B573B" w:rsidRDefault="00C008B6" w:rsidP="00C008B6">
            <w:pPr>
              <w:numPr>
                <w:ilvl w:val="12"/>
                <w:numId w:val="0"/>
              </w:numPr>
              <w:spacing w:before="20" w:after="20"/>
              <w:jc w:val="center"/>
              <w:rPr>
                <w:sz w:val="18"/>
                <w:szCs w:val="18"/>
              </w:rPr>
            </w:pPr>
          </w:p>
        </w:tc>
        <w:tc>
          <w:tcPr>
            <w:tcW w:w="1515" w:type="dxa"/>
          </w:tcPr>
          <w:p w14:paraId="1F332966" w14:textId="77777777" w:rsidR="00C008B6" w:rsidRPr="006B573B" w:rsidRDefault="00C008B6" w:rsidP="00C008B6">
            <w:pPr>
              <w:numPr>
                <w:ilvl w:val="12"/>
                <w:numId w:val="0"/>
              </w:numPr>
              <w:spacing w:before="20" w:after="20"/>
              <w:jc w:val="center"/>
              <w:rPr>
                <w:sz w:val="18"/>
                <w:szCs w:val="18"/>
              </w:rPr>
            </w:pPr>
            <w:r w:rsidRPr="006B573B">
              <w:rPr>
                <w:sz w:val="18"/>
                <w:szCs w:val="18"/>
              </w:rPr>
              <w:t>-</w:t>
            </w:r>
          </w:p>
        </w:tc>
        <w:tc>
          <w:tcPr>
            <w:tcW w:w="1482" w:type="dxa"/>
          </w:tcPr>
          <w:p w14:paraId="08C7DED6" w14:textId="77777777" w:rsidR="00C008B6" w:rsidRPr="006B573B" w:rsidRDefault="00C008B6" w:rsidP="00C008B6">
            <w:pPr>
              <w:numPr>
                <w:ilvl w:val="12"/>
                <w:numId w:val="0"/>
              </w:numPr>
              <w:spacing w:before="20" w:after="20"/>
              <w:jc w:val="center"/>
              <w:rPr>
                <w:sz w:val="18"/>
                <w:szCs w:val="18"/>
              </w:rPr>
            </w:pPr>
            <w:r w:rsidRPr="006B573B">
              <w:rPr>
                <w:sz w:val="18"/>
                <w:szCs w:val="18"/>
              </w:rPr>
              <w:t>99.76</w:t>
            </w:r>
          </w:p>
        </w:tc>
        <w:tc>
          <w:tcPr>
            <w:tcW w:w="1554" w:type="dxa"/>
          </w:tcPr>
          <w:p w14:paraId="76BC74BB" w14:textId="77777777" w:rsidR="00C008B6" w:rsidRPr="006B573B" w:rsidRDefault="00C008B6" w:rsidP="00C008B6">
            <w:pPr>
              <w:numPr>
                <w:ilvl w:val="12"/>
                <w:numId w:val="0"/>
              </w:numPr>
              <w:spacing w:before="20" w:after="20"/>
              <w:jc w:val="center"/>
              <w:rPr>
                <w:sz w:val="18"/>
                <w:szCs w:val="18"/>
              </w:rPr>
            </w:pPr>
            <w:r w:rsidRPr="006B573B">
              <w:rPr>
                <w:sz w:val="18"/>
                <w:szCs w:val="18"/>
              </w:rPr>
              <w:t>99.77</w:t>
            </w:r>
          </w:p>
        </w:tc>
        <w:tc>
          <w:tcPr>
            <w:tcW w:w="1576" w:type="dxa"/>
          </w:tcPr>
          <w:p w14:paraId="36D72498" w14:textId="77777777" w:rsidR="00C008B6" w:rsidRPr="006B573B" w:rsidRDefault="00C008B6" w:rsidP="00C008B6">
            <w:pPr>
              <w:numPr>
                <w:ilvl w:val="12"/>
                <w:numId w:val="0"/>
              </w:numPr>
              <w:spacing w:before="20" w:after="20"/>
              <w:jc w:val="center"/>
              <w:rPr>
                <w:sz w:val="18"/>
                <w:szCs w:val="18"/>
              </w:rPr>
            </w:pPr>
            <w:r w:rsidRPr="006B573B">
              <w:rPr>
                <w:sz w:val="18"/>
                <w:szCs w:val="18"/>
              </w:rPr>
              <w:t>99.80</w:t>
            </w:r>
          </w:p>
        </w:tc>
      </w:tr>
      <w:tr w:rsidR="00C008B6" w:rsidRPr="005F4F87" w14:paraId="20EAE3B1" w14:textId="77777777" w:rsidTr="004D4A17">
        <w:trPr>
          <w:cantSplit/>
          <w:jc w:val="center"/>
        </w:trPr>
        <w:tc>
          <w:tcPr>
            <w:tcW w:w="1906" w:type="dxa"/>
          </w:tcPr>
          <w:p w14:paraId="7DA5BD50" w14:textId="77777777" w:rsidR="00C008B6" w:rsidRPr="006B573B" w:rsidRDefault="00C008B6" w:rsidP="00C008B6">
            <w:pPr>
              <w:numPr>
                <w:ilvl w:val="12"/>
                <w:numId w:val="0"/>
              </w:numPr>
              <w:spacing w:before="20" w:after="20"/>
              <w:rPr>
                <w:sz w:val="18"/>
                <w:szCs w:val="18"/>
              </w:rPr>
            </w:pPr>
            <w:r w:rsidRPr="006B573B">
              <w:rPr>
                <w:sz w:val="18"/>
                <w:szCs w:val="18"/>
              </w:rPr>
              <w:t>90% CI</w:t>
            </w:r>
          </w:p>
        </w:tc>
        <w:tc>
          <w:tcPr>
            <w:tcW w:w="709" w:type="dxa"/>
          </w:tcPr>
          <w:p w14:paraId="5A5CA12B" w14:textId="77777777" w:rsidR="00C008B6" w:rsidRPr="006B573B" w:rsidRDefault="00C008B6" w:rsidP="00C008B6">
            <w:pPr>
              <w:numPr>
                <w:ilvl w:val="12"/>
                <w:numId w:val="0"/>
              </w:numPr>
              <w:spacing w:before="20" w:after="20"/>
              <w:jc w:val="center"/>
              <w:rPr>
                <w:sz w:val="18"/>
                <w:szCs w:val="18"/>
              </w:rPr>
            </w:pPr>
          </w:p>
        </w:tc>
        <w:tc>
          <w:tcPr>
            <w:tcW w:w="1515" w:type="dxa"/>
          </w:tcPr>
          <w:p w14:paraId="2E9FD93F" w14:textId="77777777" w:rsidR="00C008B6" w:rsidRPr="006B573B" w:rsidRDefault="00C008B6" w:rsidP="00C008B6">
            <w:pPr>
              <w:numPr>
                <w:ilvl w:val="12"/>
                <w:numId w:val="0"/>
              </w:numPr>
              <w:spacing w:before="20" w:after="20"/>
              <w:jc w:val="center"/>
              <w:rPr>
                <w:sz w:val="18"/>
                <w:szCs w:val="18"/>
              </w:rPr>
            </w:pPr>
            <w:r w:rsidRPr="006B573B">
              <w:rPr>
                <w:sz w:val="18"/>
                <w:szCs w:val="18"/>
              </w:rPr>
              <w:t>-</w:t>
            </w:r>
          </w:p>
        </w:tc>
        <w:tc>
          <w:tcPr>
            <w:tcW w:w="1482" w:type="dxa"/>
          </w:tcPr>
          <w:p w14:paraId="455E0B92" w14:textId="55529650" w:rsidR="00C008B6" w:rsidRPr="006B573B" w:rsidRDefault="00C008B6" w:rsidP="00C008B6">
            <w:pPr>
              <w:numPr>
                <w:ilvl w:val="12"/>
                <w:numId w:val="0"/>
              </w:numPr>
              <w:spacing w:before="20" w:after="20"/>
              <w:jc w:val="center"/>
              <w:rPr>
                <w:sz w:val="18"/>
                <w:szCs w:val="18"/>
              </w:rPr>
            </w:pPr>
            <w:r w:rsidRPr="006B573B">
              <w:rPr>
                <w:sz w:val="18"/>
                <w:szCs w:val="18"/>
              </w:rPr>
              <w:t xml:space="preserve">93.63 </w:t>
            </w:r>
            <w:r w:rsidR="00AD51CF">
              <w:rPr>
                <w:sz w:val="18"/>
                <w:szCs w:val="18"/>
              </w:rPr>
              <w:t>to</w:t>
            </w:r>
            <w:r w:rsidRPr="006B573B">
              <w:rPr>
                <w:sz w:val="18"/>
                <w:szCs w:val="18"/>
              </w:rPr>
              <w:t xml:space="preserve"> 106.28</w:t>
            </w:r>
          </w:p>
        </w:tc>
        <w:tc>
          <w:tcPr>
            <w:tcW w:w="1554" w:type="dxa"/>
          </w:tcPr>
          <w:p w14:paraId="43EEB708" w14:textId="5C5D5C2B" w:rsidR="00C008B6" w:rsidRPr="006B573B" w:rsidRDefault="00C008B6" w:rsidP="00C008B6">
            <w:pPr>
              <w:numPr>
                <w:ilvl w:val="12"/>
                <w:numId w:val="0"/>
              </w:numPr>
              <w:spacing w:before="20" w:after="20"/>
              <w:jc w:val="center"/>
              <w:rPr>
                <w:sz w:val="18"/>
                <w:szCs w:val="18"/>
              </w:rPr>
            </w:pPr>
            <w:r w:rsidRPr="006B573B">
              <w:rPr>
                <w:sz w:val="18"/>
                <w:szCs w:val="18"/>
              </w:rPr>
              <w:t xml:space="preserve">98.05 </w:t>
            </w:r>
            <w:r w:rsidR="00AD51CF">
              <w:rPr>
                <w:sz w:val="18"/>
                <w:szCs w:val="18"/>
              </w:rPr>
              <w:t>to</w:t>
            </w:r>
            <w:r w:rsidRPr="006B573B">
              <w:rPr>
                <w:sz w:val="18"/>
                <w:szCs w:val="18"/>
              </w:rPr>
              <w:t xml:space="preserve"> 101.52</w:t>
            </w:r>
          </w:p>
        </w:tc>
        <w:tc>
          <w:tcPr>
            <w:tcW w:w="1576" w:type="dxa"/>
          </w:tcPr>
          <w:p w14:paraId="37F08353" w14:textId="04A5C70D" w:rsidR="00C008B6" w:rsidRPr="006B573B" w:rsidRDefault="00C008B6" w:rsidP="00C008B6">
            <w:pPr>
              <w:numPr>
                <w:ilvl w:val="12"/>
                <w:numId w:val="0"/>
              </w:numPr>
              <w:spacing w:before="20" w:after="20"/>
              <w:jc w:val="center"/>
              <w:rPr>
                <w:sz w:val="18"/>
                <w:szCs w:val="18"/>
              </w:rPr>
            </w:pPr>
            <w:r w:rsidRPr="006B573B">
              <w:rPr>
                <w:sz w:val="18"/>
                <w:szCs w:val="18"/>
              </w:rPr>
              <w:t xml:space="preserve">98.12 </w:t>
            </w:r>
            <w:r w:rsidR="00AD51CF">
              <w:rPr>
                <w:sz w:val="18"/>
                <w:szCs w:val="18"/>
              </w:rPr>
              <w:t>to</w:t>
            </w:r>
            <w:r w:rsidRPr="006B573B">
              <w:rPr>
                <w:sz w:val="18"/>
                <w:szCs w:val="18"/>
              </w:rPr>
              <w:t xml:space="preserve"> 101.51</w:t>
            </w:r>
          </w:p>
        </w:tc>
      </w:tr>
    </w:tbl>
    <w:p w14:paraId="6E2DBD49" w14:textId="4E7F31AF" w:rsidR="00C008B6" w:rsidRPr="005F4F87" w:rsidRDefault="00C008B6" w:rsidP="004D4A17">
      <w:pPr>
        <w:pStyle w:val="Heading5"/>
      </w:pPr>
      <w:r w:rsidRPr="005F4F87">
        <w:t xml:space="preserve">Food </w:t>
      </w:r>
      <w:r w:rsidR="00CD18ED">
        <w:t>e</w:t>
      </w:r>
      <w:r w:rsidRPr="005F4F87">
        <w:t>ffect Study P026/1050</w:t>
      </w:r>
    </w:p>
    <w:p w14:paraId="6BC39E5D" w14:textId="7CE22416" w:rsidR="00C008B6" w:rsidRDefault="00C008B6" w:rsidP="004D4A17">
      <w:pPr>
        <w:rPr>
          <w:b/>
          <w:u w:val="single"/>
        </w:rPr>
      </w:pPr>
      <w:r w:rsidRPr="00AF6D93">
        <w:t xml:space="preserve">A </w:t>
      </w:r>
      <w:r w:rsidR="00C3563C">
        <w:t>Phase I</w:t>
      </w:r>
      <w:r w:rsidRPr="00AF6D93">
        <w:t xml:space="preserve">, </w:t>
      </w:r>
      <w:r w:rsidR="004D4A17">
        <w:t>Randomised</w:t>
      </w:r>
      <w:r w:rsidRPr="00AF6D93">
        <w:t xml:space="preserve">, </w:t>
      </w:r>
      <w:r w:rsidR="00AD51CF">
        <w:t>Open label</w:t>
      </w:r>
      <w:r w:rsidRPr="00AF6D93">
        <w:t xml:space="preserve">, </w:t>
      </w:r>
      <w:r w:rsidR="00AD51CF">
        <w:t>2 sequence</w:t>
      </w:r>
      <w:r w:rsidRPr="00AF6D93">
        <w:t xml:space="preserve">, </w:t>
      </w:r>
      <w:r w:rsidR="00AD51CF">
        <w:t>2 period</w:t>
      </w:r>
      <w:r w:rsidRPr="00AF6D93">
        <w:t xml:space="preserve"> Crossover Study to Estimate the Effect of Food on the Pharmacokinetics of Sitagliptin and Ertugliflozin When Administered as a Fixed Dose Combination Tablet </w:t>
      </w:r>
      <w:r>
        <w:t>(15</w:t>
      </w:r>
      <w:r w:rsidR="006D7D02">
        <w:t xml:space="preserve"> mg</w:t>
      </w:r>
      <w:r>
        <w:t xml:space="preserve">/100 </w:t>
      </w:r>
      <w:r w:rsidR="006D7D02">
        <w:t>mg</w:t>
      </w:r>
      <w:r>
        <w:t>)</w:t>
      </w:r>
      <w:r w:rsidRPr="00AF6D93">
        <w:t>to Healthy Subjects</w:t>
      </w:r>
      <w:r w:rsidR="00AD51CF">
        <w:t>.</w:t>
      </w:r>
    </w:p>
    <w:p w14:paraId="4A9F57EF" w14:textId="12ED354A" w:rsidR="00C008B6" w:rsidRPr="00096378" w:rsidRDefault="00C008B6" w:rsidP="004D4A17">
      <w:r w:rsidRPr="00096378">
        <w:t xml:space="preserve">Single oral administration of ertugliflozin 15 </w:t>
      </w:r>
      <w:r w:rsidR="006D7D02">
        <w:t>mg</w:t>
      </w:r>
      <w:r w:rsidRPr="00096378">
        <w:t xml:space="preserve">/sitagliptin 100 </w:t>
      </w:r>
      <w:r w:rsidR="006D7D02">
        <w:t>mg</w:t>
      </w:r>
      <w:r w:rsidRPr="00096378">
        <w:t xml:space="preserve"> FDC tablet with a high-fat meal resulted in no meaningful effect on </w:t>
      </w:r>
      <w:r w:rsidR="00E700A6">
        <w:t>AUC</w:t>
      </w:r>
      <w:r w:rsidR="00E700A6" w:rsidRPr="00E700A6">
        <w:rPr>
          <w:vertAlign w:val="subscript"/>
        </w:rPr>
        <w:t>inf</w:t>
      </w:r>
      <w:r w:rsidRPr="00096378">
        <w:t xml:space="preserve"> of ertugliflozin.</w:t>
      </w:r>
      <w:r w:rsidR="009A3F68">
        <w:t xml:space="preserve"> </w:t>
      </w:r>
      <w:r w:rsidRPr="00096378">
        <w:t xml:space="preserve">Food reduced mean ertugliflozin </w:t>
      </w:r>
      <w:r w:rsidR="00E700A6">
        <w:t>C</w:t>
      </w:r>
      <w:r w:rsidR="00E700A6" w:rsidRPr="00E700A6">
        <w:rPr>
          <w:vertAlign w:val="subscript"/>
        </w:rPr>
        <w:t>max</w:t>
      </w:r>
      <w:r w:rsidRPr="00096378">
        <w:t xml:space="preserve"> by approximately 30% compared to fasted conditions and this decrease in ertugliflozin </w:t>
      </w:r>
      <w:r w:rsidR="00E700A6">
        <w:t>C</w:t>
      </w:r>
      <w:r w:rsidR="00E700A6" w:rsidRPr="00E700A6">
        <w:rPr>
          <w:vertAlign w:val="subscript"/>
        </w:rPr>
        <w:t>max</w:t>
      </w:r>
      <w:r w:rsidRPr="00096378">
        <w:t xml:space="preserve"> is not anticipated to be clinically relevant by </w:t>
      </w:r>
      <w:r w:rsidR="0024546B">
        <w:t>the sponsor</w:t>
      </w:r>
      <w:r w:rsidRPr="00096378">
        <w:t>.</w:t>
      </w:r>
      <w:r>
        <w:t xml:space="preserve"> </w:t>
      </w:r>
      <w:r w:rsidRPr="00096378">
        <w:lastRenderedPageBreak/>
        <w:t xml:space="preserve">Single oral administration of ertugliflozin 15 </w:t>
      </w:r>
      <w:r w:rsidR="006D7D02">
        <w:t>mg</w:t>
      </w:r>
      <w:r w:rsidRPr="00096378">
        <w:t xml:space="preserve">/sitagliptin 100 </w:t>
      </w:r>
      <w:r w:rsidR="006D7D02">
        <w:t>mg</w:t>
      </w:r>
      <w:r w:rsidRPr="00096378">
        <w:t xml:space="preserve"> FDC tablet with a high-fat meal resulted in no meaningful effect on </w:t>
      </w:r>
      <w:r w:rsidR="00E700A6">
        <w:t>AUC</w:t>
      </w:r>
      <w:r w:rsidR="00E700A6" w:rsidRPr="00E700A6">
        <w:rPr>
          <w:vertAlign w:val="subscript"/>
        </w:rPr>
        <w:t>inf</w:t>
      </w:r>
      <w:r w:rsidRPr="00096378">
        <w:t xml:space="preserve"> and </w:t>
      </w:r>
      <w:r w:rsidR="00E700A6">
        <w:t>C</w:t>
      </w:r>
      <w:r w:rsidR="00E700A6" w:rsidRPr="00E700A6">
        <w:rPr>
          <w:vertAlign w:val="subscript"/>
        </w:rPr>
        <w:t>max</w:t>
      </w:r>
      <w:r w:rsidRPr="00096378">
        <w:t xml:space="preserve"> of sitagliptin.</w:t>
      </w:r>
    </w:p>
    <w:p w14:paraId="5DFD594B" w14:textId="5285746B" w:rsidR="00C008B6" w:rsidRPr="005F4F87" w:rsidRDefault="00C008B6" w:rsidP="004D4A17">
      <w:pPr>
        <w:pStyle w:val="Heading5"/>
      </w:pPr>
      <w:r w:rsidRPr="005F4F87">
        <w:t xml:space="preserve">Relative </w:t>
      </w:r>
      <w:r w:rsidR="00816092">
        <w:t>b</w:t>
      </w:r>
      <w:r w:rsidR="00816092" w:rsidRPr="005F4F87">
        <w:t xml:space="preserve">ioequivalence </w:t>
      </w:r>
      <w:r w:rsidRPr="005F4F87">
        <w:t>Study P04</w:t>
      </w:r>
      <w:r>
        <w:t>4/1053</w:t>
      </w:r>
    </w:p>
    <w:p w14:paraId="5B577A8C" w14:textId="47D42E6A" w:rsidR="00C008B6" w:rsidRPr="00A90852" w:rsidRDefault="00C008B6" w:rsidP="004D4A17">
      <w:pPr>
        <w:rPr>
          <w:b/>
          <w:u w:val="single"/>
        </w:rPr>
      </w:pPr>
      <w:r w:rsidRPr="00A90852">
        <w:t xml:space="preserve">A </w:t>
      </w:r>
      <w:r w:rsidR="00C3563C">
        <w:t>Phase I</w:t>
      </w:r>
      <w:r w:rsidRPr="00A90852">
        <w:t xml:space="preserve">, Single Dose, </w:t>
      </w:r>
      <w:r w:rsidR="00AD51CF">
        <w:t>Open label</w:t>
      </w:r>
      <w:r w:rsidRPr="00A90852">
        <w:t xml:space="preserve">, Randomised, Crossover Bioequivalence Study of a Sitagliptin </w:t>
      </w:r>
      <w:r>
        <w:t>50</w:t>
      </w:r>
      <w:r w:rsidR="006D7D02">
        <w:t xml:space="preserve"> mg</w:t>
      </w:r>
      <w:r w:rsidRPr="00A90852">
        <w:t xml:space="preserve">/Ertugliflozin </w:t>
      </w:r>
      <w:r>
        <w:t>1</w:t>
      </w:r>
      <w:r w:rsidRPr="00A90852">
        <w:t xml:space="preserve">5 </w:t>
      </w:r>
      <w:r w:rsidR="006D7D02">
        <w:t>mg</w:t>
      </w:r>
      <w:r w:rsidRPr="00A90852">
        <w:t xml:space="preserve"> Fixed Dose Combination Tablet v</w:t>
      </w:r>
      <w:r w:rsidR="004D4A17">
        <w:t>ersus</w:t>
      </w:r>
      <w:r w:rsidRPr="00A90852">
        <w:t xml:space="preserve"> Co-Administration of the Individual Components [Sitagliptin (</w:t>
      </w:r>
      <w:r>
        <w:t>50</w:t>
      </w:r>
      <w:r w:rsidR="006D7D02">
        <w:t xml:space="preserve"> mg</w:t>
      </w:r>
      <w:r w:rsidRPr="00A90852">
        <w:t>) and Ertugliflozin (15</w:t>
      </w:r>
      <w:r w:rsidR="00E600D5">
        <w:t> </w:t>
      </w:r>
      <w:r w:rsidR="006D7D02">
        <w:t>mg</w:t>
      </w:r>
      <w:r w:rsidRPr="00A90852">
        <w:t>)] in Healthy Subjects</w:t>
      </w:r>
    </w:p>
    <w:p w14:paraId="460520B4" w14:textId="19478E69" w:rsidR="00C008B6" w:rsidRPr="00A90852" w:rsidRDefault="0024546B" w:rsidP="004D4A17">
      <w:r>
        <w:t>The sponsor</w:t>
      </w:r>
      <w:r w:rsidR="00C008B6" w:rsidRPr="00A90852">
        <w:t xml:space="preserve"> confirmed that the monotherapy, </w:t>
      </w:r>
      <w:r w:rsidR="004D4A17">
        <w:t>s</w:t>
      </w:r>
      <w:r w:rsidR="00C008B6" w:rsidRPr="00A90852">
        <w:t xml:space="preserve">itagliptin </w:t>
      </w:r>
      <w:r w:rsidR="00C008B6">
        <w:t>50</w:t>
      </w:r>
      <w:r w:rsidR="006D7D02">
        <w:t xml:space="preserve"> mg</w:t>
      </w:r>
      <w:r w:rsidR="00C008B6" w:rsidRPr="00A90852">
        <w:t xml:space="preserve"> film-coated tablets are identical to the </w:t>
      </w:r>
      <w:r w:rsidR="004D4A17" w:rsidRPr="00A90852">
        <w:t>Januvia</w:t>
      </w:r>
      <w:r w:rsidR="00B51DF2">
        <w:rPr>
          <w:vertAlign w:val="superscript"/>
        </w:rPr>
        <w:t xml:space="preserve"> </w:t>
      </w:r>
      <w:r w:rsidR="00C008B6" w:rsidRPr="00A90852">
        <w:t xml:space="preserve">sitagliptin </w:t>
      </w:r>
      <w:r w:rsidR="00C008B6">
        <w:t>50</w:t>
      </w:r>
      <w:r w:rsidR="00C008B6" w:rsidRPr="00A90852">
        <w:t xml:space="preserve"> </w:t>
      </w:r>
      <w:r w:rsidR="006D7D02">
        <w:t>mg</w:t>
      </w:r>
      <w:r w:rsidR="00C008B6" w:rsidRPr="00A90852">
        <w:t xml:space="preserve"> tablets marketed in Australia.</w:t>
      </w:r>
    </w:p>
    <w:p w14:paraId="4DC47D0B" w14:textId="1F448AA5" w:rsidR="00C008B6" w:rsidRPr="003F4F1B" w:rsidRDefault="00C008B6" w:rsidP="004D4A17">
      <w:r w:rsidRPr="003F4F1B">
        <w:t>Bioequivalence of the monotherapy tablets and the proposed 15</w:t>
      </w:r>
      <w:r w:rsidR="006D7D02">
        <w:t xml:space="preserve"> mg</w:t>
      </w:r>
      <w:r w:rsidRPr="003F4F1B">
        <w:t>/50</w:t>
      </w:r>
      <w:r w:rsidR="006D7D02">
        <w:t xml:space="preserve"> mg</w:t>
      </w:r>
      <w:r w:rsidRPr="003F4F1B">
        <w:t xml:space="preserve"> FDC tablets was concluded.</w:t>
      </w:r>
      <w:r w:rsidR="009A3F68" w:rsidRPr="003F4F1B">
        <w:t xml:space="preserve"> </w:t>
      </w:r>
      <w:r w:rsidR="004D4A17" w:rsidRPr="003F4F1B">
        <w:t>Note</w:t>
      </w:r>
      <w:r w:rsidRPr="003F4F1B">
        <w:t>: The 15</w:t>
      </w:r>
      <w:r w:rsidR="006D7D02">
        <w:t xml:space="preserve"> mg</w:t>
      </w:r>
      <w:r w:rsidRPr="003F4F1B">
        <w:t>/50</w:t>
      </w:r>
      <w:r w:rsidR="006D7D02">
        <w:t xml:space="preserve"> mg</w:t>
      </w:r>
      <w:r w:rsidRPr="003F4F1B">
        <w:t xml:space="preserve"> FDC Tablet </w:t>
      </w:r>
      <w:r w:rsidR="003F4F1B">
        <w:t>is not proposed</w:t>
      </w:r>
      <w:r w:rsidRPr="003F4F1B">
        <w:t xml:space="preserve"> by </w:t>
      </w:r>
      <w:r w:rsidR="0024546B" w:rsidRPr="003F4F1B">
        <w:t>the sponsor</w:t>
      </w:r>
      <w:r w:rsidRPr="003F4F1B">
        <w:t>.</w:t>
      </w:r>
    </w:p>
    <w:p w14:paraId="05FDFF2B" w14:textId="5838CB2B" w:rsidR="00C008B6" w:rsidRPr="003F4F1B" w:rsidRDefault="00C008B6" w:rsidP="004D4A17">
      <w:pPr>
        <w:pStyle w:val="Heading5"/>
      </w:pPr>
      <w:r w:rsidRPr="003F4F1B">
        <w:t xml:space="preserve">Relative </w:t>
      </w:r>
      <w:r w:rsidR="00816092">
        <w:t>b</w:t>
      </w:r>
      <w:r w:rsidR="00816092" w:rsidRPr="003F4F1B">
        <w:t xml:space="preserve">ioequivalence </w:t>
      </w:r>
      <w:r w:rsidRPr="003F4F1B">
        <w:t>Study P049/1057</w:t>
      </w:r>
    </w:p>
    <w:p w14:paraId="7C32C4DF" w14:textId="5D5AFE3D" w:rsidR="00C008B6" w:rsidRPr="003F4F1B" w:rsidRDefault="00C008B6" w:rsidP="004D4A17">
      <w:pPr>
        <w:rPr>
          <w:b/>
          <w:u w:val="single"/>
        </w:rPr>
      </w:pPr>
      <w:r w:rsidRPr="00B80593">
        <w:t xml:space="preserve">A </w:t>
      </w:r>
      <w:r w:rsidR="00C3563C" w:rsidRPr="00B80593">
        <w:t>Phase I</w:t>
      </w:r>
      <w:r w:rsidRPr="00B80593">
        <w:t xml:space="preserve">, </w:t>
      </w:r>
      <w:r w:rsidR="00AD51CF" w:rsidRPr="00B80593">
        <w:t xml:space="preserve">single dose, </w:t>
      </w:r>
      <w:r w:rsidR="00AD51CF">
        <w:t>open label</w:t>
      </w:r>
      <w:r w:rsidR="00AD51CF" w:rsidRPr="00B80593">
        <w:t xml:space="preserve">, randomised, crossover bioequivalence </w:t>
      </w:r>
      <w:r w:rsidR="00AD51CF" w:rsidRPr="00973288">
        <w:t>study of a sitagliptin</w:t>
      </w:r>
      <w:r w:rsidR="00AD51CF" w:rsidRPr="003F4F1B">
        <w:t xml:space="preserve"> 50</w:t>
      </w:r>
      <w:r w:rsidR="00AD51CF">
        <w:t xml:space="preserve"> mg</w:t>
      </w:r>
      <w:r w:rsidR="00AD51CF" w:rsidRPr="003F4F1B">
        <w:t>/ertugliflozin 5</w:t>
      </w:r>
      <w:r w:rsidR="00AD51CF">
        <w:t xml:space="preserve"> mg</w:t>
      </w:r>
      <w:r w:rsidR="00AD51CF" w:rsidRPr="003F4F1B">
        <w:t xml:space="preserve"> fixed dose combination tablet versus co-administration of the individual components [sitagliptin (50</w:t>
      </w:r>
      <w:r w:rsidR="00AD51CF">
        <w:t xml:space="preserve"> mg</w:t>
      </w:r>
      <w:r w:rsidR="00AD51CF" w:rsidRPr="003F4F1B">
        <w:t>) and ertugliflozin (5</w:t>
      </w:r>
      <w:r w:rsidR="00AD51CF">
        <w:t> mg</w:t>
      </w:r>
      <w:r w:rsidR="00AD51CF" w:rsidRPr="003F4F1B">
        <w:t>)] in healthy subjects</w:t>
      </w:r>
      <w:r w:rsidR="00AD51CF">
        <w:t>.</w:t>
      </w:r>
    </w:p>
    <w:p w14:paraId="42B79E51" w14:textId="163EB832" w:rsidR="00C008B6" w:rsidRPr="003F4F1B" w:rsidRDefault="0024546B" w:rsidP="004D4A17">
      <w:r w:rsidRPr="003F4F1B">
        <w:t>The sponsor</w:t>
      </w:r>
      <w:r w:rsidR="00C008B6" w:rsidRPr="003F4F1B">
        <w:t xml:space="preserve"> confirmed that the monotherapy, Sitagliptin 50</w:t>
      </w:r>
      <w:r w:rsidR="00E600D5">
        <w:t xml:space="preserve"> </w:t>
      </w:r>
      <w:r w:rsidR="006D7D02">
        <w:t>mg</w:t>
      </w:r>
      <w:r w:rsidR="00C008B6" w:rsidRPr="003F4F1B">
        <w:t xml:space="preserve"> film</w:t>
      </w:r>
      <w:r w:rsidR="00AD51CF">
        <w:t xml:space="preserve"> </w:t>
      </w:r>
      <w:r w:rsidR="00C008B6" w:rsidRPr="003F4F1B">
        <w:t xml:space="preserve">coated tablets are identical to the </w:t>
      </w:r>
      <w:r w:rsidR="004D4A17" w:rsidRPr="003F4F1B">
        <w:t>Januvia</w:t>
      </w:r>
      <w:r w:rsidR="00C008B6" w:rsidRPr="003F4F1B">
        <w:t xml:space="preserve"> sitagliptin 50 </w:t>
      </w:r>
      <w:r w:rsidR="006D7D02">
        <w:t>mg</w:t>
      </w:r>
      <w:r w:rsidR="00C008B6" w:rsidRPr="003F4F1B">
        <w:t xml:space="preserve"> tablets marketed in Australia.</w:t>
      </w:r>
    </w:p>
    <w:p w14:paraId="19415448" w14:textId="47B74EBD" w:rsidR="00C008B6" w:rsidRPr="004D4A17" w:rsidRDefault="00C008B6" w:rsidP="004D4A17">
      <w:r w:rsidRPr="003F4F1B">
        <w:t>Bioequivalence of the monotherapy tablets and the proposed 5</w:t>
      </w:r>
      <w:r w:rsidR="00E600D5">
        <w:t xml:space="preserve"> </w:t>
      </w:r>
      <w:r w:rsidR="006D7D02">
        <w:t>mg</w:t>
      </w:r>
      <w:r w:rsidRPr="003F4F1B">
        <w:t>/50</w:t>
      </w:r>
      <w:r w:rsidR="00E600D5">
        <w:t xml:space="preserve"> </w:t>
      </w:r>
      <w:r w:rsidR="006D7D02">
        <w:t>mg</w:t>
      </w:r>
      <w:r w:rsidRPr="003F4F1B">
        <w:t xml:space="preserve"> FDC tablets was concluded.</w:t>
      </w:r>
      <w:r w:rsidR="009A3F68" w:rsidRPr="003F4F1B">
        <w:t xml:space="preserve"> </w:t>
      </w:r>
      <w:r w:rsidR="004D4A17" w:rsidRPr="003F4F1B">
        <w:t>Note:</w:t>
      </w:r>
      <w:r w:rsidRPr="003F4F1B">
        <w:t xml:space="preserve"> The 5</w:t>
      </w:r>
      <w:r w:rsidR="00E600D5">
        <w:t xml:space="preserve"> </w:t>
      </w:r>
      <w:r w:rsidR="006D7D02">
        <w:t>mg</w:t>
      </w:r>
      <w:r w:rsidRPr="003F4F1B">
        <w:t>/50</w:t>
      </w:r>
      <w:r w:rsidR="00E600D5">
        <w:t xml:space="preserve"> </w:t>
      </w:r>
      <w:r w:rsidR="006D7D02">
        <w:t>mg</w:t>
      </w:r>
      <w:r w:rsidRPr="003F4F1B">
        <w:t xml:space="preserve"> FDC Tablet </w:t>
      </w:r>
      <w:r w:rsidR="003F4F1B">
        <w:t xml:space="preserve">is not proposed </w:t>
      </w:r>
      <w:r w:rsidRPr="003F4F1B">
        <w:t xml:space="preserve">by </w:t>
      </w:r>
      <w:r w:rsidR="0024546B" w:rsidRPr="003F4F1B">
        <w:t>the sponsor</w:t>
      </w:r>
      <w:r w:rsidRPr="003F4F1B">
        <w:t>.</w:t>
      </w:r>
    </w:p>
    <w:p w14:paraId="7A4B133D" w14:textId="60CE6A47" w:rsidR="00C008B6" w:rsidRPr="008D702F" w:rsidRDefault="00C008B6" w:rsidP="004D4A17">
      <w:pPr>
        <w:pStyle w:val="Heading4"/>
        <w:rPr>
          <w:lang w:eastAsia="en-AU"/>
        </w:rPr>
      </w:pPr>
      <w:r w:rsidRPr="008D702F">
        <w:rPr>
          <w:lang w:eastAsia="en-AU"/>
        </w:rPr>
        <w:t xml:space="preserve">Ertugliflozin </w:t>
      </w:r>
      <w:r w:rsidR="00D819A2">
        <w:rPr>
          <w:lang w:eastAsia="en-AU"/>
        </w:rPr>
        <w:t>m</w:t>
      </w:r>
      <w:r>
        <w:rPr>
          <w:lang w:eastAsia="en-AU"/>
        </w:rPr>
        <w:t>etformin</w:t>
      </w:r>
      <w:r w:rsidRPr="008D702F">
        <w:rPr>
          <w:lang w:eastAsia="en-AU"/>
        </w:rPr>
        <w:t xml:space="preserve"> FDC </w:t>
      </w:r>
      <w:r w:rsidR="00CD18ED">
        <w:rPr>
          <w:lang w:eastAsia="en-AU"/>
        </w:rPr>
        <w:t>t</w:t>
      </w:r>
      <w:r w:rsidRPr="008D702F">
        <w:rPr>
          <w:lang w:eastAsia="en-AU"/>
        </w:rPr>
        <w:t>ablets</w:t>
      </w:r>
    </w:p>
    <w:p w14:paraId="2D2DF722" w14:textId="3C68C4FD" w:rsidR="00C008B6" w:rsidRDefault="00C008B6" w:rsidP="00C008B6">
      <w:pPr>
        <w:pStyle w:val="ListParagraph"/>
        <w:autoSpaceDE w:val="0"/>
        <w:autoSpaceDN w:val="0"/>
        <w:adjustRightInd w:val="0"/>
        <w:ind w:left="0"/>
        <w:contextualSpacing w:val="0"/>
      </w:pPr>
      <w:r>
        <w:t>The biowaiver for not submitting biopharmaceutical data for the ertugliflozin/metformin</w:t>
      </w:r>
      <w:r w:rsidR="00B51DF2">
        <w:t xml:space="preserve"> </w:t>
      </w:r>
      <w:r>
        <w:t>2.5</w:t>
      </w:r>
      <w:r w:rsidR="00E600D5">
        <w:t xml:space="preserve"> </w:t>
      </w:r>
      <w:r w:rsidR="006D7D02">
        <w:t>mg</w:t>
      </w:r>
      <w:r>
        <w:t>/500</w:t>
      </w:r>
      <w:r w:rsidR="00E600D5">
        <w:t xml:space="preserve"> </w:t>
      </w:r>
      <w:r w:rsidR="006D7D02">
        <w:t>mg</w:t>
      </w:r>
      <w:r>
        <w:t xml:space="preserve"> and 7.5</w:t>
      </w:r>
      <w:r w:rsidR="00E600D5">
        <w:t xml:space="preserve"> </w:t>
      </w:r>
      <w:r w:rsidR="006D7D02">
        <w:t>mg</w:t>
      </w:r>
      <w:r>
        <w:t>/500</w:t>
      </w:r>
      <w:r w:rsidR="00E600D5">
        <w:t xml:space="preserve"> </w:t>
      </w:r>
      <w:r w:rsidR="006D7D02">
        <w:t>mg</w:t>
      </w:r>
      <w:r>
        <w:t xml:space="preserve"> strengths was provided and found to be acceptable from a pharmaceutical chemistry perspective.</w:t>
      </w:r>
    </w:p>
    <w:p w14:paraId="576EA373" w14:textId="4759F769" w:rsidR="00C008B6" w:rsidRDefault="00C008B6" w:rsidP="00C008B6">
      <w:pPr>
        <w:pStyle w:val="ListParagraph"/>
        <w:autoSpaceDE w:val="0"/>
        <w:autoSpaceDN w:val="0"/>
        <w:adjustRightInd w:val="0"/>
        <w:ind w:left="0"/>
        <w:contextualSpacing w:val="0"/>
      </w:pPr>
      <w:r>
        <w:t>The biowaiver for not using the Australian</w:t>
      </w:r>
      <w:r w:rsidR="00AD51CF">
        <w:t xml:space="preserve"> </w:t>
      </w:r>
      <w:r>
        <w:t xml:space="preserve">sourced reference products for the </w:t>
      </w:r>
      <w:r w:rsidR="004D4A17">
        <w:t>m</w:t>
      </w:r>
      <w:r>
        <w:t xml:space="preserve">etformin </w:t>
      </w:r>
      <w:r w:rsidR="004D4A17">
        <w:t>h</w:t>
      </w:r>
      <w:r>
        <w:t>ydrochloride monotherapy tablets was provided to support the use of USA, European and Canadian</w:t>
      </w:r>
      <w:r w:rsidR="00AD51CF">
        <w:t xml:space="preserve"> </w:t>
      </w:r>
      <w:r>
        <w:t>sourced Glucophage metformin hydrochloride 1000</w:t>
      </w:r>
      <w:r w:rsidR="00E600D5">
        <w:t xml:space="preserve"> </w:t>
      </w:r>
      <w:r w:rsidR="006D7D02">
        <w:t>mg</w:t>
      </w:r>
      <w:r>
        <w:t xml:space="preserve"> tablets in the P027/1041, P047/1055, P050/1058 and P052/1060 bioequivalence studies.</w:t>
      </w:r>
      <w:r w:rsidR="009A3F68">
        <w:t xml:space="preserve"> </w:t>
      </w:r>
      <w:r>
        <w:t xml:space="preserve">The </w:t>
      </w:r>
      <w:r w:rsidRPr="002D3C70">
        <w:t>biowaiver was found to be unacceptable from a pharmaceutical chemistry perspective</w:t>
      </w:r>
      <w:r w:rsidRPr="00E600D5">
        <w:t xml:space="preserve">, </w:t>
      </w:r>
      <w:r w:rsidR="00973288" w:rsidRPr="00816092">
        <w:t>as</w:t>
      </w:r>
      <w:r w:rsidRPr="002D3C70">
        <w:t xml:space="preserve"> comparative dissolution data for the Australian and European sourced Glucophage reference products across the physiological range</w:t>
      </w:r>
      <w:r w:rsidR="00973288">
        <w:t xml:space="preserve"> was not located</w:t>
      </w:r>
      <w:r w:rsidR="00831742">
        <w:t xml:space="preserve"> initially</w:t>
      </w:r>
      <w:r>
        <w:t>.</w:t>
      </w:r>
    </w:p>
    <w:p w14:paraId="4A815349" w14:textId="77777777" w:rsidR="00C008B6" w:rsidRDefault="00C008B6" w:rsidP="00C008B6">
      <w:pPr>
        <w:pStyle w:val="ListParagraph"/>
        <w:autoSpaceDE w:val="0"/>
        <w:autoSpaceDN w:val="0"/>
        <w:adjustRightInd w:val="0"/>
        <w:spacing w:after="240"/>
        <w:ind w:left="0"/>
        <w:contextualSpacing w:val="0"/>
      </w:pPr>
      <w:r>
        <w:t xml:space="preserve">In addition to the ertugliflozin monotherapy </w:t>
      </w:r>
      <w:r w:rsidR="004D4A17">
        <w:t>bioavailability/bioequivalence</w:t>
      </w:r>
      <w:r>
        <w:t xml:space="preserve"> studies presented above, the following clinical studies were also applicable for consideration.</w:t>
      </w:r>
    </w:p>
    <w:p w14:paraId="5E64EF8F" w14:textId="4D8C1843" w:rsidR="00C008B6" w:rsidRPr="00BF3502" w:rsidRDefault="00C008B6" w:rsidP="004D4A17">
      <w:pPr>
        <w:pStyle w:val="Heading5"/>
      </w:pPr>
      <w:r w:rsidRPr="00BF3502">
        <w:t xml:space="preserve">Relative </w:t>
      </w:r>
      <w:r w:rsidR="00816092">
        <w:t>b</w:t>
      </w:r>
      <w:r w:rsidR="00816092" w:rsidRPr="00BF3502">
        <w:t xml:space="preserve">ioequivalence </w:t>
      </w:r>
      <w:r w:rsidRPr="00BF3502">
        <w:t>Study P027/1041</w:t>
      </w:r>
    </w:p>
    <w:p w14:paraId="61472B32" w14:textId="46A5F1C6" w:rsidR="00C008B6" w:rsidRPr="004D4A17" w:rsidRDefault="00C008B6" w:rsidP="004D4A17">
      <w:pPr>
        <w:rPr>
          <w:b/>
          <w:u w:val="single"/>
        </w:rPr>
      </w:pPr>
      <w:r w:rsidRPr="004D4A17">
        <w:t xml:space="preserve">A </w:t>
      </w:r>
      <w:r w:rsidR="00C3563C" w:rsidRPr="004D4A17">
        <w:t>Phase I</w:t>
      </w:r>
      <w:r w:rsidRPr="004D4A17">
        <w:t xml:space="preserve">, </w:t>
      </w:r>
      <w:r w:rsidR="00AD51CF" w:rsidRPr="004D4A17">
        <w:t xml:space="preserve">single dose, </w:t>
      </w:r>
      <w:r w:rsidR="00AD51CF">
        <w:t>open label</w:t>
      </w:r>
      <w:r w:rsidR="00AD51CF" w:rsidRPr="004D4A17">
        <w:t>, randomised, crossover bioequivalence study of an ertugliflozin 7.5</w:t>
      </w:r>
      <w:r w:rsidR="00AD51CF">
        <w:t xml:space="preserve"> mg</w:t>
      </w:r>
      <w:r w:rsidR="00AD51CF" w:rsidRPr="004D4A17">
        <w:t>/metformin 1000</w:t>
      </w:r>
      <w:r w:rsidR="00AD51CF">
        <w:t xml:space="preserve"> mg</w:t>
      </w:r>
      <w:r w:rsidR="00AD51CF" w:rsidRPr="004D4A17">
        <w:t xml:space="preserve"> fixed dose combination tablet v</w:t>
      </w:r>
      <w:r w:rsidR="00AD51CF">
        <w:t>ersus</w:t>
      </w:r>
      <w:r w:rsidR="00AD51CF" w:rsidRPr="004D4A17">
        <w:t xml:space="preserve"> co-administration of the individual components (ertugliflozin </w:t>
      </w:r>
      <w:r w:rsidRPr="004D4A17">
        <w:t>and US</w:t>
      </w:r>
      <w:r w:rsidR="004D4A17">
        <w:t xml:space="preserve"> </w:t>
      </w:r>
      <w:r w:rsidR="00AD51CF" w:rsidRPr="004D4A17">
        <w:t>sourced metformin</w:t>
      </w:r>
      <w:r w:rsidRPr="004D4A17">
        <w:t xml:space="preserve">) in </w:t>
      </w:r>
      <w:r w:rsidR="00AD51CF" w:rsidRPr="004D4A17">
        <w:t>healthy subjects</w:t>
      </w:r>
      <w:r w:rsidR="00AD51CF">
        <w:t>.</w:t>
      </w:r>
    </w:p>
    <w:p w14:paraId="02510CBD" w14:textId="598FB18A" w:rsidR="00C008B6" w:rsidRDefault="00C008B6" w:rsidP="004D4A17">
      <w:r w:rsidRPr="004D4A17">
        <w:t>Bioequivalence of the ertugliflozin and metformin (US-sourced Glucophage) monotherapy tablets and the proposed 7.5</w:t>
      </w:r>
      <w:r w:rsidR="00E600D5">
        <w:t xml:space="preserve"> </w:t>
      </w:r>
      <w:r w:rsidR="006D7D02">
        <w:t>mg</w:t>
      </w:r>
      <w:r w:rsidRPr="004D4A17">
        <w:t>/1000</w:t>
      </w:r>
      <w:r w:rsidR="00E600D5">
        <w:t xml:space="preserve"> </w:t>
      </w:r>
      <w:r w:rsidR="006D7D02">
        <w:t>mg</w:t>
      </w:r>
      <w:r w:rsidRPr="004D4A17">
        <w:t xml:space="preserve"> FDC tablets was concluded.</w:t>
      </w:r>
    </w:p>
    <w:p w14:paraId="7A624D87" w14:textId="77777777" w:rsidR="004D4A17" w:rsidRPr="004D4A17" w:rsidRDefault="004D4A17" w:rsidP="00CD4D93">
      <w:pPr>
        <w:pStyle w:val="TableTitle"/>
        <w:pageBreakBefore/>
      </w:pPr>
      <w:r>
        <w:lastRenderedPageBreak/>
        <w:t xml:space="preserve">Table </w:t>
      </w:r>
      <w:r w:rsidR="00F30D27">
        <w:t>6</w:t>
      </w:r>
      <w:r w:rsidR="00E55ACA">
        <w:t>: Pharmacokinetics of e</w:t>
      </w:r>
      <w:r w:rsidR="00E55ACA" w:rsidRPr="004D4A17">
        <w:t>rtugliflozin</w:t>
      </w:r>
      <w:r w:rsidR="00E55ACA">
        <w:t xml:space="preserve"> and metformin</w:t>
      </w:r>
    </w:p>
    <w:tbl>
      <w:tblPr>
        <w:tblW w:w="8695" w:type="dxa"/>
        <w:jc w:val="center"/>
        <w:tblInd w:w="-19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953"/>
        <w:gridCol w:w="709"/>
        <w:gridCol w:w="1515"/>
        <w:gridCol w:w="1482"/>
        <w:gridCol w:w="1554"/>
        <w:gridCol w:w="1482"/>
      </w:tblGrid>
      <w:tr w:rsidR="00C008B6" w:rsidRPr="00BF3502" w14:paraId="0100C86E" w14:textId="77777777" w:rsidTr="009A1296">
        <w:trPr>
          <w:cantSplit/>
          <w:trHeight w:val="468"/>
          <w:jc w:val="center"/>
        </w:trPr>
        <w:tc>
          <w:tcPr>
            <w:tcW w:w="8695" w:type="dxa"/>
            <w:gridSpan w:val="6"/>
            <w:tcBorders>
              <w:bottom w:val="single" w:sz="2" w:space="0" w:color="auto"/>
            </w:tcBorders>
            <w:shd w:val="clear" w:color="auto" w:fill="0070C0"/>
            <w:vAlign w:val="center"/>
          </w:tcPr>
          <w:p w14:paraId="28452DF5" w14:textId="77777777" w:rsidR="00C008B6" w:rsidRPr="009A1296" w:rsidRDefault="00C008B6" w:rsidP="00C008B6">
            <w:pPr>
              <w:numPr>
                <w:ilvl w:val="12"/>
                <w:numId w:val="0"/>
              </w:numPr>
              <w:spacing w:before="20" w:after="20"/>
              <w:rPr>
                <w:b/>
                <w:color w:val="FFFFFF" w:themeColor="background1"/>
                <w:sz w:val="18"/>
                <w:szCs w:val="18"/>
              </w:rPr>
            </w:pPr>
            <w:r w:rsidRPr="009A1296">
              <w:rPr>
                <w:b/>
                <w:color w:val="FFFFFF" w:themeColor="background1"/>
                <w:sz w:val="18"/>
                <w:szCs w:val="18"/>
              </w:rPr>
              <w:t>Ertugliflozin</w:t>
            </w:r>
          </w:p>
        </w:tc>
      </w:tr>
      <w:tr w:rsidR="00C008B6" w:rsidRPr="00BF3502" w14:paraId="1836BB78" w14:textId="77777777" w:rsidTr="009A1296">
        <w:trPr>
          <w:cantSplit/>
          <w:jc w:val="center"/>
        </w:trPr>
        <w:tc>
          <w:tcPr>
            <w:tcW w:w="1953" w:type="dxa"/>
            <w:shd w:val="clear" w:color="auto" w:fill="0070C0"/>
          </w:tcPr>
          <w:p w14:paraId="1615CED3" w14:textId="77777777" w:rsidR="00C008B6" w:rsidRPr="009A1296" w:rsidRDefault="00C008B6" w:rsidP="00C008B6">
            <w:pPr>
              <w:pStyle w:val="A-Head6"/>
              <w:numPr>
                <w:ilvl w:val="12"/>
                <w:numId w:val="0"/>
              </w:numPr>
              <w:spacing w:before="20" w:after="20"/>
              <w:jc w:val="center"/>
              <w:rPr>
                <w:rFonts w:ascii="Cambria" w:hAnsi="Cambria"/>
                <w:color w:val="FFFFFF" w:themeColor="background1"/>
                <w:sz w:val="18"/>
                <w:szCs w:val="18"/>
              </w:rPr>
            </w:pPr>
            <w:r w:rsidRPr="009A1296">
              <w:rPr>
                <w:rFonts w:ascii="Cambria" w:hAnsi="Cambria"/>
                <w:color w:val="FFFFFF" w:themeColor="background1"/>
                <w:sz w:val="18"/>
                <w:szCs w:val="18"/>
              </w:rPr>
              <w:t>Single dose, prompt release</w:t>
            </w:r>
          </w:p>
        </w:tc>
        <w:tc>
          <w:tcPr>
            <w:tcW w:w="709" w:type="dxa"/>
            <w:shd w:val="clear" w:color="auto" w:fill="0070C0"/>
          </w:tcPr>
          <w:p w14:paraId="5DAC243B" w14:textId="77777777" w:rsidR="00C008B6" w:rsidRPr="009A1296" w:rsidRDefault="00C008B6" w:rsidP="00C008B6">
            <w:pPr>
              <w:numPr>
                <w:ilvl w:val="12"/>
                <w:numId w:val="0"/>
              </w:numPr>
              <w:spacing w:before="20" w:after="20"/>
              <w:jc w:val="center"/>
              <w:rPr>
                <w:b/>
                <w:color w:val="FFFFFF" w:themeColor="background1"/>
                <w:sz w:val="18"/>
                <w:szCs w:val="18"/>
              </w:rPr>
            </w:pPr>
            <w:r w:rsidRPr="009A1296">
              <w:rPr>
                <w:b/>
                <w:color w:val="FFFFFF" w:themeColor="background1"/>
                <w:sz w:val="18"/>
                <w:szCs w:val="18"/>
              </w:rPr>
              <w:t>n</w:t>
            </w:r>
          </w:p>
        </w:tc>
        <w:tc>
          <w:tcPr>
            <w:tcW w:w="1515" w:type="dxa"/>
            <w:shd w:val="clear" w:color="auto" w:fill="0070C0"/>
          </w:tcPr>
          <w:p w14:paraId="2FF6DDE3" w14:textId="67391B9C" w:rsidR="00C008B6" w:rsidRPr="00FA6C7E" w:rsidRDefault="00E700A6" w:rsidP="00C008B6">
            <w:pPr>
              <w:numPr>
                <w:ilvl w:val="12"/>
                <w:numId w:val="0"/>
              </w:numPr>
              <w:spacing w:before="20" w:after="20"/>
              <w:jc w:val="center"/>
              <w:rPr>
                <w:b/>
                <w:color w:val="FFFFFF" w:themeColor="background1"/>
                <w:sz w:val="18"/>
                <w:szCs w:val="18"/>
              </w:rPr>
            </w:pPr>
            <w:r w:rsidRPr="00FA6C7E">
              <w:rPr>
                <w:color w:val="FFFFFF" w:themeColor="background1"/>
              </w:rPr>
              <w:t>T</w:t>
            </w:r>
            <w:r w:rsidRPr="00FA6C7E">
              <w:rPr>
                <w:color w:val="FFFFFF" w:themeColor="background1"/>
                <w:vertAlign w:val="subscript"/>
              </w:rPr>
              <w:t>max</w:t>
            </w:r>
            <w:r w:rsidR="00C008B6" w:rsidRPr="00FA6C7E">
              <w:rPr>
                <w:b/>
                <w:color w:val="FFFFFF" w:themeColor="background1"/>
                <w:sz w:val="18"/>
                <w:szCs w:val="18"/>
              </w:rPr>
              <w:t xml:space="preserve"> (h)</w:t>
            </w:r>
            <w:r w:rsidR="00AD51CF">
              <w:rPr>
                <w:b/>
                <w:color w:val="FFFFFF" w:themeColor="background1"/>
                <w:sz w:val="18"/>
                <w:szCs w:val="18"/>
              </w:rPr>
              <w:t xml:space="preserve"> </w:t>
            </w:r>
            <w:r w:rsidR="00C008B6" w:rsidRPr="00FA6C7E">
              <w:rPr>
                <w:b/>
                <w:color w:val="FFFFFF" w:themeColor="background1"/>
                <w:sz w:val="18"/>
                <w:szCs w:val="18"/>
              </w:rPr>
              <w:t>(range)</w:t>
            </w:r>
          </w:p>
        </w:tc>
        <w:tc>
          <w:tcPr>
            <w:tcW w:w="1482" w:type="dxa"/>
            <w:shd w:val="clear" w:color="auto" w:fill="0070C0"/>
          </w:tcPr>
          <w:p w14:paraId="3CD06FDA" w14:textId="14E511FB" w:rsidR="00C008B6" w:rsidRPr="00FA6C7E" w:rsidRDefault="00E700A6">
            <w:pPr>
              <w:numPr>
                <w:ilvl w:val="12"/>
                <w:numId w:val="0"/>
              </w:numPr>
              <w:spacing w:before="20" w:after="20"/>
              <w:jc w:val="center"/>
              <w:rPr>
                <w:b/>
                <w:color w:val="FFFFFF" w:themeColor="background1"/>
                <w:sz w:val="18"/>
                <w:szCs w:val="18"/>
              </w:rPr>
            </w:pPr>
            <w:r w:rsidRPr="00FA6C7E">
              <w:rPr>
                <w:color w:val="FFFFFF" w:themeColor="background1"/>
              </w:rPr>
              <w:t>C</w:t>
            </w:r>
            <w:r w:rsidRPr="00FA6C7E">
              <w:rPr>
                <w:color w:val="FFFFFF" w:themeColor="background1"/>
                <w:vertAlign w:val="subscript"/>
              </w:rPr>
              <w:t>max</w:t>
            </w:r>
            <w:r w:rsidR="00C008B6" w:rsidRPr="00FA6C7E">
              <w:rPr>
                <w:b/>
                <w:color w:val="FFFFFF" w:themeColor="background1"/>
                <w:sz w:val="18"/>
                <w:szCs w:val="18"/>
              </w:rPr>
              <w:t xml:space="preserve"> (ng/mL)</w:t>
            </w:r>
          </w:p>
        </w:tc>
        <w:tc>
          <w:tcPr>
            <w:tcW w:w="1554" w:type="dxa"/>
            <w:shd w:val="clear" w:color="auto" w:fill="0070C0"/>
          </w:tcPr>
          <w:p w14:paraId="30F50BAA" w14:textId="32EF89A6" w:rsidR="00C008B6" w:rsidRPr="009A1296" w:rsidRDefault="00C008B6">
            <w:pPr>
              <w:numPr>
                <w:ilvl w:val="12"/>
                <w:numId w:val="0"/>
              </w:numPr>
              <w:spacing w:before="20" w:after="20"/>
              <w:jc w:val="center"/>
              <w:rPr>
                <w:b/>
                <w:color w:val="FFFFFF" w:themeColor="background1"/>
                <w:sz w:val="18"/>
                <w:szCs w:val="18"/>
              </w:rPr>
            </w:pPr>
            <w:r w:rsidRPr="009A1296">
              <w:rPr>
                <w:b/>
                <w:color w:val="FFFFFF" w:themeColor="background1"/>
                <w:sz w:val="18"/>
                <w:szCs w:val="18"/>
              </w:rPr>
              <w:t>AUC</w:t>
            </w:r>
            <w:r w:rsidRPr="009A1296">
              <w:rPr>
                <w:b/>
                <w:color w:val="FFFFFF" w:themeColor="background1"/>
                <w:sz w:val="18"/>
                <w:szCs w:val="18"/>
                <w:vertAlign w:val="subscript"/>
              </w:rPr>
              <w:t>0-t</w:t>
            </w:r>
            <w:r w:rsidRPr="009A1296">
              <w:rPr>
                <w:b/>
                <w:color w:val="FFFFFF" w:themeColor="background1"/>
                <w:sz w:val="18"/>
                <w:szCs w:val="18"/>
              </w:rPr>
              <w:t xml:space="preserve"> (ng.h/mL) </w:t>
            </w:r>
          </w:p>
        </w:tc>
        <w:tc>
          <w:tcPr>
            <w:tcW w:w="1482" w:type="dxa"/>
            <w:shd w:val="clear" w:color="auto" w:fill="0070C0"/>
          </w:tcPr>
          <w:p w14:paraId="34E6E046" w14:textId="2A807960" w:rsidR="00C008B6" w:rsidRPr="009A1296" w:rsidRDefault="00C008B6">
            <w:pPr>
              <w:numPr>
                <w:ilvl w:val="12"/>
                <w:numId w:val="0"/>
              </w:numPr>
              <w:spacing w:before="20" w:after="20"/>
              <w:jc w:val="center"/>
              <w:rPr>
                <w:b/>
                <w:color w:val="FFFFFF" w:themeColor="background1"/>
                <w:sz w:val="18"/>
                <w:szCs w:val="18"/>
              </w:rPr>
            </w:pPr>
            <w:r w:rsidRPr="009A1296">
              <w:rPr>
                <w:b/>
                <w:color w:val="FFFFFF" w:themeColor="background1"/>
                <w:sz w:val="18"/>
                <w:szCs w:val="18"/>
              </w:rPr>
              <w:t>AUC</w:t>
            </w:r>
            <w:r w:rsidRPr="009A1296">
              <w:rPr>
                <w:b/>
                <w:color w:val="FFFFFF" w:themeColor="background1"/>
                <w:sz w:val="18"/>
                <w:szCs w:val="18"/>
                <w:vertAlign w:val="subscript"/>
              </w:rPr>
              <w:t>0-</w:t>
            </w:r>
            <w:r w:rsidRPr="009A1296">
              <w:rPr>
                <w:rFonts w:cs="Arial"/>
                <w:b/>
                <w:color w:val="FFFFFF" w:themeColor="background1"/>
                <w:sz w:val="18"/>
                <w:szCs w:val="18"/>
                <w:vertAlign w:val="subscript"/>
              </w:rPr>
              <w:t>∞</w:t>
            </w:r>
            <w:r w:rsidRPr="009A1296">
              <w:rPr>
                <w:b/>
                <w:color w:val="FFFFFF" w:themeColor="background1"/>
                <w:sz w:val="18"/>
                <w:szCs w:val="18"/>
              </w:rPr>
              <w:t xml:space="preserve"> (ng.h/mL)</w:t>
            </w:r>
          </w:p>
        </w:tc>
      </w:tr>
      <w:tr w:rsidR="00C008B6" w:rsidRPr="00BF3502" w14:paraId="3965837F" w14:textId="77777777" w:rsidTr="009A1296">
        <w:trPr>
          <w:cantSplit/>
          <w:jc w:val="center"/>
        </w:trPr>
        <w:tc>
          <w:tcPr>
            <w:tcW w:w="1953" w:type="dxa"/>
          </w:tcPr>
          <w:p w14:paraId="06C29C80" w14:textId="1DBD2A13" w:rsidR="00C008B6" w:rsidRPr="009A1296" w:rsidRDefault="00C008B6" w:rsidP="00C008B6">
            <w:pPr>
              <w:numPr>
                <w:ilvl w:val="12"/>
                <w:numId w:val="0"/>
              </w:numPr>
              <w:spacing w:before="20" w:after="20"/>
              <w:rPr>
                <w:rFonts w:cs="Arial"/>
                <w:sz w:val="18"/>
                <w:szCs w:val="18"/>
              </w:rPr>
            </w:pPr>
            <w:r w:rsidRPr="009A1296">
              <w:rPr>
                <w:rFonts w:cs="Arial"/>
                <w:sz w:val="18"/>
                <w:szCs w:val="18"/>
              </w:rPr>
              <w:t>Treatment A</w:t>
            </w:r>
          </w:p>
          <w:p w14:paraId="72FA8CED" w14:textId="77777777" w:rsidR="00C008B6" w:rsidRPr="009A1296" w:rsidRDefault="00C008B6" w:rsidP="00C008B6">
            <w:pPr>
              <w:numPr>
                <w:ilvl w:val="12"/>
                <w:numId w:val="0"/>
              </w:numPr>
              <w:spacing w:before="20" w:after="20"/>
              <w:rPr>
                <w:rFonts w:cs="Arial"/>
                <w:sz w:val="18"/>
                <w:szCs w:val="18"/>
              </w:rPr>
            </w:pPr>
            <w:r w:rsidRPr="009A1296">
              <w:rPr>
                <w:rFonts w:cs="Arial"/>
                <w:sz w:val="18"/>
                <w:szCs w:val="18"/>
              </w:rPr>
              <w:t>Monotherapy</w:t>
            </w:r>
          </w:p>
        </w:tc>
        <w:tc>
          <w:tcPr>
            <w:tcW w:w="709" w:type="dxa"/>
          </w:tcPr>
          <w:p w14:paraId="10FD434E" w14:textId="77777777" w:rsidR="00C008B6" w:rsidRPr="009A1296" w:rsidRDefault="00C008B6" w:rsidP="00C008B6">
            <w:pPr>
              <w:numPr>
                <w:ilvl w:val="12"/>
                <w:numId w:val="0"/>
              </w:numPr>
              <w:spacing w:before="20" w:after="20"/>
              <w:jc w:val="center"/>
              <w:rPr>
                <w:sz w:val="18"/>
                <w:szCs w:val="18"/>
              </w:rPr>
            </w:pPr>
            <w:r w:rsidRPr="009A1296">
              <w:rPr>
                <w:sz w:val="18"/>
                <w:szCs w:val="18"/>
              </w:rPr>
              <w:t>32, 32</w:t>
            </w:r>
          </w:p>
        </w:tc>
        <w:tc>
          <w:tcPr>
            <w:tcW w:w="1515" w:type="dxa"/>
          </w:tcPr>
          <w:p w14:paraId="5F0BCDB1" w14:textId="77777777" w:rsidR="00C008B6" w:rsidRPr="009A1296" w:rsidRDefault="00C008B6" w:rsidP="00C008B6">
            <w:pPr>
              <w:numPr>
                <w:ilvl w:val="12"/>
                <w:numId w:val="0"/>
              </w:numPr>
              <w:spacing w:before="20" w:after="20"/>
              <w:jc w:val="center"/>
              <w:rPr>
                <w:sz w:val="18"/>
                <w:szCs w:val="18"/>
              </w:rPr>
            </w:pPr>
            <w:r w:rsidRPr="009A1296">
              <w:rPr>
                <w:sz w:val="18"/>
                <w:szCs w:val="18"/>
              </w:rPr>
              <w:t>1.000 (0.500, 2.020)</w:t>
            </w:r>
          </w:p>
        </w:tc>
        <w:tc>
          <w:tcPr>
            <w:tcW w:w="1482" w:type="dxa"/>
          </w:tcPr>
          <w:p w14:paraId="62DEEEA4" w14:textId="77777777" w:rsidR="00C008B6" w:rsidRPr="009A1296" w:rsidRDefault="00C008B6" w:rsidP="00C008B6">
            <w:pPr>
              <w:numPr>
                <w:ilvl w:val="12"/>
                <w:numId w:val="0"/>
              </w:numPr>
              <w:spacing w:before="20" w:after="20"/>
              <w:jc w:val="center"/>
              <w:rPr>
                <w:sz w:val="18"/>
                <w:szCs w:val="18"/>
              </w:rPr>
            </w:pPr>
            <w:r w:rsidRPr="009A1296">
              <w:rPr>
                <w:sz w:val="18"/>
                <w:szCs w:val="18"/>
              </w:rPr>
              <w:t>119.860</w:t>
            </w:r>
          </w:p>
        </w:tc>
        <w:tc>
          <w:tcPr>
            <w:tcW w:w="1554" w:type="dxa"/>
          </w:tcPr>
          <w:p w14:paraId="1D7606A3" w14:textId="77777777" w:rsidR="00C008B6" w:rsidRPr="009A1296" w:rsidRDefault="00C008B6" w:rsidP="00C008B6">
            <w:pPr>
              <w:numPr>
                <w:ilvl w:val="12"/>
                <w:numId w:val="0"/>
              </w:numPr>
              <w:spacing w:before="20" w:after="20"/>
              <w:jc w:val="center"/>
              <w:rPr>
                <w:sz w:val="18"/>
                <w:szCs w:val="18"/>
              </w:rPr>
            </w:pPr>
            <w:r w:rsidRPr="009A1296">
              <w:rPr>
                <w:sz w:val="18"/>
                <w:szCs w:val="18"/>
              </w:rPr>
              <w:t>637.655</w:t>
            </w:r>
          </w:p>
        </w:tc>
        <w:tc>
          <w:tcPr>
            <w:tcW w:w="1482" w:type="dxa"/>
          </w:tcPr>
          <w:p w14:paraId="53E954C2" w14:textId="77777777" w:rsidR="00C008B6" w:rsidRPr="009A1296" w:rsidRDefault="00C008B6" w:rsidP="00C008B6">
            <w:pPr>
              <w:numPr>
                <w:ilvl w:val="12"/>
                <w:numId w:val="0"/>
              </w:numPr>
              <w:spacing w:before="20" w:after="20"/>
              <w:jc w:val="center"/>
              <w:rPr>
                <w:sz w:val="18"/>
                <w:szCs w:val="18"/>
              </w:rPr>
            </w:pPr>
            <w:r w:rsidRPr="009A1296">
              <w:rPr>
                <w:sz w:val="18"/>
                <w:szCs w:val="18"/>
              </w:rPr>
              <w:t>653.924</w:t>
            </w:r>
          </w:p>
        </w:tc>
      </w:tr>
      <w:tr w:rsidR="00C008B6" w:rsidRPr="00BF3502" w14:paraId="55A98B9C" w14:textId="77777777" w:rsidTr="009A1296">
        <w:trPr>
          <w:cantSplit/>
          <w:jc w:val="center"/>
        </w:trPr>
        <w:tc>
          <w:tcPr>
            <w:tcW w:w="1953" w:type="dxa"/>
          </w:tcPr>
          <w:p w14:paraId="067283FE" w14:textId="7D03D857" w:rsidR="00C008B6" w:rsidRPr="009A1296" w:rsidRDefault="00C008B6" w:rsidP="00C008B6">
            <w:pPr>
              <w:numPr>
                <w:ilvl w:val="12"/>
                <w:numId w:val="0"/>
              </w:numPr>
              <w:spacing w:before="20" w:after="20"/>
              <w:rPr>
                <w:rFonts w:cs="Arial"/>
                <w:sz w:val="18"/>
                <w:szCs w:val="18"/>
              </w:rPr>
            </w:pPr>
            <w:r w:rsidRPr="009A1296">
              <w:rPr>
                <w:rFonts w:cs="Arial"/>
                <w:sz w:val="18"/>
                <w:szCs w:val="18"/>
              </w:rPr>
              <w:t>Treatment B</w:t>
            </w:r>
          </w:p>
          <w:p w14:paraId="723E6D7A" w14:textId="77777777" w:rsidR="00C008B6" w:rsidRPr="009A1296" w:rsidRDefault="00C008B6" w:rsidP="00C008B6">
            <w:pPr>
              <w:numPr>
                <w:ilvl w:val="12"/>
                <w:numId w:val="0"/>
              </w:numPr>
              <w:spacing w:before="20" w:after="20"/>
              <w:rPr>
                <w:rFonts w:cs="Arial"/>
                <w:sz w:val="18"/>
                <w:szCs w:val="18"/>
              </w:rPr>
            </w:pPr>
            <w:r w:rsidRPr="009A1296">
              <w:rPr>
                <w:rFonts w:cs="Arial"/>
                <w:sz w:val="18"/>
                <w:szCs w:val="18"/>
              </w:rPr>
              <w:t>FDC</w:t>
            </w:r>
          </w:p>
        </w:tc>
        <w:tc>
          <w:tcPr>
            <w:tcW w:w="709" w:type="dxa"/>
          </w:tcPr>
          <w:p w14:paraId="5FFAE917" w14:textId="77777777" w:rsidR="00C008B6" w:rsidRPr="009A1296" w:rsidRDefault="00C008B6" w:rsidP="00C008B6">
            <w:pPr>
              <w:numPr>
                <w:ilvl w:val="12"/>
                <w:numId w:val="0"/>
              </w:numPr>
              <w:spacing w:before="20" w:after="20"/>
              <w:jc w:val="center"/>
              <w:rPr>
                <w:sz w:val="18"/>
                <w:szCs w:val="18"/>
              </w:rPr>
            </w:pPr>
            <w:r w:rsidRPr="009A1296">
              <w:rPr>
                <w:sz w:val="18"/>
                <w:szCs w:val="18"/>
              </w:rPr>
              <w:t>32, 32</w:t>
            </w:r>
          </w:p>
        </w:tc>
        <w:tc>
          <w:tcPr>
            <w:tcW w:w="1515" w:type="dxa"/>
          </w:tcPr>
          <w:p w14:paraId="37CCF64A" w14:textId="77777777" w:rsidR="00C008B6" w:rsidRPr="00F14099" w:rsidRDefault="00C008B6" w:rsidP="00C008B6">
            <w:pPr>
              <w:numPr>
                <w:ilvl w:val="12"/>
                <w:numId w:val="0"/>
              </w:numPr>
              <w:spacing w:before="20" w:after="20"/>
              <w:jc w:val="center"/>
              <w:rPr>
                <w:rFonts w:asciiTheme="minorHAnsi" w:hAnsiTheme="minorHAnsi"/>
                <w:sz w:val="18"/>
                <w:szCs w:val="18"/>
              </w:rPr>
            </w:pPr>
            <w:r w:rsidRPr="00F14099">
              <w:rPr>
                <w:rFonts w:asciiTheme="minorHAnsi" w:hAnsiTheme="minorHAnsi"/>
                <w:sz w:val="18"/>
                <w:szCs w:val="18"/>
              </w:rPr>
              <w:t>1.030 (1.000, 3.000)</w:t>
            </w:r>
          </w:p>
        </w:tc>
        <w:tc>
          <w:tcPr>
            <w:tcW w:w="1482" w:type="dxa"/>
          </w:tcPr>
          <w:p w14:paraId="4D11540B" w14:textId="77777777" w:rsidR="00C008B6" w:rsidRPr="00F14099" w:rsidRDefault="00C008B6" w:rsidP="00C008B6">
            <w:pPr>
              <w:numPr>
                <w:ilvl w:val="12"/>
                <w:numId w:val="0"/>
              </w:numPr>
              <w:spacing w:before="20" w:after="20"/>
              <w:jc w:val="center"/>
              <w:rPr>
                <w:rFonts w:asciiTheme="minorHAnsi" w:hAnsiTheme="minorHAnsi"/>
                <w:sz w:val="18"/>
                <w:szCs w:val="18"/>
              </w:rPr>
            </w:pPr>
            <w:r w:rsidRPr="00F14099">
              <w:rPr>
                <w:rFonts w:asciiTheme="minorHAnsi" w:hAnsiTheme="minorHAnsi"/>
                <w:sz w:val="18"/>
                <w:szCs w:val="18"/>
              </w:rPr>
              <w:t>124.051</w:t>
            </w:r>
          </w:p>
        </w:tc>
        <w:tc>
          <w:tcPr>
            <w:tcW w:w="1554" w:type="dxa"/>
          </w:tcPr>
          <w:p w14:paraId="2CD1F7B3" w14:textId="77777777" w:rsidR="00C008B6" w:rsidRPr="00F14099" w:rsidRDefault="00C008B6" w:rsidP="00C008B6">
            <w:pPr>
              <w:numPr>
                <w:ilvl w:val="12"/>
                <w:numId w:val="0"/>
              </w:numPr>
              <w:spacing w:before="20" w:after="20"/>
              <w:jc w:val="center"/>
              <w:rPr>
                <w:rFonts w:asciiTheme="minorHAnsi" w:hAnsiTheme="minorHAnsi"/>
                <w:sz w:val="18"/>
                <w:szCs w:val="18"/>
              </w:rPr>
            </w:pPr>
            <w:r w:rsidRPr="00F14099">
              <w:rPr>
                <w:rFonts w:asciiTheme="minorHAnsi" w:hAnsiTheme="minorHAnsi"/>
                <w:sz w:val="18"/>
                <w:szCs w:val="18"/>
              </w:rPr>
              <w:t>637.995</w:t>
            </w:r>
          </w:p>
        </w:tc>
        <w:tc>
          <w:tcPr>
            <w:tcW w:w="1482" w:type="dxa"/>
          </w:tcPr>
          <w:p w14:paraId="0E184F5E" w14:textId="77777777" w:rsidR="00C008B6" w:rsidRPr="00F14099" w:rsidRDefault="00C008B6" w:rsidP="00C008B6">
            <w:pPr>
              <w:numPr>
                <w:ilvl w:val="12"/>
                <w:numId w:val="0"/>
              </w:numPr>
              <w:spacing w:before="20" w:after="20"/>
              <w:jc w:val="center"/>
              <w:rPr>
                <w:rFonts w:asciiTheme="minorHAnsi" w:hAnsiTheme="minorHAnsi"/>
                <w:sz w:val="18"/>
                <w:szCs w:val="18"/>
              </w:rPr>
            </w:pPr>
            <w:r w:rsidRPr="00F14099">
              <w:rPr>
                <w:rFonts w:asciiTheme="minorHAnsi" w:hAnsiTheme="minorHAnsi"/>
                <w:sz w:val="18"/>
                <w:szCs w:val="18"/>
              </w:rPr>
              <w:t>651.540</w:t>
            </w:r>
          </w:p>
        </w:tc>
      </w:tr>
      <w:tr w:rsidR="00C008B6" w:rsidRPr="00BF3502" w14:paraId="428BDF27" w14:textId="77777777" w:rsidTr="009A1296">
        <w:trPr>
          <w:cantSplit/>
          <w:jc w:val="center"/>
        </w:trPr>
        <w:tc>
          <w:tcPr>
            <w:tcW w:w="1953" w:type="dxa"/>
          </w:tcPr>
          <w:p w14:paraId="645DBDEE" w14:textId="77777777" w:rsidR="00C008B6" w:rsidRPr="009A1296" w:rsidRDefault="00C008B6" w:rsidP="00C008B6">
            <w:pPr>
              <w:numPr>
                <w:ilvl w:val="12"/>
                <w:numId w:val="0"/>
              </w:numPr>
              <w:spacing w:before="20" w:after="20"/>
              <w:jc w:val="center"/>
              <w:rPr>
                <w:sz w:val="18"/>
                <w:szCs w:val="18"/>
              </w:rPr>
            </w:pPr>
            <w:r w:rsidRPr="009A1296">
              <w:rPr>
                <w:sz w:val="18"/>
                <w:szCs w:val="18"/>
              </w:rPr>
              <w:t>Statistical analysis:</w:t>
            </w:r>
          </w:p>
        </w:tc>
        <w:tc>
          <w:tcPr>
            <w:tcW w:w="709" w:type="dxa"/>
          </w:tcPr>
          <w:p w14:paraId="7B4C40A1" w14:textId="77777777" w:rsidR="00C008B6" w:rsidRPr="009A1296" w:rsidRDefault="00C008B6" w:rsidP="00C008B6">
            <w:pPr>
              <w:numPr>
                <w:ilvl w:val="12"/>
                <w:numId w:val="0"/>
              </w:numPr>
              <w:spacing w:before="20" w:after="20"/>
              <w:ind w:left="-74" w:right="-142"/>
              <w:jc w:val="center"/>
              <w:rPr>
                <w:rFonts w:ascii="Arial" w:hAnsi="Arial"/>
                <w:sz w:val="18"/>
                <w:szCs w:val="18"/>
                <w:highlight w:val="yellow"/>
              </w:rPr>
            </w:pPr>
          </w:p>
        </w:tc>
        <w:tc>
          <w:tcPr>
            <w:tcW w:w="1515" w:type="dxa"/>
          </w:tcPr>
          <w:p w14:paraId="37585347" w14:textId="77777777" w:rsidR="00C008B6" w:rsidRPr="00F14099" w:rsidRDefault="00C008B6" w:rsidP="00C008B6">
            <w:pPr>
              <w:numPr>
                <w:ilvl w:val="12"/>
                <w:numId w:val="0"/>
              </w:numPr>
              <w:spacing w:before="20" w:after="20"/>
              <w:ind w:left="-74" w:right="-142"/>
              <w:jc w:val="center"/>
              <w:rPr>
                <w:rFonts w:asciiTheme="minorHAnsi" w:hAnsiTheme="minorHAnsi"/>
                <w:sz w:val="18"/>
                <w:szCs w:val="18"/>
              </w:rPr>
            </w:pPr>
            <w:r w:rsidRPr="00F14099">
              <w:rPr>
                <w:rFonts w:asciiTheme="minorHAnsi" w:hAnsiTheme="minorHAnsi"/>
                <w:sz w:val="18"/>
                <w:szCs w:val="18"/>
              </w:rPr>
              <w:t>Median diff.</w:t>
            </w:r>
          </w:p>
        </w:tc>
        <w:tc>
          <w:tcPr>
            <w:tcW w:w="1482" w:type="dxa"/>
          </w:tcPr>
          <w:p w14:paraId="527FAF1F" w14:textId="77777777" w:rsidR="00C008B6" w:rsidRPr="00F14099" w:rsidRDefault="00F14099" w:rsidP="00C008B6">
            <w:pPr>
              <w:numPr>
                <w:ilvl w:val="12"/>
                <w:numId w:val="0"/>
              </w:numPr>
              <w:spacing w:before="20" w:after="20"/>
              <w:jc w:val="center"/>
              <w:rPr>
                <w:rFonts w:asciiTheme="minorHAnsi" w:hAnsiTheme="minorHAnsi"/>
                <w:sz w:val="18"/>
                <w:szCs w:val="18"/>
              </w:rPr>
            </w:pPr>
            <w:r w:rsidRPr="00F14099">
              <w:rPr>
                <w:rFonts w:asciiTheme="minorHAnsi" w:hAnsiTheme="minorHAnsi"/>
                <w:sz w:val="18"/>
                <w:szCs w:val="18"/>
              </w:rPr>
              <w:t>Ratio</w:t>
            </w:r>
            <w:r w:rsidR="00C008B6" w:rsidRPr="00F14099">
              <w:rPr>
                <w:rFonts w:asciiTheme="minorHAnsi" w:hAnsiTheme="minorHAnsi"/>
                <w:sz w:val="18"/>
                <w:szCs w:val="18"/>
              </w:rPr>
              <w:t xml:space="preserve"> (%)</w:t>
            </w:r>
          </w:p>
        </w:tc>
        <w:tc>
          <w:tcPr>
            <w:tcW w:w="1554" w:type="dxa"/>
          </w:tcPr>
          <w:p w14:paraId="076E1A6C" w14:textId="77777777" w:rsidR="00C008B6" w:rsidRPr="00F14099" w:rsidRDefault="00F14099" w:rsidP="00C008B6">
            <w:pPr>
              <w:numPr>
                <w:ilvl w:val="12"/>
                <w:numId w:val="0"/>
              </w:numPr>
              <w:spacing w:before="20" w:after="20"/>
              <w:jc w:val="center"/>
              <w:rPr>
                <w:rFonts w:asciiTheme="minorHAnsi" w:hAnsiTheme="minorHAnsi"/>
                <w:sz w:val="18"/>
                <w:szCs w:val="18"/>
              </w:rPr>
            </w:pPr>
            <w:r w:rsidRPr="00F14099">
              <w:rPr>
                <w:rFonts w:asciiTheme="minorHAnsi" w:hAnsiTheme="minorHAnsi"/>
                <w:sz w:val="18"/>
                <w:szCs w:val="18"/>
              </w:rPr>
              <w:t>Ratio</w:t>
            </w:r>
            <w:r w:rsidR="00C008B6" w:rsidRPr="00F14099">
              <w:rPr>
                <w:rFonts w:asciiTheme="minorHAnsi" w:hAnsiTheme="minorHAnsi"/>
                <w:sz w:val="18"/>
                <w:szCs w:val="18"/>
              </w:rPr>
              <w:t xml:space="preserve"> (%)</w:t>
            </w:r>
          </w:p>
        </w:tc>
        <w:tc>
          <w:tcPr>
            <w:tcW w:w="1482" w:type="dxa"/>
          </w:tcPr>
          <w:p w14:paraId="25F852C4" w14:textId="77777777" w:rsidR="00C008B6" w:rsidRPr="00F14099" w:rsidRDefault="00F14099" w:rsidP="00C008B6">
            <w:pPr>
              <w:numPr>
                <w:ilvl w:val="12"/>
                <w:numId w:val="0"/>
              </w:numPr>
              <w:spacing w:before="20" w:after="20"/>
              <w:jc w:val="center"/>
              <w:rPr>
                <w:rFonts w:asciiTheme="minorHAnsi" w:hAnsiTheme="minorHAnsi"/>
                <w:sz w:val="18"/>
                <w:szCs w:val="18"/>
              </w:rPr>
            </w:pPr>
            <w:r w:rsidRPr="00F14099">
              <w:rPr>
                <w:rFonts w:asciiTheme="minorHAnsi" w:hAnsiTheme="minorHAnsi"/>
                <w:sz w:val="18"/>
                <w:szCs w:val="18"/>
              </w:rPr>
              <w:t>Ratio</w:t>
            </w:r>
            <w:r w:rsidR="00C008B6" w:rsidRPr="00F14099">
              <w:rPr>
                <w:rFonts w:asciiTheme="minorHAnsi" w:hAnsiTheme="minorHAnsi"/>
                <w:sz w:val="18"/>
                <w:szCs w:val="18"/>
              </w:rPr>
              <w:t xml:space="preserve"> (%)</w:t>
            </w:r>
          </w:p>
        </w:tc>
      </w:tr>
      <w:tr w:rsidR="00C008B6" w:rsidRPr="00BF3502" w14:paraId="5A884424" w14:textId="77777777" w:rsidTr="009A1296">
        <w:trPr>
          <w:cantSplit/>
          <w:jc w:val="center"/>
        </w:trPr>
        <w:tc>
          <w:tcPr>
            <w:tcW w:w="1953" w:type="dxa"/>
          </w:tcPr>
          <w:p w14:paraId="0AFCAC9E" w14:textId="77777777" w:rsidR="00C008B6" w:rsidRPr="009A1296" w:rsidRDefault="00C008B6" w:rsidP="00C008B6">
            <w:pPr>
              <w:numPr>
                <w:ilvl w:val="12"/>
                <w:numId w:val="0"/>
              </w:numPr>
              <w:spacing w:before="20" w:after="20"/>
              <w:rPr>
                <w:sz w:val="18"/>
                <w:szCs w:val="18"/>
              </w:rPr>
            </w:pPr>
            <w:r w:rsidRPr="009A1296">
              <w:rPr>
                <w:sz w:val="18"/>
                <w:szCs w:val="18"/>
              </w:rPr>
              <w:t>B</w:t>
            </w:r>
            <w:r w:rsidR="000E32B5" w:rsidRPr="009A1296">
              <w:rPr>
                <w:sz w:val="18"/>
                <w:szCs w:val="18"/>
              </w:rPr>
              <w:t xml:space="preserve"> versus </w:t>
            </w:r>
            <w:r w:rsidRPr="009A1296">
              <w:rPr>
                <w:sz w:val="18"/>
                <w:szCs w:val="18"/>
              </w:rPr>
              <w:t>A Estimate</w:t>
            </w:r>
          </w:p>
        </w:tc>
        <w:tc>
          <w:tcPr>
            <w:tcW w:w="709" w:type="dxa"/>
          </w:tcPr>
          <w:p w14:paraId="1A76EDE3" w14:textId="77777777" w:rsidR="00C008B6" w:rsidRPr="009A1296" w:rsidRDefault="00C008B6" w:rsidP="00C008B6">
            <w:pPr>
              <w:numPr>
                <w:ilvl w:val="12"/>
                <w:numId w:val="0"/>
              </w:numPr>
              <w:spacing w:before="20" w:after="20"/>
              <w:jc w:val="center"/>
              <w:rPr>
                <w:sz w:val="18"/>
                <w:szCs w:val="18"/>
              </w:rPr>
            </w:pPr>
          </w:p>
        </w:tc>
        <w:tc>
          <w:tcPr>
            <w:tcW w:w="1515" w:type="dxa"/>
          </w:tcPr>
          <w:p w14:paraId="5F90D1B0" w14:textId="77777777" w:rsidR="00C008B6" w:rsidRPr="009A1296" w:rsidRDefault="00C008B6" w:rsidP="00C008B6">
            <w:pPr>
              <w:numPr>
                <w:ilvl w:val="12"/>
                <w:numId w:val="0"/>
              </w:numPr>
              <w:spacing w:before="20" w:after="20"/>
              <w:jc w:val="center"/>
              <w:rPr>
                <w:sz w:val="18"/>
                <w:szCs w:val="18"/>
              </w:rPr>
            </w:pPr>
            <w:r w:rsidRPr="009A1296">
              <w:rPr>
                <w:sz w:val="18"/>
                <w:szCs w:val="18"/>
              </w:rPr>
              <w:t>0.03</w:t>
            </w:r>
          </w:p>
        </w:tc>
        <w:tc>
          <w:tcPr>
            <w:tcW w:w="1482" w:type="dxa"/>
          </w:tcPr>
          <w:p w14:paraId="51C93DEE" w14:textId="77777777" w:rsidR="00C008B6" w:rsidRPr="009A1296" w:rsidRDefault="00C008B6" w:rsidP="00C008B6">
            <w:pPr>
              <w:numPr>
                <w:ilvl w:val="12"/>
                <w:numId w:val="0"/>
              </w:numPr>
              <w:spacing w:before="20" w:after="20"/>
              <w:jc w:val="center"/>
              <w:rPr>
                <w:sz w:val="18"/>
                <w:szCs w:val="18"/>
              </w:rPr>
            </w:pPr>
            <w:r w:rsidRPr="009A1296">
              <w:rPr>
                <w:sz w:val="18"/>
                <w:szCs w:val="18"/>
              </w:rPr>
              <w:t>103.5</w:t>
            </w:r>
          </w:p>
        </w:tc>
        <w:tc>
          <w:tcPr>
            <w:tcW w:w="1554" w:type="dxa"/>
          </w:tcPr>
          <w:p w14:paraId="3059AA01" w14:textId="77777777" w:rsidR="00C008B6" w:rsidRPr="009A1296" w:rsidRDefault="00C008B6" w:rsidP="00C008B6">
            <w:pPr>
              <w:numPr>
                <w:ilvl w:val="12"/>
                <w:numId w:val="0"/>
              </w:numPr>
              <w:spacing w:before="20" w:after="20"/>
              <w:jc w:val="center"/>
              <w:rPr>
                <w:sz w:val="18"/>
                <w:szCs w:val="18"/>
              </w:rPr>
            </w:pPr>
            <w:r w:rsidRPr="009A1296">
              <w:rPr>
                <w:sz w:val="18"/>
                <w:szCs w:val="18"/>
              </w:rPr>
              <w:t>100.1</w:t>
            </w:r>
          </w:p>
        </w:tc>
        <w:tc>
          <w:tcPr>
            <w:tcW w:w="1482" w:type="dxa"/>
          </w:tcPr>
          <w:p w14:paraId="7ADBBA55" w14:textId="77777777" w:rsidR="00C008B6" w:rsidRPr="009A1296" w:rsidRDefault="00C008B6" w:rsidP="00C008B6">
            <w:pPr>
              <w:numPr>
                <w:ilvl w:val="12"/>
                <w:numId w:val="0"/>
              </w:numPr>
              <w:spacing w:before="20" w:after="20"/>
              <w:jc w:val="center"/>
              <w:rPr>
                <w:sz w:val="18"/>
                <w:szCs w:val="18"/>
              </w:rPr>
            </w:pPr>
            <w:r w:rsidRPr="009A1296">
              <w:rPr>
                <w:sz w:val="18"/>
                <w:szCs w:val="18"/>
              </w:rPr>
              <w:t>99.6</w:t>
            </w:r>
          </w:p>
        </w:tc>
      </w:tr>
      <w:tr w:rsidR="00C008B6" w:rsidRPr="00BF3502" w14:paraId="6B2A5D83" w14:textId="77777777" w:rsidTr="009A1296">
        <w:trPr>
          <w:cantSplit/>
          <w:jc w:val="center"/>
        </w:trPr>
        <w:tc>
          <w:tcPr>
            <w:tcW w:w="1953" w:type="dxa"/>
          </w:tcPr>
          <w:p w14:paraId="38AAFD42" w14:textId="77777777" w:rsidR="00C008B6" w:rsidRPr="009A1296" w:rsidRDefault="00C008B6" w:rsidP="00C008B6">
            <w:pPr>
              <w:numPr>
                <w:ilvl w:val="12"/>
                <w:numId w:val="0"/>
              </w:numPr>
              <w:spacing w:before="20" w:after="20"/>
              <w:rPr>
                <w:sz w:val="18"/>
                <w:szCs w:val="18"/>
              </w:rPr>
            </w:pPr>
            <w:r w:rsidRPr="009A1296">
              <w:rPr>
                <w:sz w:val="18"/>
                <w:szCs w:val="18"/>
              </w:rPr>
              <w:t>90% CI</w:t>
            </w:r>
          </w:p>
        </w:tc>
        <w:tc>
          <w:tcPr>
            <w:tcW w:w="709" w:type="dxa"/>
          </w:tcPr>
          <w:p w14:paraId="12C2A133" w14:textId="77777777" w:rsidR="00C008B6" w:rsidRPr="009A1296" w:rsidRDefault="00C008B6" w:rsidP="00C008B6">
            <w:pPr>
              <w:numPr>
                <w:ilvl w:val="12"/>
                <w:numId w:val="0"/>
              </w:numPr>
              <w:spacing w:before="20" w:after="20"/>
              <w:jc w:val="center"/>
              <w:rPr>
                <w:sz w:val="18"/>
                <w:szCs w:val="18"/>
              </w:rPr>
            </w:pPr>
          </w:p>
        </w:tc>
        <w:tc>
          <w:tcPr>
            <w:tcW w:w="1515" w:type="dxa"/>
          </w:tcPr>
          <w:p w14:paraId="4FAEDB4C" w14:textId="77777777" w:rsidR="00C008B6" w:rsidRPr="009A1296" w:rsidRDefault="00C008B6" w:rsidP="00C008B6">
            <w:pPr>
              <w:numPr>
                <w:ilvl w:val="12"/>
                <w:numId w:val="0"/>
              </w:numPr>
              <w:spacing w:before="20" w:after="20"/>
              <w:jc w:val="center"/>
              <w:rPr>
                <w:sz w:val="18"/>
                <w:szCs w:val="18"/>
              </w:rPr>
            </w:pPr>
            <w:r w:rsidRPr="009A1296">
              <w:rPr>
                <w:sz w:val="18"/>
                <w:szCs w:val="18"/>
              </w:rPr>
              <w:t>-</w:t>
            </w:r>
          </w:p>
        </w:tc>
        <w:tc>
          <w:tcPr>
            <w:tcW w:w="1482" w:type="dxa"/>
          </w:tcPr>
          <w:p w14:paraId="021FCE2D" w14:textId="178F7FB6" w:rsidR="00C008B6" w:rsidRPr="009A1296" w:rsidRDefault="00C008B6" w:rsidP="00C008B6">
            <w:pPr>
              <w:numPr>
                <w:ilvl w:val="12"/>
                <w:numId w:val="0"/>
              </w:numPr>
              <w:spacing w:before="20" w:after="20"/>
              <w:jc w:val="center"/>
              <w:rPr>
                <w:sz w:val="18"/>
                <w:szCs w:val="18"/>
              </w:rPr>
            </w:pPr>
            <w:r w:rsidRPr="009A1296">
              <w:rPr>
                <w:sz w:val="18"/>
                <w:szCs w:val="18"/>
              </w:rPr>
              <w:t xml:space="preserve">97.8 </w:t>
            </w:r>
            <w:r w:rsidR="00AD51CF">
              <w:rPr>
                <w:sz w:val="18"/>
                <w:szCs w:val="18"/>
              </w:rPr>
              <w:t>to</w:t>
            </w:r>
            <w:r w:rsidRPr="009A1296">
              <w:rPr>
                <w:sz w:val="18"/>
                <w:szCs w:val="18"/>
              </w:rPr>
              <w:t xml:space="preserve"> 109.5</w:t>
            </w:r>
          </w:p>
        </w:tc>
        <w:tc>
          <w:tcPr>
            <w:tcW w:w="1554" w:type="dxa"/>
          </w:tcPr>
          <w:p w14:paraId="1935467A" w14:textId="77233790" w:rsidR="00C008B6" w:rsidRPr="009A1296" w:rsidRDefault="00C008B6" w:rsidP="00C008B6">
            <w:pPr>
              <w:numPr>
                <w:ilvl w:val="12"/>
                <w:numId w:val="0"/>
              </w:numPr>
              <w:spacing w:before="20" w:after="20"/>
              <w:jc w:val="center"/>
              <w:rPr>
                <w:sz w:val="18"/>
                <w:szCs w:val="18"/>
              </w:rPr>
            </w:pPr>
            <w:r w:rsidRPr="009A1296">
              <w:rPr>
                <w:sz w:val="18"/>
                <w:szCs w:val="18"/>
              </w:rPr>
              <w:t xml:space="preserve">97.3 </w:t>
            </w:r>
            <w:r w:rsidR="00AD51CF">
              <w:rPr>
                <w:sz w:val="18"/>
                <w:szCs w:val="18"/>
              </w:rPr>
              <w:t>to</w:t>
            </w:r>
            <w:r w:rsidRPr="009A1296">
              <w:rPr>
                <w:sz w:val="18"/>
                <w:szCs w:val="18"/>
              </w:rPr>
              <w:t xml:space="preserve"> 102.9</w:t>
            </w:r>
          </w:p>
        </w:tc>
        <w:tc>
          <w:tcPr>
            <w:tcW w:w="1482" w:type="dxa"/>
          </w:tcPr>
          <w:p w14:paraId="2BDD7DA8" w14:textId="1D179656" w:rsidR="00C008B6" w:rsidRPr="009A1296" w:rsidRDefault="00C008B6" w:rsidP="00C008B6">
            <w:pPr>
              <w:numPr>
                <w:ilvl w:val="12"/>
                <w:numId w:val="0"/>
              </w:numPr>
              <w:spacing w:before="20" w:after="20"/>
              <w:jc w:val="center"/>
              <w:rPr>
                <w:sz w:val="18"/>
                <w:szCs w:val="18"/>
              </w:rPr>
            </w:pPr>
            <w:r w:rsidRPr="009A1296">
              <w:rPr>
                <w:sz w:val="18"/>
                <w:szCs w:val="18"/>
              </w:rPr>
              <w:t xml:space="preserve">97.0 </w:t>
            </w:r>
            <w:r w:rsidR="00AD51CF">
              <w:rPr>
                <w:sz w:val="18"/>
                <w:szCs w:val="18"/>
              </w:rPr>
              <w:t>to</w:t>
            </w:r>
            <w:r w:rsidRPr="009A1296">
              <w:rPr>
                <w:sz w:val="18"/>
                <w:szCs w:val="18"/>
              </w:rPr>
              <w:t xml:space="preserve"> 102.3</w:t>
            </w:r>
          </w:p>
        </w:tc>
      </w:tr>
      <w:tr w:rsidR="009A1296" w:rsidRPr="009A1296" w14:paraId="17BBAED4" w14:textId="77777777" w:rsidTr="009A1296">
        <w:trPr>
          <w:cantSplit/>
          <w:trHeight w:val="537"/>
          <w:jc w:val="center"/>
        </w:trPr>
        <w:tc>
          <w:tcPr>
            <w:tcW w:w="8695" w:type="dxa"/>
            <w:gridSpan w:val="6"/>
            <w:tcBorders>
              <w:bottom w:val="single" w:sz="2" w:space="0" w:color="auto"/>
            </w:tcBorders>
            <w:shd w:val="clear" w:color="auto" w:fill="0070C0"/>
            <w:vAlign w:val="center"/>
          </w:tcPr>
          <w:p w14:paraId="53524F5E" w14:textId="77777777" w:rsidR="00C008B6" w:rsidRPr="009A1296" w:rsidRDefault="00C008B6" w:rsidP="00413227">
            <w:pPr>
              <w:keepNext/>
              <w:numPr>
                <w:ilvl w:val="12"/>
                <w:numId w:val="0"/>
              </w:numPr>
              <w:spacing w:before="20" w:after="20"/>
              <w:rPr>
                <w:b/>
                <w:color w:val="FFFFFF" w:themeColor="background1"/>
                <w:sz w:val="18"/>
                <w:szCs w:val="18"/>
              </w:rPr>
            </w:pPr>
            <w:r w:rsidRPr="009A1296">
              <w:rPr>
                <w:b/>
                <w:color w:val="FFFFFF" w:themeColor="background1"/>
                <w:sz w:val="18"/>
                <w:szCs w:val="18"/>
              </w:rPr>
              <w:t>Metformin</w:t>
            </w:r>
          </w:p>
        </w:tc>
      </w:tr>
      <w:tr w:rsidR="009A1296" w:rsidRPr="009A1296" w14:paraId="0ACD5903" w14:textId="77777777" w:rsidTr="009A1296">
        <w:trPr>
          <w:cantSplit/>
          <w:jc w:val="center"/>
        </w:trPr>
        <w:tc>
          <w:tcPr>
            <w:tcW w:w="1953" w:type="dxa"/>
            <w:shd w:val="clear" w:color="auto" w:fill="0070C0"/>
          </w:tcPr>
          <w:p w14:paraId="162EC127" w14:textId="77777777" w:rsidR="00C008B6" w:rsidRPr="009A1296" w:rsidRDefault="00C008B6" w:rsidP="00413227">
            <w:pPr>
              <w:pStyle w:val="A-Head6"/>
              <w:keepNext/>
              <w:numPr>
                <w:ilvl w:val="12"/>
                <w:numId w:val="0"/>
              </w:numPr>
              <w:spacing w:before="20" w:after="20"/>
              <w:jc w:val="center"/>
              <w:rPr>
                <w:rFonts w:ascii="Cambria" w:hAnsi="Cambria"/>
                <w:color w:val="FFFFFF" w:themeColor="background1"/>
                <w:sz w:val="18"/>
                <w:szCs w:val="18"/>
              </w:rPr>
            </w:pPr>
            <w:r w:rsidRPr="009A1296">
              <w:rPr>
                <w:rFonts w:ascii="Cambria" w:hAnsi="Cambria"/>
                <w:color w:val="FFFFFF" w:themeColor="background1"/>
                <w:sz w:val="18"/>
                <w:szCs w:val="18"/>
              </w:rPr>
              <w:t>Single dose, prompt release</w:t>
            </w:r>
          </w:p>
        </w:tc>
        <w:tc>
          <w:tcPr>
            <w:tcW w:w="709" w:type="dxa"/>
            <w:shd w:val="clear" w:color="auto" w:fill="0070C0"/>
          </w:tcPr>
          <w:p w14:paraId="1AB4A93F" w14:textId="77777777" w:rsidR="00C008B6" w:rsidRPr="009A1296" w:rsidRDefault="00C008B6" w:rsidP="00C008B6">
            <w:pPr>
              <w:numPr>
                <w:ilvl w:val="12"/>
                <w:numId w:val="0"/>
              </w:numPr>
              <w:spacing w:before="20" w:after="20"/>
              <w:jc w:val="center"/>
              <w:rPr>
                <w:b/>
                <w:color w:val="FFFFFF" w:themeColor="background1"/>
                <w:sz w:val="18"/>
                <w:szCs w:val="18"/>
              </w:rPr>
            </w:pPr>
            <w:r w:rsidRPr="009A1296">
              <w:rPr>
                <w:b/>
                <w:color w:val="FFFFFF" w:themeColor="background1"/>
                <w:sz w:val="18"/>
                <w:szCs w:val="18"/>
              </w:rPr>
              <w:t>n</w:t>
            </w:r>
          </w:p>
        </w:tc>
        <w:tc>
          <w:tcPr>
            <w:tcW w:w="1515" w:type="dxa"/>
            <w:shd w:val="clear" w:color="auto" w:fill="0070C0"/>
          </w:tcPr>
          <w:p w14:paraId="1FCD9295" w14:textId="2CEF20DC" w:rsidR="00C008B6" w:rsidRPr="00FA6C7E" w:rsidRDefault="00E700A6" w:rsidP="00C008B6">
            <w:pPr>
              <w:numPr>
                <w:ilvl w:val="12"/>
                <w:numId w:val="0"/>
              </w:numPr>
              <w:spacing w:before="20" w:after="20"/>
              <w:jc w:val="center"/>
              <w:rPr>
                <w:b/>
                <w:color w:val="FFFFFF" w:themeColor="background1"/>
                <w:sz w:val="18"/>
                <w:szCs w:val="18"/>
              </w:rPr>
            </w:pPr>
            <w:r w:rsidRPr="00FA6C7E">
              <w:rPr>
                <w:color w:val="FFFFFF" w:themeColor="background1"/>
              </w:rPr>
              <w:t>T</w:t>
            </w:r>
            <w:r w:rsidRPr="00FA6C7E">
              <w:rPr>
                <w:color w:val="FFFFFF" w:themeColor="background1"/>
                <w:vertAlign w:val="subscript"/>
              </w:rPr>
              <w:t>max</w:t>
            </w:r>
            <w:r w:rsidR="00C008B6" w:rsidRPr="00FA6C7E">
              <w:rPr>
                <w:b/>
                <w:color w:val="FFFFFF" w:themeColor="background1"/>
                <w:sz w:val="18"/>
                <w:szCs w:val="18"/>
              </w:rPr>
              <w:t xml:space="preserve"> (h)</w:t>
            </w:r>
            <w:r w:rsidR="00AD51CF">
              <w:rPr>
                <w:b/>
                <w:color w:val="FFFFFF" w:themeColor="background1"/>
                <w:sz w:val="18"/>
                <w:szCs w:val="18"/>
              </w:rPr>
              <w:t xml:space="preserve"> </w:t>
            </w:r>
            <w:r w:rsidR="00C008B6" w:rsidRPr="00FA6C7E">
              <w:rPr>
                <w:b/>
                <w:color w:val="FFFFFF" w:themeColor="background1"/>
                <w:sz w:val="18"/>
                <w:szCs w:val="18"/>
              </w:rPr>
              <w:t>(range)</w:t>
            </w:r>
          </w:p>
        </w:tc>
        <w:tc>
          <w:tcPr>
            <w:tcW w:w="1482" w:type="dxa"/>
            <w:shd w:val="clear" w:color="auto" w:fill="0070C0"/>
          </w:tcPr>
          <w:p w14:paraId="2C7D168D" w14:textId="6CCC5390" w:rsidR="00C008B6" w:rsidRPr="00FA6C7E" w:rsidRDefault="00E700A6" w:rsidP="00C008B6">
            <w:pPr>
              <w:numPr>
                <w:ilvl w:val="12"/>
                <w:numId w:val="0"/>
              </w:numPr>
              <w:spacing w:before="20" w:after="20"/>
              <w:jc w:val="center"/>
              <w:rPr>
                <w:b/>
                <w:color w:val="FFFFFF" w:themeColor="background1"/>
                <w:sz w:val="18"/>
                <w:szCs w:val="18"/>
              </w:rPr>
            </w:pPr>
            <w:r w:rsidRPr="00FA6C7E">
              <w:rPr>
                <w:color w:val="FFFFFF" w:themeColor="background1"/>
              </w:rPr>
              <w:t>C</w:t>
            </w:r>
            <w:r w:rsidRPr="00FA6C7E">
              <w:rPr>
                <w:color w:val="FFFFFF" w:themeColor="background1"/>
                <w:vertAlign w:val="subscript"/>
              </w:rPr>
              <w:t>max</w:t>
            </w:r>
            <w:r w:rsidR="00C008B6" w:rsidRPr="00FA6C7E">
              <w:rPr>
                <w:b/>
                <w:color w:val="FFFFFF" w:themeColor="background1"/>
                <w:sz w:val="18"/>
                <w:szCs w:val="18"/>
              </w:rPr>
              <w:t xml:space="preserve"> (</w:t>
            </w:r>
            <w:r w:rsidR="00C008B6" w:rsidRPr="00FA6C7E">
              <w:rPr>
                <w:rFonts w:cs="Arial"/>
                <w:b/>
                <w:color w:val="FFFFFF" w:themeColor="background1"/>
                <w:sz w:val="18"/>
                <w:szCs w:val="18"/>
              </w:rPr>
              <w:t>n</w:t>
            </w:r>
            <w:r w:rsidR="00C008B6" w:rsidRPr="00FA6C7E">
              <w:rPr>
                <w:b/>
                <w:color w:val="FFFFFF" w:themeColor="background1"/>
                <w:sz w:val="18"/>
                <w:szCs w:val="18"/>
              </w:rPr>
              <w:t>M)</w:t>
            </w:r>
          </w:p>
        </w:tc>
        <w:tc>
          <w:tcPr>
            <w:tcW w:w="1554" w:type="dxa"/>
            <w:shd w:val="clear" w:color="auto" w:fill="0070C0"/>
          </w:tcPr>
          <w:p w14:paraId="55D6F072" w14:textId="48FB241E" w:rsidR="00C008B6" w:rsidRPr="009A1296" w:rsidRDefault="00C008B6" w:rsidP="00C008B6">
            <w:pPr>
              <w:numPr>
                <w:ilvl w:val="12"/>
                <w:numId w:val="0"/>
              </w:numPr>
              <w:spacing w:before="20" w:after="20"/>
              <w:jc w:val="center"/>
              <w:rPr>
                <w:b/>
                <w:color w:val="FFFFFF" w:themeColor="background1"/>
                <w:sz w:val="18"/>
                <w:szCs w:val="18"/>
              </w:rPr>
            </w:pPr>
            <w:r w:rsidRPr="009A1296">
              <w:rPr>
                <w:b/>
                <w:color w:val="FFFFFF" w:themeColor="background1"/>
                <w:sz w:val="18"/>
                <w:szCs w:val="18"/>
              </w:rPr>
              <w:t>AUC</w:t>
            </w:r>
            <w:r w:rsidRPr="009A1296">
              <w:rPr>
                <w:b/>
                <w:color w:val="FFFFFF" w:themeColor="background1"/>
                <w:sz w:val="18"/>
                <w:szCs w:val="18"/>
                <w:vertAlign w:val="subscript"/>
              </w:rPr>
              <w:t>0-t</w:t>
            </w:r>
            <w:r w:rsidRPr="009A1296">
              <w:rPr>
                <w:b/>
                <w:color w:val="FFFFFF" w:themeColor="background1"/>
                <w:sz w:val="18"/>
                <w:szCs w:val="18"/>
              </w:rPr>
              <w:t xml:space="preserve"> (µM.h)</w:t>
            </w:r>
          </w:p>
        </w:tc>
        <w:tc>
          <w:tcPr>
            <w:tcW w:w="1482" w:type="dxa"/>
            <w:shd w:val="clear" w:color="auto" w:fill="0070C0"/>
          </w:tcPr>
          <w:p w14:paraId="31D31B5C" w14:textId="15F8E3F5" w:rsidR="00C008B6" w:rsidRPr="009A1296" w:rsidRDefault="00C008B6" w:rsidP="00C008B6">
            <w:pPr>
              <w:numPr>
                <w:ilvl w:val="12"/>
                <w:numId w:val="0"/>
              </w:numPr>
              <w:spacing w:before="20" w:after="20"/>
              <w:jc w:val="center"/>
              <w:rPr>
                <w:b/>
                <w:color w:val="FFFFFF" w:themeColor="background1"/>
                <w:sz w:val="18"/>
                <w:szCs w:val="18"/>
              </w:rPr>
            </w:pPr>
            <w:r w:rsidRPr="009A1296">
              <w:rPr>
                <w:b/>
                <w:color w:val="FFFFFF" w:themeColor="background1"/>
                <w:sz w:val="18"/>
                <w:szCs w:val="18"/>
              </w:rPr>
              <w:t>AUC</w:t>
            </w:r>
            <w:r w:rsidRPr="009A1296">
              <w:rPr>
                <w:b/>
                <w:color w:val="FFFFFF" w:themeColor="background1"/>
                <w:sz w:val="18"/>
                <w:szCs w:val="18"/>
                <w:vertAlign w:val="subscript"/>
              </w:rPr>
              <w:t>0-</w:t>
            </w:r>
            <w:r w:rsidRPr="009A1296">
              <w:rPr>
                <w:rFonts w:cs="Arial"/>
                <w:b/>
                <w:color w:val="FFFFFF" w:themeColor="background1"/>
                <w:sz w:val="18"/>
                <w:szCs w:val="18"/>
                <w:vertAlign w:val="subscript"/>
              </w:rPr>
              <w:t>∞</w:t>
            </w:r>
            <w:r w:rsidRPr="009A1296">
              <w:rPr>
                <w:b/>
                <w:color w:val="FFFFFF" w:themeColor="background1"/>
                <w:sz w:val="18"/>
                <w:szCs w:val="18"/>
              </w:rPr>
              <w:t xml:space="preserve"> (µM.h)</w:t>
            </w:r>
          </w:p>
        </w:tc>
      </w:tr>
      <w:tr w:rsidR="00C008B6" w:rsidRPr="00BF3502" w14:paraId="488AECF9" w14:textId="77777777" w:rsidTr="009A1296">
        <w:trPr>
          <w:cantSplit/>
          <w:jc w:val="center"/>
        </w:trPr>
        <w:tc>
          <w:tcPr>
            <w:tcW w:w="1953" w:type="dxa"/>
          </w:tcPr>
          <w:p w14:paraId="02DC9199" w14:textId="084DE155" w:rsidR="00C008B6" w:rsidRPr="009A1296" w:rsidRDefault="00C008B6" w:rsidP="00413227">
            <w:pPr>
              <w:keepNext/>
              <w:rPr>
                <w:sz w:val="18"/>
                <w:szCs w:val="18"/>
              </w:rPr>
            </w:pPr>
            <w:r w:rsidRPr="009A1296">
              <w:rPr>
                <w:sz w:val="18"/>
                <w:szCs w:val="18"/>
              </w:rPr>
              <w:t>Treatment A</w:t>
            </w:r>
          </w:p>
          <w:p w14:paraId="62CA5553" w14:textId="77777777" w:rsidR="00C008B6" w:rsidRPr="009A1296" w:rsidRDefault="00C008B6" w:rsidP="00413227">
            <w:pPr>
              <w:keepNext/>
              <w:rPr>
                <w:sz w:val="18"/>
                <w:szCs w:val="18"/>
              </w:rPr>
            </w:pPr>
            <w:r w:rsidRPr="009A1296">
              <w:rPr>
                <w:sz w:val="18"/>
                <w:szCs w:val="18"/>
              </w:rPr>
              <w:t>Monotherapy</w:t>
            </w:r>
          </w:p>
        </w:tc>
        <w:tc>
          <w:tcPr>
            <w:tcW w:w="709" w:type="dxa"/>
          </w:tcPr>
          <w:p w14:paraId="07383A95" w14:textId="77777777" w:rsidR="00C008B6" w:rsidRPr="009A1296" w:rsidRDefault="00C008B6" w:rsidP="009A1296">
            <w:pPr>
              <w:rPr>
                <w:sz w:val="18"/>
                <w:szCs w:val="18"/>
              </w:rPr>
            </w:pPr>
            <w:r w:rsidRPr="009A1296">
              <w:rPr>
                <w:sz w:val="18"/>
                <w:szCs w:val="18"/>
              </w:rPr>
              <w:t>32, 26</w:t>
            </w:r>
          </w:p>
        </w:tc>
        <w:tc>
          <w:tcPr>
            <w:tcW w:w="1515" w:type="dxa"/>
          </w:tcPr>
          <w:p w14:paraId="132C200D" w14:textId="77777777" w:rsidR="00C008B6" w:rsidRPr="009A1296" w:rsidRDefault="00C008B6" w:rsidP="009A1296">
            <w:pPr>
              <w:rPr>
                <w:sz w:val="18"/>
                <w:szCs w:val="18"/>
              </w:rPr>
            </w:pPr>
            <w:r w:rsidRPr="009A1296">
              <w:rPr>
                <w:sz w:val="18"/>
                <w:szCs w:val="18"/>
              </w:rPr>
              <w:t>1.980 (0.517, 3.980)</w:t>
            </w:r>
          </w:p>
        </w:tc>
        <w:tc>
          <w:tcPr>
            <w:tcW w:w="1482" w:type="dxa"/>
          </w:tcPr>
          <w:p w14:paraId="1ED655DC" w14:textId="77777777" w:rsidR="00C008B6" w:rsidRPr="009A1296" w:rsidRDefault="00C008B6" w:rsidP="009A1296">
            <w:pPr>
              <w:rPr>
                <w:sz w:val="18"/>
                <w:szCs w:val="18"/>
              </w:rPr>
            </w:pPr>
            <w:r w:rsidRPr="009A1296">
              <w:rPr>
                <w:sz w:val="18"/>
                <w:szCs w:val="18"/>
              </w:rPr>
              <w:t>1661.284</w:t>
            </w:r>
          </w:p>
        </w:tc>
        <w:tc>
          <w:tcPr>
            <w:tcW w:w="1554" w:type="dxa"/>
          </w:tcPr>
          <w:p w14:paraId="1FA8A92C" w14:textId="77777777" w:rsidR="00C008B6" w:rsidRPr="009A1296" w:rsidRDefault="00C008B6" w:rsidP="009A1296">
            <w:pPr>
              <w:rPr>
                <w:sz w:val="18"/>
                <w:szCs w:val="18"/>
              </w:rPr>
            </w:pPr>
            <w:r w:rsidRPr="009A1296">
              <w:rPr>
                <w:sz w:val="18"/>
                <w:szCs w:val="18"/>
              </w:rPr>
              <w:t>11127.539</w:t>
            </w:r>
          </w:p>
        </w:tc>
        <w:tc>
          <w:tcPr>
            <w:tcW w:w="1482" w:type="dxa"/>
          </w:tcPr>
          <w:p w14:paraId="246EC511" w14:textId="77777777" w:rsidR="00C008B6" w:rsidRPr="009A1296" w:rsidRDefault="00C008B6" w:rsidP="009A1296">
            <w:pPr>
              <w:rPr>
                <w:sz w:val="18"/>
                <w:szCs w:val="18"/>
              </w:rPr>
            </w:pPr>
            <w:r w:rsidRPr="009A1296">
              <w:rPr>
                <w:sz w:val="18"/>
                <w:szCs w:val="18"/>
              </w:rPr>
              <w:t>11600.932</w:t>
            </w:r>
          </w:p>
        </w:tc>
      </w:tr>
      <w:tr w:rsidR="00C008B6" w:rsidRPr="00BF3502" w14:paraId="699F3507" w14:textId="77777777" w:rsidTr="009A1296">
        <w:trPr>
          <w:cantSplit/>
          <w:jc w:val="center"/>
        </w:trPr>
        <w:tc>
          <w:tcPr>
            <w:tcW w:w="1953" w:type="dxa"/>
          </w:tcPr>
          <w:p w14:paraId="14B1F775" w14:textId="77777777" w:rsidR="00C008B6" w:rsidRPr="009A1296" w:rsidRDefault="00C008B6" w:rsidP="009A1296">
            <w:pPr>
              <w:rPr>
                <w:sz w:val="18"/>
                <w:szCs w:val="18"/>
              </w:rPr>
            </w:pPr>
            <w:r w:rsidRPr="009A1296">
              <w:rPr>
                <w:sz w:val="18"/>
                <w:szCs w:val="18"/>
              </w:rPr>
              <w:t xml:space="preserve">Treatment B </w:t>
            </w:r>
          </w:p>
          <w:p w14:paraId="0A6F05AB" w14:textId="77777777" w:rsidR="00C008B6" w:rsidRPr="009A1296" w:rsidRDefault="00C008B6" w:rsidP="009A1296">
            <w:pPr>
              <w:rPr>
                <w:sz w:val="18"/>
                <w:szCs w:val="18"/>
              </w:rPr>
            </w:pPr>
            <w:r w:rsidRPr="009A1296">
              <w:rPr>
                <w:sz w:val="18"/>
                <w:szCs w:val="18"/>
              </w:rPr>
              <w:t>FDC</w:t>
            </w:r>
          </w:p>
        </w:tc>
        <w:tc>
          <w:tcPr>
            <w:tcW w:w="709" w:type="dxa"/>
          </w:tcPr>
          <w:p w14:paraId="60393382" w14:textId="77777777" w:rsidR="00C008B6" w:rsidRPr="009A1296" w:rsidRDefault="00C008B6" w:rsidP="009A1296">
            <w:pPr>
              <w:rPr>
                <w:sz w:val="18"/>
                <w:szCs w:val="18"/>
              </w:rPr>
            </w:pPr>
            <w:r w:rsidRPr="009A1296">
              <w:rPr>
                <w:sz w:val="18"/>
                <w:szCs w:val="18"/>
              </w:rPr>
              <w:t>32, 27</w:t>
            </w:r>
          </w:p>
        </w:tc>
        <w:tc>
          <w:tcPr>
            <w:tcW w:w="1515" w:type="dxa"/>
          </w:tcPr>
          <w:p w14:paraId="0D79D985" w14:textId="77777777" w:rsidR="00C008B6" w:rsidRPr="009A1296" w:rsidRDefault="00C008B6" w:rsidP="009A1296">
            <w:pPr>
              <w:rPr>
                <w:sz w:val="18"/>
                <w:szCs w:val="18"/>
              </w:rPr>
            </w:pPr>
            <w:r w:rsidRPr="009A1296">
              <w:rPr>
                <w:sz w:val="18"/>
                <w:szCs w:val="18"/>
              </w:rPr>
              <w:t>2.010 (1.000, 4.100)</w:t>
            </w:r>
          </w:p>
        </w:tc>
        <w:tc>
          <w:tcPr>
            <w:tcW w:w="1482" w:type="dxa"/>
          </w:tcPr>
          <w:p w14:paraId="169A8E3F" w14:textId="77777777" w:rsidR="00C008B6" w:rsidRPr="009A1296" w:rsidRDefault="00C008B6" w:rsidP="009A1296">
            <w:pPr>
              <w:rPr>
                <w:sz w:val="18"/>
                <w:szCs w:val="18"/>
              </w:rPr>
            </w:pPr>
            <w:r w:rsidRPr="009A1296">
              <w:rPr>
                <w:sz w:val="18"/>
                <w:szCs w:val="18"/>
              </w:rPr>
              <w:t>1648.013</w:t>
            </w:r>
          </w:p>
        </w:tc>
        <w:tc>
          <w:tcPr>
            <w:tcW w:w="1554" w:type="dxa"/>
          </w:tcPr>
          <w:p w14:paraId="424FD2F0" w14:textId="77777777" w:rsidR="00C008B6" w:rsidRPr="009A1296" w:rsidRDefault="00C008B6" w:rsidP="009A1296">
            <w:pPr>
              <w:rPr>
                <w:sz w:val="18"/>
                <w:szCs w:val="18"/>
              </w:rPr>
            </w:pPr>
            <w:r w:rsidRPr="009A1296">
              <w:rPr>
                <w:sz w:val="18"/>
                <w:szCs w:val="18"/>
              </w:rPr>
              <w:t>10873.816</w:t>
            </w:r>
          </w:p>
        </w:tc>
        <w:tc>
          <w:tcPr>
            <w:tcW w:w="1482" w:type="dxa"/>
          </w:tcPr>
          <w:p w14:paraId="0B5C290B" w14:textId="77777777" w:rsidR="00C008B6" w:rsidRPr="009A1296" w:rsidRDefault="00C008B6" w:rsidP="009A1296">
            <w:pPr>
              <w:rPr>
                <w:sz w:val="18"/>
                <w:szCs w:val="18"/>
              </w:rPr>
            </w:pPr>
            <w:r w:rsidRPr="009A1296">
              <w:rPr>
                <w:sz w:val="18"/>
                <w:szCs w:val="18"/>
              </w:rPr>
              <w:t>11179.148</w:t>
            </w:r>
          </w:p>
        </w:tc>
      </w:tr>
      <w:tr w:rsidR="00C008B6" w:rsidRPr="00BF3502" w14:paraId="54108805" w14:textId="77777777" w:rsidTr="009A1296">
        <w:trPr>
          <w:cantSplit/>
          <w:jc w:val="center"/>
        </w:trPr>
        <w:tc>
          <w:tcPr>
            <w:tcW w:w="1953" w:type="dxa"/>
          </w:tcPr>
          <w:p w14:paraId="1BC249ED" w14:textId="77777777" w:rsidR="00C008B6" w:rsidRPr="009A1296" w:rsidRDefault="00C008B6" w:rsidP="009A1296">
            <w:pPr>
              <w:rPr>
                <w:sz w:val="18"/>
                <w:szCs w:val="18"/>
              </w:rPr>
            </w:pPr>
            <w:r w:rsidRPr="009A1296">
              <w:rPr>
                <w:sz w:val="18"/>
                <w:szCs w:val="18"/>
              </w:rPr>
              <w:t>Statistical analysis:</w:t>
            </w:r>
          </w:p>
        </w:tc>
        <w:tc>
          <w:tcPr>
            <w:tcW w:w="709" w:type="dxa"/>
          </w:tcPr>
          <w:p w14:paraId="079AD0A8" w14:textId="77777777" w:rsidR="00C008B6" w:rsidRPr="009A1296" w:rsidRDefault="00C008B6" w:rsidP="009A1296">
            <w:pPr>
              <w:rPr>
                <w:sz w:val="18"/>
                <w:szCs w:val="18"/>
              </w:rPr>
            </w:pPr>
          </w:p>
        </w:tc>
        <w:tc>
          <w:tcPr>
            <w:tcW w:w="1515" w:type="dxa"/>
          </w:tcPr>
          <w:p w14:paraId="5943826A" w14:textId="77777777" w:rsidR="00C008B6" w:rsidRPr="009A1296" w:rsidRDefault="00C008B6" w:rsidP="009A1296">
            <w:pPr>
              <w:rPr>
                <w:sz w:val="18"/>
                <w:szCs w:val="18"/>
              </w:rPr>
            </w:pPr>
            <w:r w:rsidRPr="009A1296">
              <w:rPr>
                <w:sz w:val="18"/>
                <w:szCs w:val="18"/>
              </w:rPr>
              <w:t>Median diff.</w:t>
            </w:r>
          </w:p>
        </w:tc>
        <w:tc>
          <w:tcPr>
            <w:tcW w:w="1482" w:type="dxa"/>
          </w:tcPr>
          <w:p w14:paraId="0DEEFDFE" w14:textId="77777777" w:rsidR="00C008B6" w:rsidRPr="009A1296" w:rsidRDefault="00F14099" w:rsidP="009A1296">
            <w:pPr>
              <w:rPr>
                <w:sz w:val="18"/>
                <w:szCs w:val="18"/>
              </w:rPr>
            </w:pPr>
            <w:r w:rsidRPr="009A1296">
              <w:rPr>
                <w:sz w:val="18"/>
                <w:szCs w:val="18"/>
              </w:rPr>
              <w:t>Ratio</w:t>
            </w:r>
            <w:r w:rsidR="00C008B6" w:rsidRPr="009A1296">
              <w:rPr>
                <w:sz w:val="18"/>
                <w:szCs w:val="18"/>
              </w:rPr>
              <w:t xml:space="preserve"> (%)</w:t>
            </w:r>
          </w:p>
        </w:tc>
        <w:tc>
          <w:tcPr>
            <w:tcW w:w="1554" w:type="dxa"/>
          </w:tcPr>
          <w:p w14:paraId="2492B8D1" w14:textId="77777777" w:rsidR="00C008B6" w:rsidRPr="009A1296" w:rsidRDefault="00F14099" w:rsidP="009A1296">
            <w:pPr>
              <w:rPr>
                <w:sz w:val="18"/>
                <w:szCs w:val="18"/>
              </w:rPr>
            </w:pPr>
            <w:r w:rsidRPr="009A1296">
              <w:rPr>
                <w:sz w:val="18"/>
                <w:szCs w:val="18"/>
              </w:rPr>
              <w:t>Ratio</w:t>
            </w:r>
            <w:r w:rsidR="00C008B6" w:rsidRPr="009A1296">
              <w:rPr>
                <w:sz w:val="18"/>
                <w:szCs w:val="18"/>
              </w:rPr>
              <w:t xml:space="preserve"> (%)</w:t>
            </w:r>
          </w:p>
        </w:tc>
        <w:tc>
          <w:tcPr>
            <w:tcW w:w="1482" w:type="dxa"/>
          </w:tcPr>
          <w:p w14:paraId="2BC8DE9A" w14:textId="77777777" w:rsidR="00C008B6" w:rsidRPr="009A1296" w:rsidRDefault="00F14099" w:rsidP="009A1296">
            <w:pPr>
              <w:rPr>
                <w:sz w:val="18"/>
                <w:szCs w:val="18"/>
              </w:rPr>
            </w:pPr>
            <w:r w:rsidRPr="009A1296">
              <w:rPr>
                <w:sz w:val="18"/>
                <w:szCs w:val="18"/>
              </w:rPr>
              <w:t>Ratio</w:t>
            </w:r>
            <w:r w:rsidR="00C008B6" w:rsidRPr="009A1296">
              <w:rPr>
                <w:sz w:val="18"/>
                <w:szCs w:val="18"/>
              </w:rPr>
              <w:t xml:space="preserve"> (%)</w:t>
            </w:r>
          </w:p>
        </w:tc>
      </w:tr>
      <w:tr w:rsidR="00C008B6" w:rsidRPr="00BF3502" w14:paraId="69CA46F7" w14:textId="77777777" w:rsidTr="009A1296">
        <w:trPr>
          <w:cantSplit/>
          <w:jc w:val="center"/>
        </w:trPr>
        <w:tc>
          <w:tcPr>
            <w:tcW w:w="1953" w:type="dxa"/>
          </w:tcPr>
          <w:p w14:paraId="193F0C00" w14:textId="77777777" w:rsidR="00C008B6" w:rsidRPr="009A1296" w:rsidRDefault="00C008B6" w:rsidP="009A1296">
            <w:pPr>
              <w:rPr>
                <w:sz w:val="18"/>
                <w:szCs w:val="18"/>
              </w:rPr>
            </w:pPr>
            <w:r w:rsidRPr="009A1296">
              <w:rPr>
                <w:sz w:val="18"/>
                <w:szCs w:val="18"/>
              </w:rPr>
              <w:t>B</w:t>
            </w:r>
            <w:r w:rsidR="000E32B5" w:rsidRPr="009A1296">
              <w:rPr>
                <w:sz w:val="18"/>
                <w:szCs w:val="18"/>
              </w:rPr>
              <w:t xml:space="preserve"> versus </w:t>
            </w:r>
            <w:r w:rsidRPr="009A1296">
              <w:rPr>
                <w:sz w:val="18"/>
                <w:szCs w:val="18"/>
              </w:rPr>
              <w:t>A Estimate</w:t>
            </w:r>
          </w:p>
        </w:tc>
        <w:tc>
          <w:tcPr>
            <w:tcW w:w="709" w:type="dxa"/>
          </w:tcPr>
          <w:p w14:paraId="22BC09DC" w14:textId="77777777" w:rsidR="00C008B6" w:rsidRPr="009A1296" w:rsidRDefault="00C008B6" w:rsidP="009A1296">
            <w:pPr>
              <w:rPr>
                <w:sz w:val="18"/>
                <w:szCs w:val="18"/>
              </w:rPr>
            </w:pPr>
          </w:p>
        </w:tc>
        <w:tc>
          <w:tcPr>
            <w:tcW w:w="1515" w:type="dxa"/>
          </w:tcPr>
          <w:p w14:paraId="22D2F6B2" w14:textId="77777777" w:rsidR="00C008B6" w:rsidRPr="009A1296" w:rsidRDefault="00C008B6" w:rsidP="009A1296">
            <w:pPr>
              <w:rPr>
                <w:sz w:val="18"/>
                <w:szCs w:val="18"/>
              </w:rPr>
            </w:pPr>
            <w:r w:rsidRPr="009A1296">
              <w:rPr>
                <w:sz w:val="18"/>
                <w:szCs w:val="18"/>
              </w:rPr>
              <w:t>0.03</w:t>
            </w:r>
          </w:p>
        </w:tc>
        <w:tc>
          <w:tcPr>
            <w:tcW w:w="1482" w:type="dxa"/>
          </w:tcPr>
          <w:p w14:paraId="124EBFDE" w14:textId="77777777" w:rsidR="00C008B6" w:rsidRPr="009A1296" w:rsidRDefault="00C008B6" w:rsidP="009A1296">
            <w:pPr>
              <w:rPr>
                <w:sz w:val="18"/>
                <w:szCs w:val="18"/>
              </w:rPr>
            </w:pPr>
            <w:r w:rsidRPr="009A1296">
              <w:rPr>
                <w:sz w:val="18"/>
                <w:szCs w:val="18"/>
              </w:rPr>
              <w:t>99.2</w:t>
            </w:r>
          </w:p>
        </w:tc>
        <w:tc>
          <w:tcPr>
            <w:tcW w:w="1554" w:type="dxa"/>
          </w:tcPr>
          <w:p w14:paraId="722359C6" w14:textId="77777777" w:rsidR="00C008B6" w:rsidRPr="009A1296" w:rsidRDefault="00C008B6" w:rsidP="009A1296">
            <w:pPr>
              <w:rPr>
                <w:sz w:val="18"/>
                <w:szCs w:val="18"/>
              </w:rPr>
            </w:pPr>
            <w:r w:rsidRPr="009A1296">
              <w:rPr>
                <w:sz w:val="18"/>
                <w:szCs w:val="18"/>
              </w:rPr>
              <w:t>97.7</w:t>
            </w:r>
          </w:p>
        </w:tc>
        <w:tc>
          <w:tcPr>
            <w:tcW w:w="1482" w:type="dxa"/>
          </w:tcPr>
          <w:p w14:paraId="5137EEA0" w14:textId="77777777" w:rsidR="00C008B6" w:rsidRPr="009A1296" w:rsidRDefault="00C008B6" w:rsidP="009A1296">
            <w:pPr>
              <w:rPr>
                <w:sz w:val="18"/>
                <w:szCs w:val="18"/>
              </w:rPr>
            </w:pPr>
            <w:r w:rsidRPr="009A1296">
              <w:rPr>
                <w:sz w:val="18"/>
                <w:szCs w:val="18"/>
              </w:rPr>
              <w:t>96.4</w:t>
            </w:r>
          </w:p>
        </w:tc>
      </w:tr>
      <w:tr w:rsidR="00C008B6" w:rsidRPr="00BF3502" w14:paraId="32AEDCA3" w14:textId="77777777" w:rsidTr="009A1296">
        <w:trPr>
          <w:cantSplit/>
          <w:jc w:val="center"/>
        </w:trPr>
        <w:tc>
          <w:tcPr>
            <w:tcW w:w="1953" w:type="dxa"/>
          </w:tcPr>
          <w:p w14:paraId="10115F94" w14:textId="77777777" w:rsidR="00C008B6" w:rsidRPr="009A1296" w:rsidRDefault="00C008B6" w:rsidP="009A1296">
            <w:pPr>
              <w:rPr>
                <w:sz w:val="18"/>
                <w:szCs w:val="18"/>
              </w:rPr>
            </w:pPr>
            <w:r w:rsidRPr="009A1296">
              <w:rPr>
                <w:sz w:val="18"/>
                <w:szCs w:val="18"/>
              </w:rPr>
              <w:t>90% CI</w:t>
            </w:r>
          </w:p>
        </w:tc>
        <w:tc>
          <w:tcPr>
            <w:tcW w:w="709" w:type="dxa"/>
          </w:tcPr>
          <w:p w14:paraId="058C6F2F" w14:textId="77777777" w:rsidR="00C008B6" w:rsidRPr="009A1296" w:rsidRDefault="00C008B6" w:rsidP="009A1296">
            <w:pPr>
              <w:rPr>
                <w:sz w:val="18"/>
                <w:szCs w:val="18"/>
              </w:rPr>
            </w:pPr>
          </w:p>
        </w:tc>
        <w:tc>
          <w:tcPr>
            <w:tcW w:w="1515" w:type="dxa"/>
          </w:tcPr>
          <w:p w14:paraId="77921D50" w14:textId="77777777" w:rsidR="00C008B6" w:rsidRPr="009A1296" w:rsidRDefault="00C008B6" w:rsidP="009A1296">
            <w:pPr>
              <w:rPr>
                <w:sz w:val="18"/>
                <w:szCs w:val="18"/>
              </w:rPr>
            </w:pPr>
            <w:r w:rsidRPr="009A1296">
              <w:rPr>
                <w:sz w:val="18"/>
                <w:szCs w:val="18"/>
              </w:rPr>
              <w:t>-</w:t>
            </w:r>
          </w:p>
        </w:tc>
        <w:tc>
          <w:tcPr>
            <w:tcW w:w="1482" w:type="dxa"/>
          </w:tcPr>
          <w:p w14:paraId="3B7B6B97" w14:textId="2ECA3D9E" w:rsidR="00C008B6" w:rsidRPr="009A1296" w:rsidRDefault="00C008B6" w:rsidP="009A1296">
            <w:pPr>
              <w:rPr>
                <w:sz w:val="18"/>
                <w:szCs w:val="18"/>
              </w:rPr>
            </w:pPr>
            <w:r w:rsidRPr="009A1296">
              <w:rPr>
                <w:sz w:val="18"/>
                <w:szCs w:val="18"/>
              </w:rPr>
              <w:t>92.1  106.9</w:t>
            </w:r>
          </w:p>
        </w:tc>
        <w:tc>
          <w:tcPr>
            <w:tcW w:w="1554" w:type="dxa"/>
          </w:tcPr>
          <w:p w14:paraId="08DB5E7E" w14:textId="1FAA91AB" w:rsidR="00C008B6" w:rsidRPr="009A1296" w:rsidRDefault="00C008B6">
            <w:pPr>
              <w:rPr>
                <w:sz w:val="18"/>
                <w:szCs w:val="18"/>
              </w:rPr>
            </w:pPr>
            <w:r w:rsidRPr="009A1296">
              <w:rPr>
                <w:sz w:val="18"/>
                <w:szCs w:val="18"/>
              </w:rPr>
              <w:t xml:space="preserve">91.3 </w:t>
            </w:r>
            <w:r w:rsidR="00AD51CF">
              <w:rPr>
                <w:sz w:val="18"/>
                <w:szCs w:val="18"/>
              </w:rPr>
              <w:t>to</w:t>
            </w:r>
            <w:r w:rsidR="00AD51CF" w:rsidRPr="009A1296">
              <w:rPr>
                <w:sz w:val="18"/>
                <w:szCs w:val="18"/>
              </w:rPr>
              <w:t xml:space="preserve"> </w:t>
            </w:r>
            <w:r w:rsidRPr="009A1296">
              <w:rPr>
                <w:sz w:val="18"/>
                <w:szCs w:val="18"/>
              </w:rPr>
              <w:t>104.6</w:t>
            </w:r>
          </w:p>
        </w:tc>
        <w:tc>
          <w:tcPr>
            <w:tcW w:w="1482" w:type="dxa"/>
          </w:tcPr>
          <w:p w14:paraId="62C4CB0F" w14:textId="6DA31A98" w:rsidR="00C008B6" w:rsidRPr="009A1296" w:rsidRDefault="00C008B6">
            <w:pPr>
              <w:rPr>
                <w:sz w:val="18"/>
                <w:szCs w:val="18"/>
              </w:rPr>
            </w:pPr>
            <w:r w:rsidRPr="009A1296">
              <w:rPr>
                <w:sz w:val="18"/>
                <w:szCs w:val="18"/>
              </w:rPr>
              <w:t xml:space="preserve">89.3 </w:t>
            </w:r>
            <w:r w:rsidR="00AD51CF">
              <w:rPr>
                <w:sz w:val="18"/>
                <w:szCs w:val="18"/>
              </w:rPr>
              <w:t>to</w:t>
            </w:r>
            <w:r w:rsidR="00AD51CF" w:rsidRPr="009A1296">
              <w:rPr>
                <w:sz w:val="18"/>
                <w:szCs w:val="18"/>
              </w:rPr>
              <w:t xml:space="preserve"> </w:t>
            </w:r>
            <w:r w:rsidRPr="009A1296">
              <w:rPr>
                <w:sz w:val="18"/>
                <w:szCs w:val="18"/>
              </w:rPr>
              <w:t>104.0</w:t>
            </w:r>
          </w:p>
        </w:tc>
      </w:tr>
    </w:tbl>
    <w:p w14:paraId="7953190D" w14:textId="1718C64A" w:rsidR="00C008B6" w:rsidRPr="00BF3502" w:rsidRDefault="00C008B6" w:rsidP="009A1296">
      <w:pPr>
        <w:pStyle w:val="Heading5"/>
      </w:pPr>
      <w:r w:rsidRPr="00BF3502">
        <w:t xml:space="preserve">Relative </w:t>
      </w:r>
      <w:r w:rsidR="00816092">
        <w:t>b</w:t>
      </w:r>
      <w:r w:rsidR="00816092" w:rsidRPr="00BF3502">
        <w:t xml:space="preserve">ioequivalence </w:t>
      </w:r>
      <w:r w:rsidRPr="00BF3502">
        <w:t>Study P0</w:t>
      </w:r>
      <w:r>
        <w:t>46</w:t>
      </w:r>
      <w:r w:rsidRPr="00BF3502">
        <w:t>/</w:t>
      </w:r>
      <w:r>
        <w:t>1054</w:t>
      </w:r>
    </w:p>
    <w:p w14:paraId="03F4FEA3" w14:textId="09C2AA22" w:rsidR="00C008B6" w:rsidRPr="009A1296" w:rsidRDefault="00C008B6" w:rsidP="009A1296">
      <w:pPr>
        <w:rPr>
          <w:b/>
          <w:u w:val="single"/>
        </w:rPr>
      </w:pPr>
      <w:r w:rsidRPr="009A1296">
        <w:t xml:space="preserve">A </w:t>
      </w:r>
      <w:r w:rsidR="00C3563C" w:rsidRPr="009A1296">
        <w:t>Phase I</w:t>
      </w:r>
      <w:r w:rsidR="00AD51CF" w:rsidRPr="009A1296">
        <w:t xml:space="preserve">, </w:t>
      </w:r>
      <w:r w:rsidR="00AD51CF">
        <w:t>single dose</w:t>
      </w:r>
      <w:r w:rsidR="00AD51CF" w:rsidRPr="009A1296">
        <w:t xml:space="preserve">, </w:t>
      </w:r>
      <w:r w:rsidR="00AD51CF">
        <w:t>open label</w:t>
      </w:r>
      <w:r w:rsidR="00AD51CF" w:rsidRPr="009A1296">
        <w:t>, randomised, crossover bioequivalence study of an ertugliflozin 7.5</w:t>
      </w:r>
      <w:r w:rsidR="00AD51CF">
        <w:t xml:space="preserve"> mg</w:t>
      </w:r>
      <w:r w:rsidR="00AD51CF" w:rsidRPr="009A1296">
        <w:t>/metformin 850</w:t>
      </w:r>
      <w:r w:rsidR="00AD51CF">
        <w:t xml:space="preserve"> mg</w:t>
      </w:r>
      <w:r w:rsidR="00AD51CF" w:rsidRPr="009A1296">
        <w:t xml:space="preserve"> fixed dose combination tablet </w:t>
      </w:r>
      <w:r w:rsidR="00AD51CF">
        <w:t>versus</w:t>
      </w:r>
      <w:r w:rsidR="00AD51CF" w:rsidRPr="009A1296">
        <w:t xml:space="preserve"> co-administration of the individual components (er</w:t>
      </w:r>
      <w:r w:rsidRPr="009A1296">
        <w:t xml:space="preserve">tugliflozin and EU </w:t>
      </w:r>
      <w:r w:rsidR="00AD51CF" w:rsidRPr="009A1296">
        <w:t>sourced metformin) in healthy subjects</w:t>
      </w:r>
      <w:r w:rsidR="00AD51CF">
        <w:t>.</w:t>
      </w:r>
    </w:p>
    <w:p w14:paraId="68D970E1" w14:textId="14390208" w:rsidR="00C008B6" w:rsidRPr="009A1296" w:rsidRDefault="00C008B6" w:rsidP="009A1296">
      <w:r w:rsidRPr="009A1296">
        <w:t>Bioequivalence of the ertugliflozin and metformin (EU-sourced Glucophage) monotherapy tablets (EU-sourced) and the proposed 7.5</w:t>
      </w:r>
      <w:r w:rsidR="00E600D5">
        <w:t xml:space="preserve"> </w:t>
      </w:r>
      <w:r w:rsidR="006D7D02">
        <w:t>mg</w:t>
      </w:r>
      <w:r w:rsidRPr="009A1296">
        <w:t>/850</w:t>
      </w:r>
      <w:r w:rsidR="00E600D5">
        <w:t xml:space="preserve"> </w:t>
      </w:r>
      <w:r w:rsidR="006D7D02">
        <w:t>mg</w:t>
      </w:r>
      <w:r w:rsidRPr="009A1296">
        <w:t xml:space="preserve"> FDC tablets was concluded.</w:t>
      </w:r>
      <w:r w:rsidR="009A3F68" w:rsidRPr="009A1296">
        <w:t xml:space="preserve"> </w:t>
      </w:r>
      <w:r w:rsidR="009A1296" w:rsidRPr="009A1296">
        <w:t>Note:</w:t>
      </w:r>
      <w:r w:rsidRPr="009A1296">
        <w:t xml:space="preserve"> The 7.5 </w:t>
      </w:r>
      <w:r w:rsidR="006D7D02">
        <w:t>mg</w:t>
      </w:r>
      <w:r w:rsidRPr="009A1296">
        <w:t>/850</w:t>
      </w:r>
      <w:r w:rsidR="00E600D5">
        <w:t xml:space="preserve"> </w:t>
      </w:r>
      <w:r w:rsidR="006D7D02">
        <w:t>mg</w:t>
      </w:r>
      <w:r w:rsidRPr="009A1296">
        <w:t xml:space="preserve"> FDC Tablet is not proposed for registration in Australia.</w:t>
      </w:r>
    </w:p>
    <w:p w14:paraId="78CC5462" w14:textId="735ACEDA" w:rsidR="00C008B6" w:rsidRPr="00BF3502" w:rsidRDefault="00C008B6" w:rsidP="00277DE3">
      <w:pPr>
        <w:pStyle w:val="Heading5"/>
      </w:pPr>
      <w:r w:rsidRPr="00BF3502">
        <w:t xml:space="preserve">Relative </w:t>
      </w:r>
      <w:r w:rsidR="00816092">
        <w:t>b</w:t>
      </w:r>
      <w:r w:rsidRPr="00BF3502">
        <w:t>ioequivalence Study P0</w:t>
      </w:r>
      <w:r>
        <w:t>47</w:t>
      </w:r>
      <w:r w:rsidRPr="00BF3502">
        <w:t>/</w:t>
      </w:r>
      <w:r>
        <w:t>1055</w:t>
      </w:r>
    </w:p>
    <w:p w14:paraId="51CE1BFA" w14:textId="79C9E8A7" w:rsidR="00C008B6" w:rsidRPr="00277DE3" w:rsidRDefault="00C008B6" w:rsidP="00277DE3">
      <w:pPr>
        <w:rPr>
          <w:b/>
          <w:u w:val="single"/>
        </w:rPr>
      </w:pPr>
      <w:r w:rsidRPr="00277DE3">
        <w:t xml:space="preserve">A </w:t>
      </w:r>
      <w:r w:rsidR="00C3563C" w:rsidRPr="00277DE3">
        <w:t>Phase I</w:t>
      </w:r>
      <w:r w:rsidRPr="00277DE3">
        <w:t xml:space="preserve">, </w:t>
      </w:r>
      <w:r w:rsidR="00AD51CF">
        <w:t>single dose</w:t>
      </w:r>
      <w:r w:rsidR="00AD51CF" w:rsidRPr="00277DE3">
        <w:t xml:space="preserve">, </w:t>
      </w:r>
      <w:r w:rsidR="00AD51CF">
        <w:t>open label</w:t>
      </w:r>
      <w:r w:rsidR="00AD51CF" w:rsidRPr="00277DE3">
        <w:t>, randomised, crossover bioequivalence study of an ertugliflozin 7.5</w:t>
      </w:r>
      <w:r w:rsidR="00AD51CF">
        <w:t xml:space="preserve"> mg</w:t>
      </w:r>
      <w:r w:rsidR="00AD51CF" w:rsidRPr="00277DE3">
        <w:t>/metformin 1000</w:t>
      </w:r>
      <w:r w:rsidR="00AD51CF">
        <w:t xml:space="preserve"> mg</w:t>
      </w:r>
      <w:r w:rsidR="00AD51CF" w:rsidRPr="00277DE3">
        <w:t xml:space="preserve"> fixed dose combination tablet </w:t>
      </w:r>
      <w:r w:rsidR="00AD51CF">
        <w:t>versus</w:t>
      </w:r>
      <w:r w:rsidR="00AD51CF" w:rsidRPr="00277DE3">
        <w:t xml:space="preserve"> co-administration of the individual components (ertugliflozin </w:t>
      </w:r>
      <w:r w:rsidRPr="00277DE3">
        <w:t xml:space="preserve">and EU </w:t>
      </w:r>
      <w:r w:rsidR="00AD51CF" w:rsidRPr="00277DE3">
        <w:t>sourced metformin) in healthy subjects</w:t>
      </w:r>
      <w:r w:rsidR="00AD51CF">
        <w:t>.</w:t>
      </w:r>
    </w:p>
    <w:p w14:paraId="6B1420B5" w14:textId="20E26E43" w:rsidR="00C008B6" w:rsidRPr="00277DE3" w:rsidRDefault="00C008B6" w:rsidP="00277DE3">
      <w:r w:rsidRPr="00277DE3">
        <w:t>Bioequivalence of the ertugliflozin and metformin (EU</w:t>
      </w:r>
      <w:r w:rsidR="00277DE3">
        <w:t xml:space="preserve"> </w:t>
      </w:r>
      <w:r w:rsidRPr="00277DE3">
        <w:t>sourced Glucophage) monotherapy tablets (EU</w:t>
      </w:r>
      <w:r w:rsidR="00277DE3">
        <w:t xml:space="preserve"> </w:t>
      </w:r>
      <w:r w:rsidRPr="00277DE3">
        <w:t>sourced) and the proposed 7.5</w:t>
      </w:r>
      <w:r w:rsidR="00E600D5">
        <w:t xml:space="preserve"> </w:t>
      </w:r>
      <w:r w:rsidR="006D7D02">
        <w:t>mg</w:t>
      </w:r>
      <w:r w:rsidRPr="00277DE3">
        <w:t>/1000</w:t>
      </w:r>
      <w:r w:rsidR="00E600D5">
        <w:t xml:space="preserve"> </w:t>
      </w:r>
      <w:r w:rsidR="006D7D02">
        <w:t>mg</w:t>
      </w:r>
      <w:r w:rsidRPr="00277DE3">
        <w:t xml:space="preserve"> FDC tablets was concluded.</w:t>
      </w:r>
    </w:p>
    <w:p w14:paraId="7E37A641" w14:textId="77777777" w:rsidR="00C008B6" w:rsidRPr="00BF3502" w:rsidRDefault="00277DE3" w:rsidP="00277DE3">
      <w:pPr>
        <w:pStyle w:val="TableTitle"/>
      </w:pPr>
      <w:r>
        <w:lastRenderedPageBreak/>
        <w:t xml:space="preserve">Table </w:t>
      </w:r>
      <w:r w:rsidR="00F30D27">
        <w:t>7</w:t>
      </w:r>
      <w:r>
        <w:t>: Plasma exposure of e</w:t>
      </w:r>
      <w:r w:rsidR="00C008B6" w:rsidRPr="00BF3502">
        <w:t xml:space="preserve">rtugliflozin 90% </w:t>
      </w:r>
      <w:r w:rsidR="005D5405" w:rsidRPr="004D575B">
        <w:rPr>
          <w:rFonts w:eastAsia="TimesNewRoman"/>
        </w:rPr>
        <w:t>Confidence interval</w:t>
      </w:r>
      <w:r w:rsidR="005D5405">
        <w:rPr>
          <w:rFonts w:eastAsia="TimesNewRoman"/>
        </w:rPr>
        <w:t>s</w:t>
      </w:r>
      <w:r w:rsidR="005D5405" w:rsidRPr="00BF3502">
        <w:t xml:space="preserve"> </w:t>
      </w:r>
      <w:r w:rsidR="005D5405">
        <w:t>(</w:t>
      </w:r>
      <w:r w:rsidR="00C008B6" w:rsidRPr="00BF3502">
        <w:t>C</w:t>
      </w:r>
      <w:r w:rsidR="005D5405">
        <w:t>I</w:t>
      </w:r>
      <w:r w:rsidR="00C008B6" w:rsidRPr="00BF3502">
        <w:t>s</w:t>
      </w:r>
      <w:r w:rsidR="005D5405">
        <w:t>)</w:t>
      </w:r>
    </w:p>
    <w:p w14:paraId="37F1F809" w14:textId="77777777" w:rsidR="00C008B6" w:rsidRDefault="00C008B6" w:rsidP="00277DE3">
      <w:pPr>
        <w:rPr>
          <w:b/>
          <w:u w:val="single"/>
        </w:rPr>
      </w:pPr>
      <w:r w:rsidRPr="007477DB">
        <w:rPr>
          <w:noProof/>
          <w:lang w:eastAsia="en-AU"/>
        </w:rPr>
        <w:drawing>
          <wp:inline distT="0" distB="0" distL="0" distR="0" wp14:anchorId="3D97AE37" wp14:editId="7F034965">
            <wp:extent cx="4641012" cy="965961"/>
            <wp:effectExtent l="0" t="0" r="7620" b="5715"/>
            <wp:docPr id="86" name="Picture 86" descr="Plasma exposure of ertugliflozin 90% 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4676112" cy="973267"/>
                    </a:xfrm>
                    <a:prstGeom prst="rect">
                      <a:avLst/>
                    </a:prstGeom>
                    <a:noFill/>
                    <a:ln>
                      <a:noFill/>
                    </a:ln>
                  </pic:spPr>
                </pic:pic>
              </a:graphicData>
            </a:graphic>
          </wp:inline>
        </w:drawing>
      </w:r>
    </w:p>
    <w:p w14:paraId="58C544D0" w14:textId="77777777" w:rsidR="00C008B6" w:rsidRPr="00BF3502" w:rsidRDefault="00277DE3" w:rsidP="00277DE3">
      <w:pPr>
        <w:pStyle w:val="TableTitle"/>
      </w:pPr>
      <w:r>
        <w:t xml:space="preserve">Table </w:t>
      </w:r>
      <w:r w:rsidR="00F30D27">
        <w:t>8</w:t>
      </w:r>
      <w:r>
        <w:t>: Plasma exposure of m</w:t>
      </w:r>
      <w:r w:rsidR="00C008B6">
        <w:t>etformin</w:t>
      </w:r>
      <w:r w:rsidR="00C008B6" w:rsidRPr="00BF3502">
        <w:t xml:space="preserve"> 90% CIs</w:t>
      </w:r>
    </w:p>
    <w:p w14:paraId="22EDCDB6" w14:textId="77777777" w:rsidR="00C008B6" w:rsidRDefault="00C008B6" w:rsidP="00277DE3">
      <w:pPr>
        <w:rPr>
          <w:b/>
          <w:u w:val="single"/>
        </w:rPr>
      </w:pPr>
      <w:r>
        <w:rPr>
          <w:noProof/>
          <w:lang w:eastAsia="en-AU"/>
        </w:rPr>
        <w:drawing>
          <wp:inline distT="0" distB="0" distL="0" distR="0" wp14:anchorId="3C23AA97" wp14:editId="3F544948">
            <wp:extent cx="4675517" cy="964895"/>
            <wp:effectExtent l="0" t="0" r="0" b="6985"/>
            <wp:docPr id="88" name="Picture 88" descr="Plasma exposure of metformin 90% 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4673602" cy="964500"/>
                    </a:xfrm>
                    <a:prstGeom prst="rect">
                      <a:avLst/>
                    </a:prstGeom>
                    <a:noFill/>
                    <a:ln>
                      <a:noFill/>
                    </a:ln>
                  </pic:spPr>
                </pic:pic>
              </a:graphicData>
            </a:graphic>
          </wp:inline>
        </w:drawing>
      </w:r>
    </w:p>
    <w:p w14:paraId="17F9730C" w14:textId="65945B64" w:rsidR="00C008B6" w:rsidRPr="00BF3502" w:rsidRDefault="00C008B6" w:rsidP="00F40263">
      <w:pPr>
        <w:pStyle w:val="Heading5"/>
      </w:pPr>
      <w:r w:rsidRPr="00BF3502">
        <w:t xml:space="preserve">Relative </w:t>
      </w:r>
      <w:r w:rsidR="00816092">
        <w:t>b</w:t>
      </w:r>
      <w:r w:rsidRPr="00BF3502">
        <w:t>ioequivalence Study P0</w:t>
      </w:r>
      <w:r>
        <w:t>50</w:t>
      </w:r>
      <w:r w:rsidRPr="00BF3502">
        <w:t>/</w:t>
      </w:r>
      <w:r>
        <w:t>1058</w:t>
      </w:r>
    </w:p>
    <w:p w14:paraId="57BF421D" w14:textId="7771F97B" w:rsidR="00C008B6" w:rsidRPr="00F40263" w:rsidRDefault="00C008B6" w:rsidP="00F40263">
      <w:pPr>
        <w:rPr>
          <w:b/>
          <w:u w:val="single"/>
        </w:rPr>
      </w:pPr>
      <w:r w:rsidRPr="00F40263">
        <w:t xml:space="preserve">A </w:t>
      </w:r>
      <w:r w:rsidR="00C3563C" w:rsidRPr="00F40263">
        <w:t>Phase I</w:t>
      </w:r>
      <w:r w:rsidRPr="00F40263">
        <w:t xml:space="preserve">, </w:t>
      </w:r>
      <w:r w:rsidR="00AD51CF">
        <w:t>single dose</w:t>
      </w:r>
      <w:r w:rsidR="00AD51CF" w:rsidRPr="00F40263">
        <w:t xml:space="preserve">, </w:t>
      </w:r>
      <w:r w:rsidR="00AD51CF">
        <w:t>open label</w:t>
      </w:r>
      <w:r w:rsidR="00AD51CF" w:rsidRPr="00F40263">
        <w:t>, randomised, crossover bioequivalence study of an ertugliflozin 2.5</w:t>
      </w:r>
      <w:r w:rsidR="00AD51CF">
        <w:t xml:space="preserve"> mg</w:t>
      </w:r>
      <w:r w:rsidR="00AD51CF" w:rsidRPr="00F40263">
        <w:t>/metformin 500</w:t>
      </w:r>
      <w:r w:rsidR="00AD51CF">
        <w:t xml:space="preserve"> mg</w:t>
      </w:r>
      <w:r w:rsidR="00AD51CF" w:rsidRPr="00F40263">
        <w:t xml:space="preserve"> fixed dose combination tablet v</w:t>
      </w:r>
      <w:r w:rsidR="00AD51CF">
        <w:t>ersu</w:t>
      </w:r>
      <w:r w:rsidR="00AD51CF" w:rsidRPr="00F40263">
        <w:t xml:space="preserve">s co-administration of the individual components (ertugliflozin </w:t>
      </w:r>
      <w:r w:rsidRPr="00F40263">
        <w:t>and US</w:t>
      </w:r>
      <w:r w:rsidR="00F40263">
        <w:t xml:space="preserve"> </w:t>
      </w:r>
      <w:r w:rsidR="00AD51CF" w:rsidRPr="00F40263">
        <w:t>sourced metformin) in healthy subjects</w:t>
      </w:r>
      <w:r w:rsidR="00AD51CF">
        <w:t>.</w:t>
      </w:r>
    </w:p>
    <w:p w14:paraId="5F58398F" w14:textId="40C6745C" w:rsidR="00C008B6" w:rsidRPr="00F40263" w:rsidRDefault="00C008B6" w:rsidP="00F40263">
      <w:r w:rsidRPr="00F40263">
        <w:t>Bioequivalence of the ertugliflozin and metformin (US-sourced Glucophage) monotherapy tablets and the proposed 2.5</w:t>
      </w:r>
      <w:r w:rsidR="00E600D5">
        <w:t xml:space="preserve"> </w:t>
      </w:r>
      <w:r w:rsidR="006D7D02">
        <w:t>mg</w:t>
      </w:r>
      <w:r w:rsidRPr="00F40263">
        <w:t>/1000</w:t>
      </w:r>
      <w:r w:rsidR="00E600D5">
        <w:t xml:space="preserve"> </w:t>
      </w:r>
      <w:r w:rsidR="006D7D02">
        <w:t>mg</w:t>
      </w:r>
      <w:r w:rsidRPr="00F40263">
        <w:t xml:space="preserve"> FDC tablets was concluded.</w:t>
      </w:r>
    </w:p>
    <w:p w14:paraId="69D006AD" w14:textId="4F948618" w:rsidR="00CD18ED" w:rsidRDefault="00F40263" w:rsidP="00F40263">
      <w:pPr>
        <w:pStyle w:val="TableTitle"/>
      </w:pPr>
      <w:r>
        <w:t xml:space="preserve">Table </w:t>
      </w:r>
      <w:r w:rsidR="00E55ACA">
        <w:t>9</w:t>
      </w:r>
      <w:r>
        <w:t xml:space="preserve">: </w:t>
      </w:r>
      <w:r w:rsidRPr="00F40263">
        <w:t>Plasma exposure of ertugliflozin 90% C</w:t>
      </w:r>
      <w:r w:rsidR="00CD18ED" w:rsidRPr="00F40263">
        <w:t>i</w:t>
      </w:r>
      <w:r w:rsidRPr="00F40263">
        <w:t>s</w:t>
      </w:r>
    </w:p>
    <w:p w14:paraId="56A519C9" w14:textId="6C9CFAD4" w:rsidR="00C008B6" w:rsidRDefault="00C008B6" w:rsidP="00CD18ED">
      <w:r w:rsidRPr="00611931">
        <w:rPr>
          <w:noProof/>
          <w:lang w:eastAsia="en-AU"/>
        </w:rPr>
        <w:drawing>
          <wp:inline distT="0" distB="0" distL="0" distR="0" wp14:anchorId="1F8C349D" wp14:editId="60CB1C43">
            <wp:extent cx="4261449" cy="1236951"/>
            <wp:effectExtent l="0" t="0" r="6350" b="1905"/>
            <wp:docPr id="98" name="Picture 98" descr="Plasma exposure of ertugliflozin 90% C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4293150" cy="1246153"/>
                    </a:xfrm>
                    <a:prstGeom prst="rect">
                      <a:avLst/>
                    </a:prstGeom>
                    <a:noFill/>
                    <a:ln>
                      <a:noFill/>
                    </a:ln>
                  </pic:spPr>
                </pic:pic>
              </a:graphicData>
            </a:graphic>
          </wp:inline>
        </w:drawing>
      </w:r>
    </w:p>
    <w:p w14:paraId="16DB1102" w14:textId="77777777" w:rsidR="00C008B6" w:rsidRPr="00BF3502" w:rsidRDefault="00F40263" w:rsidP="00F40263">
      <w:pPr>
        <w:pStyle w:val="TableTitle"/>
      </w:pPr>
      <w:r>
        <w:t xml:space="preserve">Table </w:t>
      </w:r>
      <w:r w:rsidR="00E55ACA">
        <w:t>10</w:t>
      </w:r>
      <w:r>
        <w:t xml:space="preserve">: </w:t>
      </w:r>
      <w:r w:rsidRPr="00F40263">
        <w:t>Plasma exposure of metformin 90% CIs</w:t>
      </w:r>
    </w:p>
    <w:p w14:paraId="6D283D29" w14:textId="77777777" w:rsidR="00C008B6" w:rsidRDefault="00C008B6" w:rsidP="00F40263">
      <w:pPr>
        <w:rPr>
          <w:b/>
          <w:u w:val="single"/>
        </w:rPr>
      </w:pPr>
      <w:r w:rsidRPr="00611931">
        <w:rPr>
          <w:noProof/>
          <w:lang w:eastAsia="en-AU"/>
        </w:rPr>
        <w:drawing>
          <wp:inline distT="0" distB="0" distL="0" distR="0" wp14:anchorId="6B081D24" wp14:editId="3152D003">
            <wp:extent cx="4477110" cy="1277341"/>
            <wp:effectExtent l="0" t="0" r="0" b="0"/>
            <wp:docPr id="100" name="Picture 100" descr="Plasma exposure of metformin 90% 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a:stretch>
                      <a:fillRect/>
                    </a:stretch>
                  </pic:blipFill>
                  <pic:spPr bwMode="auto">
                    <a:xfrm>
                      <a:off x="0" y="0"/>
                      <a:ext cx="4512303" cy="1287382"/>
                    </a:xfrm>
                    <a:prstGeom prst="rect">
                      <a:avLst/>
                    </a:prstGeom>
                    <a:noFill/>
                    <a:ln>
                      <a:noFill/>
                    </a:ln>
                  </pic:spPr>
                </pic:pic>
              </a:graphicData>
            </a:graphic>
          </wp:inline>
        </w:drawing>
      </w:r>
    </w:p>
    <w:p w14:paraId="3BBF3A04" w14:textId="3DA83137" w:rsidR="00C008B6" w:rsidRPr="00BF3502" w:rsidRDefault="00C008B6" w:rsidP="00F40263">
      <w:pPr>
        <w:pStyle w:val="Heading5"/>
      </w:pPr>
      <w:r w:rsidRPr="00BF3502">
        <w:t xml:space="preserve">Relative </w:t>
      </w:r>
      <w:r w:rsidR="00816092">
        <w:t>b</w:t>
      </w:r>
      <w:r w:rsidR="00816092" w:rsidRPr="00BF3502">
        <w:t xml:space="preserve">ioequivalence </w:t>
      </w:r>
      <w:r w:rsidRPr="00BF3502">
        <w:t>Study P0</w:t>
      </w:r>
      <w:r>
        <w:t>52</w:t>
      </w:r>
      <w:r w:rsidRPr="00BF3502">
        <w:t>/</w:t>
      </w:r>
      <w:r>
        <w:t>1060</w:t>
      </w:r>
    </w:p>
    <w:p w14:paraId="3221897D" w14:textId="14E67E0F" w:rsidR="00C008B6" w:rsidRPr="00F40263" w:rsidRDefault="00C008B6" w:rsidP="00F40263">
      <w:pPr>
        <w:rPr>
          <w:b/>
          <w:u w:val="single"/>
        </w:rPr>
      </w:pPr>
      <w:r w:rsidRPr="00F40263">
        <w:t xml:space="preserve">A </w:t>
      </w:r>
      <w:r w:rsidR="00C3563C" w:rsidRPr="00F40263">
        <w:t>Phase I</w:t>
      </w:r>
      <w:r w:rsidRPr="00F40263">
        <w:t xml:space="preserve">, </w:t>
      </w:r>
      <w:r w:rsidR="00AD51CF">
        <w:t>single dose</w:t>
      </w:r>
      <w:r w:rsidR="00AD51CF" w:rsidRPr="00F40263">
        <w:t xml:space="preserve">, </w:t>
      </w:r>
      <w:r w:rsidR="00AD51CF">
        <w:t>open label</w:t>
      </w:r>
      <w:r w:rsidR="00AD51CF" w:rsidRPr="00F40263">
        <w:t>, randomised, crossover bioequivalence study of metformin in ertugliflozin 2.5</w:t>
      </w:r>
      <w:r w:rsidR="00AD51CF">
        <w:t xml:space="preserve"> mg</w:t>
      </w:r>
      <w:r w:rsidR="00AD51CF" w:rsidRPr="00F40263">
        <w:t>/metformin 500</w:t>
      </w:r>
      <w:r w:rsidR="00AD51CF">
        <w:t xml:space="preserve"> mg</w:t>
      </w:r>
      <w:r w:rsidR="00AD51CF" w:rsidRPr="00F40263">
        <w:t xml:space="preserve"> fixed dose combination tablet v</w:t>
      </w:r>
      <w:r w:rsidR="00AD51CF">
        <w:t>ersu</w:t>
      </w:r>
      <w:r w:rsidR="00AD51CF" w:rsidRPr="00F40263">
        <w:t>s</w:t>
      </w:r>
      <w:r w:rsidRPr="00F40263">
        <w:t xml:space="preserve"> Canadian</w:t>
      </w:r>
      <w:r w:rsidR="00F40263">
        <w:t xml:space="preserve"> </w:t>
      </w:r>
      <w:r w:rsidR="00AD51CF" w:rsidRPr="00F40263">
        <w:t>sourced glucophage co-administered with ertugliflozin in healthy subjects in fasted and fed states</w:t>
      </w:r>
      <w:r w:rsidR="00AD51CF">
        <w:t>.</w:t>
      </w:r>
    </w:p>
    <w:p w14:paraId="4BA458AD" w14:textId="5AB80C78" w:rsidR="00C008B6" w:rsidRPr="00F40263" w:rsidRDefault="0024546B" w:rsidP="00F40263">
      <w:r w:rsidRPr="00F40263">
        <w:t>The sponsor</w:t>
      </w:r>
      <w:r w:rsidR="00C008B6" w:rsidRPr="00F40263">
        <w:t xml:space="preserve"> concluded that the metformin component of the ertugliflozin 2.5</w:t>
      </w:r>
      <w:r w:rsidR="00E600D5">
        <w:t> </w:t>
      </w:r>
      <w:r w:rsidR="006D7D02">
        <w:t>mg</w:t>
      </w:r>
      <w:r w:rsidR="00C008B6" w:rsidRPr="00F40263">
        <w:t>/metformin 500</w:t>
      </w:r>
      <w:r w:rsidR="00E600D5">
        <w:t xml:space="preserve"> </w:t>
      </w:r>
      <w:r w:rsidR="006D7D02">
        <w:t>mg</w:t>
      </w:r>
      <w:r w:rsidR="00C008B6" w:rsidRPr="00F40263">
        <w:t xml:space="preserve"> FDC tablet is bioequivalent to metformin in the metformin 500</w:t>
      </w:r>
      <w:r w:rsidR="00E600D5">
        <w:t> </w:t>
      </w:r>
      <w:r w:rsidR="006D7D02">
        <w:t>mg</w:t>
      </w:r>
      <w:r w:rsidR="00C008B6" w:rsidRPr="00F40263">
        <w:t xml:space="preserve"> (C</w:t>
      </w:r>
      <w:r w:rsidR="00F40263">
        <w:t xml:space="preserve">anada </w:t>
      </w:r>
      <w:r w:rsidR="00C008B6" w:rsidRPr="00F40263">
        <w:t>sourced Glucophage) tablet co-administered with ertugliflozin 2.5</w:t>
      </w:r>
      <w:r w:rsidR="00E600D5">
        <w:t xml:space="preserve"> </w:t>
      </w:r>
      <w:r w:rsidR="006D7D02">
        <w:t>mg</w:t>
      </w:r>
      <w:r w:rsidR="00C008B6" w:rsidRPr="00F40263">
        <w:t xml:space="preserve"> when administered under both fasted and fed conditions.</w:t>
      </w:r>
    </w:p>
    <w:p w14:paraId="364190D3" w14:textId="0398BCA0" w:rsidR="0066725A" w:rsidRDefault="00F40263" w:rsidP="0066725A">
      <w:pPr>
        <w:rPr>
          <w:rStyle w:val="TableTitleChar"/>
        </w:rPr>
      </w:pPr>
      <w:r w:rsidRPr="0066725A">
        <w:rPr>
          <w:rStyle w:val="TableTitleChar"/>
        </w:rPr>
        <w:lastRenderedPageBreak/>
        <w:t xml:space="preserve">Table </w:t>
      </w:r>
      <w:r w:rsidR="00E55ACA" w:rsidRPr="0066725A">
        <w:rPr>
          <w:rStyle w:val="TableTitleChar"/>
        </w:rPr>
        <w:t>11</w:t>
      </w:r>
      <w:r w:rsidRPr="0066725A">
        <w:rPr>
          <w:rStyle w:val="TableTitleChar"/>
        </w:rPr>
        <w:t>: Plasma exposure of ertugliflozin 90% C</w:t>
      </w:r>
      <w:r w:rsidR="0066725A" w:rsidRPr="0066725A">
        <w:rPr>
          <w:rStyle w:val="TableTitleChar"/>
        </w:rPr>
        <w:t>i</w:t>
      </w:r>
      <w:r w:rsidRPr="0066725A">
        <w:rPr>
          <w:rStyle w:val="TableTitleChar"/>
        </w:rPr>
        <w:t>s</w:t>
      </w:r>
    </w:p>
    <w:p w14:paraId="7AEABDA2" w14:textId="0C5DCECA" w:rsidR="00C008B6" w:rsidRDefault="00C008B6" w:rsidP="0066725A">
      <w:r w:rsidRPr="00FB45CF">
        <w:rPr>
          <w:noProof/>
          <w:lang w:eastAsia="en-AU"/>
        </w:rPr>
        <w:drawing>
          <wp:inline distT="0" distB="0" distL="0" distR="0" wp14:anchorId="5102C626" wp14:editId="72788F72">
            <wp:extent cx="4364966" cy="1254970"/>
            <wp:effectExtent l="0" t="0" r="0" b="2540"/>
            <wp:docPr id="103" name="Picture 103" descr="Plasma exposure of ertugliflozin 90% 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lum bright="-20000" contrast="40000"/>
                      <a:extLst>
                        <a:ext uri="{28A0092B-C50C-407E-A947-70E740481C1C}">
                          <a14:useLocalDpi xmlns:a14="http://schemas.microsoft.com/office/drawing/2010/main" val="0"/>
                        </a:ext>
                      </a:extLst>
                    </a:blip>
                    <a:srcRect/>
                    <a:stretch>
                      <a:fillRect/>
                    </a:stretch>
                  </pic:blipFill>
                  <pic:spPr bwMode="auto">
                    <a:xfrm>
                      <a:off x="0" y="0"/>
                      <a:ext cx="4373607" cy="1257454"/>
                    </a:xfrm>
                    <a:prstGeom prst="rect">
                      <a:avLst/>
                    </a:prstGeom>
                    <a:noFill/>
                    <a:ln>
                      <a:noFill/>
                    </a:ln>
                  </pic:spPr>
                </pic:pic>
              </a:graphicData>
            </a:graphic>
          </wp:inline>
        </w:drawing>
      </w:r>
    </w:p>
    <w:p w14:paraId="1A79F96C" w14:textId="77777777" w:rsidR="00C008B6" w:rsidRPr="00BF3502" w:rsidRDefault="00F76321" w:rsidP="00F76321">
      <w:pPr>
        <w:pStyle w:val="TableTitle"/>
      </w:pPr>
      <w:r>
        <w:t>Table</w:t>
      </w:r>
      <w:r w:rsidR="00E55ACA">
        <w:t xml:space="preserve"> 12</w:t>
      </w:r>
      <w:r>
        <w:t xml:space="preserve">: </w:t>
      </w:r>
      <w:r w:rsidRPr="00F76321">
        <w:t>Plasma exposure of metformin 90% CIs</w:t>
      </w:r>
    </w:p>
    <w:p w14:paraId="54626A97" w14:textId="77777777" w:rsidR="00C008B6" w:rsidRDefault="00C008B6" w:rsidP="00F76321">
      <w:pPr>
        <w:rPr>
          <w:b/>
          <w:u w:val="single"/>
        </w:rPr>
      </w:pPr>
      <w:r>
        <w:rPr>
          <w:noProof/>
          <w:lang w:eastAsia="en-AU"/>
        </w:rPr>
        <w:drawing>
          <wp:inline distT="0" distB="0" distL="0" distR="0" wp14:anchorId="1623FAFB" wp14:editId="7D603EAE">
            <wp:extent cx="4692770" cy="1102447"/>
            <wp:effectExtent l="0" t="0" r="0" b="2540"/>
            <wp:docPr id="105" name="Picture 105" descr="Plasma exposure of metformin 90% 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a:stretch>
                      <a:fillRect/>
                    </a:stretch>
                  </pic:blipFill>
                  <pic:spPr bwMode="auto">
                    <a:xfrm>
                      <a:off x="0" y="0"/>
                      <a:ext cx="4690849" cy="1101996"/>
                    </a:xfrm>
                    <a:prstGeom prst="rect">
                      <a:avLst/>
                    </a:prstGeom>
                    <a:noFill/>
                    <a:ln>
                      <a:noFill/>
                    </a:ln>
                  </pic:spPr>
                </pic:pic>
              </a:graphicData>
            </a:graphic>
          </wp:inline>
        </w:drawing>
      </w:r>
    </w:p>
    <w:p w14:paraId="5EA01233" w14:textId="785B47E0" w:rsidR="00C008B6" w:rsidRPr="00BF3502" w:rsidRDefault="00C008B6" w:rsidP="00F76321">
      <w:pPr>
        <w:pStyle w:val="Heading5"/>
      </w:pPr>
      <w:r w:rsidRPr="00D819A2">
        <w:rPr>
          <w:rStyle w:val="Heading5Char"/>
          <w:b/>
          <w:i/>
        </w:rPr>
        <w:t>R</w:t>
      </w:r>
      <w:r w:rsidRPr="00BF3502">
        <w:t xml:space="preserve">elative </w:t>
      </w:r>
      <w:r w:rsidR="00816092">
        <w:t>b</w:t>
      </w:r>
      <w:r w:rsidRPr="00BF3502">
        <w:t>ioequivalence Study P0</w:t>
      </w:r>
      <w:r>
        <w:t>53</w:t>
      </w:r>
      <w:r w:rsidRPr="00BF3502">
        <w:t>/</w:t>
      </w:r>
      <w:r>
        <w:t>1061</w:t>
      </w:r>
    </w:p>
    <w:p w14:paraId="3DE70538" w14:textId="68E74AC6" w:rsidR="00C008B6" w:rsidRPr="00F76321" w:rsidRDefault="00C008B6" w:rsidP="00F76321">
      <w:pPr>
        <w:rPr>
          <w:b/>
          <w:u w:val="single"/>
        </w:rPr>
      </w:pPr>
      <w:r w:rsidRPr="00F76321">
        <w:t xml:space="preserve">A </w:t>
      </w:r>
      <w:r w:rsidR="00C3563C" w:rsidRPr="00F76321">
        <w:t>Phase I</w:t>
      </w:r>
      <w:r w:rsidRPr="00F76321">
        <w:t xml:space="preserve">, </w:t>
      </w:r>
      <w:r w:rsidR="00AD51CF">
        <w:t>single dose</w:t>
      </w:r>
      <w:r w:rsidR="00AD51CF" w:rsidRPr="00F76321">
        <w:t xml:space="preserve">, </w:t>
      </w:r>
      <w:r w:rsidR="00AD51CF">
        <w:t>open label</w:t>
      </w:r>
      <w:r w:rsidR="00AD51CF" w:rsidRPr="00F76321">
        <w:t>, randomised, crossover bioequivalence study of metformin in ertugliflozin 7.5</w:t>
      </w:r>
      <w:r w:rsidR="00AD51CF">
        <w:t xml:space="preserve"> mg</w:t>
      </w:r>
      <w:r w:rsidR="00AD51CF" w:rsidRPr="00F76321">
        <w:t>/metformin 850</w:t>
      </w:r>
      <w:r w:rsidR="00AD51CF">
        <w:t xml:space="preserve"> mg</w:t>
      </w:r>
      <w:r w:rsidR="00AD51CF" w:rsidRPr="00F76321">
        <w:t xml:space="preserve"> fixed dose combination tablet v</w:t>
      </w:r>
      <w:r w:rsidR="00AD51CF">
        <w:t>ersu</w:t>
      </w:r>
      <w:r w:rsidR="00F76321">
        <w:t>s</w:t>
      </w:r>
      <w:r w:rsidRPr="00F76321">
        <w:t xml:space="preserve"> Canadian</w:t>
      </w:r>
      <w:r w:rsidR="00F76321">
        <w:t xml:space="preserve"> </w:t>
      </w:r>
      <w:r w:rsidR="00AD51CF" w:rsidRPr="00F76321">
        <w:t>sourced glucophage</w:t>
      </w:r>
      <w:r w:rsidR="00AD51CF">
        <w:t xml:space="preserve"> </w:t>
      </w:r>
      <w:r w:rsidR="00AD51CF" w:rsidRPr="00F76321">
        <w:t>co-administered with ertugliflozin in healthy subjects in fasted and fed state</w:t>
      </w:r>
      <w:r w:rsidRPr="00F76321">
        <w:t>s</w:t>
      </w:r>
      <w:r w:rsidR="00E55ACA">
        <w:t>.</w:t>
      </w:r>
    </w:p>
    <w:p w14:paraId="62C01540" w14:textId="7181FC01" w:rsidR="00C008B6" w:rsidRPr="00F76321" w:rsidRDefault="0024546B" w:rsidP="00F76321">
      <w:r w:rsidRPr="00F76321">
        <w:t>The sponsor</w:t>
      </w:r>
      <w:r w:rsidR="00C008B6" w:rsidRPr="00F76321">
        <w:t xml:space="preserve"> concluded that the metformin component of the ertugliflozin </w:t>
      </w:r>
      <w:r w:rsidR="00C008B6" w:rsidRPr="00F76321">
        <w:br/>
        <w:t>7.5</w:t>
      </w:r>
      <w:r w:rsidR="00E600D5">
        <w:t xml:space="preserve"> </w:t>
      </w:r>
      <w:r w:rsidR="006D7D02">
        <w:t>mg</w:t>
      </w:r>
      <w:r w:rsidR="00C008B6" w:rsidRPr="00F76321">
        <w:t>/metformin 850</w:t>
      </w:r>
      <w:r w:rsidR="00E600D5">
        <w:t xml:space="preserve"> </w:t>
      </w:r>
      <w:r w:rsidR="006D7D02">
        <w:t>mg</w:t>
      </w:r>
      <w:r w:rsidR="00C008B6" w:rsidRPr="00F76321">
        <w:t xml:space="preserve"> FDC tablet is bioequivalent to metformin in the metformin 850</w:t>
      </w:r>
      <w:r w:rsidR="00E600D5">
        <w:t> </w:t>
      </w:r>
      <w:r w:rsidR="006D7D02">
        <w:t>mg</w:t>
      </w:r>
      <w:r w:rsidR="00C008B6" w:rsidRPr="00F76321">
        <w:t xml:space="preserve"> (CA-sourced Glucophage) tablet co-administered with ertugliflozin 7.5</w:t>
      </w:r>
      <w:r w:rsidR="00E600D5">
        <w:t xml:space="preserve"> </w:t>
      </w:r>
      <w:r w:rsidR="006D7D02">
        <w:t>mg</w:t>
      </w:r>
      <w:r w:rsidR="00C008B6" w:rsidRPr="00F76321">
        <w:t xml:space="preserve"> when administered under both fasted and fed conditions.</w:t>
      </w:r>
      <w:r w:rsidR="009A3F68" w:rsidRPr="00F76321">
        <w:t xml:space="preserve"> </w:t>
      </w:r>
      <w:r w:rsidR="00F76321" w:rsidRPr="00F76321">
        <w:t xml:space="preserve">Note: </w:t>
      </w:r>
      <w:r w:rsidR="00C008B6" w:rsidRPr="00F76321">
        <w:t>The 7.5</w:t>
      </w:r>
      <w:r w:rsidR="00E600D5">
        <w:t xml:space="preserve"> </w:t>
      </w:r>
      <w:r w:rsidR="006D7D02">
        <w:t>mg</w:t>
      </w:r>
      <w:r w:rsidR="00C008B6" w:rsidRPr="00F76321">
        <w:t>/850</w:t>
      </w:r>
      <w:r w:rsidR="00E600D5">
        <w:t xml:space="preserve"> </w:t>
      </w:r>
      <w:r w:rsidR="006D7D02">
        <w:t>mg</w:t>
      </w:r>
      <w:r w:rsidR="00C008B6" w:rsidRPr="00F76321">
        <w:t xml:space="preserve"> FDC Tablet is not proposed for registration in Australia.</w:t>
      </w:r>
    </w:p>
    <w:p w14:paraId="7DFC2544" w14:textId="65DCA813" w:rsidR="00C008B6" w:rsidRPr="00E01F7C" w:rsidRDefault="00C008B6" w:rsidP="00F76321">
      <w:pPr>
        <w:pStyle w:val="Heading5"/>
      </w:pPr>
      <w:r w:rsidRPr="00E01F7C">
        <w:t xml:space="preserve">Food </w:t>
      </w:r>
      <w:r w:rsidR="00816092">
        <w:t>e</w:t>
      </w:r>
      <w:r w:rsidRPr="00E01F7C">
        <w:t xml:space="preserve">ffect </w:t>
      </w:r>
      <w:r w:rsidR="00816092">
        <w:t>s</w:t>
      </w:r>
      <w:r w:rsidRPr="00E01F7C">
        <w:t>tudy P028/1049</w:t>
      </w:r>
    </w:p>
    <w:p w14:paraId="4D2EACEB" w14:textId="0CBAB916" w:rsidR="00C008B6" w:rsidRPr="00E01F7C" w:rsidRDefault="00C008B6" w:rsidP="00F76321">
      <w:pPr>
        <w:rPr>
          <w:b/>
          <w:u w:val="single"/>
        </w:rPr>
      </w:pPr>
      <w:r w:rsidRPr="00E01F7C">
        <w:t xml:space="preserve">A </w:t>
      </w:r>
      <w:r w:rsidR="00C3563C">
        <w:t>Phase I</w:t>
      </w:r>
      <w:r w:rsidRPr="00E01F7C">
        <w:t xml:space="preserve">, </w:t>
      </w:r>
      <w:r w:rsidR="00AD51CF">
        <w:t>single dose</w:t>
      </w:r>
      <w:r w:rsidR="00AD51CF" w:rsidRPr="00E01F7C">
        <w:t xml:space="preserve">, </w:t>
      </w:r>
      <w:r w:rsidR="00AD51CF">
        <w:t>randomised</w:t>
      </w:r>
      <w:r w:rsidR="00AD51CF" w:rsidRPr="00E01F7C">
        <w:t xml:space="preserve">, </w:t>
      </w:r>
      <w:r w:rsidR="00AD51CF">
        <w:t>open label</w:t>
      </w:r>
      <w:r w:rsidR="00AD51CF" w:rsidRPr="00E01F7C">
        <w:t xml:space="preserve">, crossover study to estimate the effect of food on the pharmacokinetics of ertugliflozin and metformin when administered as a fixed dose combination tablet </w:t>
      </w:r>
      <w:r w:rsidR="00AD51CF">
        <w:t xml:space="preserve">(7.5 mg/1000 mg) </w:t>
      </w:r>
      <w:r w:rsidR="00AD51CF" w:rsidRPr="00E01F7C">
        <w:t>to healthy subjects</w:t>
      </w:r>
      <w:r w:rsidR="00AD51CF">
        <w:t>.</w:t>
      </w:r>
    </w:p>
    <w:p w14:paraId="12AC9FF2" w14:textId="24A9C123" w:rsidR="00C008B6" w:rsidRDefault="00C008B6" w:rsidP="00F76321">
      <w:r w:rsidRPr="00E01F7C">
        <w:t>Administration of ertugliflozin 7.5</w:t>
      </w:r>
      <w:r w:rsidR="00E600D5">
        <w:t xml:space="preserve"> </w:t>
      </w:r>
      <w:r w:rsidR="006D7D02">
        <w:t>mg</w:t>
      </w:r>
      <w:r w:rsidRPr="00E01F7C">
        <w:t>/metformin 1000</w:t>
      </w:r>
      <w:r w:rsidR="00E600D5">
        <w:t xml:space="preserve"> </w:t>
      </w:r>
      <w:r w:rsidR="006D7D02">
        <w:t>mg</w:t>
      </w:r>
      <w:r w:rsidRPr="00E01F7C">
        <w:t xml:space="preserve"> FDC tablet with a high fat meal resulted in no meaningful effect on </w:t>
      </w:r>
      <w:r w:rsidR="00E700A6">
        <w:t>AUC</w:t>
      </w:r>
      <w:r w:rsidR="00E700A6" w:rsidRPr="00E700A6">
        <w:rPr>
          <w:vertAlign w:val="subscript"/>
        </w:rPr>
        <w:t>inf</w:t>
      </w:r>
      <w:r w:rsidRPr="00E01F7C">
        <w:t xml:space="preserve"> of ertugliflozin and metformin.</w:t>
      </w:r>
    </w:p>
    <w:p w14:paraId="0380C1F6" w14:textId="77777777" w:rsidR="00C008B6" w:rsidRDefault="00C008B6" w:rsidP="00F76321">
      <w:r w:rsidRPr="00E01F7C">
        <w:t xml:space="preserve">Food reduced mean </w:t>
      </w:r>
      <w:r w:rsidRPr="00F76321">
        <w:t>ertugliflozin</w:t>
      </w:r>
      <w:r w:rsidRPr="00E01F7C">
        <w:t xml:space="preserve"> </w:t>
      </w:r>
      <w:r w:rsidR="00E700A6">
        <w:t>C</w:t>
      </w:r>
      <w:r w:rsidR="00E700A6" w:rsidRPr="00E700A6">
        <w:rPr>
          <w:vertAlign w:val="subscript"/>
        </w:rPr>
        <w:t>max</w:t>
      </w:r>
      <w:r w:rsidRPr="00E01F7C">
        <w:t xml:space="preserve"> by approximately 41% and delayed median </w:t>
      </w:r>
      <w:r w:rsidR="00E700A6">
        <w:t>T</w:t>
      </w:r>
      <w:r w:rsidR="00E700A6" w:rsidRPr="00E700A6">
        <w:rPr>
          <w:vertAlign w:val="subscript"/>
        </w:rPr>
        <w:t>max</w:t>
      </w:r>
      <w:r w:rsidRPr="00E01F7C">
        <w:t xml:space="preserve"> by 1 </w:t>
      </w:r>
      <w:r w:rsidR="0007636A">
        <w:t>h</w:t>
      </w:r>
      <w:r w:rsidRPr="00E01F7C">
        <w:t xml:space="preserve"> compared to the fasted condition</w:t>
      </w:r>
      <w:r>
        <w:t xml:space="preserve"> (</w:t>
      </w:r>
      <w:r w:rsidR="00E700A6">
        <w:t>T</w:t>
      </w:r>
      <w:r w:rsidR="00E700A6" w:rsidRPr="00E700A6">
        <w:rPr>
          <w:vertAlign w:val="subscript"/>
        </w:rPr>
        <w:t>max</w:t>
      </w:r>
      <w:r>
        <w:t xml:space="preserve"> 2.50 </w:t>
      </w:r>
      <w:r w:rsidR="0007636A">
        <w:t>h</w:t>
      </w:r>
      <w:r>
        <w:t xml:space="preserve"> fed </w:t>
      </w:r>
      <w:r w:rsidRPr="00BF3502">
        <w:t>v</w:t>
      </w:r>
      <w:r w:rsidR="00F76321">
        <w:t>ersus</w:t>
      </w:r>
      <w:r>
        <w:t xml:space="preserve"> 1.50 </w:t>
      </w:r>
      <w:r w:rsidR="0007636A">
        <w:t>h</w:t>
      </w:r>
      <w:r>
        <w:t xml:space="preserve"> fasted).</w:t>
      </w:r>
      <w:r w:rsidRPr="00E01F7C">
        <w:t xml:space="preserve"> </w:t>
      </w:r>
      <w:r>
        <w:t>These results are similar to those observed for the ertugliflozin monotherapy tablets.</w:t>
      </w:r>
    </w:p>
    <w:p w14:paraId="7D9DB2EF" w14:textId="364A9C79" w:rsidR="00C008B6" w:rsidRDefault="00C008B6" w:rsidP="00F76321">
      <w:r w:rsidRPr="00E01F7C">
        <w:t xml:space="preserve">Food also reduced </w:t>
      </w:r>
      <w:r w:rsidRPr="00F76321">
        <w:t>metformin</w:t>
      </w:r>
      <w:r w:rsidRPr="00E01F7C">
        <w:t xml:space="preserve"> </w:t>
      </w:r>
      <w:r w:rsidR="00E700A6">
        <w:t>C</w:t>
      </w:r>
      <w:r w:rsidR="00E700A6" w:rsidRPr="00E700A6">
        <w:rPr>
          <w:vertAlign w:val="subscript"/>
        </w:rPr>
        <w:t>max</w:t>
      </w:r>
      <w:r w:rsidRPr="00E01F7C">
        <w:rPr>
          <w:vertAlign w:val="subscript"/>
        </w:rPr>
        <w:t xml:space="preserve"> </w:t>
      </w:r>
      <w:r w:rsidRPr="00E01F7C">
        <w:t xml:space="preserve">by approximately 29% and delayed median </w:t>
      </w:r>
      <w:r w:rsidR="00E700A6">
        <w:t>T</w:t>
      </w:r>
      <w:r w:rsidR="00E700A6" w:rsidRPr="00E700A6">
        <w:rPr>
          <w:vertAlign w:val="subscript"/>
        </w:rPr>
        <w:t>max</w:t>
      </w:r>
      <w:r w:rsidRPr="00E01F7C">
        <w:t xml:space="preserve"> by 1.75</w:t>
      </w:r>
      <w:r w:rsidR="00E600D5">
        <w:t> </w:t>
      </w:r>
      <w:r w:rsidR="0007636A">
        <w:t>h</w:t>
      </w:r>
      <w:r w:rsidRPr="00E01F7C">
        <w:t xml:space="preserve"> compared to the fasted condition</w:t>
      </w:r>
      <w:r>
        <w:t xml:space="preserve"> (</w:t>
      </w:r>
      <w:r w:rsidR="00E700A6">
        <w:t>T</w:t>
      </w:r>
      <w:r w:rsidR="00E700A6" w:rsidRPr="00E700A6">
        <w:rPr>
          <w:vertAlign w:val="subscript"/>
        </w:rPr>
        <w:t>max</w:t>
      </w:r>
      <w:r>
        <w:t xml:space="preserve"> 4.00 </w:t>
      </w:r>
      <w:r w:rsidR="0007636A">
        <w:t>h</w:t>
      </w:r>
      <w:r>
        <w:t xml:space="preserve"> fed </w:t>
      </w:r>
      <w:r w:rsidRPr="00BF3502">
        <w:t>v</w:t>
      </w:r>
      <w:r w:rsidR="00F76321">
        <w:t>ersus</w:t>
      </w:r>
      <w:r>
        <w:t xml:space="preserve"> 2.25 </w:t>
      </w:r>
      <w:r w:rsidR="0007636A">
        <w:t>h</w:t>
      </w:r>
      <w:r>
        <w:t xml:space="preserve"> fasted)</w:t>
      </w:r>
      <w:r w:rsidRPr="00E01F7C">
        <w:t>.</w:t>
      </w:r>
    </w:p>
    <w:p w14:paraId="25E68059" w14:textId="77777777" w:rsidR="00C008B6" w:rsidRPr="00E01F7C" w:rsidRDefault="00C008B6" w:rsidP="00F76321">
      <w:r w:rsidRPr="00E01F7C">
        <w:t xml:space="preserve">The decreases in ertugliflozin and metformin </w:t>
      </w:r>
      <w:r w:rsidR="00E700A6">
        <w:t>C</w:t>
      </w:r>
      <w:r w:rsidR="00E700A6" w:rsidRPr="00E700A6">
        <w:rPr>
          <w:vertAlign w:val="subscript"/>
        </w:rPr>
        <w:t>max</w:t>
      </w:r>
      <w:r w:rsidRPr="00E01F7C">
        <w:t xml:space="preserve"> with food </w:t>
      </w:r>
      <w:r>
        <w:t>were</w:t>
      </w:r>
      <w:r w:rsidRPr="00E01F7C">
        <w:t xml:space="preserve"> not </w:t>
      </w:r>
      <w:r>
        <w:t>considered</w:t>
      </w:r>
      <w:r w:rsidRPr="00E01F7C">
        <w:t xml:space="preserve"> to be clinically relevant by </w:t>
      </w:r>
      <w:r w:rsidR="0024546B">
        <w:t>the sponsor</w:t>
      </w:r>
      <w:r w:rsidRPr="00E01F7C">
        <w:t>.</w:t>
      </w:r>
    </w:p>
    <w:p w14:paraId="16D6A409" w14:textId="77777777" w:rsidR="008E7846" w:rsidRPr="008751DC" w:rsidRDefault="008E7846" w:rsidP="008E7846">
      <w:pPr>
        <w:pStyle w:val="Heading3"/>
      </w:pPr>
      <w:bookmarkStart w:id="40" w:name="_Toc247691509"/>
      <w:bookmarkStart w:id="41" w:name="_Toc314842493"/>
      <w:bookmarkStart w:id="42" w:name="_Toc4405823"/>
      <w:r>
        <w:t>Quality s</w:t>
      </w:r>
      <w:r w:rsidRPr="008751DC">
        <w:t>ummary</w:t>
      </w:r>
      <w:r>
        <w:t xml:space="preserve"> and conclusions</w:t>
      </w:r>
      <w:bookmarkEnd w:id="40"/>
      <w:bookmarkEnd w:id="41"/>
      <w:bookmarkEnd w:id="42"/>
    </w:p>
    <w:p w14:paraId="435FAE9B" w14:textId="77777777" w:rsidR="00C008B6" w:rsidRPr="00D666BA" w:rsidRDefault="00C008B6" w:rsidP="00D666BA">
      <w:r w:rsidRPr="00D666BA">
        <w:t>Approval is recommended from a pharmaceutical chemistry and quality control perspective.</w:t>
      </w:r>
    </w:p>
    <w:p w14:paraId="48BA5922" w14:textId="6F87015E" w:rsidR="00C008B6" w:rsidRPr="00831742" w:rsidRDefault="00C008B6" w:rsidP="00D666BA">
      <w:r w:rsidRPr="00831742">
        <w:lastRenderedPageBreak/>
        <w:t xml:space="preserve">However, it should be noted that whilst the pharmaceutical aspects of the PI documents and </w:t>
      </w:r>
      <w:r w:rsidR="0060285D">
        <w:t>p</w:t>
      </w:r>
      <w:r w:rsidRPr="00831742">
        <w:t>roduct labelling for each submission are considered acceptable, they are yet to be finalised due to issues with the proposed trade names.</w:t>
      </w:r>
    </w:p>
    <w:p w14:paraId="2FFA4B9D" w14:textId="294C5408" w:rsidR="00C008B6" w:rsidRPr="00D666BA" w:rsidRDefault="00C008B6" w:rsidP="00D666BA">
      <w:r w:rsidRPr="00831742">
        <w:t xml:space="preserve">Whilst the inclusion of the tablet strengths in the trade names is desired, the </w:t>
      </w:r>
      <w:r w:rsidR="00D666BA" w:rsidRPr="00831742">
        <w:t>s</w:t>
      </w:r>
      <w:r w:rsidRPr="00831742">
        <w:t>ponsor has chosen to include the units (in ‘</w:t>
      </w:r>
      <w:r w:rsidR="006D7D02">
        <w:t>mg</w:t>
      </w:r>
      <w:r w:rsidRPr="00831742">
        <w:t>’) as part of the trade name, which is not desirable.</w:t>
      </w:r>
      <w:r w:rsidR="009A3F68" w:rsidRPr="00831742">
        <w:t xml:space="preserve"> </w:t>
      </w:r>
      <w:r w:rsidRPr="00831742">
        <w:t>The decision on the acceptability or not of the proposed trade names has been referred to the Delegate for consideration.</w:t>
      </w:r>
    </w:p>
    <w:p w14:paraId="30338CD8" w14:textId="77777777" w:rsidR="008E7846" w:rsidRDefault="008E7846" w:rsidP="008E7846">
      <w:pPr>
        <w:pStyle w:val="Heading2"/>
      </w:pPr>
      <w:bookmarkStart w:id="43" w:name="_Toc196046439"/>
      <w:bookmarkStart w:id="44" w:name="_Toc247691510"/>
      <w:bookmarkStart w:id="45" w:name="_Toc314842494"/>
      <w:bookmarkStart w:id="46" w:name="_Toc4405824"/>
      <w:r>
        <w:t>I</w:t>
      </w:r>
      <w:r w:rsidR="00500337">
        <w:t>V</w:t>
      </w:r>
      <w:r>
        <w:t>. Nonclinical</w:t>
      </w:r>
      <w:bookmarkEnd w:id="43"/>
      <w:r>
        <w:t xml:space="preserve"> findings</w:t>
      </w:r>
      <w:bookmarkEnd w:id="44"/>
      <w:bookmarkEnd w:id="45"/>
      <w:bookmarkEnd w:id="46"/>
    </w:p>
    <w:p w14:paraId="44AF06E5" w14:textId="77777777" w:rsidR="009E39B0" w:rsidRDefault="009E39B0" w:rsidP="009E39B0">
      <w:pPr>
        <w:pStyle w:val="Heading3"/>
      </w:pPr>
      <w:bookmarkStart w:id="47" w:name="_Toc4405825"/>
      <w:r>
        <w:t>Steglatro</w:t>
      </w:r>
      <w:bookmarkEnd w:id="47"/>
    </w:p>
    <w:p w14:paraId="09A86386" w14:textId="77777777" w:rsidR="009E39B0" w:rsidRPr="00AB38AA" w:rsidRDefault="009E39B0" w:rsidP="009E39B0">
      <w:pPr>
        <w:pStyle w:val="Heading4"/>
      </w:pPr>
      <w:bookmarkStart w:id="48" w:name="_Toc294861722"/>
      <w:bookmarkStart w:id="49" w:name="_Toc295290864"/>
      <w:bookmarkStart w:id="50" w:name="_Toc504383102"/>
      <w:r w:rsidRPr="00AB38AA">
        <w:t>General comments</w:t>
      </w:r>
      <w:bookmarkEnd w:id="48"/>
      <w:bookmarkEnd w:id="49"/>
      <w:bookmarkEnd w:id="50"/>
    </w:p>
    <w:p w14:paraId="1BFEC77A" w14:textId="77777777" w:rsidR="009E39B0" w:rsidRPr="00AB38AA" w:rsidRDefault="009E39B0" w:rsidP="009E39B0">
      <w:r w:rsidRPr="00AB38AA">
        <w:t>The nonclinical dossier was of good overall quality, with the package of studies conducted in accordance with relevant TGA</w:t>
      </w:r>
      <w:r>
        <w:t xml:space="preserve"> </w:t>
      </w:r>
      <w:r w:rsidRPr="00AB38AA">
        <w:t>adopted guideli</w:t>
      </w:r>
      <w:r>
        <w:t>nes</w:t>
      </w:r>
      <w:r w:rsidRPr="00AB38AA">
        <w:t>.</w:t>
      </w:r>
      <w:r>
        <w:rPr>
          <w:rStyle w:val="FootnoteReference"/>
        </w:rPr>
        <w:footnoteReference w:id="9"/>
      </w:r>
      <w:r w:rsidRPr="00AB38AA">
        <w:t xml:space="preserve"> All pivotal safety-related studies were conducted according to G</w:t>
      </w:r>
      <w:r>
        <w:t xml:space="preserve">ood </w:t>
      </w:r>
      <w:r w:rsidRPr="00AB38AA">
        <w:t>L</w:t>
      </w:r>
      <w:r>
        <w:t>aboratory Practice</w:t>
      </w:r>
      <w:r w:rsidRPr="00AB38AA">
        <w:t>.</w:t>
      </w:r>
    </w:p>
    <w:p w14:paraId="183744DA" w14:textId="77777777" w:rsidR="009E39B0" w:rsidRPr="00AB38AA" w:rsidRDefault="009E39B0" w:rsidP="009E39B0">
      <w:pPr>
        <w:pStyle w:val="Heading4"/>
      </w:pPr>
      <w:bookmarkStart w:id="51" w:name="_Toc504383103"/>
      <w:r w:rsidRPr="00AB38AA">
        <w:t>Pharmacology</w:t>
      </w:r>
      <w:bookmarkEnd w:id="51"/>
    </w:p>
    <w:p w14:paraId="1B591525" w14:textId="77777777" w:rsidR="009E39B0" w:rsidRPr="00AB38AA" w:rsidRDefault="009E39B0" w:rsidP="009E39B0">
      <w:pPr>
        <w:pStyle w:val="Heading5"/>
      </w:pPr>
      <w:r w:rsidRPr="00AB38AA">
        <w:t>Primary pharmacology</w:t>
      </w:r>
    </w:p>
    <w:p w14:paraId="438CFDE3" w14:textId="77777777" w:rsidR="009E39B0" w:rsidRPr="00E243CF" w:rsidRDefault="009E39B0" w:rsidP="009E39B0">
      <w:r w:rsidRPr="00AB38AA">
        <w:t xml:space="preserve">Ertugliflozin is an inhibitor of SGLT2. This transporter is expressed in proximal renal tubules where it is responsible for resorption of the majority of glucose filtered by the renal glomerulus. Inhibition of SGLT2 results in increased urinary glucose excretion, </w:t>
      </w:r>
      <w:r w:rsidRPr="00E243CF">
        <w:t>leading to lowered plasma glucose.</w:t>
      </w:r>
    </w:p>
    <w:p w14:paraId="12F4D851" w14:textId="349D0DCC" w:rsidR="009E39B0" w:rsidRPr="00422A51" w:rsidRDefault="009E39B0" w:rsidP="009E39B0">
      <w:r w:rsidRPr="009E39B0">
        <w:t>In vitro</w:t>
      </w:r>
      <w:r w:rsidRPr="00E243CF">
        <w:t xml:space="preserve"> in transfected cells, ertugliflozin inhibited human SGLT2 with approximately nanomolar potency (</w:t>
      </w:r>
      <w:r>
        <w:t>50% inhibitory concentration (</w:t>
      </w:r>
      <w:r w:rsidRPr="00E243CF">
        <w:t>IC</w:t>
      </w:r>
      <w:r w:rsidRPr="00E243CF">
        <w:rPr>
          <w:vertAlign w:val="subscript"/>
        </w:rPr>
        <w:t>50</w:t>
      </w:r>
      <w:r>
        <w:t>)</w:t>
      </w:r>
      <w:r w:rsidRPr="00E243CF">
        <w:t xml:space="preserve"> 0.877 nM). The drug was also shown to be active against rat and dog SGLT2 (IC</w:t>
      </w:r>
      <w:r w:rsidRPr="00E243CF">
        <w:rPr>
          <w:vertAlign w:val="subscript"/>
        </w:rPr>
        <w:t>50</w:t>
      </w:r>
      <w:r w:rsidRPr="00E243CF">
        <w:t xml:space="preserve"> values of 1.15 and 0.118 nM in the respective species). </w:t>
      </w:r>
      <w:r w:rsidRPr="00D87593">
        <w:t>In vivo</w:t>
      </w:r>
      <w:r w:rsidRPr="00E243CF">
        <w:t>, single oral administration of ertugliflozin was shown to produce a dose</w:t>
      </w:r>
      <w:r w:rsidR="00D87593">
        <w:t xml:space="preserve"> </w:t>
      </w:r>
      <w:r w:rsidRPr="00E243CF">
        <w:t xml:space="preserve">dependent increase in urinary glucose excretion in rats. </w:t>
      </w:r>
      <w:r w:rsidRPr="00422A51">
        <w:t>With repeated administration (30</w:t>
      </w:r>
      <w:r w:rsidR="00E87327">
        <w:t xml:space="preserve"> </w:t>
      </w:r>
      <w:r w:rsidR="006D7D02">
        <w:t>mg</w:t>
      </w:r>
      <w:r w:rsidRPr="00422A51">
        <w:t>/kg/day PO for 8 days), reductions in plasma glucose and body</w:t>
      </w:r>
      <w:r>
        <w:t> </w:t>
      </w:r>
      <w:r w:rsidRPr="00422A51">
        <w:t>weight were additionally shown, along with diuresis and activation of the renin-angiotensin-aldosterone system.</w:t>
      </w:r>
      <w:r>
        <w:t xml:space="preserve"> Pharmacological activity was also evident in the dog, with increased urinary glucose concentration seen from the lowest dose tested in repeat-dose toxicity studies (</w:t>
      </w:r>
      <w:r w:rsidR="00EB55BF">
        <w:t xml:space="preserve">≥ </w:t>
      </w:r>
      <w:r>
        <w:t>1 </w:t>
      </w:r>
      <w:r w:rsidR="006D7D02">
        <w:t>mg</w:t>
      </w:r>
      <w:r>
        <w:t xml:space="preserve">/kg/day PO). There were no studies in an animal model of </w:t>
      </w:r>
      <w:r w:rsidR="00D87593">
        <w:t>T2DM</w:t>
      </w:r>
      <w:r>
        <w:t>.</w:t>
      </w:r>
    </w:p>
    <w:p w14:paraId="561B4FA6" w14:textId="5A97204A" w:rsidR="009E39B0" w:rsidRPr="00422A51" w:rsidRDefault="009E39B0" w:rsidP="009E39B0">
      <w:r w:rsidRPr="00422A51">
        <w:t>The two major human circulating metabolites of ertugliflozin</w:t>
      </w:r>
      <w:r w:rsidR="00D87593">
        <w:t xml:space="preserve"> (</w:t>
      </w:r>
      <w:r w:rsidRPr="00422A51">
        <w:t>the glucuronides PF</w:t>
      </w:r>
      <w:r w:rsidR="0060285D">
        <w:noBreakHyphen/>
      </w:r>
      <w:r w:rsidRPr="00422A51">
        <w:t>06481944 (M5c) and PF</w:t>
      </w:r>
      <w:r w:rsidRPr="00422A51">
        <w:noBreakHyphen/>
        <w:t>06685948 (M5a)</w:t>
      </w:r>
      <w:r w:rsidR="00D87593">
        <w:t>)</w:t>
      </w:r>
      <w:r w:rsidR="009A3F68">
        <w:t xml:space="preserve"> </w:t>
      </w:r>
      <w:r w:rsidRPr="00422A51">
        <w:t>displayed only weak activity against human SGLT2 (</w:t>
      </w:r>
      <w:r w:rsidR="00D87593">
        <w:t xml:space="preserve">approximately </w:t>
      </w:r>
      <w:r w:rsidRPr="00422A51">
        <w:t xml:space="preserve">540 and </w:t>
      </w:r>
      <w:r w:rsidR="00AD51CF">
        <w:t xml:space="preserve">&gt; </w:t>
      </w:r>
      <w:r w:rsidRPr="00422A51">
        <w:t>1140</w:t>
      </w:r>
      <w:r w:rsidR="00D87593">
        <w:t xml:space="preserve"> </w:t>
      </w:r>
      <w:r w:rsidRPr="00422A51">
        <w:t>times less potent than their parent).</w:t>
      </w:r>
    </w:p>
    <w:p w14:paraId="70CB844B" w14:textId="77777777" w:rsidR="009E39B0" w:rsidRPr="008E03BB" w:rsidRDefault="009E39B0" w:rsidP="00D87593">
      <w:pPr>
        <w:pStyle w:val="Heading5"/>
      </w:pPr>
      <w:r w:rsidRPr="008E03BB">
        <w:t>Secondary pharmacodynamics and safety pharmacology</w:t>
      </w:r>
    </w:p>
    <w:p w14:paraId="4A9F2E27" w14:textId="132D619B" w:rsidR="009E39B0" w:rsidRDefault="009E39B0" w:rsidP="00D87593">
      <w:pPr>
        <w:rPr>
          <w:kern w:val="2"/>
        </w:rPr>
      </w:pPr>
      <w:r w:rsidRPr="008E03BB">
        <w:t xml:space="preserve">The other member of the sodium-glucose co-transporter family is SGLT1, which mediates glucose (and galactose) absorption from the gastrointestinal tract. </w:t>
      </w:r>
      <w:r w:rsidR="00F14099">
        <w:t xml:space="preserve">The selectivity of ertugliflozin </w:t>
      </w:r>
      <w:r w:rsidRPr="008E03BB">
        <w:t xml:space="preserve">for inhibition of human SGLT2 over SGLT1 was </w:t>
      </w:r>
      <w:r w:rsidR="00AD51CF">
        <w:t xml:space="preserve">&gt; </w:t>
      </w:r>
      <w:r w:rsidRPr="008E03BB">
        <w:t>2200</w:t>
      </w:r>
      <w:r w:rsidR="00D87593">
        <w:t xml:space="preserve"> </w:t>
      </w:r>
      <w:r w:rsidRPr="008E03BB">
        <w:t>fold; similar selectivity was seen for dogs (</w:t>
      </w:r>
      <w:r w:rsidR="00D87593">
        <w:t xml:space="preserve">approximately </w:t>
      </w:r>
      <w:r w:rsidRPr="008E03BB">
        <w:t>2700</w:t>
      </w:r>
      <w:r w:rsidR="00D87593">
        <w:t xml:space="preserve"> </w:t>
      </w:r>
      <w:r w:rsidRPr="008E03BB">
        <w:t xml:space="preserve">fold), but lower SGLT2/SGLT1 selectivity was </w:t>
      </w:r>
      <w:r w:rsidRPr="008E03BB">
        <w:lastRenderedPageBreak/>
        <w:t>evident in rats (</w:t>
      </w:r>
      <w:r w:rsidR="00D87593">
        <w:t xml:space="preserve">approximately </w:t>
      </w:r>
      <w:r w:rsidRPr="008E03BB">
        <w:t>300</w:t>
      </w:r>
      <w:r w:rsidR="00D87593">
        <w:t xml:space="preserve"> </w:t>
      </w:r>
      <w:r w:rsidRPr="008E03BB">
        <w:t>fold).</w:t>
      </w:r>
      <w:r w:rsidRPr="008E03BB">
        <w:rPr>
          <w:kern w:val="2"/>
        </w:rPr>
        <w:t xml:space="preserve"> </w:t>
      </w:r>
      <w:r>
        <w:rPr>
          <w:kern w:val="2"/>
        </w:rPr>
        <w:t>Other glucose transporters (GLUT1–4) were not or only very weakly inhibited by ertugliflozin (</w:t>
      </w:r>
      <w:r w:rsidR="00AD51CF">
        <w:rPr>
          <w:kern w:val="2"/>
        </w:rPr>
        <w:t xml:space="preserve">&gt; </w:t>
      </w:r>
      <w:r>
        <w:rPr>
          <w:kern w:val="2"/>
        </w:rPr>
        <w:t>75000</w:t>
      </w:r>
      <w:r w:rsidR="00D87593">
        <w:rPr>
          <w:kern w:val="2"/>
        </w:rPr>
        <w:t xml:space="preserve"> </w:t>
      </w:r>
      <w:r>
        <w:rPr>
          <w:kern w:val="2"/>
        </w:rPr>
        <w:t xml:space="preserve">fold lower potency </w:t>
      </w:r>
      <w:r w:rsidR="00D87593">
        <w:rPr>
          <w:kern w:val="2"/>
        </w:rPr>
        <w:t>compared to</w:t>
      </w:r>
      <w:r>
        <w:rPr>
          <w:kern w:val="2"/>
          <w:szCs w:val="18"/>
        </w:rPr>
        <w:t xml:space="preserve"> at SGLT2).</w:t>
      </w:r>
      <w:r>
        <w:t xml:space="preserve"> In screening assays, </w:t>
      </w:r>
      <w:r>
        <w:rPr>
          <w:kern w:val="2"/>
        </w:rPr>
        <w:t>e</w:t>
      </w:r>
      <w:r w:rsidRPr="008E03BB">
        <w:rPr>
          <w:kern w:val="2"/>
        </w:rPr>
        <w:t>rtugliflozin (10 μM) did not exhibit significant affinity for/activity against a panel of 56 receptors, ion channels, amine transporters and enzymes.</w:t>
      </w:r>
    </w:p>
    <w:p w14:paraId="57BA6037" w14:textId="3DF14CAC" w:rsidR="009E39B0" w:rsidRDefault="009E39B0" w:rsidP="00D87593">
      <w:pPr>
        <w:rPr>
          <w:kern w:val="2"/>
        </w:rPr>
      </w:pPr>
      <w:r>
        <w:rPr>
          <w:kern w:val="2"/>
        </w:rPr>
        <w:t>The diuretic effect of ertugliflozin was accompanied by reduced blood pressure in hypertensive rats. Activation of the renin-</w:t>
      </w:r>
      <w:r w:rsidRPr="00422A51">
        <w:t>angiotensin-aldosterone system</w:t>
      </w:r>
      <w:r>
        <w:t xml:space="preserve"> was observed at the higher but not lower dose level tested (36 and 6</w:t>
      </w:r>
      <w:r w:rsidR="00E87327">
        <w:t xml:space="preserve"> </w:t>
      </w:r>
      <w:r w:rsidR="006D7D02">
        <w:t>mg</w:t>
      </w:r>
      <w:r>
        <w:t>/kg/day), and this effect appears to be related to body weight loss rather than a direct pharmacological effect.</w:t>
      </w:r>
    </w:p>
    <w:p w14:paraId="2409F3DA" w14:textId="7C0A606A" w:rsidR="009E39B0" w:rsidRPr="00BF4D9F" w:rsidRDefault="009E39B0" w:rsidP="00D87593">
      <w:pPr>
        <w:rPr>
          <w:kern w:val="2"/>
        </w:rPr>
      </w:pPr>
      <w:r>
        <w:rPr>
          <w:kern w:val="2"/>
        </w:rPr>
        <w:t>Specialised safety pharmacology studies with ertugliflozin covered the central nervous, cardiovascular and respiratory systems. They identified no clinically relevant effects on the core battery of physiological systems (based on consideration of animal:</w:t>
      </w:r>
      <w:r w:rsidR="00D87593">
        <w:rPr>
          <w:kern w:val="2"/>
        </w:rPr>
        <w:t xml:space="preserve"> </w:t>
      </w:r>
      <w:r>
        <w:rPr>
          <w:kern w:val="2"/>
        </w:rPr>
        <w:t xml:space="preserve">human plasma drug levels). Effects on </w:t>
      </w:r>
      <w:r w:rsidR="00D87593">
        <w:rPr>
          <w:kern w:val="2"/>
        </w:rPr>
        <w:t>central nervous system (</w:t>
      </w:r>
      <w:r>
        <w:rPr>
          <w:kern w:val="2"/>
        </w:rPr>
        <w:t>CNS</w:t>
      </w:r>
      <w:r w:rsidR="00D87593">
        <w:rPr>
          <w:kern w:val="2"/>
        </w:rPr>
        <w:t>)</w:t>
      </w:r>
      <w:r>
        <w:rPr>
          <w:kern w:val="2"/>
        </w:rPr>
        <w:t xml:space="preserve"> function (decreased body temperature and locomotor activity) were observed in rats at 500</w:t>
      </w:r>
      <w:r w:rsidR="00E87327">
        <w:rPr>
          <w:kern w:val="2"/>
        </w:rPr>
        <w:t xml:space="preserve"> </w:t>
      </w:r>
      <w:r w:rsidR="006D7D02">
        <w:rPr>
          <w:kern w:val="2"/>
        </w:rPr>
        <w:t>mg</w:t>
      </w:r>
      <w:r>
        <w:rPr>
          <w:kern w:val="2"/>
        </w:rPr>
        <w:t>/kg PO, a dose associated with a peak plasma concentration of unbound ertugliflozin 170 times higher than in patients at the maximum recommended human dose (17.2 ng/mL)</w:t>
      </w:r>
      <w:r w:rsidR="008D3F2B">
        <w:rPr>
          <w:kern w:val="2"/>
        </w:rPr>
        <w:t>.</w:t>
      </w:r>
      <w:r>
        <w:rPr>
          <w:rStyle w:val="FootnoteReference"/>
          <w:kern w:val="2"/>
        </w:rPr>
        <w:footnoteReference w:id="10"/>
      </w:r>
      <w:r>
        <w:rPr>
          <w:kern w:val="2"/>
        </w:rPr>
        <w:t xml:space="preserve"> CNS function was unaffected in rats at 25</w:t>
      </w:r>
      <w:r w:rsidR="00E87327">
        <w:rPr>
          <w:kern w:val="2"/>
        </w:rPr>
        <w:t xml:space="preserve"> </w:t>
      </w:r>
      <w:r w:rsidR="006D7D02">
        <w:rPr>
          <w:kern w:val="2"/>
        </w:rPr>
        <w:t>mg</w:t>
      </w:r>
      <w:r>
        <w:rPr>
          <w:kern w:val="2"/>
        </w:rPr>
        <w:t xml:space="preserve">/kg PO, yielding 19 times the clinical </w:t>
      </w:r>
      <w:r w:rsidR="00D87593">
        <w:rPr>
          <w:kern w:val="2"/>
        </w:rPr>
        <w:t>peak plasma concentration (</w:t>
      </w:r>
      <w:r w:rsidR="00E700A6">
        <w:t>C</w:t>
      </w:r>
      <w:r w:rsidR="00E700A6" w:rsidRPr="00E700A6">
        <w:rPr>
          <w:vertAlign w:val="subscript"/>
        </w:rPr>
        <w:t>max</w:t>
      </w:r>
      <w:r w:rsidR="00D87593">
        <w:rPr>
          <w:kern w:val="2"/>
        </w:rPr>
        <w:t xml:space="preserve">) </w:t>
      </w:r>
      <w:r>
        <w:rPr>
          <w:kern w:val="2"/>
        </w:rPr>
        <w:t>for unbound dr</w:t>
      </w:r>
      <w:r w:rsidR="00D87593">
        <w:rPr>
          <w:kern w:val="2"/>
        </w:rPr>
        <w:t>ug. Ertugliflozin inhibited a potassium (</w:t>
      </w:r>
      <w:r>
        <w:rPr>
          <w:kern w:val="2"/>
        </w:rPr>
        <w:t>hERG K</w:t>
      </w:r>
      <w:r w:rsidRPr="00602618">
        <w:rPr>
          <w:kern w:val="2"/>
          <w:vertAlign w:val="superscript"/>
        </w:rPr>
        <w:t>+</w:t>
      </w:r>
      <w:r w:rsidR="00D87593">
        <w:rPr>
          <w:kern w:val="2"/>
        </w:rPr>
        <w:t xml:space="preserve">) </w:t>
      </w:r>
      <w:r>
        <w:rPr>
          <w:kern w:val="2"/>
        </w:rPr>
        <w:t>channel but not at clinically relevant concentrations</w:t>
      </w:r>
      <w:r w:rsidR="00D87593">
        <w:rPr>
          <w:kern w:val="2"/>
        </w:rPr>
        <w:t>;</w:t>
      </w:r>
      <w:r w:rsidRPr="00E65C7F">
        <w:rPr>
          <w:w w:val="50"/>
          <w:kern w:val="2"/>
        </w:rPr>
        <w:t xml:space="preserve"> </w:t>
      </w:r>
      <w:r>
        <w:rPr>
          <w:kern w:val="2"/>
        </w:rPr>
        <w:t>the IC</w:t>
      </w:r>
      <w:r w:rsidRPr="00602618">
        <w:rPr>
          <w:kern w:val="2"/>
          <w:vertAlign w:val="subscript"/>
        </w:rPr>
        <w:t>50</w:t>
      </w:r>
      <w:r w:rsidR="00D87593">
        <w:rPr>
          <w:kern w:val="2"/>
        </w:rPr>
        <w:t xml:space="preserve"> of </w:t>
      </w:r>
      <w:r>
        <w:rPr>
          <w:kern w:val="2"/>
        </w:rPr>
        <w:t xml:space="preserve">59 µM is </w:t>
      </w:r>
      <w:r w:rsidR="00D87593">
        <w:rPr>
          <w:kern w:val="2"/>
        </w:rPr>
        <w:t xml:space="preserve">approximately </w:t>
      </w:r>
      <w:r>
        <w:rPr>
          <w:kern w:val="2"/>
        </w:rPr>
        <w:t xml:space="preserve">100 times higher than the clinical </w:t>
      </w:r>
      <w:r w:rsidR="00E700A6">
        <w:t>C</w:t>
      </w:r>
      <w:r w:rsidR="00E700A6" w:rsidRPr="00E700A6">
        <w:rPr>
          <w:vertAlign w:val="subscript"/>
        </w:rPr>
        <w:t>max</w:t>
      </w:r>
      <w:r>
        <w:rPr>
          <w:kern w:val="2"/>
        </w:rPr>
        <w:t xml:space="preserve"> for total drug and </w:t>
      </w:r>
      <w:r w:rsidR="00D87593">
        <w:rPr>
          <w:kern w:val="2"/>
        </w:rPr>
        <w:t xml:space="preserve">approximately </w:t>
      </w:r>
      <w:r>
        <w:rPr>
          <w:kern w:val="2"/>
        </w:rPr>
        <w:t xml:space="preserve">1500 times higher than the clinical </w:t>
      </w:r>
      <w:r w:rsidR="00E700A6">
        <w:t>C</w:t>
      </w:r>
      <w:r w:rsidR="00E700A6" w:rsidRPr="00E700A6">
        <w:rPr>
          <w:vertAlign w:val="subscript"/>
        </w:rPr>
        <w:t>max</w:t>
      </w:r>
      <w:r>
        <w:rPr>
          <w:kern w:val="2"/>
        </w:rPr>
        <w:t xml:space="preserve"> for unbound ertugliflozin. The main cardiac voltage-gated sodium channel</w:t>
      </w:r>
      <w:r w:rsidR="00D06B00">
        <w:rPr>
          <w:kern w:val="2"/>
        </w:rPr>
        <w:t xml:space="preserve"> (Nav1.5 channel)</w:t>
      </w:r>
      <w:r>
        <w:rPr>
          <w:kern w:val="2"/>
        </w:rPr>
        <w:t xml:space="preserve"> was inhibited by ertugliflozin even more weakly (IC</w:t>
      </w:r>
      <w:r w:rsidRPr="00FD5C7F">
        <w:rPr>
          <w:kern w:val="2"/>
          <w:vertAlign w:val="subscript"/>
        </w:rPr>
        <w:t>50</w:t>
      </w:r>
      <w:r>
        <w:rPr>
          <w:kern w:val="2"/>
        </w:rPr>
        <w:t xml:space="preserve">, 188 µM). </w:t>
      </w:r>
      <w:r w:rsidRPr="00D06B00">
        <w:rPr>
          <w:kern w:val="2"/>
        </w:rPr>
        <w:t>In vivo</w:t>
      </w:r>
      <w:r>
        <w:rPr>
          <w:kern w:val="2"/>
        </w:rPr>
        <w:t>, cardiovascular function was unaffected in dogs at 5</w:t>
      </w:r>
      <w:r w:rsidR="00E87327">
        <w:rPr>
          <w:kern w:val="2"/>
        </w:rPr>
        <w:t xml:space="preserve"> </w:t>
      </w:r>
      <w:r w:rsidR="006D7D02">
        <w:rPr>
          <w:kern w:val="2"/>
        </w:rPr>
        <w:t>mg</w:t>
      </w:r>
      <w:r>
        <w:rPr>
          <w:kern w:val="2"/>
        </w:rPr>
        <w:t xml:space="preserve">/kg PO (12.5 times the clinical </w:t>
      </w:r>
      <w:r w:rsidR="00E700A6">
        <w:t>C</w:t>
      </w:r>
      <w:r w:rsidR="00E700A6" w:rsidRPr="00E700A6">
        <w:rPr>
          <w:vertAlign w:val="subscript"/>
        </w:rPr>
        <w:t>max</w:t>
      </w:r>
      <w:r>
        <w:rPr>
          <w:kern w:val="2"/>
        </w:rPr>
        <w:t xml:space="preserve"> for </w:t>
      </w:r>
      <w:r w:rsidRPr="00CF4DC5">
        <w:rPr>
          <w:kern w:val="2"/>
        </w:rPr>
        <w:t>unbound ertugliflozin) while moderate effects (including decreases in heart rate, corrected QT interval</w:t>
      </w:r>
      <w:r w:rsidR="008D3F2B">
        <w:rPr>
          <w:kern w:val="2"/>
        </w:rPr>
        <w:t>;</w:t>
      </w:r>
      <w:r w:rsidR="00FA6C7E" w:rsidRPr="00CF4DC5">
        <w:rPr>
          <w:rStyle w:val="FootnoteReference"/>
          <w:kern w:val="2"/>
        </w:rPr>
        <w:footnoteReference w:id="11"/>
      </w:r>
      <w:r w:rsidRPr="00CF4DC5">
        <w:rPr>
          <w:kern w:val="2"/>
        </w:rPr>
        <w:t xml:space="preserve"> left ventricular contractility and increased systolic blood pressure) were observed at 50</w:t>
      </w:r>
      <w:r w:rsidR="00E87327">
        <w:rPr>
          <w:kern w:val="2"/>
        </w:rPr>
        <w:t xml:space="preserve"> </w:t>
      </w:r>
      <w:r w:rsidR="006D7D02">
        <w:rPr>
          <w:kern w:val="2"/>
        </w:rPr>
        <w:t>mg</w:t>
      </w:r>
      <w:r w:rsidRPr="00CF4DC5">
        <w:rPr>
          <w:kern w:val="2"/>
        </w:rPr>
        <w:t>/kg (</w:t>
      </w:r>
      <w:r>
        <w:rPr>
          <w:kern w:val="2"/>
        </w:rPr>
        <w:t xml:space="preserve">83 times higher than the clinical </w:t>
      </w:r>
      <w:r w:rsidR="00E700A6">
        <w:t>C</w:t>
      </w:r>
      <w:r w:rsidR="00E700A6" w:rsidRPr="00E700A6">
        <w:rPr>
          <w:vertAlign w:val="subscript"/>
        </w:rPr>
        <w:t>max</w:t>
      </w:r>
      <w:r>
        <w:rPr>
          <w:kern w:val="2"/>
        </w:rPr>
        <w:t xml:space="preserve"> for unbound ertugliflozin). In rats, ertugliflozin increased respiratory rate and minute volume at </w:t>
      </w:r>
      <w:r w:rsidR="00EB55BF">
        <w:rPr>
          <w:kern w:val="2"/>
        </w:rPr>
        <w:t xml:space="preserve">≥ </w:t>
      </w:r>
      <w:r>
        <w:rPr>
          <w:kern w:val="2"/>
        </w:rPr>
        <w:t>25</w:t>
      </w:r>
      <w:r w:rsidR="00E87327">
        <w:rPr>
          <w:kern w:val="2"/>
        </w:rPr>
        <w:t xml:space="preserve"> </w:t>
      </w:r>
      <w:r w:rsidR="006D7D02">
        <w:rPr>
          <w:kern w:val="2"/>
        </w:rPr>
        <w:t>mg</w:t>
      </w:r>
      <w:r>
        <w:rPr>
          <w:kern w:val="2"/>
        </w:rPr>
        <w:t xml:space="preserve">/kg PO (19 times the clinical </w:t>
      </w:r>
      <w:r w:rsidR="00E700A6">
        <w:t>C</w:t>
      </w:r>
      <w:r w:rsidR="00E700A6" w:rsidRPr="00E700A6">
        <w:rPr>
          <w:vertAlign w:val="subscript"/>
        </w:rPr>
        <w:t>max</w:t>
      </w:r>
      <w:r>
        <w:rPr>
          <w:kern w:val="2"/>
        </w:rPr>
        <w:t xml:space="preserve"> for unbound drug); respiration </w:t>
      </w:r>
      <w:r w:rsidRPr="00BF4D9F">
        <w:rPr>
          <w:kern w:val="2"/>
        </w:rPr>
        <w:t>was unaffected at 5</w:t>
      </w:r>
      <w:r w:rsidR="00E87327">
        <w:rPr>
          <w:kern w:val="2"/>
        </w:rPr>
        <w:t xml:space="preserve"> </w:t>
      </w:r>
      <w:r w:rsidR="006D7D02">
        <w:rPr>
          <w:kern w:val="2"/>
        </w:rPr>
        <w:t>mg</w:t>
      </w:r>
      <w:r w:rsidRPr="00BF4D9F">
        <w:rPr>
          <w:kern w:val="2"/>
        </w:rPr>
        <w:t xml:space="preserve">/kg (3.5 times the unbound clinical </w:t>
      </w:r>
      <w:r w:rsidR="00E700A6">
        <w:t>C</w:t>
      </w:r>
      <w:r w:rsidR="00E700A6" w:rsidRPr="00E700A6">
        <w:rPr>
          <w:vertAlign w:val="subscript"/>
        </w:rPr>
        <w:t>max</w:t>
      </w:r>
      <w:r w:rsidRPr="00BF4D9F">
        <w:rPr>
          <w:kern w:val="2"/>
        </w:rPr>
        <w:t>).</w:t>
      </w:r>
    </w:p>
    <w:p w14:paraId="2CDCABD1" w14:textId="77777777" w:rsidR="009E39B0" w:rsidRPr="00BF4D9F" w:rsidRDefault="009E39B0" w:rsidP="00F97771">
      <w:pPr>
        <w:pStyle w:val="Heading4"/>
      </w:pPr>
      <w:bookmarkStart w:id="52" w:name="_Toc294861724"/>
      <w:bookmarkStart w:id="53" w:name="_Toc295290866"/>
      <w:bookmarkStart w:id="54" w:name="_Toc504383104"/>
      <w:r w:rsidRPr="00BF4D9F">
        <w:t>Pharmacokinetics</w:t>
      </w:r>
      <w:bookmarkEnd w:id="52"/>
      <w:bookmarkEnd w:id="53"/>
      <w:bookmarkEnd w:id="54"/>
    </w:p>
    <w:p w14:paraId="28B83E8E" w14:textId="3E2676FD" w:rsidR="009E39B0" w:rsidRPr="0080247E" w:rsidRDefault="009E39B0" w:rsidP="00D06B00">
      <w:r w:rsidRPr="00BF4D9F">
        <w:t>Absorption after oral administration was rapid in mice, rats and dogs (</w:t>
      </w:r>
      <w:r w:rsidR="00D06B00">
        <w:t xml:space="preserve">time to </w:t>
      </w:r>
      <w:r w:rsidR="00E700A6">
        <w:t>C</w:t>
      </w:r>
      <w:r w:rsidR="00E700A6" w:rsidRPr="00E700A6">
        <w:rPr>
          <w:vertAlign w:val="subscript"/>
        </w:rPr>
        <w:t>max</w:t>
      </w:r>
      <w:r w:rsidR="00D06B00">
        <w:t xml:space="preserve"> (</w:t>
      </w:r>
      <w:r w:rsidR="00E700A6">
        <w:t>T</w:t>
      </w:r>
      <w:r w:rsidR="00E700A6" w:rsidRPr="00E700A6">
        <w:rPr>
          <w:vertAlign w:val="subscript"/>
        </w:rPr>
        <w:t>max</w:t>
      </w:r>
      <w:r w:rsidR="00D06B00">
        <w:t>)</w:t>
      </w:r>
      <w:r w:rsidRPr="00BF4D9F">
        <w:t xml:space="preserve"> </w:t>
      </w:r>
      <w:r w:rsidR="00D87593">
        <w:t xml:space="preserve">approximately </w:t>
      </w:r>
      <w:r w:rsidRPr="00BF4D9F">
        <w:t>0.5</w:t>
      </w:r>
      <w:r w:rsidR="00AD51CF">
        <w:t xml:space="preserve"> to </w:t>
      </w:r>
      <w:r w:rsidRPr="00BF4D9F">
        <w:t>2.5</w:t>
      </w:r>
      <w:r w:rsidRPr="00BF4D9F">
        <w:rPr>
          <w:w w:val="50"/>
        </w:rPr>
        <w:t xml:space="preserve"> </w:t>
      </w:r>
      <w:r w:rsidRPr="00BF4D9F">
        <w:t>h), as in humans (</w:t>
      </w:r>
      <w:r w:rsidR="00E700A6">
        <w:t>T</w:t>
      </w:r>
      <w:r w:rsidR="00E700A6" w:rsidRPr="00E700A6">
        <w:rPr>
          <w:vertAlign w:val="subscript"/>
        </w:rPr>
        <w:t>max</w:t>
      </w:r>
      <w:r w:rsidRPr="00BF4D9F">
        <w:t xml:space="preserve">, </w:t>
      </w:r>
      <w:r w:rsidRPr="0060285D">
        <w:t>1 h).</w:t>
      </w:r>
      <w:r w:rsidRPr="00BF4D9F">
        <w:t xml:space="preserve"> Bioavailability was high in mice (75</w:t>
      </w:r>
      <w:r w:rsidR="00AD51CF">
        <w:t xml:space="preserve"> to </w:t>
      </w:r>
      <w:r w:rsidRPr="00BF4D9F">
        <w:t>87%) and dogs (</w:t>
      </w:r>
      <w:r w:rsidR="00D87593">
        <w:t xml:space="preserve">approximately </w:t>
      </w:r>
      <w:r w:rsidRPr="00BF4D9F">
        <w:t>95%), virtually complete in humans (</w:t>
      </w:r>
      <w:r w:rsidR="00D87593">
        <w:t xml:space="preserve">approximately </w:t>
      </w:r>
      <w:r w:rsidRPr="00BF4D9F">
        <w:t>100%), and moderate in rats (67%).</w:t>
      </w:r>
      <w:r>
        <w:t xml:space="preserve"> Peak and overall exposure (</w:t>
      </w:r>
      <w:r w:rsidR="00E700A6">
        <w:t>C</w:t>
      </w:r>
      <w:r w:rsidR="00E700A6" w:rsidRPr="00E700A6">
        <w:rPr>
          <w:vertAlign w:val="subscript"/>
        </w:rPr>
        <w:t>max</w:t>
      </w:r>
      <w:r>
        <w:t xml:space="preserve"> and AUC) were generally dose</w:t>
      </w:r>
      <w:r w:rsidR="00D06B00">
        <w:t xml:space="preserve"> </w:t>
      </w:r>
      <w:r>
        <w:t xml:space="preserve">proportional but </w:t>
      </w:r>
      <w:r w:rsidR="00E700A6">
        <w:t>C</w:t>
      </w:r>
      <w:r w:rsidR="00E700A6" w:rsidRPr="00E700A6">
        <w:rPr>
          <w:vertAlign w:val="subscript"/>
        </w:rPr>
        <w:t>max</w:t>
      </w:r>
      <w:r>
        <w:t xml:space="preserve"> increased in a less than dose</w:t>
      </w:r>
      <w:r w:rsidR="00D06B00">
        <w:t xml:space="preserve"> </w:t>
      </w:r>
      <w:r>
        <w:t>proportional manner at the highest dose levels tested in rats (</w:t>
      </w:r>
      <w:r w:rsidR="00EB55BF">
        <w:t xml:space="preserve">≥ </w:t>
      </w:r>
      <w:r>
        <w:t>250</w:t>
      </w:r>
      <w:r w:rsidR="00E87327">
        <w:t xml:space="preserve"> </w:t>
      </w:r>
      <w:r w:rsidR="006D7D02">
        <w:t>mg</w:t>
      </w:r>
      <w:r>
        <w:t>/kg/day) and dogs (</w:t>
      </w:r>
      <w:r w:rsidR="00EB55BF">
        <w:t xml:space="preserve">≥ </w:t>
      </w:r>
      <w:r>
        <w:t>150</w:t>
      </w:r>
      <w:r w:rsidR="00E87327">
        <w:t xml:space="preserve"> </w:t>
      </w:r>
      <w:r w:rsidR="006D7D02">
        <w:t>mg</w:t>
      </w:r>
      <w:r>
        <w:t>/kg/day). Plasma half-life was shorter in laboratory animal species (2.7, 4.1 and 7.</w:t>
      </w:r>
      <w:r w:rsidRPr="0060285D">
        <w:t>5</w:t>
      </w:r>
      <w:r w:rsidR="00E87327" w:rsidRPr="0060285D">
        <w:t xml:space="preserve"> </w:t>
      </w:r>
      <w:r w:rsidRPr="0060285D">
        <w:t>h</w:t>
      </w:r>
      <w:r>
        <w:t xml:space="preserve"> in mice, rats and dogs, respectively) than in humans (16.</w:t>
      </w:r>
      <w:r w:rsidRPr="0060285D">
        <w:t>6 h</w:t>
      </w:r>
      <w:r>
        <w:t xml:space="preserve"> for type 2 diabetes mellitus patients with normal renal function). Consistent with this, no accumulation with repeat daily administration was evident in animals. Sex differences in </w:t>
      </w:r>
      <w:r w:rsidRPr="0080247E">
        <w:t xml:space="preserve">exposure were seen in rodents, with </w:t>
      </w:r>
      <w:r w:rsidR="00E700A6">
        <w:t>C</w:t>
      </w:r>
      <w:r w:rsidR="00E700A6" w:rsidRPr="00E700A6">
        <w:rPr>
          <w:vertAlign w:val="subscript"/>
        </w:rPr>
        <w:t>max</w:t>
      </w:r>
      <w:r>
        <w:t xml:space="preserve"> and </w:t>
      </w:r>
      <w:r w:rsidRPr="0080247E">
        <w:t xml:space="preserve">AUC tending to be higher in females </w:t>
      </w:r>
      <w:r w:rsidR="00D06B00">
        <w:t>compared to</w:t>
      </w:r>
      <w:r w:rsidRPr="0080247E">
        <w:rPr>
          <w:szCs w:val="18"/>
        </w:rPr>
        <w:t xml:space="preserve"> males </w:t>
      </w:r>
      <w:r w:rsidRPr="0080247E">
        <w:t>in mice and rats.</w:t>
      </w:r>
    </w:p>
    <w:p w14:paraId="3F4487F5" w14:textId="0DA8AAE4" w:rsidR="009E39B0" w:rsidRDefault="009E39B0" w:rsidP="00D06B00">
      <w:pPr>
        <w:rPr>
          <w:szCs w:val="18"/>
        </w:rPr>
      </w:pPr>
      <w:r w:rsidRPr="0080247E">
        <w:lastRenderedPageBreak/>
        <w:t>Plasma protein binding was high but variable</w:t>
      </w:r>
      <w:r w:rsidR="00D06B00" w:rsidRPr="00D06B00">
        <w:t xml:space="preserve"> </w:t>
      </w:r>
      <w:r w:rsidR="00D06B00" w:rsidRPr="0080247E">
        <w:t>in all species</w:t>
      </w:r>
      <w:r w:rsidRPr="0080247E">
        <w:t xml:space="preserve">: 95.5% in mice, 96.0% in rats, 92.9% in rabbits, 96.8% in dogs and 93.6% in humans. Because the free fraction was lower in the key nonclinical species </w:t>
      </w:r>
      <w:r w:rsidR="00D06B00">
        <w:t>compared to</w:t>
      </w:r>
      <w:r w:rsidRPr="0080247E">
        <w:rPr>
          <w:szCs w:val="18"/>
        </w:rPr>
        <w:t xml:space="preserve"> humans, exposure comparisons made here are based on amount of unbound ertugliflozin rather than total drug.</w:t>
      </w:r>
      <w:r>
        <w:rPr>
          <w:szCs w:val="18"/>
        </w:rPr>
        <w:t xml:space="preserve"> Red blood cell partitioning was similar across tested species (blood:</w:t>
      </w:r>
      <w:r w:rsidR="00D06B00">
        <w:rPr>
          <w:szCs w:val="18"/>
        </w:rPr>
        <w:t xml:space="preserve"> </w:t>
      </w:r>
      <w:r>
        <w:rPr>
          <w:szCs w:val="18"/>
        </w:rPr>
        <w:t xml:space="preserve">plasma ratios of 0.66, 0.58 and 0.66 for rats, dogs and humans, respectively). Volume of distribution was moderate and exceeded total body water in animals and humans. Accordingly, widespread tissue distribution of radioactivity was observed in rats after oral administration of </w:t>
      </w:r>
      <w:r w:rsidR="00D06B00">
        <w:rPr>
          <w:szCs w:val="18"/>
        </w:rPr>
        <w:t xml:space="preserve">radiolabelled </w:t>
      </w:r>
      <w:r w:rsidR="008D3F2B">
        <w:rPr>
          <w:szCs w:val="18"/>
        </w:rPr>
        <w:t>[</w:t>
      </w:r>
      <w:r w:rsidRPr="00F44CF9">
        <w:rPr>
          <w:szCs w:val="18"/>
          <w:vertAlign w:val="superscript"/>
        </w:rPr>
        <w:t>14</w:t>
      </w:r>
      <w:r>
        <w:rPr>
          <w:szCs w:val="18"/>
        </w:rPr>
        <w:t>C</w:t>
      </w:r>
      <w:r w:rsidR="008D3F2B">
        <w:rPr>
          <w:szCs w:val="18"/>
        </w:rPr>
        <w:t>]</w:t>
      </w:r>
      <w:r w:rsidR="00F14099">
        <w:rPr>
          <w:szCs w:val="18"/>
        </w:rPr>
        <w:t>-</w:t>
      </w:r>
      <w:r>
        <w:rPr>
          <w:szCs w:val="18"/>
        </w:rPr>
        <w:t>ertugliflozin, with highest exposure in the bladder, liver and kidney. Distribution to reproductive tissues was low in males and moderate in females. Penetration of the blood-brain barrier was low; distribution to bone was also low, and there was no evidence of binding to melanin.</w:t>
      </w:r>
    </w:p>
    <w:p w14:paraId="43208896" w14:textId="40D75C9D" w:rsidR="009E39B0" w:rsidRPr="00C91027" w:rsidRDefault="009E39B0" w:rsidP="00D06B00">
      <w:pPr>
        <w:rPr>
          <w:szCs w:val="18"/>
        </w:rPr>
      </w:pPr>
      <w:r>
        <w:rPr>
          <w:szCs w:val="18"/>
        </w:rPr>
        <w:t xml:space="preserve">Metabolism of ertugliflozin chiefly involved glucuronidation on the hydroxy groups of its modified glucose moiety, with additional minor contributions from oxidation reactions. </w:t>
      </w:r>
      <w:r w:rsidRPr="00D06B00">
        <w:rPr>
          <w:szCs w:val="18"/>
        </w:rPr>
        <w:t>In vitro</w:t>
      </w:r>
      <w:r>
        <w:rPr>
          <w:szCs w:val="18"/>
        </w:rPr>
        <w:t xml:space="preserve"> experiments with recombinant enzymes and human liver microsomes identified key roles for UGT1A9 and 2B7 in the glucuronidation of ertugliflozin, and CYP3A4, and to a much lesser extent, 3A5, 2D6 and 2C8, contributing to oxidation. Unchanged ertugliflozin was by far the dominant circulating species in humans and laboratory animal species. The 3-O-β and 2-O-β glucuronides of ertugliflozin </w:t>
      </w:r>
      <w:r w:rsidR="00AD51CF" w:rsidRPr="006D0B19">
        <w:t>(= </w:t>
      </w:r>
      <w:r w:rsidRPr="006D0B19">
        <w:t>metabolites</w:t>
      </w:r>
      <w:r>
        <w:rPr>
          <w:szCs w:val="18"/>
        </w:rPr>
        <w:t xml:space="preserve"> M5c and M5a) were the major circulating metabolites in humans (accounting for </w:t>
      </w:r>
      <w:r w:rsidR="00D87593">
        <w:rPr>
          <w:szCs w:val="18"/>
        </w:rPr>
        <w:t xml:space="preserve">approximately </w:t>
      </w:r>
      <w:r>
        <w:rPr>
          <w:szCs w:val="18"/>
        </w:rPr>
        <w:t xml:space="preserve">24% and 12% of </w:t>
      </w:r>
      <w:r w:rsidR="008D3F2B">
        <w:rPr>
          <w:szCs w:val="18"/>
        </w:rPr>
        <w:t>[</w:t>
      </w:r>
      <w:r w:rsidRPr="00EF5EDF">
        <w:rPr>
          <w:szCs w:val="18"/>
          <w:vertAlign w:val="superscript"/>
        </w:rPr>
        <w:t>14</w:t>
      </w:r>
      <w:r>
        <w:rPr>
          <w:szCs w:val="18"/>
        </w:rPr>
        <w:t>C</w:t>
      </w:r>
      <w:r w:rsidR="008D3F2B">
        <w:rPr>
          <w:szCs w:val="18"/>
        </w:rPr>
        <w:t>]</w:t>
      </w:r>
      <w:r w:rsidR="00AD51CF">
        <w:rPr>
          <w:szCs w:val="18"/>
        </w:rPr>
        <w:noBreakHyphen/>
      </w:r>
      <w:r>
        <w:rPr>
          <w:szCs w:val="18"/>
        </w:rPr>
        <w:t>ertugliflozin</w:t>
      </w:r>
      <w:r w:rsidR="00D06B00">
        <w:rPr>
          <w:szCs w:val="18"/>
        </w:rPr>
        <w:t xml:space="preserve"> </w:t>
      </w:r>
      <w:r>
        <w:rPr>
          <w:szCs w:val="18"/>
        </w:rPr>
        <w:t>derived radioactivity in plasma over 0</w:t>
      </w:r>
      <w:r w:rsidR="00AD51CF">
        <w:rPr>
          <w:szCs w:val="18"/>
        </w:rPr>
        <w:t xml:space="preserve"> to </w:t>
      </w:r>
      <w:r>
        <w:rPr>
          <w:szCs w:val="18"/>
        </w:rPr>
        <w:t>2</w:t>
      </w:r>
      <w:r w:rsidRPr="00E25FFB">
        <w:t>4 </w:t>
      </w:r>
      <w:r>
        <w:rPr>
          <w:szCs w:val="18"/>
        </w:rPr>
        <w:t xml:space="preserve">h </w:t>
      </w:r>
      <w:r w:rsidRPr="00EF5EDF">
        <w:rPr>
          <w:szCs w:val="18"/>
        </w:rPr>
        <w:t>post</w:t>
      </w:r>
      <w:r w:rsidRPr="00EF5EDF">
        <w:rPr>
          <w:szCs w:val="18"/>
        </w:rPr>
        <w:noBreakHyphen/>
      </w:r>
      <w:r>
        <w:rPr>
          <w:szCs w:val="18"/>
        </w:rPr>
        <w:t xml:space="preserve">dose </w:t>
      </w:r>
      <w:r w:rsidR="00D06B00">
        <w:rPr>
          <w:szCs w:val="18"/>
        </w:rPr>
        <w:t>compared to</w:t>
      </w:r>
      <w:r>
        <w:rPr>
          <w:szCs w:val="18"/>
        </w:rPr>
        <w:t xml:space="preserve"> </w:t>
      </w:r>
      <w:r w:rsidR="00D87593">
        <w:rPr>
          <w:szCs w:val="18"/>
        </w:rPr>
        <w:t xml:space="preserve">approximately </w:t>
      </w:r>
      <w:r>
        <w:rPr>
          <w:szCs w:val="18"/>
        </w:rPr>
        <w:t>50% for unchanged ertugliflozin). One or both of these were present in mouse, rat and dog plasma but at considerably lower levels. Given t</w:t>
      </w:r>
      <w:r w:rsidRPr="0088021D">
        <w:rPr>
          <w:szCs w:val="18"/>
        </w:rPr>
        <w:t>hese metabolites have minimal primary pharmacological activity and glucuronidation can be considered a detoxification step, this is not of significant concern</w:t>
      </w:r>
      <w:r>
        <w:rPr>
          <w:szCs w:val="18"/>
        </w:rPr>
        <w:t xml:space="preserve">. No unique human metabolites were observed. Chiral inversion of ertugliflozin was not apparent in plasma obtained from humans </w:t>
      </w:r>
      <w:r w:rsidRPr="00C91027">
        <w:rPr>
          <w:szCs w:val="18"/>
        </w:rPr>
        <w:t>given the drug.</w:t>
      </w:r>
    </w:p>
    <w:p w14:paraId="5224C060" w14:textId="77777777" w:rsidR="009E39B0" w:rsidRPr="00C91027" w:rsidRDefault="009E39B0" w:rsidP="00D06B00">
      <w:pPr>
        <w:rPr>
          <w:szCs w:val="18"/>
        </w:rPr>
      </w:pPr>
      <w:r w:rsidRPr="00C91027">
        <w:rPr>
          <w:szCs w:val="18"/>
        </w:rPr>
        <w:t>Excretion of ertugliflozin and its metabolites was predominantly via the faecal route in rats (</w:t>
      </w:r>
      <w:r w:rsidR="00D87593">
        <w:rPr>
          <w:szCs w:val="18"/>
        </w:rPr>
        <w:t xml:space="preserve">approximately </w:t>
      </w:r>
      <w:r w:rsidRPr="00C91027">
        <w:rPr>
          <w:szCs w:val="18"/>
        </w:rPr>
        <w:t>60%) and dogs (</w:t>
      </w:r>
      <w:r w:rsidR="00D87593">
        <w:rPr>
          <w:szCs w:val="18"/>
        </w:rPr>
        <w:t xml:space="preserve">approximately </w:t>
      </w:r>
      <w:r w:rsidRPr="00C91027">
        <w:rPr>
          <w:szCs w:val="18"/>
        </w:rPr>
        <w:t>85%), with urine playing a more major role in humans (</w:t>
      </w:r>
      <w:r w:rsidR="00D87593">
        <w:rPr>
          <w:szCs w:val="18"/>
        </w:rPr>
        <w:t xml:space="preserve">approximately </w:t>
      </w:r>
      <w:r w:rsidRPr="00C91027">
        <w:rPr>
          <w:szCs w:val="18"/>
        </w:rPr>
        <w:t>50%). Significant biliary excretion was demonstrated in both laboratory animal species.</w:t>
      </w:r>
    </w:p>
    <w:p w14:paraId="66F51391" w14:textId="77777777" w:rsidR="009E39B0" w:rsidRPr="00C91027" w:rsidRDefault="009E39B0" w:rsidP="00D06B00">
      <w:pPr>
        <w:rPr>
          <w:szCs w:val="18"/>
        </w:rPr>
      </w:pPr>
      <w:r w:rsidRPr="00C91027">
        <w:rPr>
          <w:szCs w:val="18"/>
        </w:rPr>
        <w:t xml:space="preserve">The pharmacokinetic profile of ertugliflozin in the laboratory animal species is seen to be sufficiently similar to that in humans to allow them to serve as </w:t>
      </w:r>
      <w:r w:rsidRPr="00C91027">
        <w:t>appropriate models for assessing ertugliflozin toxicity.</w:t>
      </w:r>
    </w:p>
    <w:p w14:paraId="62FC82B5" w14:textId="77777777" w:rsidR="009E39B0" w:rsidRPr="004505A9" w:rsidRDefault="009E39B0" w:rsidP="00D06B00">
      <w:pPr>
        <w:pStyle w:val="Heading5"/>
      </w:pPr>
      <w:bookmarkStart w:id="55" w:name="_Toc294861725"/>
      <w:r w:rsidRPr="004505A9">
        <w:t>Pharmacokinetic drug interactions</w:t>
      </w:r>
      <w:bookmarkEnd w:id="55"/>
      <w:r w:rsidRPr="004505A9">
        <w:rPr>
          <w:rStyle w:val="FootnoteReference"/>
          <w:kern w:val="2"/>
        </w:rPr>
        <w:footnoteReference w:id="12"/>
      </w:r>
    </w:p>
    <w:p w14:paraId="0C2F3C37" w14:textId="7370F3F8" w:rsidR="009E39B0" w:rsidRPr="007614BB" w:rsidRDefault="009E39B0" w:rsidP="00D06B00">
      <w:r w:rsidRPr="007614BB">
        <w:t xml:space="preserve">Neither ertugliflozin nor its major glucuronide metabolites exhibited significant inhibitory activity against a sufficiently comprehensive set of </w:t>
      </w:r>
      <w:r w:rsidR="00B91C8D" w:rsidRPr="00B91C8D">
        <w:t xml:space="preserve">cytochrome P450 </w:t>
      </w:r>
      <w:r w:rsidR="008D3F2B">
        <w:t xml:space="preserve">system </w:t>
      </w:r>
      <w:r w:rsidR="00B91C8D" w:rsidRPr="00B91C8D">
        <w:t xml:space="preserve">(CYP) isozymes </w:t>
      </w:r>
      <w:r w:rsidRPr="007614BB">
        <w:t xml:space="preserve">and </w:t>
      </w:r>
      <w:r w:rsidR="00B91C8D" w:rsidRPr="00B91C8D">
        <w:t xml:space="preserve">uridine diphospho-glucuronosyltransferase (UGT) </w:t>
      </w:r>
      <w:r w:rsidRPr="007614BB">
        <w:t xml:space="preserve">isozymes (CYP1A2, 2B6, 2C8, 2C9, 2C19, 2D6 and 3A4/5; UGT1A1, 1A4, 1A6, 1A9, 2B7 </w:t>
      </w:r>
      <w:r w:rsidR="008D3F2B" w:rsidRPr="007614BB">
        <w:t xml:space="preserve">and </w:t>
      </w:r>
      <w:r w:rsidR="008D3F2B">
        <w:t xml:space="preserve">(metabolites only) </w:t>
      </w:r>
      <w:r w:rsidRPr="007614BB">
        <w:t xml:space="preserve">2B15). The most sensitive target was </w:t>
      </w:r>
      <w:r>
        <w:t>UGT1A1, inhibited by ertugliflozin with an IC</w:t>
      </w:r>
      <w:r w:rsidRPr="002118CE">
        <w:rPr>
          <w:vertAlign w:val="subscript"/>
        </w:rPr>
        <w:t>50</w:t>
      </w:r>
      <w:r>
        <w:t xml:space="preserve"> of 39 µM. This concentration is almost 1000 times higher</w:t>
      </w:r>
      <w:r w:rsidRPr="007614BB">
        <w:t xml:space="preserve"> than the peak plasma concentration of unbound ertugliflozin in patients at the maximum recommended human dose (17.2</w:t>
      </w:r>
      <w:r w:rsidR="00AD51CF">
        <w:t> </w:t>
      </w:r>
      <w:r w:rsidRPr="007614BB">
        <w:t>ng/mL</w:t>
      </w:r>
      <w:r w:rsidR="00AD51CF">
        <w:t> </w:t>
      </w:r>
      <w:r w:rsidRPr="007614BB">
        <w:t>=</w:t>
      </w:r>
      <w:r w:rsidR="00AD51CF">
        <w:t> </w:t>
      </w:r>
      <w:r w:rsidRPr="007614BB">
        <w:t>39.3</w:t>
      </w:r>
      <w:r w:rsidR="00AD51CF">
        <w:t> </w:t>
      </w:r>
      <w:r w:rsidRPr="007614BB">
        <w:t xml:space="preserve">nM), indicating no clinical relevance. Experiments with cultured </w:t>
      </w:r>
      <w:r w:rsidRPr="007614BB">
        <w:lastRenderedPageBreak/>
        <w:t>human hepatocytes and a human hepatocyte cell line showed no significant induction of CYPs 1A2, 2B6 or 3A4 by ertugliflozin, M5a or M5c.</w:t>
      </w:r>
    </w:p>
    <w:p w14:paraId="0B25B106" w14:textId="4F4C6D53" w:rsidR="009E39B0" w:rsidRPr="00735F49" w:rsidRDefault="009E39B0" w:rsidP="00D06B00">
      <w:r w:rsidRPr="007614BB">
        <w:t>Ertugliflozin was shown to be a substrate of P</w:t>
      </w:r>
      <w:r w:rsidRPr="007614BB">
        <w:noBreakHyphen/>
        <w:t xml:space="preserve">glycoprotein and </w:t>
      </w:r>
      <w:r w:rsidR="00B91C8D">
        <w:t>breast cancer resistance protein (</w:t>
      </w:r>
      <w:r w:rsidRPr="007614BB">
        <w:t>BCRP</w:t>
      </w:r>
      <w:r w:rsidR="00B91C8D">
        <w:t>)</w:t>
      </w:r>
      <w:r w:rsidRPr="007614BB">
        <w:t xml:space="preserve"> and </w:t>
      </w:r>
      <w:r>
        <w:t xml:space="preserve">to </w:t>
      </w:r>
      <w:r w:rsidRPr="007614BB">
        <w:t xml:space="preserve">not be a substrate of human </w:t>
      </w:r>
      <w:r w:rsidR="00B91C8D">
        <w:t>organic anion transporters (</w:t>
      </w:r>
      <w:r w:rsidRPr="007614BB">
        <w:t>OAT</w:t>
      </w:r>
      <w:r w:rsidR="00B91C8D">
        <w:t xml:space="preserve">) </w:t>
      </w:r>
      <w:r w:rsidRPr="007614BB">
        <w:t xml:space="preserve">P1B1, OATP1B3, OATP2B1, </w:t>
      </w:r>
      <w:r w:rsidR="00B91C8D">
        <w:t>organic cation transporters (</w:t>
      </w:r>
      <w:r w:rsidRPr="007614BB">
        <w:t>OCT</w:t>
      </w:r>
      <w:r w:rsidR="00B91C8D">
        <w:t xml:space="preserve">) </w:t>
      </w:r>
      <w:r w:rsidRPr="007614BB">
        <w:t>1 (hepatic uptake transporters), OAT1, OAT3 or OCT2 (renal transporters). Weak inhibition of various transporters by ertugliflozin was shown; the most sensitive target was OATP1B1 (IC</w:t>
      </w:r>
      <w:r w:rsidRPr="007614BB">
        <w:rPr>
          <w:vertAlign w:val="subscript"/>
        </w:rPr>
        <w:t>50</w:t>
      </w:r>
      <w:r w:rsidRPr="007614BB">
        <w:t xml:space="preserve">, 35.4 µM; </w:t>
      </w:r>
      <w:r w:rsidR="00AD51CF">
        <w:t xml:space="preserve">&gt; </w:t>
      </w:r>
      <w:r w:rsidRPr="007614BB">
        <w:t>750 times higher than the maximum expected unbound drug concentration in the portal vein, 47 nM).</w:t>
      </w:r>
      <w:r>
        <w:t xml:space="preserve"> For inhibition of P-glycoprotein, the IC</w:t>
      </w:r>
      <w:r w:rsidRPr="00D359EC">
        <w:rPr>
          <w:vertAlign w:val="subscript"/>
        </w:rPr>
        <w:t>50</w:t>
      </w:r>
      <w:r>
        <w:t xml:space="preserve"> was 176 µM (</w:t>
      </w:r>
      <w:r w:rsidR="00D87593">
        <w:t xml:space="preserve">approximately </w:t>
      </w:r>
      <w:r>
        <w:t xml:space="preserve">4500 times higher than the peak plasma concentration of unbound ertugliflozin). </w:t>
      </w:r>
      <w:r w:rsidRPr="00735F49">
        <w:t xml:space="preserve">Metabolites M5a and M5c were weaker transporter inhibitors </w:t>
      </w:r>
      <w:r w:rsidR="00B91C8D">
        <w:t>compared to</w:t>
      </w:r>
      <w:r w:rsidRPr="00735F49">
        <w:rPr>
          <w:szCs w:val="18"/>
        </w:rPr>
        <w:t xml:space="preserve"> their parent.</w:t>
      </w:r>
    </w:p>
    <w:p w14:paraId="4004D8A5" w14:textId="77777777" w:rsidR="009E39B0" w:rsidRPr="00AD51CF" w:rsidRDefault="009E39B0">
      <w:pPr>
        <w:pStyle w:val="Heading4"/>
      </w:pPr>
      <w:bookmarkStart w:id="56" w:name="_Toc504383105"/>
      <w:r w:rsidRPr="00AD51CF">
        <w:t>Toxicity</w:t>
      </w:r>
      <w:bookmarkEnd w:id="56"/>
    </w:p>
    <w:p w14:paraId="14F804E4" w14:textId="77777777" w:rsidR="009E39B0" w:rsidRPr="00AD51CF" w:rsidRDefault="009E39B0">
      <w:pPr>
        <w:pStyle w:val="Heading5"/>
      </w:pPr>
      <w:bookmarkStart w:id="57" w:name="_Toc294861727"/>
      <w:r w:rsidRPr="00AD51CF">
        <w:t>Acute toxicity</w:t>
      </w:r>
      <w:bookmarkEnd w:id="57"/>
    </w:p>
    <w:p w14:paraId="09E0553B" w14:textId="2F85CB30" w:rsidR="009E39B0" w:rsidRPr="00F93363" w:rsidRDefault="00AD51CF" w:rsidP="00B91C8D">
      <w:r>
        <w:t>Single dose</w:t>
      </w:r>
      <w:r w:rsidR="009E39B0">
        <w:t xml:space="preserve"> toxicity studies were conducted by the </w:t>
      </w:r>
      <w:r w:rsidR="00B91C8D">
        <w:t>intravenous (</w:t>
      </w:r>
      <w:r w:rsidR="009E39B0">
        <w:t>IV</w:t>
      </w:r>
      <w:r w:rsidR="00B91C8D">
        <w:t>)</w:t>
      </w:r>
      <w:r w:rsidR="009E39B0">
        <w:t xml:space="preserve"> route in rats and by the PO route in dogs. There were no treatment-related deaths in either study (tested up to 100</w:t>
      </w:r>
      <w:r w:rsidR="00E87327">
        <w:t xml:space="preserve"> </w:t>
      </w:r>
      <w:r w:rsidR="006D7D02">
        <w:t>mg</w:t>
      </w:r>
      <w:r w:rsidR="009E39B0">
        <w:t xml:space="preserve">/kg IV in rats and </w:t>
      </w:r>
      <w:r w:rsidR="009E39B0" w:rsidRPr="00F93363">
        <w:t>500 </w:t>
      </w:r>
      <w:r w:rsidR="006D7D02">
        <w:t>mg</w:t>
      </w:r>
      <w:r w:rsidR="009E39B0" w:rsidRPr="00F93363">
        <w:t>/kg PO in dogs). Clinical signs were limited to white foamy emesis in dogs at the high</w:t>
      </w:r>
      <w:r w:rsidR="00B91C8D">
        <w:t xml:space="preserve"> </w:t>
      </w:r>
      <w:r w:rsidR="009E39B0" w:rsidRPr="00F93363">
        <w:t>dose level. The studies indicate a low order of acute toxicity for ertugliflozin.</w:t>
      </w:r>
    </w:p>
    <w:p w14:paraId="7E3266F6" w14:textId="3AD0CE53" w:rsidR="009E39B0" w:rsidRPr="00F93363" w:rsidRDefault="009E39B0" w:rsidP="00B91C8D">
      <w:pPr>
        <w:pStyle w:val="Heading5"/>
      </w:pPr>
      <w:bookmarkStart w:id="58" w:name="_Toc294861728"/>
      <w:r w:rsidRPr="00F93363">
        <w:t>Repeat</w:t>
      </w:r>
      <w:r w:rsidR="00AD51CF">
        <w:t xml:space="preserve"> </w:t>
      </w:r>
      <w:r w:rsidRPr="00F93363">
        <w:t>dose toxicity</w:t>
      </w:r>
      <w:bookmarkEnd w:id="58"/>
    </w:p>
    <w:p w14:paraId="6EA4E3D9" w14:textId="5C4DE392" w:rsidR="009E39B0" w:rsidRPr="00606AF9" w:rsidRDefault="009E39B0" w:rsidP="00B91C8D">
      <w:r w:rsidRPr="00F93363">
        <w:t>Repeat</w:t>
      </w:r>
      <w:r w:rsidR="00AD51CF">
        <w:t xml:space="preserve"> </w:t>
      </w:r>
      <w:r w:rsidRPr="00F93363">
        <w:t xml:space="preserve">dose toxicity studies of up to 3 months duration were conducted in mice, 6 months in rats and 9 months in dogs. All involved once daily administration by the clinical route (oral). The pivotal </w:t>
      </w:r>
      <w:r w:rsidRPr="00606AF9">
        <w:t>studies were adequately conducted in terms of the species used (rats and dogs), duration, dose selection, and the monitoring and analyses performed.</w:t>
      </w:r>
    </w:p>
    <w:p w14:paraId="46C5FF08" w14:textId="77777777" w:rsidR="009E39B0" w:rsidRPr="00606AF9" w:rsidRDefault="009E39B0" w:rsidP="00B91C8D">
      <w:pPr>
        <w:pStyle w:val="Heading6"/>
      </w:pPr>
      <w:r w:rsidRPr="00606AF9">
        <w:t>Relative exposure</w:t>
      </w:r>
    </w:p>
    <w:p w14:paraId="34D5B1D8" w14:textId="77777777" w:rsidR="009E39B0" w:rsidRDefault="009E39B0" w:rsidP="00B91C8D">
      <w:r w:rsidRPr="00606AF9">
        <w:t>Exposure ratios have been calculated based on animal:</w:t>
      </w:r>
      <w:r w:rsidR="00B91C8D">
        <w:t xml:space="preserve"> </w:t>
      </w:r>
      <w:r w:rsidRPr="00606AF9">
        <w:t>human plasma AUC</w:t>
      </w:r>
      <w:r w:rsidRPr="00606AF9">
        <w:rPr>
          <w:vertAlign w:val="subscript"/>
        </w:rPr>
        <w:t>0–24</w:t>
      </w:r>
      <w:r w:rsidRPr="00606AF9">
        <w:rPr>
          <w:w w:val="50"/>
          <w:vertAlign w:val="subscript"/>
        </w:rPr>
        <w:t> </w:t>
      </w:r>
      <w:r w:rsidRPr="00606AF9">
        <w:rPr>
          <w:vertAlign w:val="subscript"/>
        </w:rPr>
        <w:t>h</w:t>
      </w:r>
      <w:r w:rsidRPr="00606AF9">
        <w:t xml:space="preserve"> for unbound ertugliflozin.</w:t>
      </w:r>
      <w:r>
        <w:t xml:space="preserve"> Due to limited toxicokinetic sampling, AUC values for the mouse carcinogenicity study are from the 3</w:t>
      </w:r>
      <w:r w:rsidR="00B91C8D">
        <w:t xml:space="preserve"> </w:t>
      </w:r>
      <w:r>
        <w:t>month repeat-dose toxicity study in the species (interpolated for the mid-dose level). Very high multiples of the clinical exposure to unbound ertugliflozin w</w:t>
      </w:r>
      <w:r w:rsidR="005372D5">
        <w:t>as</w:t>
      </w:r>
      <w:r>
        <w:t xml:space="preserve"> obtained at the upper dose levels tested.</w:t>
      </w:r>
    </w:p>
    <w:p w14:paraId="05148071" w14:textId="4A7992AF" w:rsidR="009E39B0" w:rsidRPr="00606AF9" w:rsidRDefault="009E39B0" w:rsidP="009E39B0">
      <w:pPr>
        <w:pStyle w:val="TableTitle"/>
      </w:pPr>
      <w:r w:rsidRPr="00606AF9">
        <w:t xml:space="preserve">Table </w:t>
      </w:r>
      <w:r w:rsidR="00E55ACA">
        <w:t>13:</w:t>
      </w:r>
      <w:r w:rsidR="0066725A">
        <w:rPr>
          <w:w w:val="50"/>
        </w:rPr>
        <w:t xml:space="preserve"> </w:t>
      </w:r>
      <w:r w:rsidRPr="00606AF9">
        <w:t xml:space="preserve">Relative exposure in selected repeat-dose toxicity and </w:t>
      </w:r>
      <w:r>
        <w:t xml:space="preserve">rodent </w:t>
      </w:r>
      <w:r w:rsidRPr="00606AF9">
        <w:t>carcinogenicity studies</w:t>
      </w:r>
      <w:bookmarkStart w:id="59" w:name="RelExp"/>
      <w:bookmarkEnd w:id="59"/>
    </w:p>
    <w:tbl>
      <w:tblPr>
        <w:tblStyle w:val="TableTGAblue"/>
        <w:tblW w:w="8668" w:type="dxa"/>
        <w:tblLayout w:type="fixed"/>
        <w:tblLook w:val="01E0" w:firstRow="1" w:lastRow="1" w:firstColumn="1" w:lastColumn="1" w:noHBand="0" w:noVBand="0"/>
      </w:tblPr>
      <w:tblGrid>
        <w:gridCol w:w="817"/>
        <w:gridCol w:w="709"/>
        <w:gridCol w:w="1417"/>
        <w:gridCol w:w="1209"/>
        <w:gridCol w:w="786"/>
        <w:gridCol w:w="788"/>
        <w:gridCol w:w="773"/>
        <w:gridCol w:w="775"/>
        <w:gridCol w:w="697"/>
        <w:gridCol w:w="697"/>
      </w:tblGrid>
      <w:tr w:rsidR="009E39B0" w:rsidRPr="00B91C8D" w14:paraId="5C93E629" w14:textId="77777777" w:rsidTr="00CD18ED">
        <w:trPr>
          <w:cnfStyle w:val="100000000000" w:firstRow="1" w:lastRow="0" w:firstColumn="0" w:lastColumn="0" w:oddVBand="0" w:evenVBand="0" w:oddHBand="0" w:evenHBand="0" w:firstRowFirstColumn="0" w:firstRowLastColumn="0" w:lastRowFirstColumn="0" w:lastRowLastColumn="0"/>
          <w:cantSplit/>
          <w:trHeight w:val="282"/>
        </w:trPr>
        <w:tc>
          <w:tcPr>
            <w:tcW w:w="1526" w:type="dxa"/>
            <w:gridSpan w:val="2"/>
            <w:vMerge w:val="restart"/>
          </w:tcPr>
          <w:p w14:paraId="7E9021C6" w14:textId="77777777" w:rsidR="009E39B0" w:rsidRPr="00B91C8D" w:rsidRDefault="009E39B0" w:rsidP="008D3F2B">
            <w:pPr>
              <w:ind w:left="0" w:right="0"/>
              <w:rPr>
                <w:sz w:val="18"/>
                <w:szCs w:val="18"/>
              </w:rPr>
            </w:pPr>
            <w:r w:rsidRPr="00B91C8D">
              <w:rPr>
                <w:sz w:val="18"/>
                <w:szCs w:val="18"/>
              </w:rPr>
              <w:t>Species</w:t>
            </w:r>
          </w:p>
        </w:tc>
        <w:tc>
          <w:tcPr>
            <w:tcW w:w="1417" w:type="dxa"/>
            <w:vMerge w:val="restart"/>
          </w:tcPr>
          <w:p w14:paraId="7A6CA801" w14:textId="77777777" w:rsidR="009E39B0" w:rsidRPr="00B91C8D" w:rsidRDefault="009E39B0" w:rsidP="008D3F2B">
            <w:pPr>
              <w:ind w:left="0" w:right="0"/>
              <w:rPr>
                <w:sz w:val="18"/>
                <w:szCs w:val="18"/>
              </w:rPr>
            </w:pPr>
            <w:r w:rsidRPr="00B91C8D">
              <w:rPr>
                <w:sz w:val="18"/>
                <w:szCs w:val="18"/>
              </w:rPr>
              <w:t>Study</w:t>
            </w:r>
          </w:p>
        </w:tc>
        <w:tc>
          <w:tcPr>
            <w:tcW w:w="1209" w:type="dxa"/>
            <w:vMerge w:val="restart"/>
          </w:tcPr>
          <w:p w14:paraId="357630F7" w14:textId="79EBFF72" w:rsidR="009E39B0" w:rsidRPr="00B91C8D" w:rsidRDefault="009E39B0" w:rsidP="008D3F2B">
            <w:pPr>
              <w:ind w:left="0" w:right="0"/>
              <w:rPr>
                <w:sz w:val="18"/>
                <w:szCs w:val="18"/>
              </w:rPr>
            </w:pPr>
            <w:r w:rsidRPr="00B91C8D">
              <w:rPr>
                <w:sz w:val="18"/>
                <w:szCs w:val="18"/>
              </w:rPr>
              <w:t>Dose</w:t>
            </w:r>
            <w:r w:rsidR="00AD51CF">
              <w:rPr>
                <w:sz w:val="18"/>
                <w:szCs w:val="18"/>
              </w:rPr>
              <w:t xml:space="preserve"> </w:t>
            </w:r>
            <w:r w:rsidR="006D7D02">
              <w:rPr>
                <w:sz w:val="18"/>
                <w:szCs w:val="18"/>
              </w:rPr>
              <w:t>mg</w:t>
            </w:r>
            <w:r w:rsidRPr="00B91C8D">
              <w:rPr>
                <w:sz w:val="18"/>
                <w:szCs w:val="18"/>
              </w:rPr>
              <w:t>/kg/day</w:t>
            </w:r>
          </w:p>
        </w:tc>
        <w:tc>
          <w:tcPr>
            <w:tcW w:w="3122" w:type="dxa"/>
            <w:gridSpan w:val="4"/>
          </w:tcPr>
          <w:p w14:paraId="12413E4A" w14:textId="77777777" w:rsidR="009E39B0" w:rsidRPr="00B91C8D" w:rsidRDefault="009E39B0" w:rsidP="008D3F2B">
            <w:pPr>
              <w:ind w:left="0" w:right="0"/>
              <w:rPr>
                <w:sz w:val="18"/>
                <w:szCs w:val="18"/>
              </w:rPr>
            </w:pPr>
            <w:r w:rsidRPr="00B91C8D">
              <w:rPr>
                <w:sz w:val="18"/>
                <w:szCs w:val="18"/>
              </w:rPr>
              <w:t>AUC</w:t>
            </w:r>
            <w:r w:rsidRPr="00B91C8D">
              <w:rPr>
                <w:sz w:val="18"/>
                <w:szCs w:val="18"/>
                <w:vertAlign w:val="subscript"/>
              </w:rPr>
              <w:t>0–24</w:t>
            </w:r>
            <w:r w:rsidRPr="00B91C8D">
              <w:rPr>
                <w:w w:val="50"/>
                <w:sz w:val="18"/>
                <w:szCs w:val="18"/>
                <w:vertAlign w:val="subscript"/>
              </w:rPr>
              <w:t> </w:t>
            </w:r>
            <w:r w:rsidRPr="00B91C8D">
              <w:rPr>
                <w:sz w:val="18"/>
                <w:szCs w:val="18"/>
                <w:vertAlign w:val="subscript"/>
              </w:rPr>
              <w:t>h</w:t>
            </w:r>
            <w:r w:rsidRPr="00B91C8D">
              <w:rPr>
                <w:sz w:val="18"/>
                <w:szCs w:val="18"/>
              </w:rPr>
              <w:t xml:space="preserve"> (μg∙h/mL)</w:t>
            </w:r>
            <w:r w:rsidRPr="00B91C8D">
              <w:rPr>
                <w:sz w:val="18"/>
                <w:szCs w:val="18"/>
                <w:vertAlign w:val="superscript"/>
              </w:rPr>
              <w:t>^</w:t>
            </w:r>
          </w:p>
        </w:tc>
        <w:tc>
          <w:tcPr>
            <w:tcW w:w="1394" w:type="dxa"/>
            <w:gridSpan w:val="2"/>
            <w:vMerge w:val="restart"/>
          </w:tcPr>
          <w:p w14:paraId="3B30DCD0" w14:textId="1EEA232C" w:rsidR="00DD7FF1" w:rsidRPr="00B91C8D" w:rsidRDefault="009E39B0" w:rsidP="008D3F2B">
            <w:pPr>
              <w:ind w:left="0" w:right="0"/>
              <w:rPr>
                <w:sz w:val="18"/>
                <w:szCs w:val="18"/>
              </w:rPr>
            </w:pPr>
            <w:r w:rsidRPr="00B91C8D">
              <w:rPr>
                <w:sz w:val="18"/>
                <w:szCs w:val="18"/>
              </w:rPr>
              <w:t>Exposure</w:t>
            </w:r>
            <w:r w:rsidR="00AD51CF">
              <w:rPr>
                <w:sz w:val="18"/>
                <w:szCs w:val="18"/>
              </w:rPr>
              <w:t xml:space="preserve"> </w:t>
            </w:r>
            <w:r w:rsidRPr="00B91C8D">
              <w:rPr>
                <w:sz w:val="18"/>
                <w:szCs w:val="18"/>
              </w:rPr>
              <w:t>ratio</w:t>
            </w:r>
            <w:r w:rsidRPr="00B91C8D">
              <w:rPr>
                <w:sz w:val="18"/>
                <w:szCs w:val="18"/>
                <w:vertAlign w:val="superscript"/>
              </w:rPr>
              <w:t>#</w:t>
            </w:r>
          </w:p>
        </w:tc>
      </w:tr>
      <w:tr w:rsidR="009E39B0" w:rsidRPr="00B91C8D" w14:paraId="50E27164" w14:textId="77777777" w:rsidTr="00CD18ED">
        <w:trPr>
          <w:cantSplit/>
          <w:trHeight w:val="104"/>
        </w:trPr>
        <w:tc>
          <w:tcPr>
            <w:tcW w:w="1526" w:type="dxa"/>
            <w:gridSpan w:val="2"/>
            <w:vMerge/>
          </w:tcPr>
          <w:p w14:paraId="30F1A17D" w14:textId="77777777" w:rsidR="009E39B0" w:rsidRPr="00B91C8D" w:rsidRDefault="009E39B0" w:rsidP="008D3F2B">
            <w:pPr>
              <w:ind w:left="0" w:right="0"/>
              <w:rPr>
                <w:sz w:val="18"/>
                <w:szCs w:val="18"/>
              </w:rPr>
            </w:pPr>
          </w:p>
        </w:tc>
        <w:tc>
          <w:tcPr>
            <w:tcW w:w="1417" w:type="dxa"/>
            <w:vMerge/>
          </w:tcPr>
          <w:p w14:paraId="40CD1625" w14:textId="77777777" w:rsidR="009E39B0" w:rsidRPr="00B91C8D" w:rsidRDefault="009E39B0" w:rsidP="008D3F2B">
            <w:pPr>
              <w:ind w:left="0" w:right="0"/>
              <w:rPr>
                <w:sz w:val="18"/>
                <w:szCs w:val="18"/>
              </w:rPr>
            </w:pPr>
          </w:p>
        </w:tc>
        <w:tc>
          <w:tcPr>
            <w:tcW w:w="1209" w:type="dxa"/>
            <w:vMerge/>
          </w:tcPr>
          <w:p w14:paraId="16D76C33" w14:textId="77777777" w:rsidR="009E39B0" w:rsidRPr="00B91C8D" w:rsidRDefault="009E39B0" w:rsidP="008D3F2B">
            <w:pPr>
              <w:ind w:left="0" w:right="0"/>
              <w:rPr>
                <w:sz w:val="18"/>
                <w:szCs w:val="18"/>
              </w:rPr>
            </w:pPr>
          </w:p>
        </w:tc>
        <w:tc>
          <w:tcPr>
            <w:tcW w:w="1574" w:type="dxa"/>
            <w:gridSpan w:val="2"/>
          </w:tcPr>
          <w:p w14:paraId="615EA370" w14:textId="77777777" w:rsidR="009E39B0" w:rsidRPr="00B91C8D" w:rsidRDefault="009E39B0" w:rsidP="008D3F2B">
            <w:pPr>
              <w:ind w:left="0" w:right="0"/>
              <w:rPr>
                <w:sz w:val="18"/>
                <w:szCs w:val="18"/>
              </w:rPr>
            </w:pPr>
            <w:r w:rsidRPr="00B91C8D">
              <w:rPr>
                <w:sz w:val="18"/>
                <w:szCs w:val="18"/>
              </w:rPr>
              <w:t>Total</w:t>
            </w:r>
          </w:p>
        </w:tc>
        <w:tc>
          <w:tcPr>
            <w:tcW w:w="1548" w:type="dxa"/>
            <w:gridSpan w:val="2"/>
          </w:tcPr>
          <w:p w14:paraId="06B0E166" w14:textId="77777777" w:rsidR="009E39B0" w:rsidRPr="00B91C8D" w:rsidRDefault="009E39B0" w:rsidP="008D3F2B">
            <w:pPr>
              <w:ind w:left="0" w:right="0"/>
              <w:rPr>
                <w:sz w:val="18"/>
                <w:szCs w:val="18"/>
              </w:rPr>
            </w:pPr>
            <w:r w:rsidRPr="00B91C8D">
              <w:rPr>
                <w:sz w:val="18"/>
                <w:szCs w:val="18"/>
              </w:rPr>
              <w:t>Unbound</w:t>
            </w:r>
          </w:p>
        </w:tc>
        <w:tc>
          <w:tcPr>
            <w:tcW w:w="1394" w:type="dxa"/>
            <w:gridSpan w:val="2"/>
            <w:vMerge/>
          </w:tcPr>
          <w:p w14:paraId="4AC3B423" w14:textId="77777777" w:rsidR="009E39B0" w:rsidRPr="00B91C8D" w:rsidRDefault="009E39B0" w:rsidP="008D3F2B">
            <w:pPr>
              <w:ind w:left="0" w:right="0"/>
              <w:rPr>
                <w:sz w:val="18"/>
                <w:szCs w:val="18"/>
              </w:rPr>
            </w:pPr>
          </w:p>
        </w:tc>
      </w:tr>
      <w:tr w:rsidR="009E39B0" w:rsidRPr="00B91C8D" w14:paraId="2B305D2A" w14:textId="77777777" w:rsidTr="00CD18ED">
        <w:trPr>
          <w:cantSplit/>
          <w:trHeight w:val="104"/>
        </w:trPr>
        <w:tc>
          <w:tcPr>
            <w:tcW w:w="1526" w:type="dxa"/>
            <w:gridSpan w:val="2"/>
            <w:vMerge/>
          </w:tcPr>
          <w:p w14:paraId="1A24D888" w14:textId="77777777" w:rsidR="009E39B0" w:rsidRPr="00B91C8D" w:rsidRDefault="009E39B0" w:rsidP="008D3F2B">
            <w:pPr>
              <w:ind w:left="0" w:right="0"/>
              <w:rPr>
                <w:sz w:val="18"/>
                <w:szCs w:val="18"/>
              </w:rPr>
            </w:pPr>
          </w:p>
        </w:tc>
        <w:tc>
          <w:tcPr>
            <w:tcW w:w="1417" w:type="dxa"/>
            <w:vMerge/>
          </w:tcPr>
          <w:p w14:paraId="12938CA9" w14:textId="77777777" w:rsidR="009E39B0" w:rsidRPr="00B91C8D" w:rsidRDefault="009E39B0" w:rsidP="008D3F2B">
            <w:pPr>
              <w:ind w:left="0" w:right="0"/>
              <w:rPr>
                <w:sz w:val="18"/>
                <w:szCs w:val="18"/>
              </w:rPr>
            </w:pPr>
          </w:p>
        </w:tc>
        <w:tc>
          <w:tcPr>
            <w:tcW w:w="1209" w:type="dxa"/>
            <w:vMerge/>
          </w:tcPr>
          <w:p w14:paraId="4187EC29" w14:textId="77777777" w:rsidR="009E39B0" w:rsidRPr="00B91C8D" w:rsidRDefault="009E39B0" w:rsidP="008D3F2B">
            <w:pPr>
              <w:ind w:left="0" w:right="0"/>
              <w:rPr>
                <w:sz w:val="18"/>
                <w:szCs w:val="18"/>
              </w:rPr>
            </w:pPr>
          </w:p>
        </w:tc>
        <w:tc>
          <w:tcPr>
            <w:tcW w:w="786" w:type="dxa"/>
          </w:tcPr>
          <w:p w14:paraId="167BC6A6" w14:textId="77777777" w:rsidR="009E39B0" w:rsidRPr="00B91C8D" w:rsidRDefault="009E39B0" w:rsidP="008D3F2B">
            <w:pPr>
              <w:ind w:left="0" w:right="0"/>
              <w:rPr>
                <w:sz w:val="18"/>
                <w:szCs w:val="18"/>
              </w:rPr>
            </w:pPr>
            <w:r w:rsidRPr="00B91C8D">
              <w:rPr>
                <w:sz w:val="18"/>
                <w:szCs w:val="18"/>
              </w:rPr>
              <w:t>M</w:t>
            </w:r>
          </w:p>
        </w:tc>
        <w:tc>
          <w:tcPr>
            <w:tcW w:w="788" w:type="dxa"/>
          </w:tcPr>
          <w:p w14:paraId="25809B68" w14:textId="77777777" w:rsidR="009E39B0" w:rsidRPr="00B91C8D" w:rsidRDefault="009E39B0" w:rsidP="008D3F2B">
            <w:pPr>
              <w:ind w:left="0" w:right="0"/>
              <w:rPr>
                <w:sz w:val="18"/>
                <w:szCs w:val="18"/>
              </w:rPr>
            </w:pPr>
            <w:r w:rsidRPr="00B91C8D">
              <w:rPr>
                <w:sz w:val="18"/>
                <w:szCs w:val="18"/>
              </w:rPr>
              <w:t>F</w:t>
            </w:r>
          </w:p>
        </w:tc>
        <w:tc>
          <w:tcPr>
            <w:tcW w:w="773" w:type="dxa"/>
          </w:tcPr>
          <w:p w14:paraId="51D6BB19" w14:textId="77777777" w:rsidR="009E39B0" w:rsidRPr="00B91C8D" w:rsidRDefault="009E39B0" w:rsidP="008D3F2B">
            <w:pPr>
              <w:ind w:left="0" w:right="0"/>
              <w:rPr>
                <w:sz w:val="18"/>
                <w:szCs w:val="18"/>
              </w:rPr>
            </w:pPr>
            <w:r w:rsidRPr="00B91C8D">
              <w:rPr>
                <w:sz w:val="18"/>
                <w:szCs w:val="18"/>
              </w:rPr>
              <w:t>M</w:t>
            </w:r>
          </w:p>
        </w:tc>
        <w:tc>
          <w:tcPr>
            <w:tcW w:w="775" w:type="dxa"/>
          </w:tcPr>
          <w:p w14:paraId="35D49183" w14:textId="77777777" w:rsidR="009E39B0" w:rsidRPr="00B91C8D" w:rsidRDefault="009E39B0" w:rsidP="008D3F2B">
            <w:pPr>
              <w:ind w:left="0" w:right="0"/>
              <w:rPr>
                <w:sz w:val="18"/>
                <w:szCs w:val="18"/>
              </w:rPr>
            </w:pPr>
            <w:r w:rsidRPr="00B91C8D">
              <w:rPr>
                <w:sz w:val="18"/>
                <w:szCs w:val="18"/>
              </w:rPr>
              <w:t>F</w:t>
            </w:r>
          </w:p>
        </w:tc>
        <w:tc>
          <w:tcPr>
            <w:tcW w:w="697" w:type="dxa"/>
          </w:tcPr>
          <w:p w14:paraId="36DF29DA" w14:textId="77777777" w:rsidR="009E39B0" w:rsidRPr="00B91C8D" w:rsidRDefault="009E39B0" w:rsidP="008D3F2B">
            <w:pPr>
              <w:ind w:left="0" w:right="0"/>
              <w:rPr>
                <w:sz w:val="18"/>
                <w:szCs w:val="18"/>
              </w:rPr>
            </w:pPr>
            <w:r w:rsidRPr="00B91C8D">
              <w:rPr>
                <w:sz w:val="18"/>
                <w:szCs w:val="18"/>
              </w:rPr>
              <w:t>M</w:t>
            </w:r>
          </w:p>
        </w:tc>
        <w:tc>
          <w:tcPr>
            <w:tcW w:w="697" w:type="dxa"/>
          </w:tcPr>
          <w:p w14:paraId="2A55732D" w14:textId="77777777" w:rsidR="009E39B0" w:rsidRPr="00B91C8D" w:rsidRDefault="009E39B0" w:rsidP="008D3F2B">
            <w:pPr>
              <w:ind w:left="0" w:right="0"/>
              <w:rPr>
                <w:sz w:val="18"/>
                <w:szCs w:val="18"/>
              </w:rPr>
            </w:pPr>
            <w:r w:rsidRPr="00B91C8D">
              <w:rPr>
                <w:sz w:val="18"/>
                <w:szCs w:val="18"/>
              </w:rPr>
              <w:t>F</w:t>
            </w:r>
          </w:p>
        </w:tc>
      </w:tr>
      <w:tr w:rsidR="009E39B0" w:rsidRPr="00B91C8D" w14:paraId="255578EE" w14:textId="77777777" w:rsidTr="00CD18ED">
        <w:trPr>
          <w:trHeight w:val="253"/>
        </w:trPr>
        <w:tc>
          <w:tcPr>
            <w:tcW w:w="817" w:type="dxa"/>
            <w:vMerge w:val="restart"/>
          </w:tcPr>
          <w:p w14:paraId="7972E999" w14:textId="77777777" w:rsidR="009E39B0" w:rsidRPr="00B91C8D" w:rsidRDefault="009E39B0" w:rsidP="008D3F2B">
            <w:pPr>
              <w:ind w:left="0" w:right="0"/>
              <w:rPr>
                <w:b/>
                <w:kern w:val="2"/>
                <w:sz w:val="18"/>
                <w:szCs w:val="18"/>
              </w:rPr>
            </w:pPr>
            <w:r w:rsidRPr="00B91C8D">
              <w:rPr>
                <w:b/>
                <w:kern w:val="2"/>
                <w:sz w:val="18"/>
                <w:szCs w:val="18"/>
              </w:rPr>
              <w:t>Mouse</w:t>
            </w:r>
          </w:p>
        </w:tc>
        <w:tc>
          <w:tcPr>
            <w:tcW w:w="709" w:type="dxa"/>
            <w:vMerge w:val="restart"/>
          </w:tcPr>
          <w:p w14:paraId="48788E83" w14:textId="77777777" w:rsidR="009E39B0" w:rsidRPr="00B91C8D" w:rsidRDefault="00097566" w:rsidP="008D3F2B">
            <w:pPr>
              <w:ind w:left="0" w:right="0"/>
              <w:rPr>
                <w:kern w:val="2"/>
                <w:sz w:val="18"/>
                <w:szCs w:val="18"/>
              </w:rPr>
            </w:pPr>
            <w:r>
              <w:rPr>
                <w:kern w:val="2"/>
                <w:sz w:val="18"/>
                <w:szCs w:val="18"/>
              </w:rPr>
              <w:t>wt rasH2</w:t>
            </w:r>
          </w:p>
        </w:tc>
        <w:tc>
          <w:tcPr>
            <w:tcW w:w="1417" w:type="dxa"/>
            <w:vMerge w:val="restart"/>
          </w:tcPr>
          <w:p w14:paraId="54002210" w14:textId="77777777" w:rsidR="009E39B0" w:rsidRPr="00B91C8D" w:rsidRDefault="009E39B0" w:rsidP="008D3F2B">
            <w:pPr>
              <w:ind w:left="0" w:right="0"/>
              <w:rPr>
                <w:kern w:val="2"/>
                <w:sz w:val="18"/>
                <w:szCs w:val="18"/>
              </w:rPr>
            </w:pPr>
            <w:r w:rsidRPr="00B91C8D">
              <w:rPr>
                <w:kern w:val="2"/>
                <w:sz w:val="18"/>
                <w:szCs w:val="18"/>
              </w:rPr>
              <w:t>1 month</w:t>
            </w:r>
          </w:p>
          <w:p w14:paraId="24279DED" w14:textId="77777777" w:rsidR="009E39B0" w:rsidRPr="00B91C8D" w:rsidRDefault="009E39B0" w:rsidP="008D3F2B">
            <w:pPr>
              <w:ind w:left="0" w:right="0"/>
              <w:rPr>
                <w:kern w:val="2"/>
                <w:sz w:val="18"/>
                <w:szCs w:val="18"/>
              </w:rPr>
            </w:pPr>
            <w:r w:rsidRPr="00B91C8D">
              <w:rPr>
                <w:kern w:val="2"/>
                <w:sz w:val="18"/>
                <w:szCs w:val="18"/>
              </w:rPr>
              <w:t>[TT137801]</w:t>
            </w:r>
          </w:p>
        </w:tc>
        <w:tc>
          <w:tcPr>
            <w:tcW w:w="1209" w:type="dxa"/>
          </w:tcPr>
          <w:p w14:paraId="1EE245F8" w14:textId="77777777" w:rsidR="009E39B0" w:rsidRPr="00B91C8D" w:rsidRDefault="009E39B0" w:rsidP="008D3F2B">
            <w:pPr>
              <w:ind w:left="0" w:right="0"/>
              <w:rPr>
                <w:kern w:val="2"/>
                <w:sz w:val="18"/>
                <w:szCs w:val="18"/>
              </w:rPr>
            </w:pPr>
            <w:r w:rsidRPr="00B91C8D">
              <w:rPr>
                <w:kern w:val="2"/>
                <w:sz w:val="18"/>
                <w:szCs w:val="18"/>
              </w:rPr>
              <w:t>3</w:t>
            </w:r>
          </w:p>
        </w:tc>
        <w:tc>
          <w:tcPr>
            <w:tcW w:w="786" w:type="dxa"/>
          </w:tcPr>
          <w:p w14:paraId="69A30FC3" w14:textId="77777777" w:rsidR="009E39B0" w:rsidRPr="00B91C8D" w:rsidRDefault="009E39B0" w:rsidP="008D3F2B">
            <w:pPr>
              <w:ind w:left="0" w:right="0"/>
              <w:rPr>
                <w:kern w:val="2"/>
                <w:sz w:val="18"/>
                <w:szCs w:val="18"/>
              </w:rPr>
            </w:pPr>
            <w:r w:rsidRPr="00B91C8D">
              <w:rPr>
                <w:kern w:val="2"/>
                <w:sz w:val="18"/>
                <w:szCs w:val="18"/>
              </w:rPr>
              <w:t>3.77</w:t>
            </w:r>
          </w:p>
        </w:tc>
        <w:tc>
          <w:tcPr>
            <w:tcW w:w="788" w:type="dxa"/>
          </w:tcPr>
          <w:p w14:paraId="2FA08F6C" w14:textId="77777777" w:rsidR="009E39B0" w:rsidRPr="00B91C8D" w:rsidRDefault="009E39B0" w:rsidP="008D3F2B">
            <w:pPr>
              <w:ind w:left="0" w:right="0"/>
              <w:rPr>
                <w:kern w:val="2"/>
                <w:sz w:val="18"/>
                <w:szCs w:val="18"/>
              </w:rPr>
            </w:pPr>
            <w:r w:rsidRPr="00B91C8D">
              <w:rPr>
                <w:kern w:val="2"/>
                <w:sz w:val="18"/>
                <w:szCs w:val="18"/>
              </w:rPr>
              <w:t>6.67</w:t>
            </w:r>
          </w:p>
        </w:tc>
        <w:tc>
          <w:tcPr>
            <w:tcW w:w="773" w:type="dxa"/>
          </w:tcPr>
          <w:p w14:paraId="3DAAE512" w14:textId="77777777" w:rsidR="009E39B0" w:rsidRPr="00B91C8D" w:rsidRDefault="009E39B0" w:rsidP="008D3F2B">
            <w:pPr>
              <w:ind w:left="0" w:right="0"/>
              <w:rPr>
                <w:kern w:val="2"/>
                <w:sz w:val="18"/>
                <w:szCs w:val="18"/>
              </w:rPr>
            </w:pPr>
            <w:r w:rsidRPr="00B91C8D">
              <w:rPr>
                <w:kern w:val="2"/>
                <w:sz w:val="18"/>
                <w:szCs w:val="18"/>
              </w:rPr>
              <w:t>0.106</w:t>
            </w:r>
          </w:p>
        </w:tc>
        <w:tc>
          <w:tcPr>
            <w:tcW w:w="775" w:type="dxa"/>
          </w:tcPr>
          <w:p w14:paraId="6022BE47" w14:textId="77777777" w:rsidR="009E39B0" w:rsidRPr="00B91C8D" w:rsidRDefault="009E39B0" w:rsidP="008D3F2B">
            <w:pPr>
              <w:ind w:left="0" w:right="0"/>
              <w:rPr>
                <w:kern w:val="2"/>
                <w:sz w:val="18"/>
                <w:szCs w:val="18"/>
              </w:rPr>
            </w:pPr>
            <w:r w:rsidRPr="00B91C8D">
              <w:rPr>
                <w:kern w:val="2"/>
                <w:sz w:val="18"/>
                <w:szCs w:val="18"/>
              </w:rPr>
              <w:t>0.187</w:t>
            </w:r>
          </w:p>
        </w:tc>
        <w:tc>
          <w:tcPr>
            <w:tcW w:w="697" w:type="dxa"/>
          </w:tcPr>
          <w:p w14:paraId="2FEA825C" w14:textId="77777777" w:rsidR="009E39B0" w:rsidRPr="00B91C8D" w:rsidRDefault="009E39B0" w:rsidP="008D3F2B">
            <w:pPr>
              <w:ind w:left="0" w:right="0"/>
              <w:rPr>
                <w:kern w:val="2"/>
                <w:sz w:val="18"/>
                <w:szCs w:val="18"/>
              </w:rPr>
            </w:pPr>
            <w:r w:rsidRPr="00B91C8D">
              <w:rPr>
                <w:kern w:val="2"/>
                <w:sz w:val="18"/>
                <w:szCs w:val="18"/>
              </w:rPr>
              <w:t>1.4</w:t>
            </w:r>
          </w:p>
        </w:tc>
        <w:tc>
          <w:tcPr>
            <w:tcW w:w="697" w:type="dxa"/>
          </w:tcPr>
          <w:p w14:paraId="5297D1B9" w14:textId="77777777" w:rsidR="009E39B0" w:rsidRPr="00B91C8D" w:rsidRDefault="009E39B0" w:rsidP="008D3F2B">
            <w:pPr>
              <w:ind w:left="0" w:right="0"/>
              <w:rPr>
                <w:kern w:val="2"/>
                <w:sz w:val="18"/>
                <w:szCs w:val="18"/>
              </w:rPr>
            </w:pPr>
            <w:r w:rsidRPr="00B91C8D">
              <w:rPr>
                <w:kern w:val="2"/>
                <w:sz w:val="18"/>
                <w:szCs w:val="18"/>
              </w:rPr>
              <w:t>2.4</w:t>
            </w:r>
          </w:p>
        </w:tc>
      </w:tr>
      <w:tr w:rsidR="009E39B0" w:rsidRPr="00B91C8D" w14:paraId="3F786BD1" w14:textId="77777777" w:rsidTr="00CD18ED">
        <w:trPr>
          <w:trHeight w:val="253"/>
        </w:trPr>
        <w:tc>
          <w:tcPr>
            <w:tcW w:w="817" w:type="dxa"/>
            <w:vMerge/>
          </w:tcPr>
          <w:p w14:paraId="5B0D0A51" w14:textId="77777777" w:rsidR="009E39B0" w:rsidRPr="00B91C8D" w:rsidRDefault="009E39B0" w:rsidP="008D3F2B">
            <w:pPr>
              <w:ind w:left="0" w:right="0"/>
              <w:rPr>
                <w:b/>
                <w:kern w:val="2"/>
                <w:sz w:val="18"/>
                <w:szCs w:val="18"/>
              </w:rPr>
            </w:pPr>
          </w:p>
        </w:tc>
        <w:tc>
          <w:tcPr>
            <w:tcW w:w="709" w:type="dxa"/>
            <w:vMerge/>
          </w:tcPr>
          <w:p w14:paraId="1E51A6AF" w14:textId="77777777" w:rsidR="009E39B0" w:rsidRPr="00B91C8D" w:rsidRDefault="009E39B0" w:rsidP="008D3F2B">
            <w:pPr>
              <w:ind w:left="0" w:right="0"/>
              <w:rPr>
                <w:b/>
                <w:kern w:val="2"/>
                <w:sz w:val="18"/>
                <w:szCs w:val="18"/>
              </w:rPr>
            </w:pPr>
          </w:p>
        </w:tc>
        <w:tc>
          <w:tcPr>
            <w:tcW w:w="1417" w:type="dxa"/>
            <w:vMerge/>
          </w:tcPr>
          <w:p w14:paraId="3D745892" w14:textId="77777777" w:rsidR="009E39B0" w:rsidRPr="00B91C8D" w:rsidRDefault="009E39B0" w:rsidP="008D3F2B">
            <w:pPr>
              <w:ind w:left="0" w:right="0"/>
              <w:rPr>
                <w:kern w:val="2"/>
                <w:sz w:val="18"/>
                <w:szCs w:val="18"/>
              </w:rPr>
            </w:pPr>
          </w:p>
        </w:tc>
        <w:tc>
          <w:tcPr>
            <w:tcW w:w="1209" w:type="dxa"/>
          </w:tcPr>
          <w:p w14:paraId="3376C071" w14:textId="77777777" w:rsidR="009E39B0" w:rsidRPr="00B91C8D" w:rsidRDefault="009E39B0" w:rsidP="008D3F2B">
            <w:pPr>
              <w:ind w:left="0" w:right="0"/>
              <w:rPr>
                <w:kern w:val="2"/>
                <w:sz w:val="18"/>
                <w:szCs w:val="18"/>
              </w:rPr>
            </w:pPr>
            <w:r w:rsidRPr="00B91C8D">
              <w:rPr>
                <w:kern w:val="2"/>
                <w:sz w:val="18"/>
                <w:szCs w:val="18"/>
              </w:rPr>
              <w:t>15</w:t>
            </w:r>
          </w:p>
        </w:tc>
        <w:tc>
          <w:tcPr>
            <w:tcW w:w="786" w:type="dxa"/>
          </w:tcPr>
          <w:p w14:paraId="6DC17C00" w14:textId="77777777" w:rsidR="009E39B0" w:rsidRPr="00B91C8D" w:rsidRDefault="009E39B0" w:rsidP="008D3F2B">
            <w:pPr>
              <w:ind w:left="0" w:right="0"/>
              <w:rPr>
                <w:kern w:val="2"/>
                <w:sz w:val="18"/>
                <w:szCs w:val="18"/>
              </w:rPr>
            </w:pPr>
            <w:r w:rsidRPr="00B91C8D">
              <w:rPr>
                <w:kern w:val="2"/>
                <w:sz w:val="18"/>
                <w:szCs w:val="18"/>
              </w:rPr>
              <w:t>19.6</w:t>
            </w:r>
          </w:p>
        </w:tc>
        <w:tc>
          <w:tcPr>
            <w:tcW w:w="788" w:type="dxa"/>
          </w:tcPr>
          <w:p w14:paraId="32BEFABF" w14:textId="77777777" w:rsidR="009E39B0" w:rsidRPr="00B91C8D" w:rsidRDefault="009E39B0" w:rsidP="008D3F2B">
            <w:pPr>
              <w:ind w:left="0" w:right="0"/>
              <w:rPr>
                <w:kern w:val="2"/>
                <w:sz w:val="18"/>
                <w:szCs w:val="18"/>
              </w:rPr>
            </w:pPr>
            <w:r w:rsidRPr="00B91C8D">
              <w:rPr>
                <w:kern w:val="2"/>
                <w:sz w:val="18"/>
                <w:szCs w:val="18"/>
              </w:rPr>
              <w:t>40.6</w:t>
            </w:r>
          </w:p>
        </w:tc>
        <w:tc>
          <w:tcPr>
            <w:tcW w:w="773" w:type="dxa"/>
          </w:tcPr>
          <w:p w14:paraId="63A636B2" w14:textId="77777777" w:rsidR="009E39B0" w:rsidRPr="00B91C8D" w:rsidRDefault="009E39B0" w:rsidP="008D3F2B">
            <w:pPr>
              <w:ind w:left="0" w:right="0"/>
              <w:rPr>
                <w:kern w:val="2"/>
                <w:sz w:val="18"/>
                <w:szCs w:val="18"/>
              </w:rPr>
            </w:pPr>
            <w:r w:rsidRPr="00B91C8D">
              <w:rPr>
                <w:kern w:val="2"/>
                <w:sz w:val="18"/>
                <w:szCs w:val="18"/>
              </w:rPr>
              <w:t>0.549</w:t>
            </w:r>
          </w:p>
        </w:tc>
        <w:tc>
          <w:tcPr>
            <w:tcW w:w="775" w:type="dxa"/>
          </w:tcPr>
          <w:p w14:paraId="7A8D252D" w14:textId="77777777" w:rsidR="009E39B0" w:rsidRPr="00B91C8D" w:rsidRDefault="009E39B0" w:rsidP="008D3F2B">
            <w:pPr>
              <w:ind w:left="0" w:right="0"/>
              <w:rPr>
                <w:kern w:val="2"/>
                <w:sz w:val="18"/>
                <w:szCs w:val="18"/>
              </w:rPr>
            </w:pPr>
            <w:r w:rsidRPr="00B91C8D">
              <w:rPr>
                <w:kern w:val="2"/>
                <w:sz w:val="18"/>
                <w:szCs w:val="18"/>
              </w:rPr>
              <w:t>1.14</w:t>
            </w:r>
          </w:p>
        </w:tc>
        <w:tc>
          <w:tcPr>
            <w:tcW w:w="697" w:type="dxa"/>
          </w:tcPr>
          <w:p w14:paraId="13D81960" w14:textId="77777777" w:rsidR="009E39B0" w:rsidRPr="00B91C8D" w:rsidRDefault="009E39B0" w:rsidP="008D3F2B">
            <w:pPr>
              <w:ind w:left="0" w:right="0"/>
              <w:rPr>
                <w:kern w:val="2"/>
                <w:sz w:val="18"/>
                <w:szCs w:val="18"/>
              </w:rPr>
            </w:pPr>
            <w:r w:rsidRPr="00B91C8D">
              <w:rPr>
                <w:kern w:val="2"/>
                <w:sz w:val="18"/>
                <w:szCs w:val="18"/>
              </w:rPr>
              <w:t>7</w:t>
            </w:r>
          </w:p>
        </w:tc>
        <w:tc>
          <w:tcPr>
            <w:tcW w:w="697" w:type="dxa"/>
          </w:tcPr>
          <w:p w14:paraId="64522C3F" w14:textId="77777777" w:rsidR="009E39B0" w:rsidRPr="00B91C8D" w:rsidRDefault="009E39B0" w:rsidP="008D3F2B">
            <w:pPr>
              <w:ind w:left="0" w:right="0"/>
              <w:rPr>
                <w:kern w:val="2"/>
                <w:sz w:val="18"/>
                <w:szCs w:val="18"/>
              </w:rPr>
            </w:pPr>
            <w:r w:rsidRPr="00B91C8D">
              <w:rPr>
                <w:kern w:val="2"/>
                <w:sz w:val="18"/>
                <w:szCs w:val="18"/>
              </w:rPr>
              <w:t>15</w:t>
            </w:r>
          </w:p>
        </w:tc>
      </w:tr>
      <w:tr w:rsidR="009E39B0" w:rsidRPr="00B91C8D" w14:paraId="6E713647" w14:textId="77777777" w:rsidTr="00CD18ED">
        <w:trPr>
          <w:trHeight w:val="253"/>
        </w:trPr>
        <w:tc>
          <w:tcPr>
            <w:tcW w:w="817" w:type="dxa"/>
            <w:vMerge/>
          </w:tcPr>
          <w:p w14:paraId="09CCFF3B" w14:textId="77777777" w:rsidR="009E39B0" w:rsidRPr="00B91C8D" w:rsidRDefault="009E39B0" w:rsidP="008D3F2B">
            <w:pPr>
              <w:ind w:left="0" w:right="0"/>
              <w:rPr>
                <w:b/>
                <w:kern w:val="2"/>
                <w:sz w:val="18"/>
                <w:szCs w:val="18"/>
              </w:rPr>
            </w:pPr>
          </w:p>
        </w:tc>
        <w:tc>
          <w:tcPr>
            <w:tcW w:w="709" w:type="dxa"/>
            <w:vMerge/>
          </w:tcPr>
          <w:p w14:paraId="186826CB" w14:textId="77777777" w:rsidR="009E39B0" w:rsidRPr="00B91C8D" w:rsidRDefault="009E39B0" w:rsidP="008D3F2B">
            <w:pPr>
              <w:ind w:left="0" w:right="0"/>
              <w:rPr>
                <w:b/>
                <w:kern w:val="2"/>
                <w:sz w:val="18"/>
                <w:szCs w:val="18"/>
              </w:rPr>
            </w:pPr>
          </w:p>
        </w:tc>
        <w:tc>
          <w:tcPr>
            <w:tcW w:w="1417" w:type="dxa"/>
            <w:vMerge/>
          </w:tcPr>
          <w:p w14:paraId="6EA5019A" w14:textId="77777777" w:rsidR="009E39B0" w:rsidRPr="00B91C8D" w:rsidRDefault="009E39B0" w:rsidP="008D3F2B">
            <w:pPr>
              <w:ind w:left="0" w:right="0"/>
              <w:rPr>
                <w:kern w:val="2"/>
                <w:sz w:val="18"/>
                <w:szCs w:val="18"/>
              </w:rPr>
            </w:pPr>
          </w:p>
        </w:tc>
        <w:tc>
          <w:tcPr>
            <w:tcW w:w="1209" w:type="dxa"/>
          </w:tcPr>
          <w:p w14:paraId="4B3B5234" w14:textId="77777777" w:rsidR="009E39B0" w:rsidRPr="00B91C8D" w:rsidRDefault="009E39B0" w:rsidP="008D3F2B">
            <w:pPr>
              <w:ind w:left="0" w:right="0"/>
              <w:rPr>
                <w:kern w:val="2"/>
                <w:sz w:val="18"/>
                <w:szCs w:val="18"/>
              </w:rPr>
            </w:pPr>
            <w:r w:rsidRPr="00B91C8D">
              <w:rPr>
                <w:kern w:val="2"/>
                <w:sz w:val="18"/>
                <w:szCs w:val="18"/>
              </w:rPr>
              <w:t>100</w:t>
            </w:r>
          </w:p>
        </w:tc>
        <w:tc>
          <w:tcPr>
            <w:tcW w:w="786" w:type="dxa"/>
          </w:tcPr>
          <w:p w14:paraId="3DCD65E3" w14:textId="77777777" w:rsidR="009E39B0" w:rsidRPr="00B91C8D" w:rsidRDefault="009E39B0" w:rsidP="008D3F2B">
            <w:pPr>
              <w:ind w:left="0" w:right="0"/>
              <w:rPr>
                <w:kern w:val="2"/>
                <w:sz w:val="18"/>
                <w:szCs w:val="18"/>
              </w:rPr>
            </w:pPr>
            <w:r w:rsidRPr="00B91C8D">
              <w:rPr>
                <w:kern w:val="2"/>
                <w:sz w:val="18"/>
                <w:szCs w:val="18"/>
              </w:rPr>
              <w:t>178</w:t>
            </w:r>
          </w:p>
        </w:tc>
        <w:tc>
          <w:tcPr>
            <w:tcW w:w="788" w:type="dxa"/>
          </w:tcPr>
          <w:p w14:paraId="0BCA9CDF" w14:textId="77777777" w:rsidR="009E39B0" w:rsidRPr="00B91C8D" w:rsidRDefault="009E39B0" w:rsidP="008D3F2B">
            <w:pPr>
              <w:ind w:left="0" w:right="0"/>
              <w:rPr>
                <w:kern w:val="2"/>
                <w:sz w:val="18"/>
                <w:szCs w:val="18"/>
              </w:rPr>
            </w:pPr>
            <w:r w:rsidRPr="00B91C8D">
              <w:rPr>
                <w:kern w:val="2"/>
                <w:sz w:val="18"/>
                <w:szCs w:val="18"/>
              </w:rPr>
              <w:t>322</w:t>
            </w:r>
          </w:p>
        </w:tc>
        <w:tc>
          <w:tcPr>
            <w:tcW w:w="773" w:type="dxa"/>
          </w:tcPr>
          <w:p w14:paraId="76F0BD99" w14:textId="77777777" w:rsidR="009E39B0" w:rsidRPr="00B91C8D" w:rsidRDefault="009E39B0" w:rsidP="008D3F2B">
            <w:pPr>
              <w:ind w:left="0" w:right="0"/>
              <w:rPr>
                <w:kern w:val="2"/>
                <w:sz w:val="18"/>
                <w:szCs w:val="18"/>
              </w:rPr>
            </w:pPr>
            <w:r w:rsidRPr="00B91C8D">
              <w:rPr>
                <w:kern w:val="2"/>
                <w:sz w:val="18"/>
                <w:szCs w:val="18"/>
              </w:rPr>
              <w:t>4.98</w:t>
            </w:r>
          </w:p>
        </w:tc>
        <w:tc>
          <w:tcPr>
            <w:tcW w:w="775" w:type="dxa"/>
          </w:tcPr>
          <w:p w14:paraId="0CA68554" w14:textId="77777777" w:rsidR="009E39B0" w:rsidRPr="00B91C8D" w:rsidRDefault="009E39B0" w:rsidP="008D3F2B">
            <w:pPr>
              <w:ind w:left="0" w:right="0"/>
              <w:rPr>
                <w:kern w:val="2"/>
                <w:sz w:val="18"/>
                <w:szCs w:val="18"/>
              </w:rPr>
            </w:pPr>
            <w:r w:rsidRPr="00B91C8D">
              <w:rPr>
                <w:kern w:val="2"/>
                <w:sz w:val="18"/>
                <w:szCs w:val="18"/>
              </w:rPr>
              <w:t>9.02</w:t>
            </w:r>
          </w:p>
        </w:tc>
        <w:tc>
          <w:tcPr>
            <w:tcW w:w="697" w:type="dxa"/>
          </w:tcPr>
          <w:p w14:paraId="6B55ACD2" w14:textId="77777777" w:rsidR="009E39B0" w:rsidRPr="00B91C8D" w:rsidRDefault="009E39B0" w:rsidP="008D3F2B">
            <w:pPr>
              <w:ind w:left="0" w:right="0"/>
              <w:rPr>
                <w:kern w:val="2"/>
                <w:sz w:val="18"/>
                <w:szCs w:val="18"/>
              </w:rPr>
            </w:pPr>
            <w:r w:rsidRPr="00B91C8D">
              <w:rPr>
                <w:kern w:val="2"/>
                <w:sz w:val="18"/>
                <w:szCs w:val="18"/>
              </w:rPr>
              <w:t>65</w:t>
            </w:r>
          </w:p>
        </w:tc>
        <w:tc>
          <w:tcPr>
            <w:tcW w:w="697" w:type="dxa"/>
          </w:tcPr>
          <w:p w14:paraId="50D3F52A" w14:textId="77777777" w:rsidR="009E39B0" w:rsidRPr="00B91C8D" w:rsidRDefault="009E39B0" w:rsidP="008D3F2B">
            <w:pPr>
              <w:ind w:left="0" w:right="0"/>
              <w:rPr>
                <w:kern w:val="2"/>
                <w:sz w:val="18"/>
                <w:szCs w:val="18"/>
              </w:rPr>
            </w:pPr>
            <w:r w:rsidRPr="00B91C8D">
              <w:rPr>
                <w:kern w:val="2"/>
                <w:sz w:val="18"/>
                <w:szCs w:val="18"/>
              </w:rPr>
              <w:t>118</w:t>
            </w:r>
          </w:p>
        </w:tc>
      </w:tr>
      <w:tr w:rsidR="009E39B0" w:rsidRPr="00B91C8D" w14:paraId="5FC998B2" w14:textId="77777777" w:rsidTr="00CD18ED">
        <w:trPr>
          <w:trHeight w:val="253"/>
        </w:trPr>
        <w:tc>
          <w:tcPr>
            <w:tcW w:w="817" w:type="dxa"/>
            <w:vMerge/>
          </w:tcPr>
          <w:p w14:paraId="083C42D3" w14:textId="77777777" w:rsidR="009E39B0" w:rsidRPr="00B91C8D" w:rsidRDefault="009E39B0" w:rsidP="008D3F2B">
            <w:pPr>
              <w:ind w:left="0" w:right="0"/>
              <w:rPr>
                <w:kern w:val="2"/>
                <w:sz w:val="18"/>
                <w:szCs w:val="18"/>
              </w:rPr>
            </w:pPr>
          </w:p>
        </w:tc>
        <w:tc>
          <w:tcPr>
            <w:tcW w:w="709" w:type="dxa"/>
            <w:vMerge w:val="restart"/>
          </w:tcPr>
          <w:p w14:paraId="0ADC43E4" w14:textId="77777777" w:rsidR="009E39B0" w:rsidRPr="00B91C8D" w:rsidRDefault="009E39B0" w:rsidP="008D3F2B">
            <w:pPr>
              <w:ind w:left="0" w:right="0"/>
              <w:rPr>
                <w:kern w:val="2"/>
                <w:sz w:val="18"/>
                <w:szCs w:val="18"/>
              </w:rPr>
            </w:pPr>
            <w:r w:rsidRPr="00B91C8D">
              <w:rPr>
                <w:kern w:val="2"/>
                <w:sz w:val="18"/>
                <w:szCs w:val="18"/>
              </w:rPr>
              <w:t>CD</w:t>
            </w:r>
            <w:r w:rsidRPr="00B91C8D">
              <w:rPr>
                <w:kern w:val="2"/>
                <w:sz w:val="18"/>
                <w:szCs w:val="18"/>
              </w:rPr>
              <w:noBreakHyphen/>
              <w:t>1</w:t>
            </w:r>
          </w:p>
        </w:tc>
        <w:tc>
          <w:tcPr>
            <w:tcW w:w="1417" w:type="dxa"/>
            <w:vMerge w:val="restart"/>
          </w:tcPr>
          <w:p w14:paraId="3F252DE3" w14:textId="77777777" w:rsidR="009E39B0" w:rsidRPr="00B91C8D" w:rsidRDefault="009E39B0" w:rsidP="008D3F2B">
            <w:pPr>
              <w:ind w:left="0" w:right="0"/>
              <w:rPr>
                <w:kern w:val="2"/>
                <w:sz w:val="18"/>
                <w:szCs w:val="18"/>
              </w:rPr>
            </w:pPr>
            <w:r w:rsidRPr="00B91C8D">
              <w:rPr>
                <w:kern w:val="2"/>
                <w:sz w:val="18"/>
                <w:szCs w:val="18"/>
              </w:rPr>
              <w:t>3 months</w:t>
            </w:r>
          </w:p>
          <w:p w14:paraId="105E2FD0" w14:textId="77777777" w:rsidR="009E39B0" w:rsidRPr="00B91C8D" w:rsidRDefault="009E39B0" w:rsidP="008D3F2B">
            <w:pPr>
              <w:ind w:left="0" w:right="0"/>
              <w:rPr>
                <w:kern w:val="2"/>
                <w:sz w:val="18"/>
                <w:szCs w:val="18"/>
              </w:rPr>
            </w:pPr>
            <w:r w:rsidRPr="00B91C8D">
              <w:rPr>
                <w:kern w:val="2"/>
                <w:sz w:val="18"/>
                <w:szCs w:val="18"/>
              </w:rPr>
              <w:t>[TT137801]</w:t>
            </w:r>
          </w:p>
        </w:tc>
        <w:tc>
          <w:tcPr>
            <w:tcW w:w="1209" w:type="dxa"/>
          </w:tcPr>
          <w:p w14:paraId="085D09F2" w14:textId="77777777" w:rsidR="009E39B0" w:rsidRPr="00B91C8D" w:rsidRDefault="009E39B0" w:rsidP="008D3F2B">
            <w:pPr>
              <w:ind w:left="0" w:right="0"/>
              <w:rPr>
                <w:kern w:val="2"/>
                <w:sz w:val="18"/>
                <w:szCs w:val="18"/>
              </w:rPr>
            </w:pPr>
            <w:r w:rsidRPr="00B91C8D">
              <w:rPr>
                <w:kern w:val="2"/>
                <w:sz w:val="18"/>
                <w:szCs w:val="18"/>
              </w:rPr>
              <w:t>5</w:t>
            </w:r>
          </w:p>
        </w:tc>
        <w:tc>
          <w:tcPr>
            <w:tcW w:w="786" w:type="dxa"/>
          </w:tcPr>
          <w:p w14:paraId="7453320C" w14:textId="77777777" w:rsidR="009E39B0" w:rsidRPr="00B91C8D" w:rsidRDefault="009E39B0" w:rsidP="008D3F2B">
            <w:pPr>
              <w:ind w:left="0" w:right="0"/>
              <w:rPr>
                <w:kern w:val="2"/>
                <w:sz w:val="18"/>
                <w:szCs w:val="18"/>
              </w:rPr>
            </w:pPr>
            <w:r w:rsidRPr="00B91C8D">
              <w:rPr>
                <w:kern w:val="2"/>
                <w:sz w:val="18"/>
                <w:szCs w:val="18"/>
              </w:rPr>
              <w:t>4.83</w:t>
            </w:r>
          </w:p>
        </w:tc>
        <w:tc>
          <w:tcPr>
            <w:tcW w:w="788" w:type="dxa"/>
          </w:tcPr>
          <w:p w14:paraId="36B3EBD9" w14:textId="77777777" w:rsidR="009E39B0" w:rsidRPr="00B91C8D" w:rsidRDefault="009E39B0" w:rsidP="008D3F2B">
            <w:pPr>
              <w:ind w:left="0" w:right="0"/>
              <w:rPr>
                <w:kern w:val="2"/>
                <w:sz w:val="18"/>
                <w:szCs w:val="18"/>
              </w:rPr>
            </w:pPr>
            <w:r w:rsidRPr="00B91C8D">
              <w:rPr>
                <w:kern w:val="2"/>
                <w:sz w:val="18"/>
                <w:szCs w:val="18"/>
              </w:rPr>
              <w:t>9.67</w:t>
            </w:r>
          </w:p>
        </w:tc>
        <w:tc>
          <w:tcPr>
            <w:tcW w:w="773" w:type="dxa"/>
          </w:tcPr>
          <w:p w14:paraId="2F6BB67B" w14:textId="77777777" w:rsidR="009E39B0" w:rsidRPr="00B91C8D" w:rsidRDefault="009E39B0" w:rsidP="008D3F2B">
            <w:pPr>
              <w:ind w:left="0" w:right="0"/>
              <w:rPr>
                <w:kern w:val="2"/>
                <w:sz w:val="18"/>
                <w:szCs w:val="18"/>
              </w:rPr>
            </w:pPr>
            <w:r w:rsidRPr="00B91C8D">
              <w:rPr>
                <w:kern w:val="2"/>
                <w:sz w:val="18"/>
                <w:szCs w:val="18"/>
              </w:rPr>
              <w:t>0.217</w:t>
            </w:r>
          </w:p>
        </w:tc>
        <w:tc>
          <w:tcPr>
            <w:tcW w:w="775" w:type="dxa"/>
          </w:tcPr>
          <w:p w14:paraId="52444D92" w14:textId="77777777" w:rsidR="009E39B0" w:rsidRPr="00B91C8D" w:rsidRDefault="009E39B0" w:rsidP="008D3F2B">
            <w:pPr>
              <w:ind w:left="0" w:right="0"/>
              <w:rPr>
                <w:kern w:val="2"/>
                <w:sz w:val="18"/>
                <w:szCs w:val="18"/>
              </w:rPr>
            </w:pPr>
            <w:r w:rsidRPr="00B91C8D">
              <w:rPr>
                <w:kern w:val="2"/>
                <w:sz w:val="18"/>
                <w:szCs w:val="18"/>
              </w:rPr>
              <w:t>0.435</w:t>
            </w:r>
          </w:p>
        </w:tc>
        <w:tc>
          <w:tcPr>
            <w:tcW w:w="697" w:type="dxa"/>
          </w:tcPr>
          <w:p w14:paraId="2160BF6B" w14:textId="77777777" w:rsidR="009E39B0" w:rsidRPr="00B91C8D" w:rsidRDefault="009E39B0" w:rsidP="008D3F2B">
            <w:pPr>
              <w:ind w:left="0" w:right="0"/>
              <w:rPr>
                <w:kern w:val="2"/>
                <w:sz w:val="18"/>
                <w:szCs w:val="18"/>
              </w:rPr>
            </w:pPr>
            <w:r w:rsidRPr="00B91C8D">
              <w:rPr>
                <w:kern w:val="2"/>
                <w:sz w:val="18"/>
                <w:szCs w:val="18"/>
              </w:rPr>
              <w:t>2.8</w:t>
            </w:r>
          </w:p>
        </w:tc>
        <w:tc>
          <w:tcPr>
            <w:tcW w:w="697" w:type="dxa"/>
          </w:tcPr>
          <w:p w14:paraId="179C3C7F" w14:textId="77777777" w:rsidR="009E39B0" w:rsidRPr="00B91C8D" w:rsidRDefault="009E39B0" w:rsidP="008D3F2B">
            <w:pPr>
              <w:ind w:left="0" w:right="0"/>
              <w:rPr>
                <w:kern w:val="2"/>
                <w:sz w:val="18"/>
                <w:szCs w:val="18"/>
              </w:rPr>
            </w:pPr>
            <w:r w:rsidRPr="00B91C8D">
              <w:rPr>
                <w:kern w:val="2"/>
                <w:sz w:val="18"/>
                <w:szCs w:val="18"/>
              </w:rPr>
              <w:t>6</w:t>
            </w:r>
          </w:p>
        </w:tc>
      </w:tr>
      <w:tr w:rsidR="009E39B0" w:rsidRPr="00B91C8D" w14:paraId="42B1B061" w14:textId="77777777" w:rsidTr="00CD18ED">
        <w:trPr>
          <w:trHeight w:val="253"/>
        </w:trPr>
        <w:tc>
          <w:tcPr>
            <w:tcW w:w="817" w:type="dxa"/>
            <w:vMerge/>
          </w:tcPr>
          <w:p w14:paraId="53F3C638" w14:textId="77777777" w:rsidR="009E39B0" w:rsidRPr="00B91C8D" w:rsidRDefault="009E39B0" w:rsidP="008D3F2B">
            <w:pPr>
              <w:ind w:left="0" w:right="0"/>
              <w:rPr>
                <w:kern w:val="2"/>
                <w:sz w:val="18"/>
                <w:szCs w:val="18"/>
              </w:rPr>
            </w:pPr>
          </w:p>
        </w:tc>
        <w:tc>
          <w:tcPr>
            <w:tcW w:w="709" w:type="dxa"/>
            <w:vMerge/>
          </w:tcPr>
          <w:p w14:paraId="4A083F37" w14:textId="77777777" w:rsidR="009E39B0" w:rsidRPr="00B91C8D" w:rsidRDefault="009E39B0" w:rsidP="008D3F2B">
            <w:pPr>
              <w:ind w:left="0" w:right="0"/>
              <w:rPr>
                <w:kern w:val="2"/>
                <w:sz w:val="18"/>
                <w:szCs w:val="18"/>
              </w:rPr>
            </w:pPr>
          </w:p>
        </w:tc>
        <w:tc>
          <w:tcPr>
            <w:tcW w:w="1417" w:type="dxa"/>
            <w:vMerge/>
          </w:tcPr>
          <w:p w14:paraId="396DF7E6" w14:textId="77777777" w:rsidR="009E39B0" w:rsidRPr="00B91C8D" w:rsidRDefault="009E39B0" w:rsidP="008D3F2B">
            <w:pPr>
              <w:ind w:left="0" w:right="0"/>
              <w:rPr>
                <w:kern w:val="2"/>
                <w:sz w:val="18"/>
                <w:szCs w:val="18"/>
              </w:rPr>
            </w:pPr>
          </w:p>
        </w:tc>
        <w:tc>
          <w:tcPr>
            <w:tcW w:w="1209" w:type="dxa"/>
          </w:tcPr>
          <w:p w14:paraId="4ACC0101" w14:textId="77777777" w:rsidR="009E39B0" w:rsidRPr="00B91C8D" w:rsidRDefault="009E39B0" w:rsidP="008D3F2B">
            <w:pPr>
              <w:ind w:left="0" w:right="0"/>
              <w:rPr>
                <w:kern w:val="2"/>
                <w:sz w:val="18"/>
                <w:szCs w:val="18"/>
              </w:rPr>
            </w:pPr>
            <w:r w:rsidRPr="00B91C8D">
              <w:rPr>
                <w:kern w:val="2"/>
                <w:sz w:val="18"/>
                <w:szCs w:val="18"/>
              </w:rPr>
              <w:t>40</w:t>
            </w:r>
          </w:p>
        </w:tc>
        <w:tc>
          <w:tcPr>
            <w:tcW w:w="786" w:type="dxa"/>
          </w:tcPr>
          <w:p w14:paraId="0F4F6406" w14:textId="77777777" w:rsidR="009E39B0" w:rsidRPr="00B91C8D" w:rsidRDefault="009E39B0" w:rsidP="008D3F2B">
            <w:pPr>
              <w:ind w:left="0" w:right="0"/>
              <w:rPr>
                <w:kern w:val="2"/>
                <w:sz w:val="18"/>
                <w:szCs w:val="18"/>
              </w:rPr>
            </w:pPr>
            <w:r w:rsidRPr="00B91C8D">
              <w:rPr>
                <w:kern w:val="2"/>
                <w:sz w:val="18"/>
                <w:szCs w:val="18"/>
              </w:rPr>
              <w:t>53.0</w:t>
            </w:r>
          </w:p>
        </w:tc>
        <w:tc>
          <w:tcPr>
            <w:tcW w:w="788" w:type="dxa"/>
          </w:tcPr>
          <w:p w14:paraId="73BCF9CA" w14:textId="77777777" w:rsidR="009E39B0" w:rsidRPr="00B91C8D" w:rsidRDefault="009E39B0" w:rsidP="008D3F2B">
            <w:pPr>
              <w:ind w:left="0" w:right="0"/>
              <w:rPr>
                <w:kern w:val="2"/>
                <w:sz w:val="18"/>
                <w:szCs w:val="18"/>
              </w:rPr>
            </w:pPr>
            <w:r w:rsidRPr="00B91C8D">
              <w:rPr>
                <w:kern w:val="2"/>
                <w:sz w:val="18"/>
                <w:szCs w:val="18"/>
              </w:rPr>
              <w:t>87.2</w:t>
            </w:r>
          </w:p>
        </w:tc>
        <w:tc>
          <w:tcPr>
            <w:tcW w:w="773" w:type="dxa"/>
          </w:tcPr>
          <w:p w14:paraId="33C7C2C1" w14:textId="77777777" w:rsidR="009E39B0" w:rsidRPr="00B91C8D" w:rsidRDefault="009E39B0" w:rsidP="008D3F2B">
            <w:pPr>
              <w:ind w:left="0" w:right="0"/>
              <w:rPr>
                <w:kern w:val="2"/>
                <w:sz w:val="18"/>
                <w:szCs w:val="18"/>
              </w:rPr>
            </w:pPr>
            <w:r w:rsidRPr="00B91C8D">
              <w:rPr>
                <w:kern w:val="2"/>
                <w:sz w:val="18"/>
                <w:szCs w:val="18"/>
              </w:rPr>
              <w:t>2.39</w:t>
            </w:r>
          </w:p>
        </w:tc>
        <w:tc>
          <w:tcPr>
            <w:tcW w:w="775" w:type="dxa"/>
          </w:tcPr>
          <w:p w14:paraId="11873012" w14:textId="77777777" w:rsidR="009E39B0" w:rsidRPr="00B91C8D" w:rsidRDefault="009E39B0" w:rsidP="008D3F2B">
            <w:pPr>
              <w:ind w:left="0" w:right="0"/>
              <w:rPr>
                <w:kern w:val="2"/>
                <w:sz w:val="18"/>
                <w:szCs w:val="18"/>
              </w:rPr>
            </w:pPr>
            <w:r w:rsidRPr="00B91C8D">
              <w:rPr>
                <w:kern w:val="2"/>
                <w:sz w:val="18"/>
                <w:szCs w:val="18"/>
              </w:rPr>
              <w:t>3.92</w:t>
            </w:r>
          </w:p>
        </w:tc>
        <w:tc>
          <w:tcPr>
            <w:tcW w:w="697" w:type="dxa"/>
          </w:tcPr>
          <w:p w14:paraId="0A4BE0BC" w14:textId="77777777" w:rsidR="009E39B0" w:rsidRPr="00B91C8D" w:rsidRDefault="009E39B0" w:rsidP="008D3F2B">
            <w:pPr>
              <w:ind w:left="0" w:right="0"/>
              <w:rPr>
                <w:kern w:val="2"/>
                <w:sz w:val="18"/>
                <w:szCs w:val="18"/>
              </w:rPr>
            </w:pPr>
            <w:r w:rsidRPr="00B91C8D">
              <w:rPr>
                <w:kern w:val="2"/>
                <w:sz w:val="18"/>
                <w:szCs w:val="18"/>
              </w:rPr>
              <w:t>31</w:t>
            </w:r>
          </w:p>
        </w:tc>
        <w:tc>
          <w:tcPr>
            <w:tcW w:w="697" w:type="dxa"/>
          </w:tcPr>
          <w:p w14:paraId="1BF936A2" w14:textId="77777777" w:rsidR="009E39B0" w:rsidRPr="00B91C8D" w:rsidRDefault="009E39B0" w:rsidP="008D3F2B">
            <w:pPr>
              <w:ind w:left="0" w:right="0"/>
              <w:rPr>
                <w:kern w:val="2"/>
                <w:sz w:val="18"/>
                <w:szCs w:val="18"/>
              </w:rPr>
            </w:pPr>
            <w:r w:rsidRPr="00B91C8D">
              <w:rPr>
                <w:kern w:val="2"/>
                <w:sz w:val="18"/>
                <w:szCs w:val="18"/>
              </w:rPr>
              <w:t>51</w:t>
            </w:r>
          </w:p>
        </w:tc>
      </w:tr>
      <w:tr w:rsidR="009E39B0" w:rsidRPr="00B91C8D" w14:paraId="5ECC469C" w14:textId="77777777" w:rsidTr="00CD18ED">
        <w:trPr>
          <w:trHeight w:val="253"/>
        </w:trPr>
        <w:tc>
          <w:tcPr>
            <w:tcW w:w="817" w:type="dxa"/>
            <w:vMerge/>
          </w:tcPr>
          <w:p w14:paraId="35C856AD" w14:textId="77777777" w:rsidR="009E39B0" w:rsidRPr="00B91C8D" w:rsidRDefault="009E39B0" w:rsidP="008D3F2B">
            <w:pPr>
              <w:ind w:left="0" w:right="0"/>
              <w:rPr>
                <w:kern w:val="2"/>
                <w:sz w:val="18"/>
                <w:szCs w:val="18"/>
              </w:rPr>
            </w:pPr>
          </w:p>
        </w:tc>
        <w:tc>
          <w:tcPr>
            <w:tcW w:w="709" w:type="dxa"/>
            <w:vMerge/>
          </w:tcPr>
          <w:p w14:paraId="61B1F1BA" w14:textId="77777777" w:rsidR="009E39B0" w:rsidRPr="00B91C8D" w:rsidRDefault="009E39B0" w:rsidP="008D3F2B">
            <w:pPr>
              <w:ind w:left="0" w:right="0"/>
              <w:rPr>
                <w:kern w:val="2"/>
                <w:sz w:val="18"/>
                <w:szCs w:val="18"/>
              </w:rPr>
            </w:pPr>
          </w:p>
        </w:tc>
        <w:tc>
          <w:tcPr>
            <w:tcW w:w="1417" w:type="dxa"/>
            <w:vMerge/>
          </w:tcPr>
          <w:p w14:paraId="02936655" w14:textId="77777777" w:rsidR="009E39B0" w:rsidRPr="00B91C8D" w:rsidRDefault="009E39B0" w:rsidP="008D3F2B">
            <w:pPr>
              <w:ind w:left="0" w:right="0"/>
              <w:rPr>
                <w:kern w:val="2"/>
                <w:sz w:val="18"/>
                <w:szCs w:val="18"/>
              </w:rPr>
            </w:pPr>
          </w:p>
        </w:tc>
        <w:tc>
          <w:tcPr>
            <w:tcW w:w="1209" w:type="dxa"/>
          </w:tcPr>
          <w:p w14:paraId="6BC984B9" w14:textId="77777777" w:rsidR="009E39B0" w:rsidRPr="00B91C8D" w:rsidRDefault="009E39B0" w:rsidP="008D3F2B">
            <w:pPr>
              <w:ind w:left="0" w:right="0"/>
              <w:rPr>
                <w:kern w:val="2"/>
                <w:sz w:val="18"/>
                <w:szCs w:val="18"/>
              </w:rPr>
            </w:pPr>
            <w:r w:rsidRPr="00B91C8D">
              <w:rPr>
                <w:kern w:val="2"/>
                <w:sz w:val="18"/>
                <w:szCs w:val="18"/>
              </w:rPr>
              <w:t>100</w:t>
            </w:r>
          </w:p>
        </w:tc>
        <w:tc>
          <w:tcPr>
            <w:tcW w:w="786" w:type="dxa"/>
          </w:tcPr>
          <w:p w14:paraId="2CF58FBE" w14:textId="77777777" w:rsidR="009E39B0" w:rsidRPr="00B91C8D" w:rsidRDefault="009E39B0" w:rsidP="008D3F2B">
            <w:pPr>
              <w:ind w:left="0" w:right="0"/>
              <w:rPr>
                <w:kern w:val="2"/>
                <w:sz w:val="18"/>
                <w:szCs w:val="18"/>
              </w:rPr>
            </w:pPr>
            <w:r w:rsidRPr="00B91C8D">
              <w:rPr>
                <w:kern w:val="2"/>
                <w:sz w:val="18"/>
                <w:szCs w:val="18"/>
              </w:rPr>
              <w:t>152</w:t>
            </w:r>
          </w:p>
        </w:tc>
        <w:tc>
          <w:tcPr>
            <w:tcW w:w="788" w:type="dxa"/>
          </w:tcPr>
          <w:p w14:paraId="63983108" w14:textId="77777777" w:rsidR="009E39B0" w:rsidRPr="00B91C8D" w:rsidRDefault="009E39B0" w:rsidP="008D3F2B">
            <w:pPr>
              <w:ind w:left="0" w:right="0"/>
              <w:rPr>
                <w:kern w:val="2"/>
                <w:sz w:val="18"/>
                <w:szCs w:val="18"/>
              </w:rPr>
            </w:pPr>
            <w:r w:rsidRPr="00B91C8D">
              <w:rPr>
                <w:kern w:val="2"/>
                <w:sz w:val="18"/>
                <w:szCs w:val="18"/>
              </w:rPr>
              <w:t>245</w:t>
            </w:r>
          </w:p>
        </w:tc>
        <w:tc>
          <w:tcPr>
            <w:tcW w:w="773" w:type="dxa"/>
          </w:tcPr>
          <w:p w14:paraId="609DE4E8" w14:textId="77777777" w:rsidR="009E39B0" w:rsidRPr="00B91C8D" w:rsidRDefault="009E39B0" w:rsidP="008D3F2B">
            <w:pPr>
              <w:ind w:left="0" w:right="0"/>
              <w:rPr>
                <w:kern w:val="2"/>
                <w:sz w:val="18"/>
                <w:szCs w:val="18"/>
              </w:rPr>
            </w:pPr>
            <w:r w:rsidRPr="00B91C8D">
              <w:rPr>
                <w:kern w:val="2"/>
                <w:sz w:val="18"/>
                <w:szCs w:val="18"/>
              </w:rPr>
              <w:t>6.84</w:t>
            </w:r>
          </w:p>
        </w:tc>
        <w:tc>
          <w:tcPr>
            <w:tcW w:w="775" w:type="dxa"/>
          </w:tcPr>
          <w:p w14:paraId="246392CA" w14:textId="77777777" w:rsidR="009E39B0" w:rsidRPr="00B91C8D" w:rsidRDefault="009E39B0" w:rsidP="008D3F2B">
            <w:pPr>
              <w:ind w:left="0" w:right="0"/>
              <w:rPr>
                <w:kern w:val="2"/>
                <w:sz w:val="18"/>
                <w:szCs w:val="18"/>
              </w:rPr>
            </w:pPr>
            <w:r w:rsidRPr="00B91C8D">
              <w:rPr>
                <w:kern w:val="2"/>
                <w:sz w:val="18"/>
                <w:szCs w:val="18"/>
              </w:rPr>
              <w:t>11.0</w:t>
            </w:r>
          </w:p>
        </w:tc>
        <w:tc>
          <w:tcPr>
            <w:tcW w:w="697" w:type="dxa"/>
          </w:tcPr>
          <w:p w14:paraId="1B03288D" w14:textId="77777777" w:rsidR="009E39B0" w:rsidRPr="00B91C8D" w:rsidRDefault="009E39B0" w:rsidP="008D3F2B">
            <w:pPr>
              <w:ind w:left="0" w:right="0"/>
              <w:rPr>
                <w:kern w:val="2"/>
                <w:sz w:val="18"/>
                <w:szCs w:val="18"/>
              </w:rPr>
            </w:pPr>
            <w:r w:rsidRPr="00B91C8D">
              <w:rPr>
                <w:kern w:val="2"/>
                <w:sz w:val="18"/>
                <w:szCs w:val="18"/>
              </w:rPr>
              <w:t>90</w:t>
            </w:r>
          </w:p>
        </w:tc>
        <w:tc>
          <w:tcPr>
            <w:tcW w:w="697" w:type="dxa"/>
          </w:tcPr>
          <w:p w14:paraId="6337628A" w14:textId="77777777" w:rsidR="009E39B0" w:rsidRPr="00B91C8D" w:rsidRDefault="009E39B0" w:rsidP="008D3F2B">
            <w:pPr>
              <w:ind w:left="0" w:right="0"/>
              <w:rPr>
                <w:kern w:val="2"/>
                <w:sz w:val="18"/>
                <w:szCs w:val="18"/>
              </w:rPr>
            </w:pPr>
            <w:r w:rsidRPr="00B91C8D">
              <w:rPr>
                <w:kern w:val="2"/>
                <w:sz w:val="18"/>
                <w:szCs w:val="18"/>
              </w:rPr>
              <w:t>144</w:t>
            </w:r>
          </w:p>
        </w:tc>
      </w:tr>
      <w:tr w:rsidR="009E39B0" w:rsidRPr="00B91C8D" w14:paraId="569DA9A4" w14:textId="77777777" w:rsidTr="00CD18ED">
        <w:trPr>
          <w:trHeight w:val="253"/>
        </w:trPr>
        <w:tc>
          <w:tcPr>
            <w:tcW w:w="817" w:type="dxa"/>
            <w:vMerge/>
          </w:tcPr>
          <w:p w14:paraId="5DBDBFE3" w14:textId="77777777" w:rsidR="009E39B0" w:rsidRPr="00B91C8D" w:rsidRDefault="009E39B0" w:rsidP="008D3F2B">
            <w:pPr>
              <w:ind w:left="0" w:right="0"/>
              <w:rPr>
                <w:kern w:val="2"/>
                <w:sz w:val="18"/>
                <w:szCs w:val="18"/>
              </w:rPr>
            </w:pPr>
          </w:p>
        </w:tc>
        <w:tc>
          <w:tcPr>
            <w:tcW w:w="709" w:type="dxa"/>
            <w:vMerge/>
          </w:tcPr>
          <w:p w14:paraId="537752E9" w14:textId="77777777" w:rsidR="009E39B0" w:rsidRPr="00B91C8D" w:rsidRDefault="009E39B0" w:rsidP="008D3F2B">
            <w:pPr>
              <w:ind w:left="0" w:right="0"/>
              <w:rPr>
                <w:kern w:val="2"/>
                <w:sz w:val="18"/>
                <w:szCs w:val="18"/>
              </w:rPr>
            </w:pPr>
          </w:p>
        </w:tc>
        <w:tc>
          <w:tcPr>
            <w:tcW w:w="1417" w:type="dxa"/>
            <w:vMerge w:val="restart"/>
          </w:tcPr>
          <w:p w14:paraId="23B4A09E" w14:textId="77777777" w:rsidR="009E39B0" w:rsidRPr="00B91C8D" w:rsidRDefault="00B91C8D" w:rsidP="008D3F2B">
            <w:pPr>
              <w:ind w:left="0" w:right="0"/>
              <w:rPr>
                <w:kern w:val="2"/>
                <w:sz w:val="18"/>
                <w:szCs w:val="18"/>
              </w:rPr>
            </w:pPr>
            <w:r>
              <w:rPr>
                <w:kern w:val="2"/>
                <w:sz w:val="18"/>
                <w:szCs w:val="18"/>
              </w:rPr>
              <w:t>Approx.</w:t>
            </w:r>
            <w:r w:rsidR="00D87593" w:rsidRPr="00B91C8D">
              <w:rPr>
                <w:kern w:val="2"/>
                <w:sz w:val="18"/>
                <w:szCs w:val="18"/>
              </w:rPr>
              <w:t xml:space="preserve"> </w:t>
            </w:r>
            <w:r w:rsidR="009E39B0" w:rsidRPr="00B91C8D">
              <w:rPr>
                <w:kern w:val="2"/>
                <w:sz w:val="18"/>
                <w:szCs w:val="18"/>
              </w:rPr>
              <w:t>2 years</w:t>
            </w:r>
          </w:p>
          <w:p w14:paraId="63829D6C" w14:textId="77777777" w:rsidR="009E39B0" w:rsidRPr="00B91C8D" w:rsidRDefault="009E39B0" w:rsidP="008D3F2B">
            <w:pPr>
              <w:ind w:left="0" w:right="0"/>
              <w:rPr>
                <w:kern w:val="2"/>
                <w:sz w:val="18"/>
                <w:szCs w:val="18"/>
              </w:rPr>
            </w:pPr>
            <w:r w:rsidRPr="00B91C8D">
              <w:rPr>
                <w:kern w:val="2"/>
                <w:sz w:val="18"/>
                <w:szCs w:val="18"/>
              </w:rPr>
              <w:t>carcinogenicity; TT141003</w:t>
            </w:r>
          </w:p>
        </w:tc>
        <w:tc>
          <w:tcPr>
            <w:tcW w:w="1209" w:type="dxa"/>
          </w:tcPr>
          <w:p w14:paraId="24DE11C7" w14:textId="77777777" w:rsidR="009E39B0" w:rsidRPr="00B91C8D" w:rsidRDefault="009E39B0" w:rsidP="008D3F2B">
            <w:pPr>
              <w:ind w:left="0" w:right="0"/>
              <w:rPr>
                <w:kern w:val="2"/>
                <w:sz w:val="18"/>
                <w:szCs w:val="18"/>
              </w:rPr>
            </w:pPr>
            <w:r w:rsidRPr="00B91C8D">
              <w:rPr>
                <w:kern w:val="2"/>
                <w:sz w:val="18"/>
                <w:szCs w:val="18"/>
              </w:rPr>
              <w:t>5</w:t>
            </w:r>
          </w:p>
        </w:tc>
        <w:tc>
          <w:tcPr>
            <w:tcW w:w="786" w:type="dxa"/>
          </w:tcPr>
          <w:p w14:paraId="765CB517" w14:textId="77777777" w:rsidR="009E39B0" w:rsidRPr="00B91C8D" w:rsidRDefault="009E39B0" w:rsidP="008D3F2B">
            <w:pPr>
              <w:ind w:left="0" w:right="0"/>
              <w:rPr>
                <w:kern w:val="2"/>
                <w:sz w:val="18"/>
                <w:szCs w:val="18"/>
              </w:rPr>
            </w:pPr>
            <w:r w:rsidRPr="00B91C8D">
              <w:rPr>
                <w:kern w:val="2"/>
                <w:sz w:val="18"/>
                <w:szCs w:val="18"/>
              </w:rPr>
              <w:t>4.83</w:t>
            </w:r>
          </w:p>
        </w:tc>
        <w:tc>
          <w:tcPr>
            <w:tcW w:w="788" w:type="dxa"/>
          </w:tcPr>
          <w:p w14:paraId="5D9C1D3A" w14:textId="77777777" w:rsidR="009E39B0" w:rsidRPr="00B91C8D" w:rsidRDefault="009E39B0" w:rsidP="008D3F2B">
            <w:pPr>
              <w:ind w:left="0" w:right="0"/>
              <w:rPr>
                <w:kern w:val="2"/>
                <w:sz w:val="18"/>
                <w:szCs w:val="18"/>
              </w:rPr>
            </w:pPr>
            <w:r w:rsidRPr="00B91C8D">
              <w:rPr>
                <w:kern w:val="2"/>
                <w:sz w:val="18"/>
                <w:szCs w:val="18"/>
              </w:rPr>
              <w:t>9.67</w:t>
            </w:r>
          </w:p>
        </w:tc>
        <w:tc>
          <w:tcPr>
            <w:tcW w:w="773" w:type="dxa"/>
          </w:tcPr>
          <w:p w14:paraId="491A2D3C" w14:textId="77777777" w:rsidR="009E39B0" w:rsidRPr="00B91C8D" w:rsidRDefault="009E39B0" w:rsidP="008D3F2B">
            <w:pPr>
              <w:ind w:left="0" w:right="0"/>
              <w:rPr>
                <w:kern w:val="2"/>
                <w:sz w:val="18"/>
                <w:szCs w:val="18"/>
              </w:rPr>
            </w:pPr>
            <w:r w:rsidRPr="00B91C8D">
              <w:rPr>
                <w:kern w:val="2"/>
                <w:sz w:val="18"/>
                <w:szCs w:val="18"/>
              </w:rPr>
              <w:t>0.217</w:t>
            </w:r>
          </w:p>
        </w:tc>
        <w:tc>
          <w:tcPr>
            <w:tcW w:w="775" w:type="dxa"/>
          </w:tcPr>
          <w:p w14:paraId="0C46379C" w14:textId="77777777" w:rsidR="009E39B0" w:rsidRPr="00B91C8D" w:rsidRDefault="009E39B0" w:rsidP="008D3F2B">
            <w:pPr>
              <w:ind w:left="0" w:right="0"/>
              <w:rPr>
                <w:kern w:val="2"/>
                <w:sz w:val="18"/>
                <w:szCs w:val="18"/>
              </w:rPr>
            </w:pPr>
            <w:r w:rsidRPr="00B91C8D">
              <w:rPr>
                <w:kern w:val="2"/>
                <w:sz w:val="18"/>
                <w:szCs w:val="18"/>
              </w:rPr>
              <w:t>0.435</w:t>
            </w:r>
          </w:p>
        </w:tc>
        <w:tc>
          <w:tcPr>
            <w:tcW w:w="697" w:type="dxa"/>
          </w:tcPr>
          <w:p w14:paraId="7CD002DB" w14:textId="77777777" w:rsidR="009E39B0" w:rsidRPr="00B91C8D" w:rsidRDefault="009E39B0" w:rsidP="008D3F2B">
            <w:pPr>
              <w:ind w:left="0" w:right="0"/>
              <w:rPr>
                <w:kern w:val="2"/>
                <w:sz w:val="18"/>
                <w:szCs w:val="18"/>
              </w:rPr>
            </w:pPr>
            <w:r w:rsidRPr="00B91C8D">
              <w:rPr>
                <w:kern w:val="2"/>
                <w:sz w:val="18"/>
                <w:szCs w:val="18"/>
              </w:rPr>
              <w:t>2.8</w:t>
            </w:r>
          </w:p>
        </w:tc>
        <w:tc>
          <w:tcPr>
            <w:tcW w:w="697" w:type="dxa"/>
          </w:tcPr>
          <w:p w14:paraId="530A8BAF" w14:textId="77777777" w:rsidR="009E39B0" w:rsidRPr="00B91C8D" w:rsidRDefault="009E39B0" w:rsidP="008D3F2B">
            <w:pPr>
              <w:ind w:left="0" w:right="0"/>
              <w:rPr>
                <w:kern w:val="2"/>
                <w:sz w:val="18"/>
                <w:szCs w:val="18"/>
              </w:rPr>
            </w:pPr>
            <w:r w:rsidRPr="00B91C8D">
              <w:rPr>
                <w:kern w:val="2"/>
                <w:sz w:val="18"/>
                <w:szCs w:val="18"/>
              </w:rPr>
              <w:t>6</w:t>
            </w:r>
          </w:p>
        </w:tc>
      </w:tr>
      <w:tr w:rsidR="009E39B0" w:rsidRPr="00B91C8D" w14:paraId="735718D2" w14:textId="77777777" w:rsidTr="00CD18ED">
        <w:trPr>
          <w:trHeight w:val="253"/>
        </w:trPr>
        <w:tc>
          <w:tcPr>
            <w:tcW w:w="817" w:type="dxa"/>
            <w:vMerge/>
          </w:tcPr>
          <w:p w14:paraId="7981D616" w14:textId="77777777" w:rsidR="009E39B0" w:rsidRPr="00B91C8D" w:rsidRDefault="009E39B0" w:rsidP="008D3F2B">
            <w:pPr>
              <w:ind w:left="0" w:right="0"/>
              <w:rPr>
                <w:kern w:val="2"/>
                <w:sz w:val="18"/>
                <w:szCs w:val="18"/>
              </w:rPr>
            </w:pPr>
          </w:p>
        </w:tc>
        <w:tc>
          <w:tcPr>
            <w:tcW w:w="709" w:type="dxa"/>
            <w:vMerge/>
          </w:tcPr>
          <w:p w14:paraId="04FEFE36" w14:textId="77777777" w:rsidR="009E39B0" w:rsidRPr="00B91C8D" w:rsidRDefault="009E39B0" w:rsidP="008D3F2B">
            <w:pPr>
              <w:ind w:left="0" w:right="0"/>
              <w:rPr>
                <w:kern w:val="2"/>
                <w:sz w:val="18"/>
                <w:szCs w:val="18"/>
              </w:rPr>
            </w:pPr>
          </w:p>
        </w:tc>
        <w:tc>
          <w:tcPr>
            <w:tcW w:w="1417" w:type="dxa"/>
            <w:vMerge/>
          </w:tcPr>
          <w:p w14:paraId="456B069A" w14:textId="77777777" w:rsidR="009E39B0" w:rsidRPr="00B91C8D" w:rsidRDefault="009E39B0" w:rsidP="008D3F2B">
            <w:pPr>
              <w:ind w:left="0" w:right="0"/>
              <w:rPr>
                <w:kern w:val="2"/>
                <w:sz w:val="18"/>
                <w:szCs w:val="18"/>
              </w:rPr>
            </w:pPr>
          </w:p>
        </w:tc>
        <w:tc>
          <w:tcPr>
            <w:tcW w:w="1209" w:type="dxa"/>
          </w:tcPr>
          <w:p w14:paraId="35E9297F" w14:textId="77777777" w:rsidR="009E39B0" w:rsidRPr="00B91C8D" w:rsidRDefault="009E39B0" w:rsidP="008D3F2B">
            <w:pPr>
              <w:ind w:left="0" w:right="0"/>
              <w:rPr>
                <w:kern w:val="2"/>
                <w:sz w:val="18"/>
                <w:szCs w:val="18"/>
              </w:rPr>
            </w:pPr>
            <w:r w:rsidRPr="00B91C8D">
              <w:rPr>
                <w:kern w:val="2"/>
                <w:sz w:val="18"/>
                <w:szCs w:val="18"/>
              </w:rPr>
              <w:t>15</w:t>
            </w:r>
          </w:p>
        </w:tc>
        <w:tc>
          <w:tcPr>
            <w:tcW w:w="786" w:type="dxa"/>
          </w:tcPr>
          <w:p w14:paraId="4CE9C806" w14:textId="77777777" w:rsidR="009E39B0" w:rsidRPr="00B91C8D" w:rsidRDefault="009E39B0" w:rsidP="008D3F2B">
            <w:pPr>
              <w:ind w:left="0" w:right="0"/>
              <w:rPr>
                <w:kern w:val="2"/>
                <w:sz w:val="18"/>
                <w:szCs w:val="18"/>
              </w:rPr>
            </w:pPr>
            <w:r w:rsidRPr="00B91C8D">
              <w:rPr>
                <w:kern w:val="2"/>
                <w:sz w:val="18"/>
                <w:szCs w:val="18"/>
              </w:rPr>
              <w:t>17.2</w:t>
            </w:r>
          </w:p>
        </w:tc>
        <w:tc>
          <w:tcPr>
            <w:tcW w:w="788" w:type="dxa"/>
          </w:tcPr>
          <w:p w14:paraId="3FAB74AF" w14:textId="77777777" w:rsidR="009E39B0" w:rsidRPr="00B91C8D" w:rsidRDefault="009E39B0" w:rsidP="008D3F2B">
            <w:pPr>
              <w:ind w:left="0" w:right="0"/>
              <w:rPr>
                <w:kern w:val="2"/>
                <w:sz w:val="18"/>
                <w:szCs w:val="18"/>
              </w:rPr>
            </w:pPr>
            <w:r w:rsidRPr="00B91C8D">
              <w:rPr>
                <w:kern w:val="2"/>
                <w:sz w:val="18"/>
                <w:szCs w:val="18"/>
              </w:rPr>
              <w:t>30.9</w:t>
            </w:r>
          </w:p>
        </w:tc>
        <w:tc>
          <w:tcPr>
            <w:tcW w:w="773" w:type="dxa"/>
          </w:tcPr>
          <w:p w14:paraId="2FA823A2" w14:textId="77777777" w:rsidR="009E39B0" w:rsidRPr="00B91C8D" w:rsidRDefault="009E39B0" w:rsidP="008D3F2B">
            <w:pPr>
              <w:ind w:left="0" w:right="0"/>
              <w:rPr>
                <w:kern w:val="2"/>
                <w:sz w:val="18"/>
                <w:szCs w:val="18"/>
              </w:rPr>
            </w:pPr>
            <w:r w:rsidRPr="00B91C8D">
              <w:rPr>
                <w:kern w:val="2"/>
                <w:sz w:val="18"/>
                <w:szCs w:val="18"/>
              </w:rPr>
              <w:t>0.774</w:t>
            </w:r>
          </w:p>
        </w:tc>
        <w:tc>
          <w:tcPr>
            <w:tcW w:w="775" w:type="dxa"/>
          </w:tcPr>
          <w:p w14:paraId="606BD152" w14:textId="77777777" w:rsidR="009E39B0" w:rsidRPr="00B91C8D" w:rsidRDefault="009E39B0" w:rsidP="008D3F2B">
            <w:pPr>
              <w:ind w:left="0" w:right="0"/>
              <w:rPr>
                <w:kern w:val="2"/>
                <w:sz w:val="18"/>
                <w:szCs w:val="18"/>
              </w:rPr>
            </w:pPr>
            <w:r w:rsidRPr="00B91C8D">
              <w:rPr>
                <w:kern w:val="2"/>
                <w:sz w:val="18"/>
                <w:szCs w:val="18"/>
              </w:rPr>
              <w:t>1.39</w:t>
            </w:r>
          </w:p>
        </w:tc>
        <w:tc>
          <w:tcPr>
            <w:tcW w:w="697" w:type="dxa"/>
          </w:tcPr>
          <w:p w14:paraId="234A1DF8" w14:textId="77777777" w:rsidR="009E39B0" w:rsidRPr="00B91C8D" w:rsidRDefault="009E39B0" w:rsidP="008D3F2B">
            <w:pPr>
              <w:ind w:left="0" w:right="0"/>
              <w:rPr>
                <w:kern w:val="2"/>
                <w:sz w:val="18"/>
                <w:szCs w:val="18"/>
              </w:rPr>
            </w:pPr>
            <w:r w:rsidRPr="00B91C8D">
              <w:rPr>
                <w:kern w:val="2"/>
                <w:sz w:val="18"/>
                <w:szCs w:val="18"/>
              </w:rPr>
              <w:t>10</w:t>
            </w:r>
          </w:p>
        </w:tc>
        <w:tc>
          <w:tcPr>
            <w:tcW w:w="697" w:type="dxa"/>
          </w:tcPr>
          <w:p w14:paraId="6D6C6B23" w14:textId="77777777" w:rsidR="009E39B0" w:rsidRPr="00B91C8D" w:rsidRDefault="009E39B0" w:rsidP="008D3F2B">
            <w:pPr>
              <w:ind w:left="0" w:right="0"/>
              <w:rPr>
                <w:kern w:val="2"/>
                <w:sz w:val="18"/>
                <w:szCs w:val="18"/>
              </w:rPr>
            </w:pPr>
            <w:r w:rsidRPr="00B91C8D">
              <w:rPr>
                <w:kern w:val="2"/>
                <w:sz w:val="18"/>
                <w:szCs w:val="18"/>
              </w:rPr>
              <w:t>18</w:t>
            </w:r>
          </w:p>
        </w:tc>
      </w:tr>
      <w:tr w:rsidR="009E39B0" w:rsidRPr="00B91C8D" w14:paraId="58635905" w14:textId="77777777" w:rsidTr="00CD18ED">
        <w:trPr>
          <w:trHeight w:val="253"/>
        </w:trPr>
        <w:tc>
          <w:tcPr>
            <w:tcW w:w="817" w:type="dxa"/>
            <w:vMerge/>
          </w:tcPr>
          <w:p w14:paraId="6F601AE9" w14:textId="77777777" w:rsidR="009E39B0" w:rsidRPr="00B91C8D" w:rsidRDefault="009E39B0" w:rsidP="008D3F2B">
            <w:pPr>
              <w:ind w:left="0" w:right="0"/>
              <w:rPr>
                <w:kern w:val="2"/>
                <w:sz w:val="18"/>
                <w:szCs w:val="18"/>
              </w:rPr>
            </w:pPr>
          </w:p>
        </w:tc>
        <w:tc>
          <w:tcPr>
            <w:tcW w:w="709" w:type="dxa"/>
            <w:vMerge/>
          </w:tcPr>
          <w:p w14:paraId="54F548C4" w14:textId="77777777" w:rsidR="009E39B0" w:rsidRPr="00B91C8D" w:rsidRDefault="009E39B0" w:rsidP="008D3F2B">
            <w:pPr>
              <w:ind w:left="0" w:right="0"/>
              <w:rPr>
                <w:kern w:val="2"/>
                <w:sz w:val="18"/>
                <w:szCs w:val="18"/>
              </w:rPr>
            </w:pPr>
          </w:p>
        </w:tc>
        <w:tc>
          <w:tcPr>
            <w:tcW w:w="1417" w:type="dxa"/>
            <w:vMerge/>
          </w:tcPr>
          <w:p w14:paraId="60F5653D" w14:textId="77777777" w:rsidR="009E39B0" w:rsidRPr="00B91C8D" w:rsidRDefault="009E39B0" w:rsidP="008D3F2B">
            <w:pPr>
              <w:ind w:left="0" w:right="0"/>
              <w:rPr>
                <w:kern w:val="2"/>
                <w:sz w:val="18"/>
                <w:szCs w:val="18"/>
              </w:rPr>
            </w:pPr>
          </w:p>
        </w:tc>
        <w:tc>
          <w:tcPr>
            <w:tcW w:w="1209" w:type="dxa"/>
          </w:tcPr>
          <w:p w14:paraId="4139AD6D" w14:textId="77777777" w:rsidR="009E39B0" w:rsidRPr="00B91C8D" w:rsidRDefault="009E39B0" w:rsidP="008D3F2B">
            <w:pPr>
              <w:ind w:left="0" w:right="0"/>
              <w:rPr>
                <w:kern w:val="2"/>
                <w:sz w:val="18"/>
                <w:szCs w:val="18"/>
              </w:rPr>
            </w:pPr>
            <w:r w:rsidRPr="00B91C8D">
              <w:rPr>
                <w:kern w:val="2"/>
                <w:sz w:val="18"/>
                <w:szCs w:val="18"/>
              </w:rPr>
              <w:t>40</w:t>
            </w:r>
          </w:p>
        </w:tc>
        <w:tc>
          <w:tcPr>
            <w:tcW w:w="786" w:type="dxa"/>
          </w:tcPr>
          <w:p w14:paraId="5CBF0763" w14:textId="77777777" w:rsidR="009E39B0" w:rsidRPr="00B91C8D" w:rsidRDefault="009E39B0" w:rsidP="008D3F2B">
            <w:pPr>
              <w:ind w:left="0" w:right="0"/>
              <w:rPr>
                <w:kern w:val="2"/>
                <w:sz w:val="18"/>
                <w:szCs w:val="18"/>
              </w:rPr>
            </w:pPr>
            <w:r w:rsidRPr="00B91C8D">
              <w:rPr>
                <w:kern w:val="2"/>
                <w:sz w:val="18"/>
                <w:szCs w:val="18"/>
              </w:rPr>
              <w:t>53.0</w:t>
            </w:r>
          </w:p>
        </w:tc>
        <w:tc>
          <w:tcPr>
            <w:tcW w:w="788" w:type="dxa"/>
          </w:tcPr>
          <w:p w14:paraId="278B442C" w14:textId="77777777" w:rsidR="009E39B0" w:rsidRPr="00B91C8D" w:rsidRDefault="009E39B0" w:rsidP="008D3F2B">
            <w:pPr>
              <w:ind w:left="0" w:right="0"/>
              <w:rPr>
                <w:kern w:val="2"/>
                <w:sz w:val="18"/>
                <w:szCs w:val="18"/>
              </w:rPr>
            </w:pPr>
            <w:r w:rsidRPr="00B91C8D">
              <w:rPr>
                <w:kern w:val="2"/>
                <w:sz w:val="18"/>
                <w:szCs w:val="18"/>
              </w:rPr>
              <w:t>87.2</w:t>
            </w:r>
          </w:p>
        </w:tc>
        <w:tc>
          <w:tcPr>
            <w:tcW w:w="773" w:type="dxa"/>
          </w:tcPr>
          <w:p w14:paraId="24C31258" w14:textId="77777777" w:rsidR="009E39B0" w:rsidRPr="00B91C8D" w:rsidRDefault="009E39B0" w:rsidP="008D3F2B">
            <w:pPr>
              <w:ind w:left="0" w:right="0"/>
              <w:rPr>
                <w:kern w:val="2"/>
                <w:sz w:val="18"/>
                <w:szCs w:val="18"/>
              </w:rPr>
            </w:pPr>
            <w:r w:rsidRPr="00B91C8D">
              <w:rPr>
                <w:kern w:val="2"/>
                <w:sz w:val="18"/>
                <w:szCs w:val="18"/>
              </w:rPr>
              <w:t>2.39</w:t>
            </w:r>
          </w:p>
        </w:tc>
        <w:tc>
          <w:tcPr>
            <w:tcW w:w="775" w:type="dxa"/>
          </w:tcPr>
          <w:p w14:paraId="6AA382F2" w14:textId="77777777" w:rsidR="009E39B0" w:rsidRPr="00B91C8D" w:rsidRDefault="009E39B0" w:rsidP="008D3F2B">
            <w:pPr>
              <w:ind w:left="0" w:right="0"/>
              <w:rPr>
                <w:kern w:val="2"/>
                <w:sz w:val="18"/>
                <w:szCs w:val="18"/>
              </w:rPr>
            </w:pPr>
            <w:r w:rsidRPr="00B91C8D">
              <w:rPr>
                <w:kern w:val="2"/>
                <w:sz w:val="18"/>
                <w:szCs w:val="18"/>
              </w:rPr>
              <w:t>3.92</w:t>
            </w:r>
          </w:p>
        </w:tc>
        <w:tc>
          <w:tcPr>
            <w:tcW w:w="697" w:type="dxa"/>
          </w:tcPr>
          <w:p w14:paraId="1DE37AF9" w14:textId="77777777" w:rsidR="009E39B0" w:rsidRPr="00B91C8D" w:rsidRDefault="009E39B0" w:rsidP="008D3F2B">
            <w:pPr>
              <w:ind w:left="0" w:right="0"/>
              <w:rPr>
                <w:kern w:val="2"/>
                <w:sz w:val="18"/>
                <w:szCs w:val="18"/>
              </w:rPr>
            </w:pPr>
            <w:r w:rsidRPr="00B91C8D">
              <w:rPr>
                <w:kern w:val="2"/>
                <w:sz w:val="18"/>
                <w:szCs w:val="18"/>
              </w:rPr>
              <w:t>31</w:t>
            </w:r>
          </w:p>
        </w:tc>
        <w:tc>
          <w:tcPr>
            <w:tcW w:w="697" w:type="dxa"/>
          </w:tcPr>
          <w:p w14:paraId="3AF15C01" w14:textId="77777777" w:rsidR="009E39B0" w:rsidRPr="00B91C8D" w:rsidRDefault="009E39B0" w:rsidP="008D3F2B">
            <w:pPr>
              <w:ind w:left="0" w:right="0"/>
              <w:rPr>
                <w:kern w:val="2"/>
                <w:sz w:val="18"/>
                <w:szCs w:val="18"/>
              </w:rPr>
            </w:pPr>
            <w:r w:rsidRPr="00B91C8D">
              <w:rPr>
                <w:kern w:val="2"/>
                <w:sz w:val="18"/>
                <w:szCs w:val="18"/>
              </w:rPr>
              <w:t>51</w:t>
            </w:r>
          </w:p>
        </w:tc>
      </w:tr>
      <w:tr w:rsidR="009E39B0" w:rsidRPr="00B91C8D" w14:paraId="1F11A772" w14:textId="77777777" w:rsidTr="00CD18ED">
        <w:trPr>
          <w:trHeight w:val="253"/>
        </w:trPr>
        <w:tc>
          <w:tcPr>
            <w:tcW w:w="1526" w:type="dxa"/>
            <w:gridSpan w:val="2"/>
            <w:vMerge w:val="restart"/>
          </w:tcPr>
          <w:p w14:paraId="765AF9AB" w14:textId="17541A4A" w:rsidR="009E39B0" w:rsidRPr="00B91C8D" w:rsidRDefault="009E39B0" w:rsidP="008D3F2B">
            <w:pPr>
              <w:ind w:left="0" w:right="0"/>
              <w:rPr>
                <w:b/>
                <w:kern w:val="2"/>
                <w:sz w:val="18"/>
                <w:szCs w:val="18"/>
              </w:rPr>
            </w:pPr>
            <w:r w:rsidRPr="00B91C8D">
              <w:rPr>
                <w:b/>
                <w:kern w:val="2"/>
                <w:sz w:val="18"/>
                <w:szCs w:val="18"/>
              </w:rPr>
              <w:t>Rat</w:t>
            </w:r>
            <w:r w:rsidR="00AD51CF">
              <w:rPr>
                <w:kern w:val="2"/>
                <w:sz w:val="18"/>
                <w:szCs w:val="18"/>
              </w:rPr>
              <w:t xml:space="preserve"> </w:t>
            </w:r>
            <w:r w:rsidRPr="00B91C8D">
              <w:rPr>
                <w:kern w:val="2"/>
                <w:sz w:val="18"/>
                <w:szCs w:val="18"/>
              </w:rPr>
              <w:t>(SD)</w:t>
            </w:r>
          </w:p>
        </w:tc>
        <w:tc>
          <w:tcPr>
            <w:tcW w:w="1417" w:type="dxa"/>
            <w:vMerge w:val="restart"/>
          </w:tcPr>
          <w:p w14:paraId="1B2901B2" w14:textId="77777777" w:rsidR="009E39B0" w:rsidRPr="00B91C8D" w:rsidRDefault="009E39B0" w:rsidP="008D3F2B">
            <w:pPr>
              <w:ind w:left="0" w:right="0"/>
              <w:rPr>
                <w:kern w:val="2"/>
                <w:sz w:val="18"/>
                <w:szCs w:val="18"/>
              </w:rPr>
            </w:pPr>
            <w:r w:rsidRPr="00B91C8D">
              <w:rPr>
                <w:kern w:val="2"/>
                <w:sz w:val="18"/>
                <w:szCs w:val="18"/>
              </w:rPr>
              <w:t>1 month</w:t>
            </w:r>
          </w:p>
          <w:p w14:paraId="0F32C4C9" w14:textId="77777777" w:rsidR="009E39B0" w:rsidRPr="00B91C8D" w:rsidRDefault="009E39B0" w:rsidP="008D3F2B">
            <w:pPr>
              <w:ind w:left="0" w:right="0"/>
              <w:rPr>
                <w:kern w:val="2"/>
                <w:sz w:val="18"/>
                <w:szCs w:val="18"/>
              </w:rPr>
            </w:pPr>
            <w:r w:rsidRPr="00B91C8D">
              <w:rPr>
                <w:kern w:val="2"/>
                <w:sz w:val="18"/>
                <w:szCs w:val="18"/>
              </w:rPr>
              <w:t>[TT097890]</w:t>
            </w:r>
          </w:p>
        </w:tc>
        <w:tc>
          <w:tcPr>
            <w:tcW w:w="1209" w:type="dxa"/>
          </w:tcPr>
          <w:p w14:paraId="29B4128F" w14:textId="77777777" w:rsidR="009E39B0" w:rsidRPr="00B91C8D" w:rsidRDefault="009E39B0" w:rsidP="008D3F2B">
            <w:pPr>
              <w:ind w:left="0" w:right="0"/>
              <w:rPr>
                <w:kern w:val="2"/>
                <w:sz w:val="18"/>
                <w:szCs w:val="18"/>
              </w:rPr>
            </w:pPr>
            <w:r w:rsidRPr="00B91C8D">
              <w:rPr>
                <w:kern w:val="2"/>
                <w:sz w:val="18"/>
                <w:szCs w:val="18"/>
              </w:rPr>
              <w:t>5</w:t>
            </w:r>
          </w:p>
        </w:tc>
        <w:tc>
          <w:tcPr>
            <w:tcW w:w="786" w:type="dxa"/>
          </w:tcPr>
          <w:p w14:paraId="7C38D2FC" w14:textId="77777777" w:rsidR="009E39B0" w:rsidRPr="00B91C8D" w:rsidRDefault="009E39B0" w:rsidP="008D3F2B">
            <w:pPr>
              <w:ind w:left="0" w:right="0"/>
              <w:rPr>
                <w:kern w:val="2"/>
                <w:sz w:val="18"/>
                <w:szCs w:val="18"/>
              </w:rPr>
            </w:pPr>
            <w:r w:rsidRPr="00B91C8D">
              <w:rPr>
                <w:kern w:val="2"/>
                <w:sz w:val="18"/>
                <w:szCs w:val="18"/>
              </w:rPr>
              <w:t>8.40</w:t>
            </w:r>
          </w:p>
        </w:tc>
        <w:tc>
          <w:tcPr>
            <w:tcW w:w="788" w:type="dxa"/>
          </w:tcPr>
          <w:p w14:paraId="2B0301FD" w14:textId="77777777" w:rsidR="009E39B0" w:rsidRPr="00B91C8D" w:rsidRDefault="009E39B0" w:rsidP="008D3F2B">
            <w:pPr>
              <w:ind w:left="0" w:right="0"/>
              <w:rPr>
                <w:kern w:val="2"/>
                <w:sz w:val="18"/>
                <w:szCs w:val="18"/>
              </w:rPr>
            </w:pPr>
            <w:r w:rsidRPr="00B91C8D">
              <w:rPr>
                <w:kern w:val="2"/>
                <w:sz w:val="18"/>
                <w:szCs w:val="18"/>
              </w:rPr>
              <w:t>14.9</w:t>
            </w:r>
          </w:p>
        </w:tc>
        <w:tc>
          <w:tcPr>
            <w:tcW w:w="773" w:type="dxa"/>
          </w:tcPr>
          <w:p w14:paraId="2D7004BA" w14:textId="77777777" w:rsidR="009E39B0" w:rsidRPr="00B91C8D" w:rsidRDefault="009E39B0" w:rsidP="008D3F2B">
            <w:pPr>
              <w:ind w:left="0" w:right="0"/>
              <w:rPr>
                <w:kern w:val="2"/>
                <w:sz w:val="18"/>
                <w:szCs w:val="18"/>
              </w:rPr>
            </w:pPr>
            <w:r w:rsidRPr="00B91C8D">
              <w:rPr>
                <w:kern w:val="2"/>
                <w:sz w:val="18"/>
                <w:szCs w:val="18"/>
              </w:rPr>
              <w:t>0.378</w:t>
            </w:r>
          </w:p>
        </w:tc>
        <w:tc>
          <w:tcPr>
            <w:tcW w:w="775" w:type="dxa"/>
          </w:tcPr>
          <w:p w14:paraId="3D7227CA" w14:textId="77777777" w:rsidR="009E39B0" w:rsidRPr="00B91C8D" w:rsidRDefault="009E39B0" w:rsidP="008D3F2B">
            <w:pPr>
              <w:ind w:left="0" w:right="0"/>
              <w:rPr>
                <w:kern w:val="2"/>
                <w:sz w:val="18"/>
                <w:szCs w:val="18"/>
              </w:rPr>
            </w:pPr>
            <w:r w:rsidRPr="00B91C8D">
              <w:rPr>
                <w:kern w:val="2"/>
                <w:sz w:val="18"/>
                <w:szCs w:val="18"/>
              </w:rPr>
              <w:t>0.671</w:t>
            </w:r>
          </w:p>
        </w:tc>
        <w:tc>
          <w:tcPr>
            <w:tcW w:w="697" w:type="dxa"/>
          </w:tcPr>
          <w:p w14:paraId="5F6D5084" w14:textId="77777777" w:rsidR="009E39B0" w:rsidRPr="00B91C8D" w:rsidRDefault="009E39B0" w:rsidP="008D3F2B">
            <w:pPr>
              <w:ind w:left="0" w:right="0"/>
              <w:rPr>
                <w:kern w:val="2"/>
                <w:sz w:val="18"/>
                <w:szCs w:val="18"/>
              </w:rPr>
            </w:pPr>
            <w:r w:rsidRPr="00B91C8D">
              <w:rPr>
                <w:kern w:val="2"/>
                <w:sz w:val="18"/>
                <w:szCs w:val="18"/>
              </w:rPr>
              <w:t>5</w:t>
            </w:r>
          </w:p>
        </w:tc>
        <w:tc>
          <w:tcPr>
            <w:tcW w:w="697" w:type="dxa"/>
          </w:tcPr>
          <w:p w14:paraId="7FB6B383" w14:textId="77777777" w:rsidR="009E39B0" w:rsidRPr="00B91C8D" w:rsidRDefault="009E39B0" w:rsidP="008D3F2B">
            <w:pPr>
              <w:ind w:left="0" w:right="0"/>
              <w:rPr>
                <w:kern w:val="2"/>
                <w:sz w:val="18"/>
                <w:szCs w:val="18"/>
              </w:rPr>
            </w:pPr>
            <w:r w:rsidRPr="00B91C8D">
              <w:rPr>
                <w:kern w:val="2"/>
                <w:sz w:val="18"/>
                <w:szCs w:val="18"/>
              </w:rPr>
              <w:t>9</w:t>
            </w:r>
          </w:p>
        </w:tc>
      </w:tr>
      <w:tr w:rsidR="009E39B0" w:rsidRPr="00B91C8D" w14:paraId="2FC430E2" w14:textId="77777777" w:rsidTr="00CD18ED">
        <w:trPr>
          <w:trHeight w:val="253"/>
        </w:trPr>
        <w:tc>
          <w:tcPr>
            <w:tcW w:w="1526" w:type="dxa"/>
            <w:gridSpan w:val="2"/>
            <w:vMerge/>
          </w:tcPr>
          <w:p w14:paraId="035187D3" w14:textId="77777777" w:rsidR="009E39B0" w:rsidRPr="00B91C8D" w:rsidRDefault="009E39B0" w:rsidP="008D3F2B">
            <w:pPr>
              <w:ind w:left="0" w:right="0"/>
              <w:rPr>
                <w:b/>
                <w:kern w:val="2"/>
                <w:sz w:val="18"/>
                <w:szCs w:val="18"/>
              </w:rPr>
            </w:pPr>
          </w:p>
        </w:tc>
        <w:tc>
          <w:tcPr>
            <w:tcW w:w="1417" w:type="dxa"/>
            <w:vMerge/>
          </w:tcPr>
          <w:p w14:paraId="69D46119" w14:textId="77777777" w:rsidR="009E39B0" w:rsidRPr="00B91C8D" w:rsidRDefault="009E39B0" w:rsidP="008D3F2B">
            <w:pPr>
              <w:ind w:left="0" w:right="0"/>
              <w:rPr>
                <w:kern w:val="2"/>
                <w:sz w:val="18"/>
                <w:szCs w:val="18"/>
              </w:rPr>
            </w:pPr>
          </w:p>
        </w:tc>
        <w:tc>
          <w:tcPr>
            <w:tcW w:w="1209" w:type="dxa"/>
          </w:tcPr>
          <w:p w14:paraId="139DE5D0" w14:textId="77777777" w:rsidR="009E39B0" w:rsidRPr="00B91C8D" w:rsidRDefault="009E39B0" w:rsidP="008D3F2B">
            <w:pPr>
              <w:ind w:left="0" w:right="0"/>
              <w:rPr>
                <w:kern w:val="2"/>
                <w:sz w:val="18"/>
                <w:szCs w:val="18"/>
              </w:rPr>
            </w:pPr>
            <w:r w:rsidRPr="00B91C8D">
              <w:rPr>
                <w:kern w:val="2"/>
                <w:sz w:val="18"/>
                <w:szCs w:val="18"/>
              </w:rPr>
              <w:t>25</w:t>
            </w:r>
          </w:p>
        </w:tc>
        <w:tc>
          <w:tcPr>
            <w:tcW w:w="786" w:type="dxa"/>
          </w:tcPr>
          <w:p w14:paraId="2B860BFE" w14:textId="77777777" w:rsidR="009E39B0" w:rsidRPr="00B91C8D" w:rsidRDefault="009E39B0" w:rsidP="008D3F2B">
            <w:pPr>
              <w:ind w:left="0" w:right="0"/>
              <w:rPr>
                <w:kern w:val="2"/>
                <w:sz w:val="18"/>
                <w:szCs w:val="18"/>
              </w:rPr>
            </w:pPr>
            <w:r w:rsidRPr="00B91C8D">
              <w:rPr>
                <w:kern w:val="2"/>
                <w:sz w:val="18"/>
                <w:szCs w:val="18"/>
              </w:rPr>
              <w:t>69.3</w:t>
            </w:r>
          </w:p>
        </w:tc>
        <w:tc>
          <w:tcPr>
            <w:tcW w:w="788" w:type="dxa"/>
          </w:tcPr>
          <w:p w14:paraId="5086E84A" w14:textId="77777777" w:rsidR="009E39B0" w:rsidRPr="00B91C8D" w:rsidRDefault="009E39B0" w:rsidP="008D3F2B">
            <w:pPr>
              <w:ind w:left="0" w:right="0"/>
              <w:rPr>
                <w:kern w:val="2"/>
                <w:sz w:val="18"/>
                <w:szCs w:val="18"/>
              </w:rPr>
            </w:pPr>
            <w:r w:rsidRPr="00B91C8D">
              <w:rPr>
                <w:kern w:val="2"/>
                <w:sz w:val="18"/>
                <w:szCs w:val="18"/>
              </w:rPr>
              <w:t>93.0</w:t>
            </w:r>
          </w:p>
        </w:tc>
        <w:tc>
          <w:tcPr>
            <w:tcW w:w="773" w:type="dxa"/>
          </w:tcPr>
          <w:p w14:paraId="628A30A1" w14:textId="77777777" w:rsidR="009E39B0" w:rsidRPr="00B91C8D" w:rsidRDefault="009E39B0" w:rsidP="008D3F2B">
            <w:pPr>
              <w:ind w:left="0" w:right="0"/>
              <w:rPr>
                <w:kern w:val="2"/>
                <w:sz w:val="18"/>
                <w:szCs w:val="18"/>
              </w:rPr>
            </w:pPr>
            <w:r w:rsidRPr="00B91C8D">
              <w:rPr>
                <w:kern w:val="2"/>
                <w:sz w:val="18"/>
                <w:szCs w:val="18"/>
              </w:rPr>
              <w:t>3.12</w:t>
            </w:r>
          </w:p>
        </w:tc>
        <w:tc>
          <w:tcPr>
            <w:tcW w:w="775" w:type="dxa"/>
          </w:tcPr>
          <w:p w14:paraId="6A7870D8" w14:textId="77777777" w:rsidR="009E39B0" w:rsidRPr="00B91C8D" w:rsidRDefault="009E39B0" w:rsidP="008D3F2B">
            <w:pPr>
              <w:ind w:left="0" w:right="0"/>
              <w:rPr>
                <w:kern w:val="2"/>
                <w:sz w:val="18"/>
                <w:szCs w:val="18"/>
              </w:rPr>
            </w:pPr>
            <w:r w:rsidRPr="00B91C8D">
              <w:rPr>
                <w:kern w:val="2"/>
                <w:sz w:val="18"/>
                <w:szCs w:val="18"/>
              </w:rPr>
              <w:t>4.19</w:t>
            </w:r>
          </w:p>
        </w:tc>
        <w:tc>
          <w:tcPr>
            <w:tcW w:w="697" w:type="dxa"/>
          </w:tcPr>
          <w:p w14:paraId="298DFEF0" w14:textId="77777777" w:rsidR="009E39B0" w:rsidRPr="00B91C8D" w:rsidRDefault="009E39B0" w:rsidP="008D3F2B">
            <w:pPr>
              <w:ind w:left="0" w:right="0"/>
              <w:rPr>
                <w:kern w:val="2"/>
                <w:sz w:val="18"/>
                <w:szCs w:val="18"/>
              </w:rPr>
            </w:pPr>
            <w:r w:rsidRPr="00B91C8D">
              <w:rPr>
                <w:kern w:val="2"/>
                <w:sz w:val="18"/>
                <w:szCs w:val="18"/>
              </w:rPr>
              <w:t>41</w:t>
            </w:r>
          </w:p>
        </w:tc>
        <w:tc>
          <w:tcPr>
            <w:tcW w:w="697" w:type="dxa"/>
          </w:tcPr>
          <w:p w14:paraId="477A0951" w14:textId="77777777" w:rsidR="009E39B0" w:rsidRPr="00B91C8D" w:rsidRDefault="009E39B0" w:rsidP="008D3F2B">
            <w:pPr>
              <w:ind w:left="0" w:right="0"/>
              <w:rPr>
                <w:kern w:val="2"/>
                <w:sz w:val="18"/>
                <w:szCs w:val="18"/>
              </w:rPr>
            </w:pPr>
            <w:r w:rsidRPr="00B91C8D">
              <w:rPr>
                <w:kern w:val="2"/>
                <w:sz w:val="18"/>
                <w:szCs w:val="18"/>
              </w:rPr>
              <w:t>55</w:t>
            </w:r>
          </w:p>
        </w:tc>
      </w:tr>
      <w:tr w:rsidR="009E39B0" w:rsidRPr="00B91C8D" w14:paraId="2CE05B4E" w14:textId="77777777" w:rsidTr="00CD18ED">
        <w:trPr>
          <w:trHeight w:val="253"/>
        </w:trPr>
        <w:tc>
          <w:tcPr>
            <w:tcW w:w="1526" w:type="dxa"/>
            <w:gridSpan w:val="2"/>
            <w:vMerge/>
          </w:tcPr>
          <w:p w14:paraId="14941A62" w14:textId="77777777" w:rsidR="009E39B0" w:rsidRPr="00B91C8D" w:rsidRDefault="009E39B0" w:rsidP="008D3F2B">
            <w:pPr>
              <w:ind w:left="0" w:right="0"/>
              <w:rPr>
                <w:b/>
                <w:kern w:val="2"/>
                <w:sz w:val="18"/>
                <w:szCs w:val="18"/>
              </w:rPr>
            </w:pPr>
          </w:p>
        </w:tc>
        <w:tc>
          <w:tcPr>
            <w:tcW w:w="1417" w:type="dxa"/>
            <w:vMerge/>
          </w:tcPr>
          <w:p w14:paraId="10C4D1A2" w14:textId="77777777" w:rsidR="009E39B0" w:rsidRPr="00B91C8D" w:rsidRDefault="009E39B0" w:rsidP="008D3F2B">
            <w:pPr>
              <w:ind w:left="0" w:right="0"/>
              <w:rPr>
                <w:kern w:val="2"/>
                <w:sz w:val="18"/>
                <w:szCs w:val="18"/>
              </w:rPr>
            </w:pPr>
          </w:p>
        </w:tc>
        <w:tc>
          <w:tcPr>
            <w:tcW w:w="1209" w:type="dxa"/>
          </w:tcPr>
          <w:p w14:paraId="69AAF7E2" w14:textId="77777777" w:rsidR="009E39B0" w:rsidRPr="00B91C8D" w:rsidRDefault="009E39B0" w:rsidP="008D3F2B">
            <w:pPr>
              <w:ind w:left="0" w:right="0"/>
              <w:rPr>
                <w:kern w:val="2"/>
                <w:sz w:val="18"/>
                <w:szCs w:val="18"/>
              </w:rPr>
            </w:pPr>
            <w:r w:rsidRPr="00B91C8D">
              <w:rPr>
                <w:kern w:val="2"/>
                <w:sz w:val="18"/>
                <w:szCs w:val="18"/>
              </w:rPr>
              <w:t>250</w:t>
            </w:r>
          </w:p>
        </w:tc>
        <w:tc>
          <w:tcPr>
            <w:tcW w:w="786" w:type="dxa"/>
          </w:tcPr>
          <w:p w14:paraId="5EF4969B" w14:textId="77777777" w:rsidR="009E39B0" w:rsidRPr="00B91C8D" w:rsidRDefault="009E39B0" w:rsidP="008D3F2B">
            <w:pPr>
              <w:ind w:left="0" w:right="0"/>
              <w:rPr>
                <w:kern w:val="2"/>
                <w:sz w:val="18"/>
                <w:szCs w:val="18"/>
              </w:rPr>
            </w:pPr>
            <w:r w:rsidRPr="00B91C8D">
              <w:rPr>
                <w:kern w:val="2"/>
                <w:sz w:val="18"/>
                <w:szCs w:val="18"/>
              </w:rPr>
              <w:t>541</w:t>
            </w:r>
          </w:p>
        </w:tc>
        <w:tc>
          <w:tcPr>
            <w:tcW w:w="788" w:type="dxa"/>
          </w:tcPr>
          <w:p w14:paraId="68429BA9" w14:textId="77777777" w:rsidR="009E39B0" w:rsidRPr="00B91C8D" w:rsidRDefault="009E39B0" w:rsidP="008D3F2B">
            <w:pPr>
              <w:ind w:left="0" w:right="0"/>
              <w:rPr>
                <w:kern w:val="2"/>
                <w:sz w:val="18"/>
                <w:szCs w:val="18"/>
              </w:rPr>
            </w:pPr>
            <w:r w:rsidRPr="00B91C8D">
              <w:rPr>
                <w:kern w:val="2"/>
                <w:sz w:val="18"/>
                <w:szCs w:val="18"/>
              </w:rPr>
              <w:t>718</w:t>
            </w:r>
          </w:p>
        </w:tc>
        <w:tc>
          <w:tcPr>
            <w:tcW w:w="773" w:type="dxa"/>
          </w:tcPr>
          <w:p w14:paraId="5E5A9D0D" w14:textId="77777777" w:rsidR="009E39B0" w:rsidRPr="00B91C8D" w:rsidRDefault="009E39B0" w:rsidP="008D3F2B">
            <w:pPr>
              <w:ind w:left="0" w:right="0"/>
              <w:rPr>
                <w:kern w:val="2"/>
                <w:sz w:val="18"/>
                <w:szCs w:val="18"/>
              </w:rPr>
            </w:pPr>
            <w:r w:rsidRPr="00B91C8D">
              <w:rPr>
                <w:kern w:val="2"/>
                <w:sz w:val="18"/>
                <w:szCs w:val="18"/>
              </w:rPr>
              <w:t>24.3</w:t>
            </w:r>
          </w:p>
        </w:tc>
        <w:tc>
          <w:tcPr>
            <w:tcW w:w="775" w:type="dxa"/>
          </w:tcPr>
          <w:p w14:paraId="5547E2D3" w14:textId="77777777" w:rsidR="009E39B0" w:rsidRPr="00B91C8D" w:rsidRDefault="009E39B0" w:rsidP="008D3F2B">
            <w:pPr>
              <w:ind w:left="0" w:right="0"/>
              <w:rPr>
                <w:kern w:val="2"/>
                <w:sz w:val="18"/>
                <w:szCs w:val="18"/>
              </w:rPr>
            </w:pPr>
            <w:r w:rsidRPr="00B91C8D">
              <w:rPr>
                <w:kern w:val="2"/>
                <w:sz w:val="18"/>
                <w:szCs w:val="18"/>
              </w:rPr>
              <w:t>32.3</w:t>
            </w:r>
          </w:p>
        </w:tc>
        <w:tc>
          <w:tcPr>
            <w:tcW w:w="697" w:type="dxa"/>
          </w:tcPr>
          <w:p w14:paraId="41D59018" w14:textId="77777777" w:rsidR="009E39B0" w:rsidRPr="00B91C8D" w:rsidRDefault="009E39B0" w:rsidP="008D3F2B">
            <w:pPr>
              <w:ind w:left="0" w:right="0"/>
              <w:rPr>
                <w:kern w:val="2"/>
                <w:sz w:val="18"/>
                <w:szCs w:val="18"/>
              </w:rPr>
            </w:pPr>
            <w:r w:rsidRPr="00B91C8D">
              <w:rPr>
                <w:kern w:val="2"/>
                <w:sz w:val="18"/>
                <w:szCs w:val="18"/>
              </w:rPr>
              <w:t>319</w:t>
            </w:r>
          </w:p>
        </w:tc>
        <w:tc>
          <w:tcPr>
            <w:tcW w:w="697" w:type="dxa"/>
          </w:tcPr>
          <w:p w14:paraId="3905C196" w14:textId="77777777" w:rsidR="009E39B0" w:rsidRPr="00B91C8D" w:rsidRDefault="009E39B0" w:rsidP="008D3F2B">
            <w:pPr>
              <w:ind w:left="0" w:right="0"/>
              <w:rPr>
                <w:kern w:val="2"/>
                <w:sz w:val="18"/>
                <w:szCs w:val="18"/>
              </w:rPr>
            </w:pPr>
            <w:r w:rsidRPr="00B91C8D">
              <w:rPr>
                <w:kern w:val="2"/>
                <w:sz w:val="18"/>
                <w:szCs w:val="18"/>
              </w:rPr>
              <w:t>423</w:t>
            </w:r>
          </w:p>
        </w:tc>
      </w:tr>
      <w:tr w:rsidR="009E39B0" w:rsidRPr="00B91C8D" w14:paraId="21E45070" w14:textId="77777777" w:rsidTr="00CD18ED">
        <w:trPr>
          <w:trHeight w:val="253"/>
        </w:trPr>
        <w:tc>
          <w:tcPr>
            <w:tcW w:w="1526" w:type="dxa"/>
            <w:gridSpan w:val="2"/>
            <w:vMerge/>
          </w:tcPr>
          <w:p w14:paraId="361B8193" w14:textId="77777777" w:rsidR="009E39B0" w:rsidRPr="00B91C8D" w:rsidRDefault="009E39B0" w:rsidP="008D3F2B">
            <w:pPr>
              <w:ind w:left="0" w:right="0"/>
              <w:rPr>
                <w:kern w:val="2"/>
                <w:sz w:val="18"/>
                <w:szCs w:val="18"/>
              </w:rPr>
            </w:pPr>
          </w:p>
        </w:tc>
        <w:tc>
          <w:tcPr>
            <w:tcW w:w="1417" w:type="dxa"/>
            <w:vMerge w:val="restart"/>
          </w:tcPr>
          <w:p w14:paraId="5846ADC2" w14:textId="77777777" w:rsidR="009E39B0" w:rsidRPr="00B91C8D" w:rsidRDefault="009E39B0" w:rsidP="008D3F2B">
            <w:pPr>
              <w:ind w:left="0" w:right="0"/>
              <w:rPr>
                <w:kern w:val="2"/>
                <w:sz w:val="18"/>
                <w:szCs w:val="18"/>
              </w:rPr>
            </w:pPr>
            <w:r w:rsidRPr="00B91C8D">
              <w:rPr>
                <w:kern w:val="2"/>
                <w:sz w:val="18"/>
                <w:szCs w:val="18"/>
              </w:rPr>
              <w:t>3 months</w:t>
            </w:r>
          </w:p>
          <w:p w14:paraId="2A84BEA6" w14:textId="77777777" w:rsidR="009E39B0" w:rsidRPr="00B91C8D" w:rsidRDefault="009E39B0" w:rsidP="008D3F2B">
            <w:pPr>
              <w:ind w:left="0" w:right="0"/>
              <w:rPr>
                <w:kern w:val="2"/>
                <w:sz w:val="18"/>
                <w:szCs w:val="18"/>
              </w:rPr>
            </w:pPr>
            <w:r w:rsidRPr="00B91C8D">
              <w:rPr>
                <w:kern w:val="2"/>
                <w:sz w:val="18"/>
                <w:szCs w:val="18"/>
              </w:rPr>
              <w:t>[TT097892]</w:t>
            </w:r>
          </w:p>
        </w:tc>
        <w:tc>
          <w:tcPr>
            <w:tcW w:w="1209" w:type="dxa"/>
          </w:tcPr>
          <w:p w14:paraId="4192B19C" w14:textId="77777777" w:rsidR="009E39B0" w:rsidRPr="00B91C8D" w:rsidRDefault="009E39B0" w:rsidP="008D3F2B">
            <w:pPr>
              <w:ind w:left="0" w:right="0"/>
              <w:rPr>
                <w:kern w:val="2"/>
                <w:sz w:val="18"/>
                <w:szCs w:val="18"/>
              </w:rPr>
            </w:pPr>
            <w:r w:rsidRPr="00B91C8D">
              <w:rPr>
                <w:kern w:val="2"/>
                <w:sz w:val="18"/>
                <w:szCs w:val="18"/>
              </w:rPr>
              <w:t>5</w:t>
            </w:r>
          </w:p>
        </w:tc>
        <w:tc>
          <w:tcPr>
            <w:tcW w:w="786" w:type="dxa"/>
          </w:tcPr>
          <w:p w14:paraId="33B47634" w14:textId="77777777" w:rsidR="009E39B0" w:rsidRPr="00B91C8D" w:rsidRDefault="009E39B0" w:rsidP="008D3F2B">
            <w:pPr>
              <w:ind w:left="0" w:right="0"/>
              <w:rPr>
                <w:kern w:val="2"/>
                <w:sz w:val="18"/>
                <w:szCs w:val="18"/>
              </w:rPr>
            </w:pPr>
            <w:r w:rsidRPr="00B91C8D">
              <w:rPr>
                <w:kern w:val="2"/>
                <w:sz w:val="18"/>
                <w:szCs w:val="18"/>
              </w:rPr>
              <w:t>15.2</w:t>
            </w:r>
          </w:p>
        </w:tc>
        <w:tc>
          <w:tcPr>
            <w:tcW w:w="788" w:type="dxa"/>
          </w:tcPr>
          <w:p w14:paraId="2D277C23" w14:textId="77777777" w:rsidR="009E39B0" w:rsidRPr="00B91C8D" w:rsidRDefault="009E39B0" w:rsidP="008D3F2B">
            <w:pPr>
              <w:ind w:left="0" w:right="0"/>
              <w:rPr>
                <w:kern w:val="2"/>
                <w:sz w:val="18"/>
                <w:szCs w:val="18"/>
              </w:rPr>
            </w:pPr>
            <w:r w:rsidRPr="00B91C8D">
              <w:rPr>
                <w:kern w:val="2"/>
                <w:sz w:val="18"/>
                <w:szCs w:val="18"/>
              </w:rPr>
              <w:t>24.5</w:t>
            </w:r>
          </w:p>
        </w:tc>
        <w:tc>
          <w:tcPr>
            <w:tcW w:w="773" w:type="dxa"/>
          </w:tcPr>
          <w:p w14:paraId="5ED21CFC" w14:textId="77777777" w:rsidR="009E39B0" w:rsidRPr="00B91C8D" w:rsidRDefault="009E39B0" w:rsidP="008D3F2B">
            <w:pPr>
              <w:ind w:left="0" w:right="0"/>
              <w:rPr>
                <w:kern w:val="2"/>
                <w:sz w:val="18"/>
                <w:szCs w:val="18"/>
              </w:rPr>
            </w:pPr>
            <w:r w:rsidRPr="00B91C8D">
              <w:rPr>
                <w:kern w:val="2"/>
                <w:sz w:val="18"/>
                <w:szCs w:val="18"/>
              </w:rPr>
              <w:t>0.608</w:t>
            </w:r>
          </w:p>
        </w:tc>
        <w:tc>
          <w:tcPr>
            <w:tcW w:w="775" w:type="dxa"/>
          </w:tcPr>
          <w:p w14:paraId="3DAEDA52" w14:textId="77777777" w:rsidR="009E39B0" w:rsidRPr="00B91C8D" w:rsidRDefault="009E39B0" w:rsidP="008D3F2B">
            <w:pPr>
              <w:ind w:left="0" w:right="0"/>
              <w:rPr>
                <w:kern w:val="2"/>
                <w:sz w:val="18"/>
                <w:szCs w:val="18"/>
              </w:rPr>
            </w:pPr>
            <w:r w:rsidRPr="00B91C8D">
              <w:rPr>
                <w:kern w:val="2"/>
                <w:sz w:val="18"/>
                <w:szCs w:val="18"/>
              </w:rPr>
              <w:t>0.980</w:t>
            </w:r>
          </w:p>
        </w:tc>
        <w:tc>
          <w:tcPr>
            <w:tcW w:w="697" w:type="dxa"/>
          </w:tcPr>
          <w:p w14:paraId="77FA4F68" w14:textId="77777777" w:rsidR="009E39B0" w:rsidRPr="00B91C8D" w:rsidRDefault="009E39B0" w:rsidP="008D3F2B">
            <w:pPr>
              <w:ind w:left="0" w:right="0"/>
              <w:rPr>
                <w:kern w:val="2"/>
                <w:sz w:val="18"/>
                <w:szCs w:val="18"/>
              </w:rPr>
            </w:pPr>
            <w:r w:rsidRPr="00B91C8D">
              <w:rPr>
                <w:kern w:val="2"/>
                <w:sz w:val="18"/>
                <w:szCs w:val="18"/>
              </w:rPr>
              <w:t>8</w:t>
            </w:r>
          </w:p>
        </w:tc>
        <w:tc>
          <w:tcPr>
            <w:tcW w:w="697" w:type="dxa"/>
          </w:tcPr>
          <w:p w14:paraId="58C53DE5" w14:textId="77777777" w:rsidR="009E39B0" w:rsidRPr="00B91C8D" w:rsidRDefault="009E39B0" w:rsidP="008D3F2B">
            <w:pPr>
              <w:ind w:left="0" w:right="0"/>
              <w:rPr>
                <w:kern w:val="2"/>
                <w:sz w:val="18"/>
                <w:szCs w:val="18"/>
              </w:rPr>
            </w:pPr>
            <w:r w:rsidRPr="00B91C8D">
              <w:rPr>
                <w:kern w:val="2"/>
                <w:sz w:val="18"/>
                <w:szCs w:val="18"/>
              </w:rPr>
              <w:t>13</w:t>
            </w:r>
          </w:p>
        </w:tc>
      </w:tr>
      <w:tr w:rsidR="009E39B0" w:rsidRPr="00B91C8D" w14:paraId="33BF63EB" w14:textId="77777777" w:rsidTr="00CD18ED">
        <w:trPr>
          <w:trHeight w:val="253"/>
        </w:trPr>
        <w:tc>
          <w:tcPr>
            <w:tcW w:w="1526" w:type="dxa"/>
            <w:gridSpan w:val="2"/>
            <w:vMerge/>
          </w:tcPr>
          <w:p w14:paraId="4EEE8EC9" w14:textId="77777777" w:rsidR="009E39B0" w:rsidRPr="00B91C8D" w:rsidRDefault="009E39B0" w:rsidP="008D3F2B">
            <w:pPr>
              <w:ind w:left="0" w:right="0"/>
              <w:rPr>
                <w:kern w:val="2"/>
                <w:sz w:val="18"/>
                <w:szCs w:val="18"/>
              </w:rPr>
            </w:pPr>
          </w:p>
        </w:tc>
        <w:tc>
          <w:tcPr>
            <w:tcW w:w="1417" w:type="dxa"/>
            <w:vMerge/>
          </w:tcPr>
          <w:p w14:paraId="30E89468" w14:textId="77777777" w:rsidR="009E39B0" w:rsidRPr="00B91C8D" w:rsidRDefault="009E39B0" w:rsidP="008D3F2B">
            <w:pPr>
              <w:ind w:left="0" w:right="0"/>
              <w:rPr>
                <w:kern w:val="2"/>
                <w:sz w:val="18"/>
                <w:szCs w:val="18"/>
              </w:rPr>
            </w:pPr>
          </w:p>
        </w:tc>
        <w:tc>
          <w:tcPr>
            <w:tcW w:w="1209" w:type="dxa"/>
          </w:tcPr>
          <w:p w14:paraId="65921606" w14:textId="77777777" w:rsidR="009E39B0" w:rsidRPr="00B91C8D" w:rsidRDefault="009E39B0" w:rsidP="008D3F2B">
            <w:pPr>
              <w:ind w:left="0" w:right="0"/>
              <w:rPr>
                <w:kern w:val="2"/>
                <w:sz w:val="18"/>
                <w:szCs w:val="18"/>
              </w:rPr>
            </w:pPr>
            <w:r w:rsidRPr="00B91C8D">
              <w:rPr>
                <w:kern w:val="2"/>
                <w:sz w:val="18"/>
                <w:szCs w:val="18"/>
              </w:rPr>
              <w:t>25</w:t>
            </w:r>
          </w:p>
        </w:tc>
        <w:tc>
          <w:tcPr>
            <w:tcW w:w="786" w:type="dxa"/>
          </w:tcPr>
          <w:p w14:paraId="3063BF85" w14:textId="77777777" w:rsidR="009E39B0" w:rsidRPr="00B91C8D" w:rsidRDefault="009E39B0" w:rsidP="008D3F2B">
            <w:pPr>
              <w:ind w:left="0" w:right="0"/>
              <w:rPr>
                <w:kern w:val="2"/>
                <w:sz w:val="18"/>
                <w:szCs w:val="18"/>
              </w:rPr>
            </w:pPr>
            <w:r w:rsidRPr="00B91C8D">
              <w:rPr>
                <w:kern w:val="2"/>
                <w:sz w:val="18"/>
                <w:szCs w:val="18"/>
              </w:rPr>
              <w:t>81.4</w:t>
            </w:r>
          </w:p>
        </w:tc>
        <w:tc>
          <w:tcPr>
            <w:tcW w:w="788" w:type="dxa"/>
          </w:tcPr>
          <w:p w14:paraId="7DB714E6" w14:textId="77777777" w:rsidR="009E39B0" w:rsidRPr="00B91C8D" w:rsidRDefault="009E39B0" w:rsidP="008D3F2B">
            <w:pPr>
              <w:ind w:left="0" w:right="0"/>
              <w:rPr>
                <w:kern w:val="2"/>
                <w:sz w:val="18"/>
                <w:szCs w:val="18"/>
              </w:rPr>
            </w:pPr>
            <w:r w:rsidRPr="00B91C8D">
              <w:rPr>
                <w:kern w:val="2"/>
                <w:sz w:val="18"/>
                <w:szCs w:val="18"/>
              </w:rPr>
              <w:t>97.4</w:t>
            </w:r>
          </w:p>
        </w:tc>
        <w:tc>
          <w:tcPr>
            <w:tcW w:w="773" w:type="dxa"/>
          </w:tcPr>
          <w:p w14:paraId="73A9B59C" w14:textId="77777777" w:rsidR="009E39B0" w:rsidRPr="00B91C8D" w:rsidRDefault="009E39B0" w:rsidP="008D3F2B">
            <w:pPr>
              <w:ind w:left="0" w:right="0"/>
              <w:rPr>
                <w:kern w:val="2"/>
                <w:sz w:val="18"/>
                <w:szCs w:val="18"/>
              </w:rPr>
            </w:pPr>
            <w:r w:rsidRPr="00B91C8D">
              <w:rPr>
                <w:kern w:val="2"/>
                <w:sz w:val="18"/>
                <w:szCs w:val="18"/>
              </w:rPr>
              <w:t>3.26</w:t>
            </w:r>
          </w:p>
        </w:tc>
        <w:tc>
          <w:tcPr>
            <w:tcW w:w="775" w:type="dxa"/>
          </w:tcPr>
          <w:p w14:paraId="50A91DD4" w14:textId="77777777" w:rsidR="009E39B0" w:rsidRPr="00B91C8D" w:rsidRDefault="009E39B0" w:rsidP="008D3F2B">
            <w:pPr>
              <w:ind w:left="0" w:right="0"/>
              <w:rPr>
                <w:kern w:val="2"/>
                <w:sz w:val="18"/>
                <w:szCs w:val="18"/>
              </w:rPr>
            </w:pPr>
            <w:r w:rsidRPr="00B91C8D">
              <w:rPr>
                <w:kern w:val="2"/>
                <w:sz w:val="18"/>
                <w:szCs w:val="18"/>
              </w:rPr>
              <w:t>3.90</w:t>
            </w:r>
          </w:p>
        </w:tc>
        <w:tc>
          <w:tcPr>
            <w:tcW w:w="697" w:type="dxa"/>
          </w:tcPr>
          <w:p w14:paraId="02EA271C" w14:textId="77777777" w:rsidR="009E39B0" w:rsidRPr="00B91C8D" w:rsidRDefault="009E39B0" w:rsidP="008D3F2B">
            <w:pPr>
              <w:ind w:left="0" w:right="0"/>
              <w:rPr>
                <w:kern w:val="2"/>
                <w:sz w:val="18"/>
                <w:szCs w:val="18"/>
              </w:rPr>
            </w:pPr>
            <w:r w:rsidRPr="00B91C8D">
              <w:rPr>
                <w:kern w:val="2"/>
                <w:sz w:val="18"/>
                <w:szCs w:val="18"/>
              </w:rPr>
              <w:t>43</w:t>
            </w:r>
          </w:p>
        </w:tc>
        <w:tc>
          <w:tcPr>
            <w:tcW w:w="697" w:type="dxa"/>
          </w:tcPr>
          <w:p w14:paraId="6BEB0F85" w14:textId="77777777" w:rsidR="009E39B0" w:rsidRPr="00B91C8D" w:rsidRDefault="009E39B0" w:rsidP="008D3F2B">
            <w:pPr>
              <w:ind w:left="0" w:right="0"/>
              <w:rPr>
                <w:kern w:val="2"/>
                <w:sz w:val="18"/>
                <w:szCs w:val="18"/>
              </w:rPr>
            </w:pPr>
            <w:r w:rsidRPr="00B91C8D">
              <w:rPr>
                <w:kern w:val="2"/>
                <w:sz w:val="18"/>
                <w:szCs w:val="18"/>
              </w:rPr>
              <w:t>51</w:t>
            </w:r>
          </w:p>
        </w:tc>
      </w:tr>
      <w:tr w:rsidR="009E39B0" w:rsidRPr="00B91C8D" w14:paraId="20ACDF89" w14:textId="77777777" w:rsidTr="00CD18ED">
        <w:trPr>
          <w:trHeight w:val="253"/>
        </w:trPr>
        <w:tc>
          <w:tcPr>
            <w:tcW w:w="1526" w:type="dxa"/>
            <w:gridSpan w:val="2"/>
            <w:vMerge/>
          </w:tcPr>
          <w:p w14:paraId="50690FDA" w14:textId="77777777" w:rsidR="009E39B0" w:rsidRPr="00B91C8D" w:rsidRDefault="009E39B0" w:rsidP="008D3F2B">
            <w:pPr>
              <w:ind w:left="0" w:right="0"/>
              <w:rPr>
                <w:kern w:val="2"/>
                <w:sz w:val="18"/>
                <w:szCs w:val="18"/>
              </w:rPr>
            </w:pPr>
          </w:p>
        </w:tc>
        <w:tc>
          <w:tcPr>
            <w:tcW w:w="1417" w:type="dxa"/>
            <w:vMerge/>
          </w:tcPr>
          <w:p w14:paraId="69920418" w14:textId="77777777" w:rsidR="009E39B0" w:rsidRPr="00B91C8D" w:rsidRDefault="009E39B0" w:rsidP="008D3F2B">
            <w:pPr>
              <w:ind w:left="0" w:right="0"/>
              <w:rPr>
                <w:kern w:val="2"/>
                <w:sz w:val="18"/>
                <w:szCs w:val="18"/>
              </w:rPr>
            </w:pPr>
          </w:p>
        </w:tc>
        <w:tc>
          <w:tcPr>
            <w:tcW w:w="1209" w:type="dxa"/>
          </w:tcPr>
          <w:p w14:paraId="21B40E1F" w14:textId="77777777" w:rsidR="009E39B0" w:rsidRPr="00B91C8D" w:rsidRDefault="009E39B0" w:rsidP="008D3F2B">
            <w:pPr>
              <w:ind w:left="0" w:right="0"/>
              <w:rPr>
                <w:kern w:val="2"/>
                <w:sz w:val="18"/>
                <w:szCs w:val="18"/>
              </w:rPr>
            </w:pPr>
            <w:r w:rsidRPr="00B91C8D">
              <w:rPr>
                <w:kern w:val="2"/>
                <w:sz w:val="18"/>
                <w:szCs w:val="18"/>
              </w:rPr>
              <w:t>250</w:t>
            </w:r>
          </w:p>
        </w:tc>
        <w:tc>
          <w:tcPr>
            <w:tcW w:w="786" w:type="dxa"/>
          </w:tcPr>
          <w:p w14:paraId="138E8957" w14:textId="77777777" w:rsidR="009E39B0" w:rsidRPr="00B91C8D" w:rsidRDefault="009E39B0" w:rsidP="008D3F2B">
            <w:pPr>
              <w:ind w:left="0" w:right="0"/>
              <w:rPr>
                <w:kern w:val="2"/>
                <w:sz w:val="18"/>
                <w:szCs w:val="18"/>
              </w:rPr>
            </w:pPr>
            <w:r w:rsidRPr="00B91C8D">
              <w:rPr>
                <w:kern w:val="2"/>
                <w:sz w:val="18"/>
                <w:szCs w:val="18"/>
              </w:rPr>
              <w:t>694</w:t>
            </w:r>
          </w:p>
        </w:tc>
        <w:tc>
          <w:tcPr>
            <w:tcW w:w="788" w:type="dxa"/>
          </w:tcPr>
          <w:p w14:paraId="5E378C6B" w14:textId="77777777" w:rsidR="009E39B0" w:rsidRPr="00B91C8D" w:rsidRDefault="009E39B0" w:rsidP="008D3F2B">
            <w:pPr>
              <w:ind w:left="0" w:right="0"/>
              <w:rPr>
                <w:kern w:val="2"/>
                <w:sz w:val="18"/>
                <w:szCs w:val="18"/>
              </w:rPr>
            </w:pPr>
            <w:r w:rsidRPr="00B91C8D">
              <w:rPr>
                <w:kern w:val="2"/>
                <w:sz w:val="18"/>
                <w:szCs w:val="18"/>
              </w:rPr>
              <w:t>781</w:t>
            </w:r>
          </w:p>
        </w:tc>
        <w:tc>
          <w:tcPr>
            <w:tcW w:w="773" w:type="dxa"/>
          </w:tcPr>
          <w:p w14:paraId="1412DF75" w14:textId="77777777" w:rsidR="009E39B0" w:rsidRPr="00B91C8D" w:rsidRDefault="009E39B0" w:rsidP="008D3F2B">
            <w:pPr>
              <w:ind w:left="0" w:right="0"/>
              <w:rPr>
                <w:kern w:val="2"/>
                <w:sz w:val="18"/>
                <w:szCs w:val="18"/>
              </w:rPr>
            </w:pPr>
            <w:r w:rsidRPr="00B91C8D">
              <w:rPr>
                <w:kern w:val="2"/>
                <w:sz w:val="18"/>
                <w:szCs w:val="18"/>
              </w:rPr>
              <w:t>27.8</w:t>
            </w:r>
          </w:p>
        </w:tc>
        <w:tc>
          <w:tcPr>
            <w:tcW w:w="775" w:type="dxa"/>
          </w:tcPr>
          <w:p w14:paraId="33134546" w14:textId="77777777" w:rsidR="009E39B0" w:rsidRPr="00B91C8D" w:rsidRDefault="009E39B0" w:rsidP="008D3F2B">
            <w:pPr>
              <w:ind w:left="0" w:right="0"/>
              <w:rPr>
                <w:kern w:val="2"/>
                <w:sz w:val="18"/>
                <w:szCs w:val="18"/>
              </w:rPr>
            </w:pPr>
            <w:r w:rsidRPr="00B91C8D">
              <w:rPr>
                <w:kern w:val="2"/>
                <w:sz w:val="18"/>
                <w:szCs w:val="18"/>
              </w:rPr>
              <w:t>31.2</w:t>
            </w:r>
          </w:p>
        </w:tc>
        <w:tc>
          <w:tcPr>
            <w:tcW w:w="697" w:type="dxa"/>
          </w:tcPr>
          <w:p w14:paraId="055569FF" w14:textId="77777777" w:rsidR="009E39B0" w:rsidRPr="00B91C8D" w:rsidRDefault="009E39B0" w:rsidP="008D3F2B">
            <w:pPr>
              <w:ind w:left="0" w:right="0"/>
              <w:rPr>
                <w:kern w:val="2"/>
                <w:sz w:val="18"/>
                <w:szCs w:val="18"/>
              </w:rPr>
            </w:pPr>
            <w:r w:rsidRPr="00B91C8D">
              <w:rPr>
                <w:kern w:val="2"/>
                <w:sz w:val="18"/>
                <w:szCs w:val="18"/>
              </w:rPr>
              <w:t>364</w:t>
            </w:r>
          </w:p>
        </w:tc>
        <w:tc>
          <w:tcPr>
            <w:tcW w:w="697" w:type="dxa"/>
          </w:tcPr>
          <w:p w14:paraId="38D00DC4" w14:textId="77777777" w:rsidR="009E39B0" w:rsidRPr="00B91C8D" w:rsidRDefault="009E39B0" w:rsidP="008D3F2B">
            <w:pPr>
              <w:ind w:left="0" w:right="0"/>
              <w:rPr>
                <w:kern w:val="2"/>
                <w:sz w:val="18"/>
                <w:szCs w:val="18"/>
              </w:rPr>
            </w:pPr>
            <w:r w:rsidRPr="00B91C8D">
              <w:rPr>
                <w:kern w:val="2"/>
                <w:sz w:val="18"/>
                <w:szCs w:val="18"/>
              </w:rPr>
              <w:t>409</w:t>
            </w:r>
          </w:p>
        </w:tc>
      </w:tr>
      <w:tr w:rsidR="009E39B0" w:rsidRPr="00B91C8D" w14:paraId="532EBA93" w14:textId="77777777" w:rsidTr="00CD18ED">
        <w:trPr>
          <w:trHeight w:val="253"/>
        </w:trPr>
        <w:tc>
          <w:tcPr>
            <w:tcW w:w="1526" w:type="dxa"/>
            <w:gridSpan w:val="2"/>
            <w:vMerge/>
          </w:tcPr>
          <w:p w14:paraId="2308619D" w14:textId="77777777" w:rsidR="009E39B0" w:rsidRPr="00B91C8D" w:rsidRDefault="009E39B0" w:rsidP="008D3F2B">
            <w:pPr>
              <w:ind w:left="0" w:right="0"/>
              <w:rPr>
                <w:kern w:val="2"/>
                <w:sz w:val="18"/>
                <w:szCs w:val="18"/>
              </w:rPr>
            </w:pPr>
          </w:p>
        </w:tc>
        <w:tc>
          <w:tcPr>
            <w:tcW w:w="1417" w:type="dxa"/>
            <w:vMerge w:val="restart"/>
          </w:tcPr>
          <w:p w14:paraId="13958B85" w14:textId="77777777" w:rsidR="009E39B0" w:rsidRPr="00B91C8D" w:rsidRDefault="009E39B0" w:rsidP="008D3F2B">
            <w:pPr>
              <w:ind w:left="0" w:right="0"/>
              <w:rPr>
                <w:kern w:val="2"/>
                <w:sz w:val="18"/>
                <w:szCs w:val="18"/>
              </w:rPr>
            </w:pPr>
            <w:r w:rsidRPr="00B91C8D">
              <w:rPr>
                <w:kern w:val="2"/>
                <w:sz w:val="18"/>
                <w:szCs w:val="18"/>
              </w:rPr>
              <w:t>6 months</w:t>
            </w:r>
          </w:p>
          <w:p w14:paraId="6B162BBB" w14:textId="77777777" w:rsidR="009E39B0" w:rsidRPr="00B91C8D" w:rsidRDefault="009E39B0" w:rsidP="008D3F2B">
            <w:pPr>
              <w:ind w:left="0" w:right="0"/>
              <w:rPr>
                <w:kern w:val="2"/>
                <w:sz w:val="18"/>
                <w:szCs w:val="18"/>
              </w:rPr>
            </w:pPr>
            <w:r w:rsidRPr="00B91C8D">
              <w:rPr>
                <w:kern w:val="2"/>
                <w:sz w:val="18"/>
                <w:szCs w:val="18"/>
              </w:rPr>
              <w:t>pivotal; TT097894]</w:t>
            </w:r>
          </w:p>
        </w:tc>
        <w:tc>
          <w:tcPr>
            <w:tcW w:w="1209" w:type="dxa"/>
          </w:tcPr>
          <w:p w14:paraId="4C988A89" w14:textId="77777777" w:rsidR="009E39B0" w:rsidRPr="00B91C8D" w:rsidRDefault="009E39B0" w:rsidP="008D3F2B">
            <w:pPr>
              <w:ind w:left="0" w:right="0"/>
              <w:rPr>
                <w:kern w:val="2"/>
                <w:sz w:val="18"/>
                <w:szCs w:val="18"/>
              </w:rPr>
            </w:pPr>
            <w:r w:rsidRPr="00B91C8D">
              <w:rPr>
                <w:kern w:val="2"/>
                <w:sz w:val="18"/>
                <w:szCs w:val="18"/>
              </w:rPr>
              <w:t>5</w:t>
            </w:r>
          </w:p>
        </w:tc>
        <w:tc>
          <w:tcPr>
            <w:tcW w:w="786" w:type="dxa"/>
          </w:tcPr>
          <w:p w14:paraId="13078F4D" w14:textId="77777777" w:rsidR="009E39B0" w:rsidRPr="00B91C8D" w:rsidRDefault="009E39B0" w:rsidP="008D3F2B">
            <w:pPr>
              <w:ind w:left="0" w:right="0"/>
              <w:rPr>
                <w:kern w:val="2"/>
                <w:sz w:val="18"/>
                <w:szCs w:val="18"/>
              </w:rPr>
            </w:pPr>
            <w:r w:rsidRPr="00B91C8D">
              <w:rPr>
                <w:kern w:val="2"/>
                <w:sz w:val="18"/>
                <w:szCs w:val="18"/>
              </w:rPr>
              <w:t>17.6</w:t>
            </w:r>
          </w:p>
        </w:tc>
        <w:tc>
          <w:tcPr>
            <w:tcW w:w="788" w:type="dxa"/>
          </w:tcPr>
          <w:p w14:paraId="2411352C" w14:textId="77777777" w:rsidR="009E39B0" w:rsidRPr="00B91C8D" w:rsidRDefault="009E39B0" w:rsidP="008D3F2B">
            <w:pPr>
              <w:ind w:left="0" w:right="0"/>
              <w:rPr>
                <w:kern w:val="2"/>
                <w:sz w:val="18"/>
                <w:szCs w:val="18"/>
              </w:rPr>
            </w:pPr>
            <w:r w:rsidRPr="00B91C8D">
              <w:rPr>
                <w:kern w:val="2"/>
                <w:sz w:val="18"/>
                <w:szCs w:val="18"/>
              </w:rPr>
              <w:t>26.9</w:t>
            </w:r>
          </w:p>
        </w:tc>
        <w:tc>
          <w:tcPr>
            <w:tcW w:w="773" w:type="dxa"/>
          </w:tcPr>
          <w:p w14:paraId="4331954D" w14:textId="77777777" w:rsidR="009E39B0" w:rsidRPr="00B91C8D" w:rsidRDefault="009E39B0" w:rsidP="008D3F2B">
            <w:pPr>
              <w:ind w:left="0" w:right="0"/>
              <w:rPr>
                <w:kern w:val="2"/>
                <w:sz w:val="18"/>
                <w:szCs w:val="18"/>
              </w:rPr>
            </w:pPr>
            <w:r w:rsidRPr="00B91C8D">
              <w:rPr>
                <w:kern w:val="2"/>
                <w:sz w:val="18"/>
                <w:szCs w:val="18"/>
              </w:rPr>
              <w:t>0.704</w:t>
            </w:r>
          </w:p>
        </w:tc>
        <w:tc>
          <w:tcPr>
            <w:tcW w:w="775" w:type="dxa"/>
          </w:tcPr>
          <w:p w14:paraId="60398D47" w14:textId="77777777" w:rsidR="009E39B0" w:rsidRPr="00B91C8D" w:rsidRDefault="009E39B0" w:rsidP="008D3F2B">
            <w:pPr>
              <w:ind w:left="0" w:right="0"/>
              <w:rPr>
                <w:kern w:val="2"/>
                <w:sz w:val="18"/>
                <w:szCs w:val="18"/>
              </w:rPr>
            </w:pPr>
            <w:r w:rsidRPr="00B91C8D">
              <w:rPr>
                <w:kern w:val="2"/>
                <w:sz w:val="18"/>
                <w:szCs w:val="18"/>
              </w:rPr>
              <w:t>1.076</w:t>
            </w:r>
          </w:p>
        </w:tc>
        <w:tc>
          <w:tcPr>
            <w:tcW w:w="697" w:type="dxa"/>
          </w:tcPr>
          <w:p w14:paraId="1AEDC2A0" w14:textId="77777777" w:rsidR="009E39B0" w:rsidRPr="00B91C8D" w:rsidRDefault="009E39B0" w:rsidP="008D3F2B">
            <w:pPr>
              <w:ind w:left="0" w:right="0"/>
              <w:rPr>
                <w:kern w:val="2"/>
                <w:sz w:val="18"/>
                <w:szCs w:val="18"/>
              </w:rPr>
            </w:pPr>
            <w:r w:rsidRPr="00B91C8D">
              <w:rPr>
                <w:kern w:val="2"/>
                <w:sz w:val="18"/>
                <w:szCs w:val="18"/>
              </w:rPr>
              <w:t>9</w:t>
            </w:r>
          </w:p>
        </w:tc>
        <w:tc>
          <w:tcPr>
            <w:tcW w:w="697" w:type="dxa"/>
          </w:tcPr>
          <w:p w14:paraId="2E5021D5" w14:textId="77777777" w:rsidR="009E39B0" w:rsidRPr="00B91C8D" w:rsidRDefault="009E39B0" w:rsidP="008D3F2B">
            <w:pPr>
              <w:ind w:left="0" w:right="0"/>
              <w:rPr>
                <w:kern w:val="2"/>
                <w:sz w:val="18"/>
                <w:szCs w:val="18"/>
              </w:rPr>
            </w:pPr>
            <w:r w:rsidRPr="00B91C8D">
              <w:rPr>
                <w:kern w:val="2"/>
                <w:sz w:val="18"/>
                <w:szCs w:val="18"/>
              </w:rPr>
              <w:t>14</w:t>
            </w:r>
          </w:p>
        </w:tc>
      </w:tr>
      <w:tr w:rsidR="009E39B0" w:rsidRPr="00B91C8D" w14:paraId="17F6A52E" w14:textId="77777777" w:rsidTr="00CD18ED">
        <w:trPr>
          <w:trHeight w:val="253"/>
        </w:trPr>
        <w:tc>
          <w:tcPr>
            <w:tcW w:w="1526" w:type="dxa"/>
            <w:gridSpan w:val="2"/>
            <w:vMerge/>
          </w:tcPr>
          <w:p w14:paraId="42B87D35" w14:textId="77777777" w:rsidR="009E39B0" w:rsidRPr="00B91C8D" w:rsidRDefault="009E39B0" w:rsidP="008D3F2B">
            <w:pPr>
              <w:ind w:left="0" w:right="0"/>
              <w:rPr>
                <w:kern w:val="2"/>
                <w:sz w:val="18"/>
                <w:szCs w:val="18"/>
              </w:rPr>
            </w:pPr>
          </w:p>
        </w:tc>
        <w:tc>
          <w:tcPr>
            <w:tcW w:w="1417" w:type="dxa"/>
            <w:vMerge/>
          </w:tcPr>
          <w:p w14:paraId="3AA831FF" w14:textId="77777777" w:rsidR="009E39B0" w:rsidRPr="00B91C8D" w:rsidRDefault="009E39B0" w:rsidP="008D3F2B">
            <w:pPr>
              <w:ind w:left="0" w:right="0"/>
              <w:rPr>
                <w:kern w:val="2"/>
                <w:sz w:val="18"/>
                <w:szCs w:val="18"/>
              </w:rPr>
            </w:pPr>
          </w:p>
        </w:tc>
        <w:tc>
          <w:tcPr>
            <w:tcW w:w="1209" w:type="dxa"/>
          </w:tcPr>
          <w:p w14:paraId="6192D203" w14:textId="77777777" w:rsidR="009E39B0" w:rsidRPr="00B91C8D" w:rsidRDefault="009E39B0" w:rsidP="008D3F2B">
            <w:pPr>
              <w:ind w:left="0" w:right="0"/>
              <w:rPr>
                <w:kern w:val="2"/>
                <w:sz w:val="18"/>
                <w:szCs w:val="18"/>
              </w:rPr>
            </w:pPr>
            <w:r w:rsidRPr="00B91C8D">
              <w:rPr>
                <w:kern w:val="2"/>
                <w:sz w:val="18"/>
                <w:szCs w:val="18"/>
              </w:rPr>
              <w:t>25</w:t>
            </w:r>
          </w:p>
        </w:tc>
        <w:tc>
          <w:tcPr>
            <w:tcW w:w="786" w:type="dxa"/>
          </w:tcPr>
          <w:p w14:paraId="588F96C7" w14:textId="77777777" w:rsidR="009E39B0" w:rsidRPr="00B91C8D" w:rsidRDefault="009E39B0" w:rsidP="008D3F2B">
            <w:pPr>
              <w:ind w:left="0" w:right="0"/>
              <w:rPr>
                <w:kern w:val="2"/>
                <w:sz w:val="18"/>
                <w:szCs w:val="18"/>
              </w:rPr>
            </w:pPr>
            <w:r w:rsidRPr="00B91C8D">
              <w:rPr>
                <w:kern w:val="2"/>
                <w:sz w:val="18"/>
                <w:szCs w:val="18"/>
              </w:rPr>
              <w:t>128</w:t>
            </w:r>
          </w:p>
        </w:tc>
        <w:tc>
          <w:tcPr>
            <w:tcW w:w="788" w:type="dxa"/>
          </w:tcPr>
          <w:p w14:paraId="17983A65" w14:textId="77777777" w:rsidR="009E39B0" w:rsidRPr="00B91C8D" w:rsidRDefault="009E39B0" w:rsidP="008D3F2B">
            <w:pPr>
              <w:ind w:left="0" w:right="0"/>
              <w:rPr>
                <w:kern w:val="2"/>
                <w:sz w:val="18"/>
                <w:szCs w:val="18"/>
              </w:rPr>
            </w:pPr>
            <w:r w:rsidRPr="00B91C8D">
              <w:rPr>
                <w:kern w:val="2"/>
                <w:sz w:val="18"/>
                <w:szCs w:val="18"/>
              </w:rPr>
              <w:t>167</w:t>
            </w:r>
          </w:p>
        </w:tc>
        <w:tc>
          <w:tcPr>
            <w:tcW w:w="773" w:type="dxa"/>
          </w:tcPr>
          <w:p w14:paraId="4604EFF6" w14:textId="77777777" w:rsidR="009E39B0" w:rsidRPr="00B91C8D" w:rsidRDefault="009E39B0" w:rsidP="008D3F2B">
            <w:pPr>
              <w:ind w:left="0" w:right="0"/>
              <w:rPr>
                <w:kern w:val="2"/>
                <w:sz w:val="18"/>
                <w:szCs w:val="18"/>
              </w:rPr>
            </w:pPr>
            <w:r w:rsidRPr="00B91C8D">
              <w:rPr>
                <w:kern w:val="2"/>
                <w:sz w:val="18"/>
                <w:szCs w:val="18"/>
              </w:rPr>
              <w:t>5.12</w:t>
            </w:r>
          </w:p>
        </w:tc>
        <w:tc>
          <w:tcPr>
            <w:tcW w:w="775" w:type="dxa"/>
          </w:tcPr>
          <w:p w14:paraId="46767DD8" w14:textId="77777777" w:rsidR="009E39B0" w:rsidRPr="00B91C8D" w:rsidRDefault="009E39B0" w:rsidP="008D3F2B">
            <w:pPr>
              <w:ind w:left="0" w:right="0"/>
              <w:rPr>
                <w:kern w:val="2"/>
                <w:sz w:val="18"/>
                <w:szCs w:val="18"/>
              </w:rPr>
            </w:pPr>
            <w:r w:rsidRPr="00B91C8D">
              <w:rPr>
                <w:kern w:val="2"/>
                <w:sz w:val="18"/>
                <w:szCs w:val="18"/>
              </w:rPr>
              <w:t>6.68</w:t>
            </w:r>
          </w:p>
        </w:tc>
        <w:tc>
          <w:tcPr>
            <w:tcW w:w="697" w:type="dxa"/>
          </w:tcPr>
          <w:p w14:paraId="4AC69A44" w14:textId="77777777" w:rsidR="009E39B0" w:rsidRPr="00B91C8D" w:rsidRDefault="009E39B0" w:rsidP="008D3F2B">
            <w:pPr>
              <w:ind w:left="0" w:right="0"/>
              <w:rPr>
                <w:kern w:val="2"/>
                <w:sz w:val="18"/>
                <w:szCs w:val="18"/>
              </w:rPr>
            </w:pPr>
            <w:r w:rsidRPr="00B91C8D">
              <w:rPr>
                <w:kern w:val="2"/>
                <w:sz w:val="18"/>
                <w:szCs w:val="18"/>
              </w:rPr>
              <w:t>67</w:t>
            </w:r>
          </w:p>
        </w:tc>
        <w:tc>
          <w:tcPr>
            <w:tcW w:w="697" w:type="dxa"/>
          </w:tcPr>
          <w:p w14:paraId="4018F187" w14:textId="77777777" w:rsidR="009E39B0" w:rsidRPr="00B91C8D" w:rsidRDefault="009E39B0" w:rsidP="008D3F2B">
            <w:pPr>
              <w:ind w:left="0" w:right="0"/>
              <w:rPr>
                <w:kern w:val="2"/>
                <w:sz w:val="18"/>
                <w:szCs w:val="18"/>
              </w:rPr>
            </w:pPr>
            <w:r w:rsidRPr="00B91C8D">
              <w:rPr>
                <w:kern w:val="2"/>
                <w:sz w:val="18"/>
                <w:szCs w:val="18"/>
              </w:rPr>
              <w:t>87</w:t>
            </w:r>
          </w:p>
        </w:tc>
      </w:tr>
      <w:tr w:rsidR="009E39B0" w:rsidRPr="00B91C8D" w14:paraId="0A75574D" w14:textId="77777777" w:rsidTr="00CD18ED">
        <w:trPr>
          <w:trHeight w:val="253"/>
        </w:trPr>
        <w:tc>
          <w:tcPr>
            <w:tcW w:w="1526" w:type="dxa"/>
            <w:gridSpan w:val="2"/>
            <w:vMerge/>
          </w:tcPr>
          <w:p w14:paraId="6C2BA715" w14:textId="77777777" w:rsidR="009E39B0" w:rsidRPr="00B91C8D" w:rsidRDefault="009E39B0" w:rsidP="008D3F2B">
            <w:pPr>
              <w:ind w:left="0" w:right="0"/>
              <w:rPr>
                <w:kern w:val="2"/>
                <w:sz w:val="18"/>
                <w:szCs w:val="18"/>
              </w:rPr>
            </w:pPr>
          </w:p>
        </w:tc>
        <w:tc>
          <w:tcPr>
            <w:tcW w:w="1417" w:type="dxa"/>
            <w:vMerge/>
          </w:tcPr>
          <w:p w14:paraId="61B5B482" w14:textId="77777777" w:rsidR="009E39B0" w:rsidRPr="00B91C8D" w:rsidRDefault="009E39B0" w:rsidP="008D3F2B">
            <w:pPr>
              <w:ind w:left="0" w:right="0"/>
              <w:rPr>
                <w:kern w:val="2"/>
                <w:sz w:val="18"/>
                <w:szCs w:val="18"/>
              </w:rPr>
            </w:pPr>
          </w:p>
        </w:tc>
        <w:tc>
          <w:tcPr>
            <w:tcW w:w="1209" w:type="dxa"/>
          </w:tcPr>
          <w:p w14:paraId="12DABE04" w14:textId="77777777" w:rsidR="009E39B0" w:rsidRPr="00B91C8D" w:rsidRDefault="009E39B0" w:rsidP="008D3F2B">
            <w:pPr>
              <w:ind w:left="0" w:right="0"/>
              <w:rPr>
                <w:kern w:val="2"/>
                <w:sz w:val="18"/>
                <w:szCs w:val="18"/>
              </w:rPr>
            </w:pPr>
            <w:r w:rsidRPr="00B91C8D">
              <w:rPr>
                <w:kern w:val="2"/>
                <w:sz w:val="18"/>
                <w:szCs w:val="18"/>
              </w:rPr>
              <w:t>100</w:t>
            </w:r>
          </w:p>
        </w:tc>
        <w:tc>
          <w:tcPr>
            <w:tcW w:w="786" w:type="dxa"/>
          </w:tcPr>
          <w:p w14:paraId="6CB84A4F" w14:textId="77777777" w:rsidR="009E39B0" w:rsidRPr="00B91C8D" w:rsidRDefault="009E39B0" w:rsidP="008D3F2B">
            <w:pPr>
              <w:ind w:left="0" w:right="0"/>
              <w:rPr>
                <w:kern w:val="2"/>
                <w:sz w:val="18"/>
                <w:szCs w:val="18"/>
              </w:rPr>
            </w:pPr>
            <w:r w:rsidRPr="00B91C8D">
              <w:rPr>
                <w:kern w:val="2"/>
                <w:sz w:val="18"/>
                <w:szCs w:val="18"/>
              </w:rPr>
              <w:t>397</w:t>
            </w:r>
          </w:p>
        </w:tc>
        <w:tc>
          <w:tcPr>
            <w:tcW w:w="788" w:type="dxa"/>
          </w:tcPr>
          <w:p w14:paraId="7507B501" w14:textId="77777777" w:rsidR="009E39B0" w:rsidRPr="00B91C8D" w:rsidRDefault="009E39B0" w:rsidP="008D3F2B">
            <w:pPr>
              <w:ind w:left="0" w:right="0"/>
              <w:rPr>
                <w:kern w:val="2"/>
                <w:sz w:val="18"/>
                <w:szCs w:val="18"/>
              </w:rPr>
            </w:pPr>
            <w:r w:rsidRPr="00B91C8D">
              <w:rPr>
                <w:kern w:val="2"/>
                <w:sz w:val="18"/>
                <w:szCs w:val="18"/>
              </w:rPr>
              <w:t>814</w:t>
            </w:r>
          </w:p>
        </w:tc>
        <w:tc>
          <w:tcPr>
            <w:tcW w:w="773" w:type="dxa"/>
          </w:tcPr>
          <w:p w14:paraId="43B7CE64" w14:textId="77777777" w:rsidR="009E39B0" w:rsidRPr="00B91C8D" w:rsidRDefault="009E39B0" w:rsidP="008D3F2B">
            <w:pPr>
              <w:ind w:left="0" w:right="0"/>
              <w:rPr>
                <w:kern w:val="2"/>
                <w:sz w:val="18"/>
                <w:szCs w:val="18"/>
              </w:rPr>
            </w:pPr>
            <w:r w:rsidRPr="00B91C8D">
              <w:rPr>
                <w:kern w:val="2"/>
                <w:sz w:val="18"/>
                <w:szCs w:val="18"/>
              </w:rPr>
              <w:t>15.9</w:t>
            </w:r>
          </w:p>
        </w:tc>
        <w:tc>
          <w:tcPr>
            <w:tcW w:w="775" w:type="dxa"/>
          </w:tcPr>
          <w:p w14:paraId="7D75A2DF" w14:textId="77777777" w:rsidR="009E39B0" w:rsidRPr="00B91C8D" w:rsidRDefault="009E39B0" w:rsidP="008D3F2B">
            <w:pPr>
              <w:ind w:left="0" w:right="0"/>
              <w:rPr>
                <w:kern w:val="2"/>
                <w:sz w:val="18"/>
                <w:szCs w:val="18"/>
              </w:rPr>
            </w:pPr>
            <w:r w:rsidRPr="00B91C8D">
              <w:rPr>
                <w:kern w:val="2"/>
                <w:sz w:val="18"/>
                <w:szCs w:val="18"/>
              </w:rPr>
              <w:t>32.6</w:t>
            </w:r>
          </w:p>
        </w:tc>
        <w:tc>
          <w:tcPr>
            <w:tcW w:w="697" w:type="dxa"/>
          </w:tcPr>
          <w:p w14:paraId="24F64F55" w14:textId="77777777" w:rsidR="009E39B0" w:rsidRPr="00B91C8D" w:rsidRDefault="009E39B0" w:rsidP="008D3F2B">
            <w:pPr>
              <w:ind w:left="0" w:right="0"/>
              <w:rPr>
                <w:kern w:val="2"/>
                <w:sz w:val="18"/>
                <w:szCs w:val="18"/>
              </w:rPr>
            </w:pPr>
            <w:r w:rsidRPr="00B91C8D">
              <w:rPr>
                <w:kern w:val="2"/>
                <w:sz w:val="18"/>
                <w:szCs w:val="18"/>
              </w:rPr>
              <w:t>208</w:t>
            </w:r>
          </w:p>
        </w:tc>
        <w:tc>
          <w:tcPr>
            <w:tcW w:w="697" w:type="dxa"/>
          </w:tcPr>
          <w:p w14:paraId="184E2F32" w14:textId="77777777" w:rsidR="009E39B0" w:rsidRPr="00B91C8D" w:rsidRDefault="009E39B0" w:rsidP="008D3F2B">
            <w:pPr>
              <w:ind w:left="0" w:right="0"/>
              <w:rPr>
                <w:kern w:val="2"/>
                <w:sz w:val="18"/>
                <w:szCs w:val="18"/>
              </w:rPr>
            </w:pPr>
            <w:r w:rsidRPr="00B91C8D">
              <w:rPr>
                <w:kern w:val="2"/>
                <w:sz w:val="18"/>
                <w:szCs w:val="18"/>
              </w:rPr>
              <w:t>426</w:t>
            </w:r>
          </w:p>
        </w:tc>
      </w:tr>
      <w:tr w:rsidR="009E39B0" w:rsidRPr="00B91C8D" w14:paraId="1535B0A2" w14:textId="77777777" w:rsidTr="00CD18ED">
        <w:trPr>
          <w:trHeight w:val="253"/>
        </w:trPr>
        <w:tc>
          <w:tcPr>
            <w:tcW w:w="1526" w:type="dxa"/>
            <w:gridSpan w:val="2"/>
            <w:vMerge/>
          </w:tcPr>
          <w:p w14:paraId="52A2D90C" w14:textId="77777777" w:rsidR="009E39B0" w:rsidRPr="00B91C8D" w:rsidRDefault="009E39B0" w:rsidP="008D3F2B">
            <w:pPr>
              <w:ind w:left="0" w:right="0"/>
              <w:rPr>
                <w:kern w:val="2"/>
                <w:sz w:val="18"/>
                <w:szCs w:val="18"/>
              </w:rPr>
            </w:pPr>
          </w:p>
        </w:tc>
        <w:tc>
          <w:tcPr>
            <w:tcW w:w="1417" w:type="dxa"/>
            <w:vMerge w:val="restart"/>
          </w:tcPr>
          <w:p w14:paraId="4C6D846A" w14:textId="77777777" w:rsidR="009E39B0" w:rsidRPr="00B91C8D" w:rsidRDefault="009E39B0" w:rsidP="008D3F2B">
            <w:pPr>
              <w:ind w:left="0" w:right="0"/>
              <w:rPr>
                <w:kern w:val="2"/>
                <w:sz w:val="18"/>
                <w:szCs w:val="18"/>
              </w:rPr>
            </w:pPr>
            <w:r w:rsidRPr="00B91C8D">
              <w:rPr>
                <w:kern w:val="2"/>
                <w:sz w:val="18"/>
                <w:szCs w:val="18"/>
              </w:rPr>
              <w:t>2 years</w:t>
            </w:r>
            <w:r w:rsidR="00097566">
              <w:rPr>
                <w:kern w:val="2"/>
                <w:sz w:val="18"/>
                <w:szCs w:val="18"/>
              </w:rPr>
              <w:t xml:space="preserve"> </w:t>
            </w:r>
            <w:r w:rsidRPr="00B91C8D">
              <w:rPr>
                <w:kern w:val="2"/>
                <w:sz w:val="18"/>
                <w:szCs w:val="18"/>
              </w:rPr>
              <w:t>carcinogenicityTT137800]</w:t>
            </w:r>
          </w:p>
        </w:tc>
        <w:tc>
          <w:tcPr>
            <w:tcW w:w="1209" w:type="dxa"/>
          </w:tcPr>
          <w:p w14:paraId="207DB54B" w14:textId="77777777" w:rsidR="009E39B0" w:rsidRPr="00B91C8D" w:rsidRDefault="009E39B0" w:rsidP="008D3F2B">
            <w:pPr>
              <w:ind w:left="0" w:right="0"/>
              <w:rPr>
                <w:kern w:val="2"/>
                <w:sz w:val="18"/>
                <w:szCs w:val="18"/>
              </w:rPr>
            </w:pPr>
            <w:r w:rsidRPr="00B91C8D">
              <w:rPr>
                <w:kern w:val="2"/>
                <w:sz w:val="18"/>
                <w:szCs w:val="18"/>
              </w:rPr>
              <w:t>1.5</w:t>
            </w:r>
          </w:p>
        </w:tc>
        <w:tc>
          <w:tcPr>
            <w:tcW w:w="786" w:type="dxa"/>
          </w:tcPr>
          <w:p w14:paraId="11A0CF79" w14:textId="77777777" w:rsidR="009E39B0" w:rsidRPr="00B91C8D" w:rsidRDefault="009E39B0" w:rsidP="008D3F2B">
            <w:pPr>
              <w:ind w:left="0" w:right="0"/>
              <w:rPr>
                <w:kern w:val="2"/>
                <w:sz w:val="18"/>
                <w:szCs w:val="18"/>
              </w:rPr>
            </w:pPr>
            <w:r w:rsidRPr="00B91C8D">
              <w:rPr>
                <w:kern w:val="2"/>
                <w:sz w:val="18"/>
                <w:szCs w:val="18"/>
              </w:rPr>
              <w:t>6.69</w:t>
            </w:r>
          </w:p>
        </w:tc>
        <w:tc>
          <w:tcPr>
            <w:tcW w:w="788" w:type="dxa"/>
          </w:tcPr>
          <w:p w14:paraId="61440489" w14:textId="77777777" w:rsidR="009E39B0" w:rsidRPr="00B91C8D" w:rsidRDefault="009E39B0" w:rsidP="008D3F2B">
            <w:pPr>
              <w:ind w:left="0" w:right="0"/>
              <w:rPr>
                <w:kern w:val="2"/>
                <w:sz w:val="18"/>
                <w:szCs w:val="18"/>
              </w:rPr>
            </w:pPr>
            <w:r w:rsidRPr="00B91C8D">
              <w:rPr>
                <w:kern w:val="2"/>
                <w:sz w:val="18"/>
                <w:szCs w:val="18"/>
              </w:rPr>
              <w:t>9.27</w:t>
            </w:r>
          </w:p>
        </w:tc>
        <w:tc>
          <w:tcPr>
            <w:tcW w:w="773" w:type="dxa"/>
          </w:tcPr>
          <w:p w14:paraId="096EE2BA" w14:textId="77777777" w:rsidR="009E39B0" w:rsidRPr="00B91C8D" w:rsidRDefault="009E39B0" w:rsidP="008D3F2B">
            <w:pPr>
              <w:ind w:left="0" w:right="0"/>
              <w:rPr>
                <w:kern w:val="2"/>
                <w:sz w:val="18"/>
                <w:szCs w:val="18"/>
              </w:rPr>
            </w:pPr>
            <w:r w:rsidRPr="00B91C8D">
              <w:rPr>
                <w:kern w:val="2"/>
                <w:sz w:val="18"/>
                <w:szCs w:val="18"/>
              </w:rPr>
              <w:t>0.268</w:t>
            </w:r>
          </w:p>
        </w:tc>
        <w:tc>
          <w:tcPr>
            <w:tcW w:w="775" w:type="dxa"/>
          </w:tcPr>
          <w:p w14:paraId="7DFC9CB5" w14:textId="77777777" w:rsidR="009E39B0" w:rsidRPr="00B91C8D" w:rsidRDefault="009E39B0" w:rsidP="008D3F2B">
            <w:pPr>
              <w:ind w:left="0" w:right="0"/>
              <w:rPr>
                <w:kern w:val="2"/>
                <w:sz w:val="18"/>
                <w:szCs w:val="18"/>
              </w:rPr>
            </w:pPr>
            <w:r w:rsidRPr="00B91C8D">
              <w:rPr>
                <w:kern w:val="2"/>
                <w:sz w:val="18"/>
                <w:szCs w:val="18"/>
              </w:rPr>
              <w:t>0.371</w:t>
            </w:r>
          </w:p>
        </w:tc>
        <w:tc>
          <w:tcPr>
            <w:tcW w:w="697" w:type="dxa"/>
          </w:tcPr>
          <w:p w14:paraId="5F14D339" w14:textId="77777777" w:rsidR="009E39B0" w:rsidRPr="00B91C8D" w:rsidRDefault="009E39B0" w:rsidP="008D3F2B">
            <w:pPr>
              <w:ind w:left="0" w:right="0"/>
              <w:rPr>
                <w:kern w:val="2"/>
                <w:sz w:val="18"/>
                <w:szCs w:val="18"/>
              </w:rPr>
            </w:pPr>
            <w:r w:rsidRPr="00B91C8D">
              <w:rPr>
                <w:kern w:val="2"/>
                <w:sz w:val="18"/>
                <w:szCs w:val="18"/>
              </w:rPr>
              <w:t>3.5</w:t>
            </w:r>
          </w:p>
        </w:tc>
        <w:tc>
          <w:tcPr>
            <w:tcW w:w="697" w:type="dxa"/>
          </w:tcPr>
          <w:p w14:paraId="3CF81B22" w14:textId="77777777" w:rsidR="009E39B0" w:rsidRPr="00B91C8D" w:rsidRDefault="009E39B0" w:rsidP="008D3F2B">
            <w:pPr>
              <w:ind w:left="0" w:right="0"/>
              <w:rPr>
                <w:kern w:val="2"/>
                <w:sz w:val="18"/>
                <w:szCs w:val="18"/>
              </w:rPr>
            </w:pPr>
            <w:r w:rsidRPr="00B91C8D">
              <w:rPr>
                <w:kern w:val="2"/>
                <w:sz w:val="18"/>
                <w:szCs w:val="18"/>
              </w:rPr>
              <w:t>5</w:t>
            </w:r>
          </w:p>
        </w:tc>
      </w:tr>
      <w:tr w:rsidR="009E39B0" w:rsidRPr="00B91C8D" w14:paraId="7AD53493" w14:textId="77777777" w:rsidTr="00CD18ED">
        <w:trPr>
          <w:trHeight w:val="253"/>
        </w:trPr>
        <w:tc>
          <w:tcPr>
            <w:tcW w:w="1526" w:type="dxa"/>
            <w:gridSpan w:val="2"/>
            <w:vMerge/>
          </w:tcPr>
          <w:p w14:paraId="47C6030E" w14:textId="77777777" w:rsidR="009E39B0" w:rsidRPr="00B91C8D" w:rsidRDefault="009E39B0" w:rsidP="008D3F2B">
            <w:pPr>
              <w:ind w:left="0" w:right="0"/>
              <w:rPr>
                <w:kern w:val="2"/>
                <w:sz w:val="18"/>
                <w:szCs w:val="18"/>
              </w:rPr>
            </w:pPr>
          </w:p>
        </w:tc>
        <w:tc>
          <w:tcPr>
            <w:tcW w:w="1417" w:type="dxa"/>
            <w:vMerge/>
          </w:tcPr>
          <w:p w14:paraId="126FFF83" w14:textId="77777777" w:rsidR="009E39B0" w:rsidRPr="00B91C8D" w:rsidRDefault="009E39B0" w:rsidP="008D3F2B">
            <w:pPr>
              <w:ind w:left="0" w:right="0"/>
              <w:rPr>
                <w:kern w:val="2"/>
                <w:sz w:val="18"/>
                <w:szCs w:val="18"/>
              </w:rPr>
            </w:pPr>
          </w:p>
        </w:tc>
        <w:tc>
          <w:tcPr>
            <w:tcW w:w="1209" w:type="dxa"/>
          </w:tcPr>
          <w:p w14:paraId="6DAA0CBE" w14:textId="77777777" w:rsidR="009E39B0" w:rsidRPr="00B91C8D" w:rsidRDefault="009E39B0" w:rsidP="008D3F2B">
            <w:pPr>
              <w:ind w:left="0" w:right="0"/>
              <w:rPr>
                <w:kern w:val="2"/>
                <w:sz w:val="18"/>
                <w:szCs w:val="18"/>
              </w:rPr>
            </w:pPr>
            <w:r w:rsidRPr="00B91C8D">
              <w:rPr>
                <w:kern w:val="2"/>
                <w:sz w:val="18"/>
                <w:szCs w:val="18"/>
              </w:rPr>
              <w:t>5</w:t>
            </w:r>
          </w:p>
        </w:tc>
        <w:tc>
          <w:tcPr>
            <w:tcW w:w="786" w:type="dxa"/>
          </w:tcPr>
          <w:p w14:paraId="2FB7D228" w14:textId="77777777" w:rsidR="009E39B0" w:rsidRPr="00B91C8D" w:rsidRDefault="009E39B0" w:rsidP="008D3F2B">
            <w:pPr>
              <w:ind w:left="0" w:right="0"/>
              <w:rPr>
                <w:kern w:val="2"/>
                <w:sz w:val="18"/>
                <w:szCs w:val="18"/>
              </w:rPr>
            </w:pPr>
            <w:r w:rsidRPr="00B91C8D">
              <w:rPr>
                <w:kern w:val="2"/>
                <w:sz w:val="18"/>
                <w:szCs w:val="18"/>
              </w:rPr>
              <w:t>24.4</w:t>
            </w:r>
          </w:p>
        </w:tc>
        <w:tc>
          <w:tcPr>
            <w:tcW w:w="788" w:type="dxa"/>
          </w:tcPr>
          <w:p w14:paraId="3A06090C" w14:textId="77777777" w:rsidR="009E39B0" w:rsidRPr="00B91C8D" w:rsidRDefault="009E39B0" w:rsidP="008D3F2B">
            <w:pPr>
              <w:ind w:left="0" w:right="0"/>
              <w:rPr>
                <w:kern w:val="2"/>
                <w:sz w:val="18"/>
                <w:szCs w:val="18"/>
              </w:rPr>
            </w:pPr>
            <w:r w:rsidRPr="00B91C8D">
              <w:rPr>
                <w:kern w:val="2"/>
                <w:sz w:val="18"/>
                <w:szCs w:val="18"/>
              </w:rPr>
              <w:t>39.2</w:t>
            </w:r>
          </w:p>
        </w:tc>
        <w:tc>
          <w:tcPr>
            <w:tcW w:w="773" w:type="dxa"/>
          </w:tcPr>
          <w:p w14:paraId="1495D3E6" w14:textId="77777777" w:rsidR="009E39B0" w:rsidRPr="00B91C8D" w:rsidRDefault="009E39B0" w:rsidP="008D3F2B">
            <w:pPr>
              <w:ind w:left="0" w:right="0"/>
              <w:rPr>
                <w:kern w:val="2"/>
                <w:sz w:val="18"/>
                <w:szCs w:val="18"/>
              </w:rPr>
            </w:pPr>
            <w:r w:rsidRPr="00B91C8D">
              <w:rPr>
                <w:kern w:val="2"/>
                <w:sz w:val="18"/>
                <w:szCs w:val="18"/>
              </w:rPr>
              <w:t>0.976</w:t>
            </w:r>
          </w:p>
        </w:tc>
        <w:tc>
          <w:tcPr>
            <w:tcW w:w="775" w:type="dxa"/>
          </w:tcPr>
          <w:p w14:paraId="52EEDD6B" w14:textId="77777777" w:rsidR="009E39B0" w:rsidRPr="00B91C8D" w:rsidRDefault="009E39B0" w:rsidP="008D3F2B">
            <w:pPr>
              <w:ind w:left="0" w:right="0"/>
              <w:rPr>
                <w:kern w:val="2"/>
                <w:sz w:val="18"/>
                <w:szCs w:val="18"/>
              </w:rPr>
            </w:pPr>
            <w:r w:rsidRPr="00B91C8D">
              <w:rPr>
                <w:kern w:val="2"/>
                <w:sz w:val="18"/>
                <w:szCs w:val="18"/>
              </w:rPr>
              <w:t>1.57</w:t>
            </w:r>
          </w:p>
        </w:tc>
        <w:tc>
          <w:tcPr>
            <w:tcW w:w="697" w:type="dxa"/>
          </w:tcPr>
          <w:p w14:paraId="30B13AEC" w14:textId="77777777" w:rsidR="009E39B0" w:rsidRPr="00B91C8D" w:rsidRDefault="009E39B0" w:rsidP="008D3F2B">
            <w:pPr>
              <w:ind w:left="0" w:right="0"/>
              <w:rPr>
                <w:kern w:val="2"/>
                <w:sz w:val="18"/>
                <w:szCs w:val="18"/>
              </w:rPr>
            </w:pPr>
            <w:r w:rsidRPr="00B91C8D">
              <w:rPr>
                <w:kern w:val="2"/>
                <w:sz w:val="18"/>
                <w:szCs w:val="18"/>
              </w:rPr>
              <w:t>13</w:t>
            </w:r>
          </w:p>
        </w:tc>
        <w:tc>
          <w:tcPr>
            <w:tcW w:w="697" w:type="dxa"/>
          </w:tcPr>
          <w:p w14:paraId="1A2E3C8A" w14:textId="77777777" w:rsidR="009E39B0" w:rsidRPr="00B91C8D" w:rsidRDefault="009E39B0" w:rsidP="008D3F2B">
            <w:pPr>
              <w:ind w:left="0" w:right="0"/>
              <w:rPr>
                <w:kern w:val="2"/>
                <w:sz w:val="18"/>
                <w:szCs w:val="18"/>
              </w:rPr>
            </w:pPr>
            <w:r w:rsidRPr="00B91C8D">
              <w:rPr>
                <w:kern w:val="2"/>
                <w:sz w:val="18"/>
                <w:szCs w:val="18"/>
              </w:rPr>
              <w:t>21</w:t>
            </w:r>
          </w:p>
        </w:tc>
      </w:tr>
      <w:tr w:rsidR="009E39B0" w:rsidRPr="00B91C8D" w14:paraId="07024F32" w14:textId="77777777" w:rsidTr="00CD18ED">
        <w:trPr>
          <w:trHeight w:val="253"/>
        </w:trPr>
        <w:tc>
          <w:tcPr>
            <w:tcW w:w="1526" w:type="dxa"/>
            <w:gridSpan w:val="2"/>
            <w:vMerge/>
          </w:tcPr>
          <w:p w14:paraId="604EDF51" w14:textId="77777777" w:rsidR="009E39B0" w:rsidRPr="00B91C8D" w:rsidRDefault="009E39B0" w:rsidP="008D3F2B">
            <w:pPr>
              <w:ind w:left="0" w:right="0"/>
              <w:rPr>
                <w:kern w:val="2"/>
                <w:sz w:val="18"/>
                <w:szCs w:val="18"/>
              </w:rPr>
            </w:pPr>
          </w:p>
        </w:tc>
        <w:tc>
          <w:tcPr>
            <w:tcW w:w="1417" w:type="dxa"/>
            <w:vMerge/>
          </w:tcPr>
          <w:p w14:paraId="4CDA0044" w14:textId="77777777" w:rsidR="009E39B0" w:rsidRPr="00B91C8D" w:rsidRDefault="009E39B0" w:rsidP="008D3F2B">
            <w:pPr>
              <w:ind w:left="0" w:right="0"/>
              <w:rPr>
                <w:kern w:val="2"/>
                <w:sz w:val="18"/>
                <w:szCs w:val="18"/>
              </w:rPr>
            </w:pPr>
          </w:p>
        </w:tc>
        <w:tc>
          <w:tcPr>
            <w:tcW w:w="1209" w:type="dxa"/>
          </w:tcPr>
          <w:p w14:paraId="62490260" w14:textId="77777777" w:rsidR="009E39B0" w:rsidRPr="00B91C8D" w:rsidRDefault="009E39B0" w:rsidP="008D3F2B">
            <w:pPr>
              <w:ind w:left="0" w:right="0"/>
              <w:rPr>
                <w:kern w:val="2"/>
                <w:sz w:val="18"/>
                <w:szCs w:val="18"/>
              </w:rPr>
            </w:pPr>
            <w:r w:rsidRPr="00B91C8D">
              <w:rPr>
                <w:kern w:val="2"/>
                <w:sz w:val="18"/>
                <w:szCs w:val="18"/>
              </w:rPr>
              <w:t>15</w:t>
            </w:r>
          </w:p>
        </w:tc>
        <w:tc>
          <w:tcPr>
            <w:tcW w:w="786" w:type="dxa"/>
          </w:tcPr>
          <w:p w14:paraId="25ECF644" w14:textId="77777777" w:rsidR="009E39B0" w:rsidRPr="00B91C8D" w:rsidRDefault="009E39B0" w:rsidP="008D3F2B">
            <w:pPr>
              <w:ind w:left="0" w:right="0"/>
              <w:rPr>
                <w:kern w:val="2"/>
                <w:sz w:val="18"/>
                <w:szCs w:val="18"/>
              </w:rPr>
            </w:pPr>
            <w:r w:rsidRPr="00B91C8D">
              <w:rPr>
                <w:kern w:val="2"/>
                <w:sz w:val="18"/>
                <w:szCs w:val="18"/>
              </w:rPr>
              <w:t>91.0</w:t>
            </w:r>
          </w:p>
        </w:tc>
        <w:tc>
          <w:tcPr>
            <w:tcW w:w="788" w:type="dxa"/>
          </w:tcPr>
          <w:p w14:paraId="0EB05CEE" w14:textId="77777777" w:rsidR="009E39B0" w:rsidRPr="00B91C8D" w:rsidRDefault="009E39B0" w:rsidP="008D3F2B">
            <w:pPr>
              <w:ind w:left="0" w:right="0"/>
              <w:rPr>
                <w:kern w:val="2"/>
                <w:sz w:val="18"/>
                <w:szCs w:val="18"/>
              </w:rPr>
            </w:pPr>
            <w:r w:rsidRPr="00B91C8D">
              <w:rPr>
                <w:kern w:val="2"/>
                <w:sz w:val="18"/>
                <w:szCs w:val="18"/>
              </w:rPr>
              <w:t>102</w:t>
            </w:r>
          </w:p>
        </w:tc>
        <w:tc>
          <w:tcPr>
            <w:tcW w:w="773" w:type="dxa"/>
          </w:tcPr>
          <w:p w14:paraId="1EE9E237" w14:textId="77777777" w:rsidR="009E39B0" w:rsidRPr="00B91C8D" w:rsidRDefault="009E39B0" w:rsidP="008D3F2B">
            <w:pPr>
              <w:ind w:left="0" w:right="0"/>
              <w:rPr>
                <w:kern w:val="2"/>
                <w:sz w:val="18"/>
                <w:szCs w:val="18"/>
              </w:rPr>
            </w:pPr>
            <w:r w:rsidRPr="00B91C8D">
              <w:rPr>
                <w:kern w:val="2"/>
                <w:sz w:val="18"/>
                <w:szCs w:val="18"/>
              </w:rPr>
              <w:t>3.64</w:t>
            </w:r>
          </w:p>
        </w:tc>
        <w:tc>
          <w:tcPr>
            <w:tcW w:w="775" w:type="dxa"/>
          </w:tcPr>
          <w:p w14:paraId="0D9823F6" w14:textId="77777777" w:rsidR="009E39B0" w:rsidRPr="00B91C8D" w:rsidRDefault="009E39B0" w:rsidP="008D3F2B">
            <w:pPr>
              <w:ind w:left="0" w:right="0"/>
              <w:rPr>
                <w:kern w:val="2"/>
                <w:sz w:val="18"/>
                <w:szCs w:val="18"/>
              </w:rPr>
            </w:pPr>
            <w:r w:rsidRPr="00B91C8D">
              <w:rPr>
                <w:kern w:val="2"/>
                <w:sz w:val="18"/>
                <w:szCs w:val="18"/>
              </w:rPr>
              <w:t>4.08</w:t>
            </w:r>
          </w:p>
        </w:tc>
        <w:tc>
          <w:tcPr>
            <w:tcW w:w="697" w:type="dxa"/>
          </w:tcPr>
          <w:p w14:paraId="20A84EE3" w14:textId="77777777" w:rsidR="009E39B0" w:rsidRPr="00B91C8D" w:rsidRDefault="009E39B0" w:rsidP="008D3F2B">
            <w:pPr>
              <w:ind w:left="0" w:right="0"/>
              <w:rPr>
                <w:kern w:val="2"/>
                <w:sz w:val="18"/>
                <w:szCs w:val="18"/>
              </w:rPr>
            </w:pPr>
            <w:r w:rsidRPr="00B91C8D">
              <w:rPr>
                <w:kern w:val="2"/>
                <w:sz w:val="18"/>
                <w:szCs w:val="18"/>
              </w:rPr>
              <w:t>48</w:t>
            </w:r>
          </w:p>
        </w:tc>
        <w:tc>
          <w:tcPr>
            <w:tcW w:w="697" w:type="dxa"/>
          </w:tcPr>
          <w:p w14:paraId="73E72EFB" w14:textId="77777777" w:rsidR="009E39B0" w:rsidRPr="00B91C8D" w:rsidRDefault="009E39B0" w:rsidP="008D3F2B">
            <w:pPr>
              <w:ind w:left="0" w:right="0"/>
              <w:rPr>
                <w:kern w:val="2"/>
                <w:sz w:val="18"/>
                <w:szCs w:val="18"/>
              </w:rPr>
            </w:pPr>
            <w:r w:rsidRPr="00B91C8D">
              <w:rPr>
                <w:kern w:val="2"/>
                <w:sz w:val="18"/>
                <w:szCs w:val="18"/>
              </w:rPr>
              <w:t>53</w:t>
            </w:r>
          </w:p>
        </w:tc>
      </w:tr>
      <w:tr w:rsidR="009E39B0" w:rsidRPr="00B91C8D" w14:paraId="3E0525EE" w14:textId="77777777" w:rsidTr="00CD18ED">
        <w:trPr>
          <w:trHeight w:val="253"/>
        </w:trPr>
        <w:tc>
          <w:tcPr>
            <w:tcW w:w="1526" w:type="dxa"/>
            <w:gridSpan w:val="2"/>
            <w:vMerge w:val="restart"/>
          </w:tcPr>
          <w:p w14:paraId="7EA4D5F3" w14:textId="1081516B" w:rsidR="009E39B0" w:rsidRPr="00B91C8D" w:rsidRDefault="009E39B0" w:rsidP="008D3F2B">
            <w:pPr>
              <w:keepNext/>
              <w:ind w:left="0" w:right="0"/>
              <w:rPr>
                <w:b/>
                <w:kern w:val="2"/>
                <w:sz w:val="18"/>
                <w:szCs w:val="18"/>
              </w:rPr>
            </w:pPr>
            <w:r w:rsidRPr="00B91C8D">
              <w:rPr>
                <w:b/>
                <w:kern w:val="2"/>
                <w:sz w:val="18"/>
                <w:szCs w:val="18"/>
              </w:rPr>
              <w:t>Dog</w:t>
            </w:r>
            <w:r w:rsidR="00AD51CF">
              <w:rPr>
                <w:kern w:val="2"/>
                <w:sz w:val="18"/>
                <w:szCs w:val="18"/>
              </w:rPr>
              <w:t xml:space="preserve"> </w:t>
            </w:r>
            <w:r w:rsidRPr="00B91C8D">
              <w:rPr>
                <w:kern w:val="2"/>
                <w:sz w:val="18"/>
                <w:szCs w:val="18"/>
              </w:rPr>
              <w:t>(Beagle)</w:t>
            </w:r>
          </w:p>
        </w:tc>
        <w:tc>
          <w:tcPr>
            <w:tcW w:w="1417" w:type="dxa"/>
            <w:vMerge w:val="restart"/>
          </w:tcPr>
          <w:p w14:paraId="14B0D29A" w14:textId="77777777" w:rsidR="009E39B0" w:rsidRPr="00B91C8D" w:rsidRDefault="009E39B0" w:rsidP="008D3F2B">
            <w:pPr>
              <w:keepNext/>
              <w:ind w:left="0" w:right="0"/>
              <w:rPr>
                <w:kern w:val="2"/>
                <w:sz w:val="18"/>
                <w:szCs w:val="18"/>
              </w:rPr>
            </w:pPr>
            <w:r w:rsidRPr="00B91C8D">
              <w:rPr>
                <w:kern w:val="2"/>
                <w:sz w:val="18"/>
                <w:szCs w:val="18"/>
              </w:rPr>
              <w:t>9 months</w:t>
            </w:r>
          </w:p>
          <w:p w14:paraId="5E8C1311" w14:textId="77777777" w:rsidR="009E39B0" w:rsidRPr="00B91C8D" w:rsidRDefault="009E39B0" w:rsidP="008D3F2B">
            <w:pPr>
              <w:keepNext/>
              <w:ind w:left="0" w:right="0"/>
              <w:rPr>
                <w:kern w:val="2"/>
                <w:sz w:val="18"/>
                <w:szCs w:val="18"/>
              </w:rPr>
            </w:pPr>
            <w:r w:rsidRPr="00B91C8D">
              <w:rPr>
                <w:kern w:val="2"/>
                <w:sz w:val="18"/>
                <w:szCs w:val="18"/>
              </w:rPr>
              <w:t>pivotal;</w:t>
            </w:r>
            <w:r w:rsidR="00097566">
              <w:rPr>
                <w:kern w:val="2"/>
                <w:sz w:val="18"/>
                <w:szCs w:val="18"/>
              </w:rPr>
              <w:t xml:space="preserve"> </w:t>
            </w:r>
            <w:r w:rsidRPr="00B91C8D">
              <w:rPr>
                <w:kern w:val="2"/>
                <w:sz w:val="18"/>
                <w:szCs w:val="18"/>
              </w:rPr>
              <w:t>TT097895</w:t>
            </w:r>
          </w:p>
        </w:tc>
        <w:tc>
          <w:tcPr>
            <w:tcW w:w="1209" w:type="dxa"/>
          </w:tcPr>
          <w:p w14:paraId="3EC46B10" w14:textId="77777777" w:rsidR="009E39B0" w:rsidRPr="00B91C8D" w:rsidRDefault="009E39B0" w:rsidP="008D3F2B">
            <w:pPr>
              <w:keepNext/>
              <w:ind w:left="0" w:right="0"/>
              <w:rPr>
                <w:kern w:val="2"/>
                <w:sz w:val="18"/>
                <w:szCs w:val="18"/>
              </w:rPr>
            </w:pPr>
            <w:r w:rsidRPr="00B91C8D">
              <w:rPr>
                <w:kern w:val="2"/>
                <w:sz w:val="18"/>
                <w:szCs w:val="18"/>
              </w:rPr>
              <w:t>1</w:t>
            </w:r>
          </w:p>
        </w:tc>
        <w:tc>
          <w:tcPr>
            <w:tcW w:w="1574" w:type="dxa"/>
            <w:gridSpan w:val="2"/>
          </w:tcPr>
          <w:p w14:paraId="104C1045" w14:textId="77777777" w:rsidR="009E39B0" w:rsidRPr="00B91C8D" w:rsidRDefault="009E39B0" w:rsidP="008D3F2B">
            <w:pPr>
              <w:keepNext/>
              <w:ind w:left="0" w:right="0"/>
              <w:rPr>
                <w:kern w:val="2"/>
                <w:sz w:val="18"/>
                <w:szCs w:val="18"/>
              </w:rPr>
            </w:pPr>
            <w:r w:rsidRPr="00B91C8D">
              <w:rPr>
                <w:kern w:val="2"/>
                <w:sz w:val="18"/>
                <w:szCs w:val="18"/>
              </w:rPr>
              <w:t>6.30</w:t>
            </w:r>
          </w:p>
        </w:tc>
        <w:tc>
          <w:tcPr>
            <w:tcW w:w="1548" w:type="dxa"/>
            <w:gridSpan w:val="2"/>
          </w:tcPr>
          <w:p w14:paraId="5118D72B" w14:textId="77777777" w:rsidR="009E39B0" w:rsidRPr="00B91C8D" w:rsidRDefault="009E39B0" w:rsidP="008D3F2B">
            <w:pPr>
              <w:keepNext/>
              <w:ind w:left="0" w:right="0"/>
              <w:rPr>
                <w:kern w:val="2"/>
                <w:sz w:val="18"/>
                <w:szCs w:val="18"/>
              </w:rPr>
            </w:pPr>
            <w:r w:rsidRPr="00B91C8D">
              <w:rPr>
                <w:kern w:val="2"/>
                <w:sz w:val="18"/>
                <w:szCs w:val="18"/>
              </w:rPr>
              <w:t>0.202</w:t>
            </w:r>
          </w:p>
        </w:tc>
        <w:tc>
          <w:tcPr>
            <w:tcW w:w="1394" w:type="dxa"/>
            <w:gridSpan w:val="2"/>
          </w:tcPr>
          <w:p w14:paraId="41037DFD" w14:textId="77777777" w:rsidR="009E39B0" w:rsidRPr="00B91C8D" w:rsidRDefault="009E39B0" w:rsidP="008D3F2B">
            <w:pPr>
              <w:keepNext/>
              <w:ind w:left="0" w:right="0"/>
              <w:rPr>
                <w:kern w:val="2"/>
                <w:sz w:val="18"/>
                <w:szCs w:val="18"/>
              </w:rPr>
            </w:pPr>
            <w:r w:rsidRPr="00B91C8D">
              <w:rPr>
                <w:kern w:val="2"/>
                <w:sz w:val="18"/>
                <w:szCs w:val="18"/>
              </w:rPr>
              <w:t>2.6</w:t>
            </w:r>
          </w:p>
        </w:tc>
      </w:tr>
      <w:tr w:rsidR="009E39B0" w:rsidRPr="00B91C8D" w14:paraId="7A9C8106" w14:textId="77777777" w:rsidTr="00CD18ED">
        <w:trPr>
          <w:trHeight w:val="253"/>
        </w:trPr>
        <w:tc>
          <w:tcPr>
            <w:tcW w:w="1526" w:type="dxa"/>
            <w:gridSpan w:val="2"/>
            <w:vMerge/>
          </w:tcPr>
          <w:p w14:paraId="668CFF30" w14:textId="77777777" w:rsidR="009E39B0" w:rsidRPr="00B91C8D" w:rsidRDefault="009E39B0" w:rsidP="008D3F2B">
            <w:pPr>
              <w:keepNext/>
              <w:ind w:left="0" w:right="0"/>
              <w:rPr>
                <w:kern w:val="2"/>
                <w:sz w:val="18"/>
                <w:szCs w:val="18"/>
              </w:rPr>
            </w:pPr>
          </w:p>
        </w:tc>
        <w:tc>
          <w:tcPr>
            <w:tcW w:w="1417" w:type="dxa"/>
            <w:vMerge/>
          </w:tcPr>
          <w:p w14:paraId="4A26CB93" w14:textId="77777777" w:rsidR="009E39B0" w:rsidRPr="00B91C8D" w:rsidRDefault="009E39B0" w:rsidP="008D3F2B">
            <w:pPr>
              <w:keepNext/>
              <w:ind w:left="0" w:right="0"/>
              <w:rPr>
                <w:kern w:val="2"/>
                <w:sz w:val="18"/>
                <w:szCs w:val="18"/>
              </w:rPr>
            </w:pPr>
          </w:p>
        </w:tc>
        <w:tc>
          <w:tcPr>
            <w:tcW w:w="1209" w:type="dxa"/>
          </w:tcPr>
          <w:p w14:paraId="4D5C98E6" w14:textId="77777777" w:rsidR="009E39B0" w:rsidRPr="00B91C8D" w:rsidRDefault="009E39B0" w:rsidP="008D3F2B">
            <w:pPr>
              <w:keepNext/>
              <w:ind w:left="0" w:right="0"/>
              <w:rPr>
                <w:kern w:val="2"/>
                <w:sz w:val="18"/>
                <w:szCs w:val="18"/>
              </w:rPr>
            </w:pPr>
            <w:r w:rsidRPr="00B91C8D">
              <w:rPr>
                <w:kern w:val="2"/>
                <w:sz w:val="18"/>
                <w:szCs w:val="18"/>
              </w:rPr>
              <w:t>10</w:t>
            </w:r>
          </w:p>
        </w:tc>
        <w:tc>
          <w:tcPr>
            <w:tcW w:w="1574" w:type="dxa"/>
            <w:gridSpan w:val="2"/>
          </w:tcPr>
          <w:p w14:paraId="746288DE" w14:textId="77777777" w:rsidR="009E39B0" w:rsidRPr="00B91C8D" w:rsidRDefault="009E39B0" w:rsidP="008D3F2B">
            <w:pPr>
              <w:keepNext/>
              <w:ind w:left="0" w:right="0"/>
              <w:rPr>
                <w:kern w:val="2"/>
                <w:sz w:val="18"/>
                <w:szCs w:val="18"/>
              </w:rPr>
            </w:pPr>
            <w:r w:rsidRPr="00B91C8D">
              <w:rPr>
                <w:kern w:val="2"/>
                <w:sz w:val="18"/>
                <w:szCs w:val="18"/>
              </w:rPr>
              <w:t>70.6</w:t>
            </w:r>
          </w:p>
        </w:tc>
        <w:tc>
          <w:tcPr>
            <w:tcW w:w="1548" w:type="dxa"/>
            <w:gridSpan w:val="2"/>
          </w:tcPr>
          <w:p w14:paraId="03299A46" w14:textId="77777777" w:rsidR="009E39B0" w:rsidRPr="00B91C8D" w:rsidRDefault="009E39B0" w:rsidP="008D3F2B">
            <w:pPr>
              <w:keepNext/>
              <w:ind w:left="0" w:right="0"/>
              <w:rPr>
                <w:kern w:val="2"/>
                <w:sz w:val="18"/>
                <w:szCs w:val="18"/>
              </w:rPr>
            </w:pPr>
            <w:r w:rsidRPr="00B91C8D">
              <w:rPr>
                <w:kern w:val="2"/>
                <w:sz w:val="18"/>
                <w:szCs w:val="18"/>
              </w:rPr>
              <w:t>2.26</w:t>
            </w:r>
          </w:p>
        </w:tc>
        <w:tc>
          <w:tcPr>
            <w:tcW w:w="1394" w:type="dxa"/>
            <w:gridSpan w:val="2"/>
          </w:tcPr>
          <w:p w14:paraId="6E101903" w14:textId="77777777" w:rsidR="009E39B0" w:rsidRPr="00B91C8D" w:rsidRDefault="009E39B0" w:rsidP="008D3F2B">
            <w:pPr>
              <w:keepNext/>
              <w:ind w:left="0" w:right="0"/>
              <w:rPr>
                <w:kern w:val="2"/>
                <w:sz w:val="18"/>
                <w:szCs w:val="18"/>
              </w:rPr>
            </w:pPr>
            <w:r w:rsidRPr="00B91C8D">
              <w:rPr>
                <w:kern w:val="2"/>
                <w:sz w:val="18"/>
                <w:szCs w:val="18"/>
              </w:rPr>
              <w:t>30</w:t>
            </w:r>
          </w:p>
        </w:tc>
      </w:tr>
      <w:tr w:rsidR="009E39B0" w:rsidRPr="00B91C8D" w14:paraId="43E05715" w14:textId="77777777" w:rsidTr="00CD18ED">
        <w:trPr>
          <w:trHeight w:val="253"/>
        </w:trPr>
        <w:tc>
          <w:tcPr>
            <w:tcW w:w="1526" w:type="dxa"/>
            <w:gridSpan w:val="2"/>
            <w:vMerge/>
          </w:tcPr>
          <w:p w14:paraId="610EBA64" w14:textId="77777777" w:rsidR="009E39B0" w:rsidRPr="00B91C8D" w:rsidRDefault="009E39B0" w:rsidP="008D3F2B">
            <w:pPr>
              <w:keepNext/>
              <w:ind w:left="0" w:right="0"/>
              <w:rPr>
                <w:kern w:val="2"/>
                <w:sz w:val="18"/>
                <w:szCs w:val="18"/>
              </w:rPr>
            </w:pPr>
          </w:p>
        </w:tc>
        <w:tc>
          <w:tcPr>
            <w:tcW w:w="1417" w:type="dxa"/>
            <w:vMerge/>
          </w:tcPr>
          <w:p w14:paraId="0D1167DF" w14:textId="77777777" w:rsidR="009E39B0" w:rsidRPr="00B91C8D" w:rsidRDefault="009E39B0" w:rsidP="008D3F2B">
            <w:pPr>
              <w:keepNext/>
              <w:ind w:left="0" w:right="0"/>
              <w:rPr>
                <w:kern w:val="2"/>
                <w:sz w:val="18"/>
                <w:szCs w:val="18"/>
              </w:rPr>
            </w:pPr>
          </w:p>
        </w:tc>
        <w:tc>
          <w:tcPr>
            <w:tcW w:w="1209" w:type="dxa"/>
          </w:tcPr>
          <w:p w14:paraId="6FCA8BCF" w14:textId="77777777" w:rsidR="009E39B0" w:rsidRPr="00B91C8D" w:rsidRDefault="009E39B0" w:rsidP="008D3F2B">
            <w:pPr>
              <w:keepNext/>
              <w:ind w:left="0" w:right="0"/>
              <w:rPr>
                <w:kern w:val="2"/>
                <w:sz w:val="18"/>
                <w:szCs w:val="18"/>
              </w:rPr>
            </w:pPr>
            <w:r w:rsidRPr="00B91C8D">
              <w:rPr>
                <w:kern w:val="2"/>
                <w:sz w:val="18"/>
                <w:szCs w:val="18"/>
              </w:rPr>
              <w:t>150</w:t>
            </w:r>
          </w:p>
        </w:tc>
        <w:tc>
          <w:tcPr>
            <w:tcW w:w="1574" w:type="dxa"/>
            <w:gridSpan w:val="2"/>
          </w:tcPr>
          <w:p w14:paraId="48626E13" w14:textId="77777777" w:rsidR="009E39B0" w:rsidRPr="00B91C8D" w:rsidRDefault="009E39B0" w:rsidP="008D3F2B">
            <w:pPr>
              <w:keepNext/>
              <w:ind w:left="0" w:right="0"/>
              <w:rPr>
                <w:kern w:val="2"/>
                <w:sz w:val="18"/>
                <w:szCs w:val="18"/>
              </w:rPr>
            </w:pPr>
            <w:r w:rsidRPr="00B91C8D">
              <w:rPr>
                <w:kern w:val="2"/>
                <w:sz w:val="18"/>
                <w:szCs w:val="18"/>
              </w:rPr>
              <w:t>904</w:t>
            </w:r>
          </w:p>
        </w:tc>
        <w:tc>
          <w:tcPr>
            <w:tcW w:w="1548" w:type="dxa"/>
            <w:gridSpan w:val="2"/>
          </w:tcPr>
          <w:p w14:paraId="03259BB5" w14:textId="77777777" w:rsidR="009E39B0" w:rsidRPr="00B91C8D" w:rsidRDefault="009E39B0" w:rsidP="008D3F2B">
            <w:pPr>
              <w:keepNext/>
              <w:ind w:left="0" w:right="0"/>
              <w:rPr>
                <w:kern w:val="2"/>
                <w:sz w:val="18"/>
                <w:szCs w:val="18"/>
              </w:rPr>
            </w:pPr>
            <w:r w:rsidRPr="00B91C8D">
              <w:rPr>
                <w:kern w:val="2"/>
                <w:sz w:val="18"/>
                <w:szCs w:val="18"/>
              </w:rPr>
              <w:t>28.9</w:t>
            </w:r>
          </w:p>
        </w:tc>
        <w:tc>
          <w:tcPr>
            <w:tcW w:w="1394" w:type="dxa"/>
            <w:gridSpan w:val="2"/>
          </w:tcPr>
          <w:p w14:paraId="54D32932" w14:textId="77777777" w:rsidR="009E39B0" w:rsidRPr="00B91C8D" w:rsidRDefault="009E39B0" w:rsidP="008D3F2B">
            <w:pPr>
              <w:keepNext/>
              <w:ind w:left="0" w:right="0"/>
              <w:rPr>
                <w:kern w:val="2"/>
                <w:sz w:val="18"/>
                <w:szCs w:val="18"/>
              </w:rPr>
            </w:pPr>
            <w:r w:rsidRPr="00B91C8D">
              <w:rPr>
                <w:kern w:val="2"/>
                <w:sz w:val="18"/>
                <w:szCs w:val="18"/>
              </w:rPr>
              <w:t>379</w:t>
            </w:r>
          </w:p>
        </w:tc>
      </w:tr>
      <w:tr w:rsidR="009E39B0" w:rsidRPr="00B91C8D" w14:paraId="364104DA" w14:textId="77777777" w:rsidTr="00CD18ED">
        <w:trPr>
          <w:trHeight w:val="226"/>
        </w:trPr>
        <w:tc>
          <w:tcPr>
            <w:tcW w:w="1526" w:type="dxa"/>
            <w:gridSpan w:val="2"/>
          </w:tcPr>
          <w:p w14:paraId="10798B09" w14:textId="4C1D22C1" w:rsidR="009E39B0" w:rsidRPr="00B91C8D" w:rsidRDefault="009E39B0" w:rsidP="008D3F2B">
            <w:pPr>
              <w:keepNext/>
              <w:ind w:left="0" w:right="0"/>
              <w:rPr>
                <w:kern w:val="2"/>
                <w:sz w:val="18"/>
                <w:szCs w:val="18"/>
              </w:rPr>
            </w:pPr>
            <w:r w:rsidRPr="00B91C8D">
              <w:rPr>
                <w:b/>
                <w:kern w:val="2"/>
                <w:sz w:val="18"/>
                <w:szCs w:val="18"/>
              </w:rPr>
              <w:t>Human</w:t>
            </w:r>
            <w:r w:rsidR="00AD51CF">
              <w:rPr>
                <w:kern w:val="2"/>
                <w:sz w:val="18"/>
                <w:szCs w:val="18"/>
              </w:rPr>
              <w:t xml:space="preserve"> </w:t>
            </w:r>
            <w:r w:rsidRPr="00B91C8D">
              <w:rPr>
                <w:kern w:val="2"/>
                <w:sz w:val="18"/>
                <w:szCs w:val="18"/>
              </w:rPr>
              <w:t>(healthy subjects)</w:t>
            </w:r>
          </w:p>
        </w:tc>
        <w:tc>
          <w:tcPr>
            <w:tcW w:w="1417" w:type="dxa"/>
          </w:tcPr>
          <w:p w14:paraId="21D799E9" w14:textId="77777777" w:rsidR="009E39B0" w:rsidRPr="00B91C8D" w:rsidRDefault="009E39B0" w:rsidP="008D3F2B">
            <w:pPr>
              <w:keepNext/>
              <w:ind w:left="0" w:right="0"/>
              <w:rPr>
                <w:kern w:val="2"/>
                <w:sz w:val="18"/>
                <w:szCs w:val="18"/>
              </w:rPr>
            </w:pPr>
            <w:r w:rsidRPr="00B91C8D">
              <w:rPr>
                <w:kern w:val="2"/>
                <w:sz w:val="18"/>
                <w:szCs w:val="18"/>
              </w:rPr>
              <w:t>steady state</w:t>
            </w:r>
          </w:p>
          <w:p w14:paraId="6738379D" w14:textId="77777777" w:rsidR="009E39B0" w:rsidRPr="00B91C8D" w:rsidRDefault="009E39B0" w:rsidP="008D3F2B">
            <w:pPr>
              <w:keepNext/>
              <w:ind w:left="0" w:right="0"/>
              <w:rPr>
                <w:kern w:val="2"/>
                <w:sz w:val="18"/>
                <w:szCs w:val="18"/>
              </w:rPr>
            </w:pPr>
            <w:r w:rsidRPr="00B91C8D">
              <w:rPr>
                <w:kern w:val="2"/>
                <w:sz w:val="18"/>
                <w:szCs w:val="18"/>
              </w:rPr>
              <w:t>P035/1051</w:t>
            </w:r>
          </w:p>
        </w:tc>
        <w:tc>
          <w:tcPr>
            <w:tcW w:w="1209" w:type="dxa"/>
          </w:tcPr>
          <w:p w14:paraId="72BA762C" w14:textId="4E735260" w:rsidR="009E39B0" w:rsidRPr="00B91C8D" w:rsidRDefault="009E39B0" w:rsidP="008D3F2B">
            <w:pPr>
              <w:keepNext/>
              <w:ind w:left="0" w:right="0"/>
              <w:rPr>
                <w:kern w:val="2"/>
                <w:sz w:val="18"/>
                <w:szCs w:val="18"/>
              </w:rPr>
            </w:pPr>
            <w:r w:rsidRPr="00B91C8D">
              <w:rPr>
                <w:kern w:val="2"/>
                <w:sz w:val="18"/>
                <w:szCs w:val="18"/>
              </w:rPr>
              <w:t>15</w:t>
            </w:r>
            <w:r w:rsidR="00715B39">
              <w:rPr>
                <w:kern w:val="2"/>
                <w:sz w:val="18"/>
                <w:szCs w:val="18"/>
              </w:rPr>
              <w:t> </w:t>
            </w:r>
            <w:r w:rsidR="006D7D02">
              <w:rPr>
                <w:kern w:val="2"/>
                <w:sz w:val="18"/>
                <w:szCs w:val="18"/>
              </w:rPr>
              <w:t>mg</w:t>
            </w:r>
            <w:r w:rsidRPr="00B91C8D">
              <w:rPr>
                <w:kern w:val="2"/>
                <w:sz w:val="18"/>
                <w:szCs w:val="18"/>
              </w:rPr>
              <w:t>/day</w:t>
            </w:r>
          </w:p>
        </w:tc>
        <w:tc>
          <w:tcPr>
            <w:tcW w:w="1574" w:type="dxa"/>
            <w:gridSpan w:val="2"/>
          </w:tcPr>
          <w:p w14:paraId="765464A7" w14:textId="77777777" w:rsidR="009E39B0" w:rsidRPr="00B91C8D" w:rsidRDefault="009E39B0" w:rsidP="008D3F2B">
            <w:pPr>
              <w:keepNext/>
              <w:ind w:left="0" w:right="0"/>
              <w:rPr>
                <w:kern w:val="2"/>
                <w:sz w:val="18"/>
                <w:szCs w:val="18"/>
              </w:rPr>
            </w:pPr>
            <w:r w:rsidRPr="00B91C8D">
              <w:rPr>
                <w:kern w:val="2"/>
                <w:sz w:val="18"/>
                <w:szCs w:val="18"/>
              </w:rPr>
              <w:t>1.193</w:t>
            </w:r>
          </w:p>
        </w:tc>
        <w:tc>
          <w:tcPr>
            <w:tcW w:w="1548" w:type="dxa"/>
            <w:gridSpan w:val="2"/>
          </w:tcPr>
          <w:p w14:paraId="1EA63F73" w14:textId="77777777" w:rsidR="009E39B0" w:rsidRPr="00B91C8D" w:rsidRDefault="009E39B0" w:rsidP="008D3F2B">
            <w:pPr>
              <w:keepNext/>
              <w:ind w:left="0" w:right="0"/>
              <w:rPr>
                <w:kern w:val="2"/>
                <w:sz w:val="18"/>
                <w:szCs w:val="18"/>
              </w:rPr>
            </w:pPr>
            <w:r w:rsidRPr="00B91C8D">
              <w:rPr>
                <w:kern w:val="2"/>
                <w:sz w:val="18"/>
                <w:szCs w:val="18"/>
              </w:rPr>
              <w:t>0.0764</w:t>
            </w:r>
          </w:p>
        </w:tc>
        <w:tc>
          <w:tcPr>
            <w:tcW w:w="1394" w:type="dxa"/>
            <w:gridSpan w:val="2"/>
          </w:tcPr>
          <w:p w14:paraId="6ADCDE17" w14:textId="77777777" w:rsidR="009E39B0" w:rsidRPr="00B91C8D" w:rsidRDefault="009E39B0" w:rsidP="008D3F2B">
            <w:pPr>
              <w:keepNext/>
              <w:ind w:left="0" w:right="0"/>
              <w:rPr>
                <w:kern w:val="2"/>
                <w:sz w:val="18"/>
                <w:szCs w:val="18"/>
              </w:rPr>
            </w:pPr>
            <w:r w:rsidRPr="00B91C8D">
              <w:rPr>
                <w:kern w:val="2"/>
                <w:sz w:val="18"/>
                <w:szCs w:val="18"/>
              </w:rPr>
              <w:t>–</w:t>
            </w:r>
          </w:p>
        </w:tc>
      </w:tr>
    </w:tbl>
    <w:p w14:paraId="7763F9A1" w14:textId="77777777" w:rsidR="009E39B0" w:rsidRDefault="009E39B0" w:rsidP="00097566">
      <w:pPr>
        <w:pStyle w:val="TableDescription"/>
        <w:keepNext/>
      </w:pPr>
      <w:r w:rsidRPr="00F701AD">
        <w:rPr>
          <w:position w:val="-2"/>
          <w:vertAlign w:val="superscript"/>
        </w:rPr>
        <w:t>#</w:t>
      </w:r>
      <w:r w:rsidRPr="00F701AD">
        <w:t xml:space="preserve"> = animal:human plasma AUC</w:t>
      </w:r>
      <w:r w:rsidRPr="00F701AD">
        <w:rPr>
          <w:vertAlign w:val="subscript"/>
        </w:rPr>
        <w:t>0–24</w:t>
      </w:r>
      <w:r w:rsidRPr="00F701AD">
        <w:rPr>
          <w:w w:val="50"/>
          <w:vertAlign w:val="subscript"/>
        </w:rPr>
        <w:t> </w:t>
      </w:r>
      <w:r w:rsidRPr="00F701AD">
        <w:rPr>
          <w:vertAlign w:val="subscript"/>
        </w:rPr>
        <w:t>h</w:t>
      </w:r>
      <w:r w:rsidRPr="00F701AD">
        <w:t xml:space="preserve"> for unbound ertugliflozin</w:t>
      </w:r>
      <w:r>
        <w:t>; ^ = values are for</w:t>
      </w:r>
      <w:r w:rsidRPr="00F701AD">
        <w:t xml:space="preserve"> the last sampling occasion</w:t>
      </w:r>
      <w:r>
        <w:t>,</w:t>
      </w:r>
      <w:r w:rsidRPr="00F701AD">
        <w:t xml:space="preserve"> and for the </w:t>
      </w:r>
      <w:r w:rsidRPr="001E570B">
        <w:t xml:space="preserve">sexes combined in </w:t>
      </w:r>
      <w:r w:rsidRPr="001E570B">
        <w:rPr>
          <w:szCs w:val="18"/>
        </w:rPr>
        <w:t>non</w:t>
      </w:r>
      <w:r w:rsidRPr="001E570B">
        <w:rPr>
          <w:szCs w:val="18"/>
        </w:rPr>
        <w:noBreakHyphen/>
        <w:t>rodents</w:t>
      </w:r>
      <w:r w:rsidRPr="001E570B">
        <w:t xml:space="preserve">; fraction unbound: </w:t>
      </w:r>
      <w:r>
        <w:t xml:space="preserve">2.8% for rasH2 mouse, </w:t>
      </w:r>
      <w:r w:rsidRPr="001E570B">
        <w:t xml:space="preserve">4.5% for </w:t>
      </w:r>
      <w:r>
        <w:t xml:space="preserve">CD-1 </w:t>
      </w:r>
      <w:r w:rsidRPr="001E570B">
        <w:t>mouse, 4.0% for rat, 3.2% for dog and 6.4% for human</w:t>
      </w:r>
    </w:p>
    <w:p w14:paraId="516C9EE8" w14:textId="77777777" w:rsidR="009E39B0" w:rsidRPr="001E570B" w:rsidRDefault="009E39B0" w:rsidP="00097566">
      <w:pPr>
        <w:pStyle w:val="Heading5"/>
      </w:pPr>
      <w:r w:rsidRPr="001E570B">
        <w:t xml:space="preserve">Major toxicities </w:t>
      </w:r>
      <w:r w:rsidR="00097566">
        <w:t>and</w:t>
      </w:r>
      <w:r w:rsidR="00DD7FF1">
        <w:t xml:space="preserve"> treatment </w:t>
      </w:r>
      <w:r w:rsidRPr="001E570B">
        <w:t>related changes</w:t>
      </w:r>
    </w:p>
    <w:p w14:paraId="4F190911" w14:textId="77777777" w:rsidR="009E39B0" w:rsidRPr="001E570B" w:rsidRDefault="009E39B0" w:rsidP="00097566">
      <w:r w:rsidRPr="001E570B">
        <w:t>Treatment with ertugliflozin was associated with effects on body weight, and renal, adrenal, gastrointestinal and bone changes.</w:t>
      </w:r>
    </w:p>
    <w:p w14:paraId="0E7DA267" w14:textId="77777777" w:rsidR="009E39B0" w:rsidRDefault="009E39B0" w:rsidP="00097566">
      <w:r>
        <w:t xml:space="preserve">Body weight gain was usually reduced in treated animals, accompanied by increased food consumption. This is seen to be related to the marked loss of glucose in the urine resulting from the drug’s primary pharmacological activity, with food intake increased to (partly) compensate. Urinary glucose concentrations in rats and dogs in the pivotal studies were </w:t>
      </w:r>
      <w:r>
        <w:lastRenderedPageBreak/>
        <w:t>increased by up to 450 and 250</w:t>
      </w:r>
      <w:r w:rsidR="005372D5">
        <w:t xml:space="preserve"> </w:t>
      </w:r>
      <w:r>
        <w:t xml:space="preserve">times control levels, and serum glucose (in these normoglycaemic animals) was reduced by up to </w:t>
      </w:r>
      <w:r w:rsidR="00D87593">
        <w:t xml:space="preserve">approximately </w:t>
      </w:r>
      <w:r>
        <w:t xml:space="preserve">50% and </w:t>
      </w:r>
      <w:r w:rsidR="00D87593">
        <w:t xml:space="preserve">approximately </w:t>
      </w:r>
      <w:r>
        <w:t>30% in the respective species.</w:t>
      </w:r>
    </w:p>
    <w:p w14:paraId="04CBF900" w14:textId="20E5E45F" w:rsidR="009E39B0" w:rsidRDefault="009E39B0" w:rsidP="00097566">
      <w:r>
        <w:t>Glucosuria induced osmotic diuresis. This occurred at all dose levels in the pivotal studies, with urine volume increased by a minimum of 70% in rats and 40% in dogs and by up to 5</w:t>
      </w:r>
      <w:r w:rsidR="00AD51CF">
        <w:t> </w:t>
      </w:r>
      <w:r>
        <w:t>fold in both species (urinalysis was not performed in any of the studies in mice). Dehydration was frequently apparent in rats (as increases in blood urea nitrogen). Bodyweight</w:t>
      </w:r>
      <w:r w:rsidR="00AD51CF">
        <w:t xml:space="preserve"> </w:t>
      </w:r>
      <w:r>
        <w:t xml:space="preserve">relative kidney weight was increased in all species, from the lowest doses tested where measured (3 </w:t>
      </w:r>
      <w:r w:rsidR="006D7D02">
        <w:t>mg</w:t>
      </w:r>
      <w:r>
        <w:t>/kg/day in mice, 5 </w:t>
      </w:r>
      <w:r w:rsidR="006D7D02">
        <w:t>mg</w:t>
      </w:r>
      <w:r>
        <w:t>/kg/day in rats and 1</w:t>
      </w:r>
      <w:r w:rsidR="00E87327">
        <w:t xml:space="preserve"> </w:t>
      </w:r>
      <w:r w:rsidR="006D7D02">
        <w:t>mg</w:t>
      </w:r>
      <w:r>
        <w:t>/kg/day in dogs). Treatment</w:t>
      </w:r>
      <w:r w:rsidR="005372D5">
        <w:t xml:space="preserve"> </w:t>
      </w:r>
      <w:r>
        <w:t xml:space="preserve">related microscopic changes in the kidney were limited to rodents, and included tubule dilatation, pelvis dilatation, mineral deposition, exacerbation of chronic progressive nephropathy and hypertrophy of the proximal tubule epithelium. The renal findings are seen to be related to the drug-induced diuresis, and mostly an adaptive response to increased fluid load within the nephron. The pivotal studies establish a </w:t>
      </w:r>
      <w:r w:rsidR="005372D5">
        <w:t>no observable adverse effect level (</w:t>
      </w:r>
      <w:r>
        <w:t>NOAEL</w:t>
      </w:r>
      <w:r w:rsidR="005372D5">
        <w:t>)</w:t>
      </w:r>
      <w:r>
        <w:t xml:space="preserve"> for kidney microscopic changes of 5 </w:t>
      </w:r>
      <w:r w:rsidR="006D7D02">
        <w:t>mg</w:t>
      </w:r>
      <w:r>
        <w:t>/kg/day in rats (relative exposure, 9</w:t>
      </w:r>
      <w:r w:rsidR="00AD51CF">
        <w:t xml:space="preserve"> to </w:t>
      </w:r>
      <w:r>
        <w:t xml:space="preserve">14) and 150 </w:t>
      </w:r>
      <w:r w:rsidR="006D7D02">
        <w:t>mg</w:t>
      </w:r>
      <w:r>
        <w:t xml:space="preserve">/kg/day in dogs (relative exposure, </w:t>
      </w:r>
      <w:r w:rsidR="00D87593">
        <w:t xml:space="preserve">approximately </w:t>
      </w:r>
      <w:r>
        <w:t>380).</w:t>
      </w:r>
    </w:p>
    <w:p w14:paraId="201C3597" w14:textId="77777777" w:rsidR="009E39B0" w:rsidRPr="00FC3C80" w:rsidRDefault="009E39B0" w:rsidP="00097566">
      <w:r w:rsidRPr="00FC3C80">
        <w:t>There was evidence of urinary tract infections in several studies in rats (3</w:t>
      </w:r>
      <w:r w:rsidR="005372D5">
        <w:t xml:space="preserve"> </w:t>
      </w:r>
      <w:r w:rsidRPr="00FC3C80">
        <w:t>month; impurity qualification; carcinogenicity), as kidney inflammation or pyelonephritis, and inflammation of the prostate, seminal vesicle, bladder and/or ureter. This is seen to be related to glucosuria.</w:t>
      </w:r>
    </w:p>
    <w:p w14:paraId="7540AB5B" w14:textId="31E68D90" w:rsidR="009E39B0" w:rsidRDefault="009E39B0" w:rsidP="00097566">
      <w:r>
        <w:t>Hypertrophy and/or vacuolation of the adrenal zona glomerulosa was commonly seen in treated rats, evident at all doses tested in 1, 3 and 6</w:t>
      </w:r>
      <w:r w:rsidR="005372D5">
        <w:t xml:space="preserve"> </w:t>
      </w:r>
      <w:r>
        <w:t>month studies (</w:t>
      </w:r>
      <w:r w:rsidR="00EB55BF">
        <w:t xml:space="preserve">≥ </w:t>
      </w:r>
      <w:r>
        <w:t>5 </w:t>
      </w:r>
      <w:r w:rsidR="006D7D02">
        <w:t>mg</w:t>
      </w:r>
      <w:r>
        <w:t xml:space="preserve">/kg/day; relative exposure, </w:t>
      </w:r>
      <w:r w:rsidR="00EB55BF">
        <w:t xml:space="preserve">≥ </w:t>
      </w:r>
      <w:r>
        <w:t>5). Bodyweight-relative adrenal weight was also sometimes increased. This is consistent with a compensatory response to diuresis: increased aldosterone secretion to counter increased sodium loss in urine. Adrenal changes were not observed in treated dogs (≤</w:t>
      </w:r>
      <w:r w:rsidR="005372D5">
        <w:t> </w:t>
      </w:r>
      <w:r>
        <w:t>150</w:t>
      </w:r>
      <w:r w:rsidR="00E87327">
        <w:t xml:space="preserve"> </w:t>
      </w:r>
      <w:r w:rsidR="006D7D02">
        <w:t>mg</w:t>
      </w:r>
      <w:r>
        <w:t>/kg/day in the pivotal study; relative exposure, ≤</w:t>
      </w:r>
      <w:r w:rsidR="005372D5">
        <w:t> </w:t>
      </w:r>
      <w:r>
        <w:t>379).</w:t>
      </w:r>
    </w:p>
    <w:p w14:paraId="4CFAC987" w14:textId="08FAF0D9" w:rsidR="009E39B0" w:rsidRDefault="009E39B0" w:rsidP="00097566">
      <w:r>
        <w:t xml:space="preserve">Microscopic changes in the stomach were observed at </w:t>
      </w:r>
      <w:r w:rsidR="00EB55BF">
        <w:t xml:space="preserve">≥ </w:t>
      </w:r>
      <w:r>
        <w:t>25</w:t>
      </w:r>
      <w:r w:rsidR="00E87327">
        <w:t xml:space="preserve"> </w:t>
      </w:r>
      <w:r w:rsidR="006D7D02">
        <w:t>mg</w:t>
      </w:r>
      <w:r>
        <w:t>/kg/day in rats treated for 3 and 6 months. There were findings of erosion/ulceration in both the 3 and 6</w:t>
      </w:r>
      <w:r w:rsidR="005372D5">
        <w:t xml:space="preserve"> </w:t>
      </w:r>
      <w:r>
        <w:t>month studies and additionally foveolar hyperplasia, crypt degeneration in the pylorus and glandular dilatation in the pivotal 6</w:t>
      </w:r>
      <w:r w:rsidR="00AD51CF">
        <w:t xml:space="preserve"> </w:t>
      </w:r>
      <w:r>
        <w:t>month study (where a NOAEL of 5 </w:t>
      </w:r>
      <w:r w:rsidR="006D7D02">
        <w:t>mg</w:t>
      </w:r>
      <w:r>
        <w:t>/kg/day for stomach histopathological changes is established; relative exposure, 9</w:t>
      </w:r>
      <w:r w:rsidR="005372D5">
        <w:t xml:space="preserve"> to </w:t>
      </w:r>
      <w:r>
        <w:t>14). Decreased pancreatic zymogen granules occurred in rats at all doses (</w:t>
      </w:r>
      <w:r w:rsidR="00EB55BF">
        <w:t xml:space="preserve">≥ </w:t>
      </w:r>
      <w:r>
        <w:t xml:space="preserve">5 </w:t>
      </w:r>
      <w:r w:rsidR="006D7D02">
        <w:t>mg</w:t>
      </w:r>
      <w:r>
        <w:t>/kg/day). The stomach and pancreas findings are considered to be secondary to increased food consumption. Such microscopic changes were not seen in dogs, although emesis (white</w:t>
      </w:r>
      <w:r w:rsidR="005372D5">
        <w:t xml:space="preserve"> and</w:t>
      </w:r>
      <w:r>
        <w:t xml:space="preserve"> foamy) and stool changes (soft, mucoid</w:t>
      </w:r>
      <w:r w:rsidR="005372D5">
        <w:t xml:space="preserve"> and</w:t>
      </w:r>
      <w:r>
        <w:t xml:space="preserve"> watery) were observed in the species with treatment at 150 </w:t>
      </w:r>
      <w:r w:rsidR="006D7D02">
        <w:t>mg</w:t>
      </w:r>
      <w:r>
        <w:t xml:space="preserve">/kg/day for 1, 3 and 9 months (relative exposure, </w:t>
      </w:r>
      <w:r w:rsidR="00D87593">
        <w:t xml:space="preserve">approximately </w:t>
      </w:r>
      <w:r>
        <w:t xml:space="preserve">380 in the pivotal study), and to a lesser extent at 50 </w:t>
      </w:r>
      <w:r w:rsidR="006D7D02">
        <w:t>mg</w:t>
      </w:r>
      <w:r>
        <w:t>/kg/day in 1</w:t>
      </w:r>
      <w:r w:rsidR="005372D5">
        <w:t xml:space="preserve"> </w:t>
      </w:r>
      <w:r>
        <w:t>week pilot studies.</w:t>
      </w:r>
    </w:p>
    <w:p w14:paraId="4C122977" w14:textId="4F7F0CEE" w:rsidR="009E39B0" w:rsidRDefault="009E39B0" w:rsidP="00097566">
      <w:r>
        <w:t>Increased trabecular bone formation was noted in the femur and sternum in male rats at 100 </w:t>
      </w:r>
      <w:r w:rsidR="006D7D02">
        <w:t xml:space="preserve"> mg</w:t>
      </w:r>
      <w:r>
        <w:t xml:space="preserve">/kg/day ertugliflozin in the pivotal </w:t>
      </w:r>
      <w:r w:rsidR="00AD51CF">
        <w:t>6 month</w:t>
      </w:r>
      <w:r>
        <w:t xml:space="preserve"> study (relative exposure, </w:t>
      </w:r>
      <w:r w:rsidR="00AD51CF">
        <w:t xml:space="preserve">&gt; </w:t>
      </w:r>
      <w:r>
        <w:t xml:space="preserve">200), and at </w:t>
      </w:r>
      <w:r w:rsidR="00EB55BF">
        <w:t xml:space="preserve">≥ </w:t>
      </w:r>
      <w:r>
        <w:t>25 </w:t>
      </w:r>
      <w:r w:rsidR="006D7D02">
        <w:t>mg</w:t>
      </w:r>
      <w:r>
        <w:t>/kg/day in males and at 250</w:t>
      </w:r>
      <w:r w:rsidR="00E87327">
        <w:t xml:space="preserve"> </w:t>
      </w:r>
      <w:r w:rsidR="006D7D02">
        <w:t>mg</w:t>
      </w:r>
      <w:r>
        <w:t>/kg/day in females (relative exposure 43</w:t>
      </w:r>
      <w:r w:rsidR="005372D5">
        <w:t xml:space="preserve"> to </w:t>
      </w:r>
      <w:r>
        <w:t>409) in a 3</w:t>
      </w:r>
      <w:r w:rsidR="00B244EF">
        <w:t xml:space="preserve"> </w:t>
      </w:r>
      <w:r>
        <w:t xml:space="preserve">month rat study. There were alteration in serum calcium (decreased) and urine calcium (increased) in the pivotal rat study. Effects on bone are likely to be related to increased calcium absorption, occurring secondary to carbohydrate malabsorption due to ertugliflozin inhibition of SGLT1. Despite the drug’s </w:t>
      </w:r>
      <w:r w:rsidR="00D87593">
        <w:t xml:space="preserve">approximately </w:t>
      </w:r>
      <w:r>
        <w:t>300</w:t>
      </w:r>
      <w:r w:rsidR="00B244EF">
        <w:t xml:space="preserve"> </w:t>
      </w:r>
      <w:r>
        <w:t xml:space="preserve">fold selectivity for SGLT2 over SGLT1 in the rat and with bioavailability moderate in the species, high intraluminal concentrations of ertugliflozin sufficient to inhibit SGLT1 on the luminal surface of intestinal enterocytes are expected. The </w:t>
      </w:r>
      <w:r w:rsidRPr="004F742F">
        <w:t xml:space="preserve">resulting inhibition of intestinal absorption of glucose and galactose will provide substrate for bacterial fermentation in the distal </w:t>
      </w:r>
      <w:r w:rsidR="00B244EF">
        <w:t>gastrointestinal (</w:t>
      </w:r>
      <w:r w:rsidRPr="004F742F">
        <w:t>GI</w:t>
      </w:r>
      <w:r w:rsidR="00B244EF">
        <w:t>)</w:t>
      </w:r>
      <w:r w:rsidRPr="004F742F">
        <w:t xml:space="preserve"> tract, lowering the luminal pH and thereby increasing the </w:t>
      </w:r>
      <w:r w:rsidRPr="004F742F">
        <w:lastRenderedPageBreak/>
        <w:t>solubility (and absorption) of calcium</w:t>
      </w:r>
      <w:r>
        <w:t>. There were no effects on bone in dogs (relative exposure, ≤</w:t>
      </w:r>
      <w:r w:rsidR="00B244EF">
        <w:t> </w:t>
      </w:r>
      <w:r>
        <w:t>379 in the pivotal 9</w:t>
      </w:r>
      <w:r w:rsidR="00B244EF">
        <w:t xml:space="preserve"> </w:t>
      </w:r>
      <w:r>
        <w:t>month study).</w:t>
      </w:r>
    </w:p>
    <w:p w14:paraId="6FCDA9DF" w14:textId="77777777" w:rsidR="009E39B0" w:rsidRPr="00C7150B" w:rsidRDefault="009E39B0" w:rsidP="00B244EF">
      <w:pPr>
        <w:pStyle w:val="Heading5"/>
      </w:pPr>
      <w:r w:rsidRPr="00C7150B">
        <w:t xml:space="preserve">Toxicity in combination with </w:t>
      </w:r>
      <w:r w:rsidRPr="00B244EF">
        <w:t>metformin</w:t>
      </w:r>
      <w:r w:rsidRPr="00C7150B">
        <w:t xml:space="preserve"> and sitagliptin</w:t>
      </w:r>
    </w:p>
    <w:p w14:paraId="3FFAC294" w14:textId="77777777" w:rsidR="009E39B0" w:rsidRPr="002F0AD6" w:rsidRDefault="009E39B0" w:rsidP="00097566">
      <w:r w:rsidRPr="00C7150B">
        <w:t>Combination toxicity studies of up to 3 months duration were performed with ertugliflozin/</w:t>
      </w:r>
      <w:r w:rsidRPr="00C7150B">
        <w:rPr>
          <w:w w:val="10"/>
        </w:rPr>
        <w:t xml:space="preserve"> </w:t>
      </w:r>
      <w:r w:rsidRPr="00C7150B">
        <w:t xml:space="preserve">metformin and ertugliflozin/sitagliptin in rats. These studies are described in </w:t>
      </w:r>
      <w:r>
        <w:t xml:space="preserve">more </w:t>
      </w:r>
      <w:r w:rsidRPr="00C7150B">
        <w:t xml:space="preserve">detail in separate evaluation reports for </w:t>
      </w:r>
      <w:r>
        <w:t>concurrent</w:t>
      </w:r>
      <w:r w:rsidRPr="00C7150B">
        <w:t xml:space="preserve"> </w:t>
      </w:r>
      <w:r>
        <w:t xml:space="preserve">applications to </w:t>
      </w:r>
      <w:r w:rsidRPr="00C7150B">
        <w:t>regist</w:t>
      </w:r>
      <w:r>
        <w:t>er such</w:t>
      </w:r>
      <w:r w:rsidRPr="00C7150B">
        <w:t xml:space="preserve"> fixed-dose combination products (</w:t>
      </w:r>
      <w:r w:rsidRPr="00097566">
        <w:t>Segluromet</w:t>
      </w:r>
      <w:r w:rsidR="00097566">
        <w:t xml:space="preserve"> </w:t>
      </w:r>
      <w:r w:rsidRPr="00C7150B">
        <w:t xml:space="preserve">and </w:t>
      </w:r>
      <w:r w:rsidR="00453FBE">
        <w:t>Steglujan</w:t>
      </w:r>
      <w:r w:rsidRPr="002F0AD6">
        <w:t>). No novel or additive toxicity was seen with co-administration.</w:t>
      </w:r>
    </w:p>
    <w:p w14:paraId="12077745" w14:textId="77777777" w:rsidR="009E39B0" w:rsidRPr="002F0AD6" w:rsidRDefault="009E39B0" w:rsidP="00097566">
      <w:pPr>
        <w:pStyle w:val="Heading4"/>
      </w:pPr>
      <w:bookmarkStart w:id="60" w:name="_Toc294861729"/>
      <w:r w:rsidRPr="002F0AD6">
        <w:t>Genotoxicity</w:t>
      </w:r>
      <w:bookmarkEnd w:id="60"/>
    </w:p>
    <w:p w14:paraId="43773AD4" w14:textId="77777777" w:rsidR="009E39B0" w:rsidRPr="002F0AD6" w:rsidRDefault="009E39B0" w:rsidP="00097566">
      <w:r w:rsidRPr="002F0AD6">
        <w:t>The genotoxic potential of ertugliflozin was investigated in the standard battery of tests</w:t>
      </w:r>
      <w:r w:rsidR="00097566">
        <w:t>;</w:t>
      </w:r>
      <w:r w:rsidRPr="002F0AD6">
        <w:t xml:space="preserve"> a bacterial reverse mutation assay, an </w:t>
      </w:r>
      <w:r w:rsidRPr="008D3F2B">
        <w:rPr>
          <w:i/>
        </w:rPr>
        <w:t>in vitro</w:t>
      </w:r>
      <w:r w:rsidRPr="00097566">
        <w:t xml:space="preserve"> </w:t>
      </w:r>
      <w:r w:rsidRPr="002F0AD6">
        <w:t xml:space="preserve">assay for clastogenicity using human peripheral lymphocytes, and a bone marrow micronucleus test in rats. The conduct of the definitive studies was in accordance with </w:t>
      </w:r>
      <w:r w:rsidR="00B244EF">
        <w:t>relevant</w:t>
      </w:r>
      <w:r w:rsidRPr="002F0AD6">
        <w:t xml:space="preserve"> guidelines. Concentrations/doses used were appropriate (up to maximum recommended levels, or limited by cytotoxicity or </w:t>
      </w:r>
      <w:r>
        <w:t xml:space="preserve">producing </w:t>
      </w:r>
      <w:r w:rsidRPr="002F0AD6">
        <w:t>clinical signs</w:t>
      </w:r>
      <w:r>
        <w:t xml:space="preserve"> and high exposure</w:t>
      </w:r>
      <w:r w:rsidRPr="002F0AD6">
        <w:t>). All assays returned negative results.</w:t>
      </w:r>
    </w:p>
    <w:p w14:paraId="5018A9A9" w14:textId="77777777" w:rsidR="009E39B0" w:rsidRPr="002F0AD6" w:rsidRDefault="009E39B0" w:rsidP="00097566">
      <w:pPr>
        <w:pStyle w:val="Heading4"/>
      </w:pPr>
      <w:bookmarkStart w:id="61" w:name="_Toc294861730"/>
      <w:r w:rsidRPr="002F0AD6">
        <w:t>Carcinogenicity</w:t>
      </w:r>
      <w:bookmarkEnd w:id="61"/>
    </w:p>
    <w:p w14:paraId="5D319FA5" w14:textId="77777777" w:rsidR="009E39B0" w:rsidRDefault="009E39B0" w:rsidP="00097566">
      <w:r>
        <w:t>Lifetime (2</w:t>
      </w:r>
      <w:r w:rsidR="00097566">
        <w:t xml:space="preserve"> </w:t>
      </w:r>
      <w:r>
        <w:t>year) carcinogenicity studies were conducted with ertugliflozin by the oral route in mice and rats. The studies were appropriately designed and conducted, in accordance with relevant TGA</w:t>
      </w:r>
      <w:r w:rsidR="00B244EF">
        <w:t xml:space="preserve"> </w:t>
      </w:r>
      <w:r>
        <w:t>adopted guidelines.</w:t>
      </w:r>
      <w:r w:rsidR="00CF4DC5">
        <w:rPr>
          <w:rStyle w:val="FootnoteReference"/>
        </w:rPr>
        <w:footnoteReference w:id="13"/>
      </w:r>
      <w:r>
        <w:t xml:space="preserve"> High</w:t>
      </w:r>
      <w:r w:rsidR="00B244EF">
        <w:t xml:space="preserve"> </w:t>
      </w:r>
      <w:r>
        <w:t>dose levels yielded very high multiples of the clinical AUC for unbound ertugliflozin in both rodent species and did not adversely affect survival. The mouse study featured only limited toxicokinetic sampling but this was sufficient to demonstrate the relevance of toxicokinetic parameters obtained in an earlier 3</w:t>
      </w:r>
      <w:r w:rsidR="00B244EF">
        <w:t xml:space="preserve"> </w:t>
      </w:r>
      <w:r>
        <w:t>month mouse study.</w:t>
      </w:r>
    </w:p>
    <w:p w14:paraId="53C66252" w14:textId="647E6046" w:rsidR="009E39B0" w:rsidRPr="00E760C3" w:rsidRDefault="009E39B0" w:rsidP="00097566">
      <w:r>
        <w:t>No treatment</w:t>
      </w:r>
      <w:r w:rsidR="00B244EF">
        <w:t xml:space="preserve"> </w:t>
      </w:r>
      <w:r>
        <w:t>related increase in tumour incidence was observed up to the highest dose level tested in mice (40</w:t>
      </w:r>
      <w:r w:rsidR="00E87327">
        <w:t xml:space="preserve"> </w:t>
      </w:r>
      <w:r w:rsidR="006D7D02">
        <w:t>mg</w:t>
      </w:r>
      <w:r>
        <w:t>/kg/day; relative exposure, 31 for males and 51 for females). In rats, ertugliflozin was not carcinogenic in female animals (≤</w:t>
      </w:r>
      <w:r w:rsidR="00B244EF">
        <w:t> </w:t>
      </w:r>
      <w:r>
        <w:t>15</w:t>
      </w:r>
      <w:r w:rsidR="00E87327">
        <w:t xml:space="preserve"> </w:t>
      </w:r>
      <w:r w:rsidR="006D7D02">
        <w:t>mg</w:t>
      </w:r>
      <w:r>
        <w:t>/kg/day; relative exposure, 53) but was seen to increase the incidence of benign phaeochromocytoma in males at 15</w:t>
      </w:r>
      <w:r w:rsidR="00E87327">
        <w:t xml:space="preserve"> </w:t>
      </w:r>
      <w:r w:rsidR="006D7D02">
        <w:t>mg</w:t>
      </w:r>
      <w:r>
        <w:t xml:space="preserve">/kg/day (relative exposure 48). This was accompanied by increased adrenal medullary hyperplasia (present at </w:t>
      </w:r>
      <w:r w:rsidR="00EB55BF">
        <w:t xml:space="preserve">≥ </w:t>
      </w:r>
      <w:r>
        <w:t>5</w:t>
      </w:r>
      <w:r w:rsidR="00E87327">
        <w:t xml:space="preserve"> </w:t>
      </w:r>
      <w:r w:rsidR="006D7D02">
        <w:t>mg</w:t>
      </w:r>
      <w:r>
        <w:t xml:space="preserve">/kg/day). </w:t>
      </w:r>
      <w:r w:rsidRPr="000A4F7E">
        <w:t>The particular sensitivity of the rat to increases in the incidence of these adrenal proliferative lesions (common age-related spontaneous findings in the species) following disturbances in calcium homeostasis</w:t>
      </w:r>
      <w:r>
        <w:t xml:space="preserve"> (secondary, here, to carbohydrate malabsorption via SGLT1 inhibition)</w:t>
      </w:r>
      <w:r w:rsidRPr="000A4F7E">
        <w:t xml:space="preserve"> is well recognised. Analogous findings are seen with poorly absorbable sugars (</w:t>
      </w:r>
      <w:r w:rsidR="00B244EF">
        <w:t>such as</w:t>
      </w:r>
      <w:r w:rsidRPr="000A4F7E">
        <w:t xml:space="preserve"> lactose) and sugar alcohols in rats; lactose is not associated with increased tumours in humans.</w:t>
      </w:r>
      <w:r>
        <w:t xml:space="preserve"> The </w:t>
      </w:r>
      <w:r w:rsidR="00B244EF">
        <w:t>no observable effect level (</w:t>
      </w:r>
      <w:r>
        <w:t>NOEL</w:t>
      </w:r>
      <w:r w:rsidR="00B244EF">
        <w:t>)</w:t>
      </w:r>
      <w:r>
        <w:t xml:space="preserve"> for </w:t>
      </w:r>
      <w:r w:rsidRPr="00E760C3">
        <w:t>carcinogenicity in the rat is 5 </w:t>
      </w:r>
      <w:r w:rsidR="006D7D02">
        <w:t>mg</w:t>
      </w:r>
      <w:r w:rsidRPr="00E760C3">
        <w:t>/kg/day (relative exposure 13).</w:t>
      </w:r>
    </w:p>
    <w:p w14:paraId="7CB6B469" w14:textId="77777777" w:rsidR="009E39B0" w:rsidRPr="00E760C3" w:rsidRDefault="009E39B0" w:rsidP="003E1628">
      <w:pPr>
        <w:pStyle w:val="Heading4"/>
      </w:pPr>
      <w:r w:rsidRPr="00E760C3">
        <w:t>Reproductive and developmental toxicity</w:t>
      </w:r>
    </w:p>
    <w:p w14:paraId="08340B12" w14:textId="77777777" w:rsidR="009E39B0" w:rsidRPr="00B244EF" w:rsidRDefault="009E39B0" w:rsidP="00B244EF">
      <w:r w:rsidRPr="00E760C3">
        <w:t xml:space="preserve">Reproductive toxicity studies submitted by the sponsor covered all stages (fertility, early embryonic development, embryofetal development, and </w:t>
      </w:r>
      <w:r w:rsidRPr="00E760C3">
        <w:rPr>
          <w:szCs w:val="18"/>
        </w:rPr>
        <w:t>pre</w:t>
      </w:r>
      <w:r w:rsidR="009A3F68">
        <w:rPr>
          <w:szCs w:val="18"/>
        </w:rPr>
        <w:t xml:space="preserve"> </w:t>
      </w:r>
      <w:r w:rsidRPr="00E760C3">
        <w:rPr>
          <w:szCs w:val="18"/>
        </w:rPr>
        <w:t xml:space="preserve">and postnatal development). Adequate animal numbers were used in the pivotal studies, and the timing/duration of treatment was appropriate. Rats were used for all study types; the rabbit was used as the </w:t>
      </w:r>
      <w:r w:rsidRPr="00E760C3">
        <w:rPr>
          <w:szCs w:val="18"/>
        </w:rPr>
        <w:lastRenderedPageBreak/>
        <w:t>second (non</w:t>
      </w:r>
      <w:r w:rsidR="00B244EF">
        <w:rPr>
          <w:szCs w:val="18"/>
        </w:rPr>
        <w:t>-</w:t>
      </w:r>
      <w:r w:rsidRPr="00E760C3">
        <w:rPr>
          <w:szCs w:val="18"/>
        </w:rPr>
        <w:t xml:space="preserve">rodent) species </w:t>
      </w:r>
      <w:r w:rsidRPr="00B244EF">
        <w:t>for embryofetal development. Toxicity in juvenile animals was additionally investigated (in rats). All studies were conducted by the oral route.</w:t>
      </w:r>
    </w:p>
    <w:p w14:paraId="4F996CCF" w14:textId="77777777" w:rsidR="009E39B0" w:rsidRPr="00B244EF" w:rsidRDefault="009E39B0" w:rsidP="00B244EF">
      <w:pPr>
        <w:pStyle w:val="TableTitle"/>
      </w:pPr>
      <w:r w:rsidRPr="00767284">
        <w:t xml:space="preserve">Table </w:t>
      </w:r>
      <w:r w:rsidR="00E55ACA">
        <w:t>14:</w:t>
      </w:r>
      <w:r w:rsidR="009A3F68">
        <w:rPr>
          <w:w w:val="50"/>
        </w:rPr>
        <w:t xml:space="preserve"> </w:t>
      </w:r>
      <w:r w:rsidRPr="00767284">
        <w:t>Relative exposure in reproductive and developmental toxicity studies</w:t>
      </w:r>
      <w:bookmarkStart w:id="62" w:name="ReproRelExp"/>
      <w:bookmarkEnd w:id="62"/>
    </w:p>
    <w:tbl>
      <w:tblPr>
        <w:tblStyle w:val="TableTGAblue"/>
        <w:tblW w:w="8684" w:type="dxa"/>
        <w:tblLayout w:type="fixed"/>
        <w:tblLook w:val="01E0" w:firstRow="1" w:lastRow="1" w:firstColumn="1" w:lastColumn="1" w:noHBand="0" w:noVBand="0"/>
      </w:tblPr>
      <w:tblGrid>
        <w:gridCol w:w="1472"/>
        <w:gridCol w:w="1356"/>
        <w:gridCol w:w="1332"/>
        <w:gridCol w:w="788"/>
        <w:gridCol w:w="789"/>
        <w:gridCol w:w="775"/>
        <w:gridCol w:w="776"/>
        <w:gridCol w:w="697"/>
        <w:gridCol w:w="699"/>
      </w:tblGrid>
      <w:tr w:rsidR="009E39B0" w:rsidRPr="00097566" w14:paraId="5C0FF2BC" w14:textId="77777777" w:rsidTr="008D3F2B">
        <w:trPr>
          <w:cnfStyle w:val="100000000000" w:firstRow="1" w:lastRow="0" w:firstColumn="0" w:lastColumn="0" w:oddVBand="0" w:evenVBand="0" w:oddHBand="0" w:evenHBand="0" w:firstRowFirstColumn="0" w:firstRowLastColumn="0" w:lastRowFirstColumn="0" w:lastRowLastColumn="0"/>
          <w:cantSplit/>
          <w:trHeight w:val="676"/>
        </w:trPr>
        <w:tc>
          <w:tcPr>
            <w:tcW w:w="1473" w:type="dxa"/>
            <w:vMerge w:val="restart"/>
          </w:tcPr>
          <w:p w14:paraId="4BF00EAD" w14:textId="77777777" w:rsidR="009E39B0" w:rsidRPr="00097566" w:rsidRDefault="009E39B0" w:rsidP="008D3F2B">
            <w:pPr>
              <w:ind w:left="0" w:right="0"/>
              <w:rPr>
                <w:sz w:val="16"/>
                <w:szCs w:val="16"/>
              </w:rPr>
            </w:pPr>
            <w:r w:rsidRPr="00097566">
              <w:rPr>
                <w:sz w:val="16"/>
                <w:szCs w:val="16"/>
              </w:rPr>
              <w:t>Species</w:t>
            </w:r>
          </w:p>
        </w:tc>
        <w:tc>
          <w:tcPr>
            <w:tcW w:w="1356" w:type="dxa"/>
            <w:vMerge w:val="restart"/>
          </w:tcPr>
          <w:p w14:paraId="536FD5A4" w14:textId="77777777" w:rsidR="009E39B0" w:rsidRPr="00097566" w:rsidRDefault="009E39B0" w:rsidP="008D3F2B">
            <w:pPr>
              <w:ind w:left="0" w:right="0"/>
              <w:rPr>
                <w:sz w:val="16"/>
                <w:szCs w:val="16"/>
              </w:rPr>
            </w:pPr>
            <w:r w:rsidRPr="00097566">
              <w:rPr>
                <w:sz w:val="16"/>
                <w:szCs w:val="16"/>
              </w:rPr>
              <w:t>Study</w:t>
            </w:r>
          </w:p>
        </w:tc>
        <w:tc>
          <w:tcPr>
            <w:tcW w:w="1332" w:type="dxa"/>
            <w:vMerge w:val="restart"/>
          </w:tcPr>
          <w:p w14:paraId="0463E9C5" w14:textId="3DC6018A" w:rsidR="009E39B0" w:rsidRPr="00097566" w:rsidRDefault="009E39B0" w:rsidP="008D3F2B">
            <w:pPr>
              <w:ind w:left="0" w:right="0"/>
              <w:rPr>
                <w:sz w:val="16"/>
                <w:szCs w:val="16"/>
              </w:rPr>
            </w:pPr>
            <w:r w:rsidRPr="00097566">
              <w:rPr>
                <w:sz w:val="16"/>
                <w:szCs w:val="16"/>
              </w:rPr>
              <w:t>Dose</w:t>
            </w:r>
            <w:r w:rsidR="00AD51CF">
              <w:rPr>
                <w:sz w:val="16"/>
                <w:szCs w:val="16"/>
              </w:rPr>
              <w:t xml:space="preserve"> </w:t>
            </w:r>
            <w:r w:rsidR="006D7D02">
              <w:rPr>
                <w:sz w:val="16"/>
                <w:szCs w:val="16"/>
              </w:rPr>
              <w:t>mg</w:t>
            </w:r>
            <w:r w:rsidRPr="00097566">
              <w:rPr>
                <w:sz w:val="16"/>
                <w:szCs w:val="16"/>
              </w:rPr>
              <w:t>/kg/day</w:t>
            </w:r>
          </w:p>
        </w:tc>
        <w:tc>
          <w:tcPr>
            <w:tcW w:w="3127" w:type="dxa"/>
            <w:gridSpan w:val="4"/>
          </w:tcPr>
          <w:p w14:paraId="080BE158" w14:textId="77777777" w:rsidR="009E39B0" w:rsidRPr="00097566" w:rsidRDefault="009E39B0" w:rsidP="008D3F2B">
            <w:pPr>
              <w:ind w:left="0" w:right="0"/>
              <w:rPr>
                <w:sz w:val="16"/>
                <w:szCs w:val="16"/>
              </w:rPr>
            </w:pPr>
            <w:r w:rsidRPr="00097566">
              <w:rPr>
                <w:sz w:val="16"/>
                <w:szCs w:val="16"/>
              </w:rPr>
              <w:t>AUC</w:t>
            </w:r>
            <w:r w:rsidRPr="00097566">
              <w:rPr>
                <w:sz w:val="16"/>
                <w:szCs w:val="16"/>
                <w:vertAlign w:val="subscript"/>
              </w:rPr>
              <w:t>0–24</w:t>
            </w:r>
            <w:r w:rsidRPr="00097566">
              <w:rPr>
                <w:w w:val="50"/>
                <w:sz w:val="16"/>
                <w:szCs w:val="16"/>
                <w:vertAlign w:val="subscript"/>
              </w:rPr>
              <w:t> </w:t>
            </w:r>
            <w:r w:rsidRPr="00097566">
              <w:rPr>
                <w:sz w:val="16"/>
                <w:szCs w:val="16"/>
                <w:vertAlign w:val="subscript"/>
              </w:rPr>
              <w:t>h</w:t>
            </w:r>
            <w:r w:rsidRPr="00097566">
              <w:rPr>
                <w:sz w:val="16"/>
                <w:szCs w:val="16"/>
              </w:rPr>
              <w:t xml:space="preserve"> (μg∙h/mL)</w:t>
            </w:r>
            <w:r w:rsidRPr="00097566">
              <w:rPr>
                <w:sz w:val="16"/>
                <w:szCs w:val="16"/>
                <w:vertAlign w:val="superscript"/>
              </w:rPr>
              <w:t>^</w:t>
            </w:r>
          </w:p>
        </w:tc>
        <w:tc>
          <w:tcPr>
            <w:tcW w:w="1396" w:type="dxa"/>
            <w:gridSpan w:val="2"/>
            <w:vMerge w:val="restart"/>
          </w:tcPr>
          <w:p w14:paraId="3F6335B3" w14:textId="5F8C8B65" w:rsidR="00DD7FF1" w:rsidRPr="00097566" w:rsidRDefault="009E39B0" w:rsidP="008D3F2B">
            <w:pPr>
              <w:ind w:left="0" w:right="0"/>
              <w:rPr>
                <w:sz w:val="16"/>
                <w:szCs w:val="16"/>
              </w:rPr>
            </w:pPr>
            <w:r w:rsidRPr="00097566">
              <w:rPr>
                <w:sz w:val="16"/>
                <w:szCs w:val="16"/>
              </w:rPr>
              <w:t>Exposure</w:t>
            </w:r>
            <w:r w:rsidR="00AD51CF">
              <w:rPr>
                <w:sz w:val="16"/>
                <w:szCs w:val="16"/>
              </w:rPr>
              <w:t xml:space="preserve"> </w:t>
            </w:r>
            <w:r w:rsidRPr="00097566">
              <w:rPr>
                <w:sz w:val="16"/>
                <w:szCs w:val="16"/>
              </w:rPr>
              <w:t>ratio</w:t>
            </w:r>
            <w:r w:rsidRPr="00097566">
              <w:rPr>
                <w:sz w:val="16"/>
                <w:szCs w:val="16"/>
                <w:vertAlign w:val="superscript"/>
              </w:rPr>
              <w:t>#</w:t>
            </w:r>
          </w:p>
        </w:tc>
      </w:tr>
      <w:tr w:rsidR="009E39B0" w:rsidRPr="00097566" w14:paraId="5DA11A9E" w14:textId="77777777" w:rsidTr="008D3F2B">
        <w:trPr>
          <w:cantSplit/>
          <w:trHeight w:val="106"/>
        </w:trPr>
        <w:tc>
          <w:tcPr>
            <w:tcW w:w="1473" w:type="dxa"/>
            <w:vMerge/>
          </w:tcPr>
          <w:p w14:paraId="6AE006E9" w14:textId="77777777" w:rsidR="009E39B0" w:rsidRPr="00097566" w:rsidRDefault="009E39B0" w:rsidP="008D3F2B">
            <w:pPr>
              <w:ind w:left="0" w:right="0"/>
              <w:rPr>
                <w:sz w:val="16"/>
                <w:szCs w:val="16"/>
              </w:rPr>
            </w:pPr>
          </w:p>
        </w:tc>
        <w:tc>
          <w:tcPr>
            <w:tcW w:w="1356" w:type="dxa"/>
            <w:vMerge/>
          </w:tcPr>
          <w:p w14:paraId="2F761913" w14:textId="77777777" w:rsidR="009E39B0" w:rsidRPr="00097566" w:rsidRDefault="009E39B0" w:rsidP="008D3F2B">
            <w:pPr>
              <w:ind w:left="0" w:right="0"/>
              <w:rPr>
                <w:sz w:val="16"/>
                <w:szCs w:val="16"/>
              </w:rPr>
            </w:pPr>
          </w:p>
        </w:tc>
        <w:tc>
          <w:tcPr>
            <w:tcW w:w="1332" w:type="dxa"/>
            <w:vMerge/>
          </w:tcPr>
          <w:p w14:paraId="60ACAE1D" w14:textId="77777777" w:rsidR="009E39B0" w:rsidRPr="00097566" w:rsidRDefault="009E39B0" w:rsidP="008D3F2B">
            <w:pPr>
              <w:ind w:left="0" w:right="0"/>
              <w:rPr>
                <w:sz w:val="16"/>
                <w:szCs w:val="16"/>
              </w:rPr>
            </w:pPr>
          </w:p>
        </w:tc>
        <w:tc>
          <w:tcPr>
            <w:tcW w:w="1576" w:type="dxa"/>
            <w:gridSpan w:val="2"/>
          </w:tcPr>
          <w:p w14:paraId="5BA081EC" w14:textId="77777777" w:rsidR="009E39B0" w:rsidRPr="00097566" w:rsidRDefault="009E39B0" w:rsidP="008D3F2B">
            <w:pPr>
              <w:ind w:left="0" w:right="0"/>
              <w:rPr>
                <w:sz w:val="16"/>
                <w:szCs w:val="16"/>
              </w:rPr>
            </w:pPr>
            <w:r w:rsidRPr="00097566">
              <w:rPr>
                <w:sz w:val="16"/>
                <w:szCs w:val="16"/>
              </w:rPr>
              <w:t>Total</w:t>
            </w:r>
          </w:p>
        </w:tc>
        <w:tc>
          <w:tcPr>
            <w:tcW w:w="1551" w:type="dxa"/>
            <w:gridSpan w:val="2"/>
          </w:tcPr>
          <w:p w14:paraId="37A53073" w14:textId="77777777" w:rsidR="009E39B0" w:rsidRPr="00097566" w:rsidRDefault="009E39B0" w:rsidP="008D3F2B">
            <w:pPr>
              <w:ind w:left="0" w:right="0"/>
              <w:rPr>
                <w:sz w:val="16"/>
                <w:szCs w:val="16"/>
              </w:rPr>
            </w:pPr>
            <w:r w:rsidRPr="00097566">
              <w:rPr>
                <w:sz w:val="16"/>
                <w:szCs w:val="16"/>
              </w:rPr>
              <w:t>Unbound</w:t>
            </w:r>
          </w:p>
        </w:tc>
        <w:tc>
          <w:tcPr>
            <w:tcW w:w="1396" w:type="dxa"/>
            <w:gridSpan w:val="2"/>
            <w:vMerge/>
          </w:tcPr>
          <w:p w14:paraId="57406CF7" w14:textId="77777777" w:rsidR="009E39B0" w:rsidRPr="00097566" w:rsidRDefault="009E39B0" w:rsidP="008D3F2B">
            <w:pPr>
              <w:ind w:left="0" w:right="0"/>
              <w:rPr>
                <w:sz w:val="16"/>
                <w:szCs w:val="16"/>
              </w:rPr>
            </w:pPr>
          </w:p>
        </w:tc>
      </w:tr>
      <w:tr w:rsidR="009E39B0" w:rsidRPr="00097566" w14:paraId="607B3BCE" w14:textId="77777777" w:rsidTr="008D3F2B">
        <w:trPr>
          <w:cantSplit/>
          <w:trHeight w:val="106"/>
        </w:trPr>
        <w:tc>
          <w:tcPr>
            <w:tcW w:w="1473" w:type="dxa"/>
            <w:vMerge/>
          </w:tcPr>
          <w:p w14:paraId="088705E7" w14:textId="77777777" w:rsidR="009E39B0" w:rsidRPr="00097566" w:rsidRDefault="009E39B0" w:rsidP="008D3F2B">
            <w:pPr>
              <w:ind w:left="0" w:right="0"/>
              <w:rPr>
                <w:sz w:val="16"/>
                <w:szCs w:val="16"/>
              </w:rPr>
            </w:pPr>
          </w:p>
        </w:tc>
        <w:tc>
          <w:tcPr>
            <w:tcW w:w="1356" w:type="dxa"/>
            <w:vMerge/>
          </w:tcPr>
          <w:p w14:paraId="3EFA34FA" w14:textId="77777777" w:rsidR="009E39B0" w:rsidRPr="00097566" w:rsidRDefault="009E39B0" w:rsidP="008D3F2B">
            <w:pPr>
              <w:ind w:left="0" w:right="0"/>
              <w:rPr>
                <w:sz w:val="16"/>
                <w:szCs w:val="16"/>
              </w:rPr>
            </w:pPr>
          </w:p>
        </w:tc>
        <w:tc>
          <w:tcPr>
            <w:tcW w:w="1332" w:type="dxa"/>
            <w:vMerge/>
          </w:tcPr>
          <w:p w14:paraId="1FCF2E4B" w14:textId="77777777" w:rsidR="009E39B0" w:rsidRPr="00097566" w:rsidRDefault="009E39B0" w:rsidP="008D3F2B">
            <w:pPr>
              <w:ind w:left="0" w:right="0"/>
              <w:rPr>
                <w:sz w:val="16"/>
                <w:szCs w:val="16"/>
              </w:rPr>
            </w:pPr>
          </w:p>
        </w:tc>
        <w:tc>
          <w:tcPr>
            <w:tcW w:w="788" w:type="dxa"/>
          </w:tcPr>
          <w:p w14:paraId="6A2FB40F" w14:textId="77777777" w:rsidR="009E39B0" w:rsidRPr="00097566" w:rsidRDefault="009E39B0" w:rsidP="008D3F2B">
            <w:pPr>
              <w:ind w:left="0" w:right="0"/>
              <w:rPr>
                <w:sz w:val="16"/>
                <w:szCs w:val="16"/>
              </w:rPr>
            </w:pPr>
            <w:r w:rsidRPr="00097566">
              <w:rPr>
                <w:sz w:val="16"/>
                <w:szCs w:val="16"/>
              </w:rPr>
              <w:t>M</w:t>
            </w:r>
          </w:p>
        </w:tc>
        <w:tc>
          <w:tcPr>
            <w:tcW w:w="789" w:type="dxa"/>
          </w:tcPr>
          <w:p w14:paraId="431B81DC" w14:textId="77777777" w:rsidR="009E39B0" w:rsidRPr="00097566" w:rsidRDefault="009E39B0" w:rsidP="008D3F2B">
            <w:pPr>
              <w:ind w:left="0" w:right="0"/>
              <w:rPr>
                <w:sz w:val="16"/>
                <w:szCs w:val="16"/>
              </w:rPr>
            </w:pPr>
            <w:r w:rsidRPr="00097566">
              <w:rPr>
                <w:sz w:val="16"/>
                <w:szCs w:val="16"/>
              </w:rPr>
              <w:t>F</w:t>
            </w:r>
          </w:p>
        </w:tc>
        <w:tc>
          <w:tcPr>
            <w:tcW w:w="775" w:type="dxa"/>
          </w:tcPr>
          <w:p w14:paraId="1151A9AB" w14:textId="77777777" w:rsidR="009E39B0" w:rsidRPr="00097566" w:rsidRDefault="009E39B0" w:rsidP="008D3F2B">
            <w:pPr>
              <w:ind w:left="0" w:right="0"/>
              <w:rPr>
                <w:sz w:val="16"/>
                <w:szCs w:val="16"/>
              </w:rPr>
            </w:pPr>
            <w:r w:rsidRPr="00097566">
              <w:rPr>
                <w:sz w:val="16"/>
                <w:szCs w:val="16"/>
              </w:rPr>
              <w:t>M</w:t>
            </w:r>
          </w:p>
        </w:tc>
        <w:tc>
          <w:tcPr>
            <w:tcW w:w="776" w:type="dxa"/>
          </w:tcPr>
          <w:p w14:paraId="04E6C94F" w14:textId="77777777" w:rsidR="009E39B0" w:rsidRPr="00097566" w:rsidRDefault="009E39B0" w:rsidP="008D3F2B">
            <w:pPr>
              <w:ind w:left="0" w:right="0"/>
              <w:rPr>
                <w:sz w:val="16"/>
                <w:szCs w:val="16"/>
              </w:rPr>
            </w:pPr>
            <w:r w:rsidRPr="00097566">
              <w:rPr>
                <w:sz w:val="16"/>
                <w:szCs w:val="16"/>
              </w:rPr>
              <w:t>F</w:t>
            </w:r>
          </w:p>
        </w:tc>
        <w:tc>
          <w:tcPr>
            <w:tcW w:w="697" w:type="dxa"/>
          </w:tcPr>
          <w:p w14:paraId="24C59A6B" w14:textId="77777777" w:rsidR="009E39B0" w:rsidRPr="00097566" w:rsidRDefault="009E39B0" w:rsidP="008D3F2B">
            <w:pPr>
              <w:ind w:left="0" w:right="0"/>
              <w:rPr>
                <w:sz w:val="16"/>
                <w:szCs w:val="16"/>
              </w:rPr>
            </w:pPr>
            <w:r w:rsidRPr="00097566">
              <w:rPr>
                <w:sz w:val="16"/>
                <w:szCs w:val="16"/>
              </w:rPr>
              <w:t>M</w:t>
            </w:r>
          </w:p>
        </w:tc>
        <w:tc>
          <w:tcPr>
            <w:tcW w:w="698" w:type="dxa"/>
          </w:tcPr>
          <w:p w14:paraId="4BC1AF9F" w14:textId="77777777" w:rsidR="009E39B0" w:rsidRPr="00097566" w:rsidRDefault="009E39B0" w:rsidP="008D3F2B">
            <w:pPr>
              <w:ind w:left="0" w:right="0"/>
              <w:rPr>
                <w:sz w:val="16"/>
                <w:szCs w:val="16"/>
              </w:rPr>
            </w:pPr>
            <w:r w:rsidRPr="00097566">
              <w:rPr>
                <w:sz w:val="16"/>
                <w:szCs w:val="16"/>
              </w:rPr>
              <w:t>F</w:t>
            </w:r>
          </w:p>
        </w:tc>
      </w:tr>
      <w:tr w:rsidR="009E39B0" w:rsidRPr="00097566" w14:paraId="0B19891B" w14:textId="77777777" w:rsidTr="008D3F2B">
        <w:trPr>
          <w:trHeight w:val="258"/>
        </w:trPr>
        <w:tc>
          <w:tcPr>
            <w:tcW w:w="1473" w:type="dxa"/>
            <w:vMerge w:val="restart"/>
          </w:tcPr>
          <w:p w14:paraId="72B22DE4" w14:textId="2DCC7E61" w:rsidR="009E39B0" w:rsidRPr="00097566" w:rsidRDefault="009E39B0" w:rsidP="008D3F2B">
            <w:pPr>
              <w:ind w:left="0" w:right="0"/>
              <w:rPr>
                <w:kern w:val="2"/>
                <w:sz w:val="16"/>
                <w:szCs w:val="16"/>
              </w:rPr>
            </w:pPr>
            <w:r w:rsidRPr="00097566">
              <w:rPr>
                <w:kern w:val="2"/>
                <w:sz w:val="16"/>
                <w:szCs w:val="16"/>
              </w:rPr>
              <w:t>Rat</w:t>
            </w:r>
            <w:r w:rsidR="00AD51CF">
              <w:rPr>
                <w:kern w:val="2"/>
                <w:sz w:val="16"/>
                <w:szCs w:val="16"/>
              </w:rPr>
              <w:t xml:space="preserve"> </w:t>
            </w:r>
            <w:r w:rsidRPr="00097566">
              <w:rPr>
                <w:kern w:val="2"/>
                <w:sz w:val="16"/>
                <w:szCs w:val="16"/>
              </w:rPr>
              <w:t>(SD)</w:t>
            </w:r>
          </w:p>
        </w:tc>
        <w:tc>
          <w:tcPr>
            <w:tcW w:w="1356" w:type="dxa"/>
            <w:vMerge w:val="restart"/>
          </w:tcPr>
          <w:p w14:paraId="26E7C1B5" w14:textId="19191D2B" w:rsidR="009E39B0" w:rsidRPr="00097566" w:rsidRDefault="009E39B0" w:rsidP="008D3F2B">
            <w:pPr>
              <w:ind w:left="0" w:right="0"/>
              <w:rPr>
                <w:kern w:val="2"/>
                <w:sz w:val="16"/>
                <w:szCs w:val="16"/>
              </w:rPr>
            </w:pPr>
            <w:r w:rsidRPr="00097566">
              <w:rPr>
                <w:kern w:val="2"/>
                <w:sz w:val="16"/>
                <w:szCs w:val="16"/>
              </w:rPr>
              <w:t>Fertility</w:t>
            </w:r>
            <w:r w:rsidR="00AD51CF">
              <w:rPr>
                <w:kern w:val="2"/>
                <w:sz w:val="16"/>
                <w:szCs w:val="16"/>
              </w:rPr>
              <w:t xml:space="preserve"> </w:t>
            </w:r>
            <w:r w:rsidRPr="00097566">
              <w:rPr>
                <w:kern w:val="2"/>
                <w:sz w:val="16"/>
                <w:szCs w:val="16"/>
              </w:rPr>
              <w:t>[TT107835]</w:t>
            </w:r>
          </w:p>
        </w:tc>
        <w:tc>
          <w:tcPr>
            <w:tcW w:w="1332" w:type="dxa"/>
          </w:tcPr>
          <w:p w14:paraId="23FF0AAE" w14:textId="77777777" w:rsidR="009E39B0" w:rsidRPr="00097566" w:rsidRDefault="009E39B0" w:rsidP="008D3F2B">
            <w:pPr>
              <w:ind w:left="0" w:right="0"/>
              <w:rPr>
                <w:kern w:val="2"/>
                <w:sz w:val="16"/>
                <w:szCs w:val="16"/>
              </w:rPr>
            </w:pPr>
            <w:r w:rsidRPr="00097566">
              <w:rPr>
                <w:kern w:val="2"/>
                <w:sz w:val="16"/>
                <w:szCs w:val="16"/>
              </w:rPr>
              <w:t>5</w:t>
            </w:r>
          </w:p>
        </w:tc>
        <w:tc>
          <w:tcPr>
            <w:tcW w:w="788" w:type="dxa"/>
          </w:tcPr>
          <w:p w14:paraId="0A498B75" w14:textId="77777777" w:rsidR="009E39B0" w:rsidRPr="00097566" w:rsidRDefault="009E39B0" w:rsidP="008D3F2B">
            <w:pPr>
              <w:ind w:left="0" w:right="0"/>
              <w:rPr>
                <w:kern w:val="2"/>
                <w:sz w:val="16"/>
                <w:szCs w:val="16"/>
              </w:rPr>
            </w:pPr>
            <w:r w:rsidRPr="00097566">
              <w:rPr>
                <w:kern w:val="2"/>
                <w:sz w:val="16"/>
                <w:szCs w:val="16"/>
              </w:rPr>
              <w:t>8.40</w:t>
            </w:r>
          </w:p>
        </w:tc>
        <w:tc>
          <w:tcPr>
            <w:tcW w:w="789" w:type="dxa"/>
          </w:tcPr>
          <w:p w14:paraId="4277BD9A" w14:textId="77777777" w:rsidR="009E39B0" w:rsidRPr="00097566" w:rsidRDefault="009E39B0" w:rsidP="008D3F2B">
            <w:pPr>
              <w:ind w:left="0" w:right="0"/>
              <w:rPr>
                <w:kern w:val="2"/>
                <w:sz w:val="16"/>
                <w:szCs w:val="16"/>
              </w:rPr>
            </w:pPr>
            <w:r w:rsidRPr="00097566">
              <w:rPr>
                <w:kern w:val="2"/>
                <w:sz w:val="16"/>
                <w:szCs w:val="16"/>
              </w:rPr>
              <w:t>14.9</w:t>
            </w:r>
          </w:p>
        </w:tc>
        <w:tc>
          <w:tcPr>
            <w:tcW w:w="775" w:type="dxa"/>
          </w:tcPr>
          <w:p w14:paraId="06B19C55" w14:textId="77777777" w:rsidR="009E39B0" w:rsidRPr="00097566" w:rsidRDefault="009E39B0" w:rsidP="008D3F2B">
            <w:pPr>
              <w:ind w:left="0" w:right="0"/>
              <w:rPr>
                <w:kern w:val="2"/>
                <w:sz w:val="16"/>
                <w:szCs w:val="16"/>
              </w:rPr>
            </w:pPr>
            <w:r w:rsidRPr="00097566">
              <w:rPr>
                <w:kern w:val="2"/>
                <w:sz w:val="16"/>
                <w:szCs w:val="16"/>
              </w:rPr>
              <w:t>0.336</w:t>
            </w:r>
          </w:p>
        </w:tc>
        <w:tc>
          <w:tcPr>
            <w:tcW w:w="776" w:type="dxa"/>
          </w:tcPr>
          <w:p w14:paraId="66C7251F" w14:textId="77777777" w:rsidR="009E39B0" w:rsidRPr="00097566" w:rsidRDefault="009E39B0" w:rsidP="008D3F2B">
            <w:pPr>
              <w:ind w:left="0" w:right="0"/>
              <w:rPr>
                <w:kern w:val="2"/>
                <w:sz w:val="16"/>
                <w:szCs w:val="16"/>
              </w:rPr>
            </w:pPr>
            <w:r w:rsidRPr="00097566">
              <w:rPr>
                <w:kern w:val="2"/>
                <w:sz w:val="16"/>
                <w:szCs w:val="16"/>
              </w:rPr>
              <w:t>0.596</w:t>
            </w:r>
          </w:p>
        </w:tc>
        <w:tc>
          <w:tcPr>
            <w:tcW w:w="697" w:type="dxa"/>
          </w:tcPr>
          <w:p w14:paraId="00E7F19A" w14:textId="77777777" w:rsidR="009E39B0" w:rsidRPr="00097566" w:rsidRDefault="009E39B0" w:rsidP="008D3F2B">
            <w:pPr>
              <w:ind w:left="0" w:right="0"/>
              <w:rPr>
                <w:kern w:val="2"/>
                <w:sz w:val="16"/>
                <w:szCs w:val="16"/>
              </w:rPr>
            </w:pPr>
            <w:r w:rsidRPr="00097566">
              <w:rPr>
                <w:kern w:val="2"/>
                <w:sz w:val="16"/>
                <w:szCs w:val="16"/>
              </w:rPr>
              <w:t>4.4</w:t>
            </w:r>
          </w:p>
        </w:tc>
        <w:tc>
          <w:tcPr>
            <w:tcW w:w="698" w:type="dxa"/>
          </w:tcPr>
          <w:p w14:paraId="5D2C6487" w14:textId="77777777" w:rsidR="009E39B0" w:rsidRPr="00097566" w:rsidRDefault="009E39B0" w:rsidP="008D3F2B">
            <w:pPr>
              <w:ind w:left="0" w:right="0"/>
              <w:rPr>
                <w:kern w:val="2"/>
                <w:sz w:val="16"/>
                <w:szCs w:val="16"/>
              </w:rPr>
            </w:pPr>
            <w:r w:rsidRPr="00097566">
              <w:rPr>
                <w:kern w:val="2"/>
                <w:sz w:val="16"/>
                <w:szCs w:val="16"/>
              </w:rPr>
              <w:t>8</w:t>
            </w:r>
          </w:p>
        </w:tc>
      </w:tr>
      <w:tr w:rsidR="009E39B0" w:rsidRPr="00097566" w14:paraId="11B0F4CE" w14:textId="77777777" w:rsidTr="008D3F2B">
        <w:trPr>
          <w:trHeight w:val="258"/>
        </w:trPr>
        <w:tc>
          <w:tcPr>
            <w:tcW w:w="1473" w:type="dxa"/>
            <w:vMerge/>
          </w:tcPr>
          <w:p w14:paraId="6DAD8BA0" w14:textId="77777777" w:rsidR="009E39B0" w:rsidRPr="00097566" w:rsidRDefault="009E39B0" w:rsidP="008D3F2B">
            <w:pPr>
              <w:ind w:left="0" w:right="0"/>
              <w:rPr>
                <w:kern w:val="2"/>
                <w:sz w:val="16"/>
                <w:szCs w:val="16"/>
              </w:rPr>
            </w:pPr>
          </w:p>
        </w:tc>
        <w:tc>
          <w:tcPr>
            <w:tcW w:w="1356" w:type="dxa"/>
            <w:vMerge/>
          </w:tcPr>
          <w:p w14:paraId="35D26985" w14:textId="77777777" w:rsidR="009E39B0" w:rsidRPr="00097566" w:rsidRDefault="009E39B0" w:rsidP="008D3F2B">
            <w:pPr>
              <w:ind w:left="0" w:right="0"/>
              <w:rPr>
                <w:kern w:val="2"/>
                <w:sz w:val="16"/>
                <w:szCs w:val="16"/>
              </w:rPr>
            </w:pPr>
          </w:p>
        </w:tc>
        <w:tc>
          <w:tcPr>
            <w:tcW w:w="1332" w:type="dxa"/>
          </w:tcPr>
          <w:p w14:paraId="6426D879" w14:textId="77777777" w:rsidR="009E39B0" w:rsidRPr="00097566" w:rsidRDefault="009E39B0" w:rsidP="008D3F2B">
            <w:pPr>
              <w:ind w:left="0" w:right="0"/>
              <w:rPr>
                <w:kern w:val="2"/>
                <w:sz w:val="16"/>
                <w:szCs w:val="16"/>
              </w:rPr>
            </w:pPr>
            <w:r w:rsidRPr="00097566">
              <w:rPr>
                <w:kern w:val="2"/>
                <w:sz w:val="16"/>
                <w:szCs w:val="16"/>
              </w:rPr>
              <w:t>25</w:t>
            </w:r>
          </w:p>
        </w:tc>
        <w:tc>
          <w:tcPr>
            <w:tcW w:w="788" w:type="dxa"/>
          </w:tcPr>
          <w:p w14:paraId="414B8CE6" w14:textId="77777777" w:rsidR="009E39B0" w:rsidRPr="00097566" w:rsidRDefault="009E39B0" w:rsidP="008D3F2B">
            <w:pPr>
              <w:ind w:left="0" w:right="0"/>
              <w:rPr>
                <w:kern w:val="2"/>
                <w:sz w:val="16"/>
                <w:szCs w:val="16"/>
              </w:rPr>
            </w:pPr>
            <w:r w:rsidRPr="00097566">
              <w:rPr>
                <w:kern w:val="2"/>
                <w:sz w:val="16"/>
                <w:szCs w:val="16"/>
              </w:rPr>
              <w:t>69.3</w:t>
            </w:r>
          </w:p>
        </w:tc>
        <w:tc>
          <w:tcPr>
            <w:tcW w:w="789" w:type="dxa"/>
          </w:tcPr>
          <w:p w14:paraId="0A691F76" w14:textId="77777777" w:rsidR="009E39B0" w:rsidRPr="00097566" w:rsidRDefault="009E39B0" w:rsidP="008D3F2B">
            <w:pPr>
              <w:ind w:left="0" w:right="0"/>
              <w:rPr>
                <w:kern w:val="2"/>
                <w:sz w:val="16"/>
                <w:szCs w:val="16"/>
              </w:rPr>
            </w:pPr>
            <w:r w:rsidRPr="00097566">
              <w:rPr>
                <w:kern w:val="2"/>
                <w:sz w:val="16"/>
                <w:szCs w:val="16"/>
              </w:rPr>
              <w:t>93.0</w:t>
            </w:r>
          </w:p>
        </w:tc>
        <w:tc>
          <w:tcPr>
            <w:tcW w:w="775" w:type="dxa"/>
          </w:tcPr>
          <w:p w14:paraId="7DE8A56A" w14:textId="77777777" w:rsidR="009E39B0" w:rsidRPr="00097566" w:rsidRDefault="009E39B0" w:rsidP="008D3F2B">
            <w:pPr>
              <w:ind w:left="0" w:right="0"/>
              <w:rPr>
                <w:kern w:val="2"/>
                <w:sz w:val="16"/>
                <w:szCs w:val="16"/>
              </w:rPr>
            </w:pPr>
            <w:r w:rsidRPr="00097566">
              <w:rPr>
                <w:kern w:val="2"/>
                <w:sz w:val="16"/>
                <w:szCs w:val="16"/>
              </w:rPr>
              <w:t>2.77</w:t>
            </w:r>
          </w:p>
        </w:tc>
        <w:tc>
          <w:tcPr>
            <w:tcW w:w="776" w:type="dxa"/>
          </w:tcPr>
          <w:p w14:paraId="611ED282" w14:textId="77777777" w:rsidR="009E39B0" w:rsidRPr="00097566" w:rsidRDefault="009E39B0" w:rsidP="008D3F2B">
            <w:pPr>
              <w:ind w:left="0" w:right="0"/>
              <w:rPr>
                <w:kern w:val="2"/>
                <w:sz w:val="16"/>
                <w:szCs w:val="16"/>
              </w:rPr>
            </w:pPr>
            <w:r w:rsidRPr="00097566">
              <w:rPr>
                <w:kern w:val="2"/>
                <w:sz w:val="16"/>
                <w:szCs w:val="16"/>
              </w:rPr>
              <w:t>3.72</w:t>
            </w:r>
          </w:p>
        </w:tc>
        <w:tc>
          <w:tcPr>
            <w:tcW w:w="697" w:type="dxa"/>
          </w:tcPr>
          <w:p w14:paraId="767EC0EE" w14:textId="77777777" w:rsidR="009E39B0" w:rsidRPr="00097566" w:rsidRDefault="009E39B0" w:rsidP="008D3F2B">
            <w:pPr>
              <w:ind w:left="0" w:right="0"/>
              <w:rPr>
                <w:kern w:val="2"/>
                <w:sz w:val="16"/>
                <w:szCs w:val="16"/>
              </w:rPr>
            </w:pPr>
            <w:r w:rsidRPr="00097566">
              <w:rPr>
                <w:kern w:val="2"/>
                <w:sz w:val="16"/>
                <w:szCs w:val="16"/>
              </w:rPr>
              <w:t>36</w:t>
            </w:r>
          </w:p>
        </w:tc>
        <w:tc>
          <w:tcPr>
            <w:tcW w:w="698" w:type="dxa"/>
          </w:tcPr>
          <w:p w14:paraId="77BC6664" w14:textId="77777777" w:rsidR="009E39B0" w:rsidRPr="00097566" w:rsidRDefault="009E39B0" w:rsidP="008D3F2B">
            <w:pPr>
              <w:ind w:left="0" w:right="0"/>
              <w:rPr>
                <w:kern w:val="2"/>
                <w:sz w:val="16"/>
                <w:szCs w:val="16"/>
              </w:rPr>
            </w:pPr>
            <w:r w:rsidRPr="00097566">
              <w:rPr>
                <w:kern w:val="2"/>
                <w:sz w:val="16"/>
                <w:szCs w:val="16"/>
              </w:rPr>
              <w:t>49</w:t>
            </w:r>
          </w:p>
        </w:tc>
      </w:tr>
      <w:tr w:rsidR="009E39B0" w:rsidRPr="00097566" w14:paraId="4DF9F713" w14:textId="77777777" w:rsidTr="008D3F2B">
        <w:trPr>
          <w:trHeight w:val="258"/>
        </w:trPr>
        <w:tc>
          <w:tcPr>
            <w:tcW w:w="1473" w:type="dxa"/>
            <w:vMerge/>
          </w:tcPr>
          <w:p w14:paraId="4CAC3AA8" w14:textId="77777777" w:rsidR="009E39B0" w:rsidRPr="00097566" w:rsidRDefault="009E39B0" w:rsidP="008D3F2B">
            <w:pPr>
              <w:ind w:left="0" w:right="0"/>
              <w:rPr>
                <w:kern w:val="2"/>
                <w:sz w:val="16"/>
                <w:szCs w:val="16"/>
              </w:rPr>
            </w:pPr>
          </w:p>
        </w:tc>
        <w:tc>
          <w:tcPr>
            <w:tcW w:w="1356" w:type="dxa"/>
            <w:vMerge/>
          </w:tcPr>
          <w:p w14:paraId="0653253D" w14:textId="77777777" w:rsidR="009E39B0" w:rsidRPr="00097566" w:rsidRDefault="009E39B0" w:rsidP="008D3F2B">
            <w:pPr>
              <w:ind w:left="0" w:right="0"/>
              <w:rPr>
                <w:kern w:val="2"/>
                <w:sz w:val="16"/>
                <w:szCs w:val="16"/>
              </w:rPr>
            </w:pPr>
          </w:p>
        </w:tc>
        <w:tc>
          <w:tcPr>
            <w:tcW w:w="1332" w:type="dxa"/>
          </w:tcPr>
          <w:p w14:paraId="3EC83F58" w14:textId="77777777" w:rsidR="009E39B0" w:rsidRPr="00097566" w:rsidRDefault="009E39B0" w:rsidP="008D3F2B">
            <w:pPr>
              <w:ind w:left="0" w:right="0"/>
              <w:rPr>
                <w:kern w:val="2"/>
                <w:sz w:val="16"/>
                <w:szCs w:val="16"/>
              </w:rPr>
            </w:pPr>
            <w:r w:rsidRPr="00097566">
              <w:rPr>
                <w:kern w:val="2"/>
                <w:sz w:val="16"/>
                <w:szCs w:val="16"/>
              </w:rPr>
              <w:t>250</w:t>
            </w:r>
          </w:p>
        </w:tc>
        <w:tc>
          <w:tcPr>
            <w:tcW w:w="788" w:type="dxa"/>
          </w:tcPr>
          <w:p w14:paraId="2332F6ED" w14:textId="77777777" w:rsidR="009E39B0" w:rsidRPr="00097566" w:rsidRDefault="009E39B0" w:rsidP="008D3F2B">
            <w:pPr>
              <w:ind w:left="0" w:right="0"/>
              <w:rPr>
                <w:kern w:val="2"/>
                <w:sz w:val="16"/>
                <w:szCs w:val="16"/>
              </w:rPr>
            </w:pPr>
            <w:r w:rsidRPr="00097566">
              <w:rPr>
                <w:kern w:val="2"/>
                <w:sz w:val="16"/>
                <w:szCs w:val="16"/>
              </w:rPr>
              <w:t>541</w:t>
            </w:r>
          </w:p>
        </w:tc>
        <w:tc>
          <w:tcPr>
            <w:tcW w:w="789" w:type="dxa"/>
          </w:tcPr>
          <w:p w14:paraId="7537A169" w14:textId="77777777" w:rsidR="009E39B0" w:rsidRPr="00097566" w:rsidRDefault="009E39B0" w:rsidP="008D3F2B">
            <w:pPr>
              <w:ind w:left="0" w:right="0"/>
              <w:rPr>
                <w:kern w:val="2"/>
                <w:sz w:val="16"/>
                <w:szCs w:val="16"/>
              </w:rPr>
            </w:pPr>
            <w:r w:rsidRPr="00097566">
              <w:rPr>
                <w:kern w:val="2"/>
                <w:sz w:val="16"/>
                <w:szCs w:val="16"/>
              </w:rPr>
              <w:t>718</w:t>
            </w:r>
          </w:p>
        </w:tc>
        <w:tc>
          <w:tcPr>
            <w:tcW w:w="775" w:type="dxa"/>
          </w:tcPr>
          <w:p w14:paraId="723825A3" w14:textId="77777777" w:rsidR="009E39B0" w:rsidRPr="00097566" w:rsidRDefault="009E39B0" w:rsidP="008D3F2B">
            <w:pPr>
              <w:ind w:left="0" w:right="0"/>
              <w:rPr>
                <w:kern w:val="2"/>
                <w:sz w:val="16"/>
                <w:szCs w:val="16"/>
              </w:rPr>
            </w:pPr>
            <w:r w:rsidRPr="00097566">
              <w:rPr>
                <w:kern w:val="2"/>
                <w:sz w:val="16"/>
                <w:szCs w:val="16"/>
              </w:rPr>
              <w:t>21.6</w:t>
            </w:r>
          </w:p>
        </w:tc>
        <w:tc>
          <w:tcPr>
            <w:tcW w:w="776" w:type="dxa"/>
          </w:tcPr>
          <w:p w14:paraId="6F08DF04" w14:textId="77777777" w:rsidR="009E39B0" w:rsidRPr="00097566" w:rsidRDefault="009E39B0" w:rsidP="008D3F2B">
            <w:pPr>
              <w:ind w:left="0" w:right="0"/>
              <w:rPr>
                <w:kern w:val="2"/>
                <w:sz w:val="16"/>
                <w:szCs w:val="16"/>
              </w:rPr>
            </w:pPr>
            <w:r w:rsidRPr="00097566">
              <w:rPr>
                <w:kern w:val="2"/>
                <w:sz w:val="16"/>
                <w:szCs w:val="16"/>
              </w:rPr>
              <w:t>28.7</w:t>
            </w:r>
          </w:p>
        </w:tc>
        <w:tc>
          <w:tcPr>
            <w:tcW w:w="697" w:type="dxa"/>
          </w:tcPr>
          <w:p w14:paraId="42607F95" w14:textId="77777777" w:rsidR="009E39B0" w:rsidRPr="00097566" w:rsidRDefault="009E39B0" w:rsidP="008D3F2B">
            <w:pPr>
              <w:ind w:left="0" w:right="0"/>
              <w:rPr>
                <w:kern w:val="2"/>
                <w:sz w:val="16"/>
                <w:szCs w:val="16"/>
              </w:rPr>
            </w:pPr>
            <w:r w:rsidRPr="00097566">
              <w:rPr>
                <w:kern w:val="2"/>
                <w:sz w:val="16"/>
                <w:szCs w:val="16"/>
              </w:rPr>
              <w:t>283</w:t>
            </w:r>
          </w:p>
        </w:tc>
        <w:tc>
          <w:tcPr>
            <w:tcW w:w="698" w:type="dxa"/>
          </w:tcPr>
          <w:p w14:paraId="0B0B5CF6" w14:textId="77777777" w:rsidR="009E39B0" w:rsidRPr="00097566" w:rsidRDefault="009E39B0" w:rsidP="008D3F2B">
            <w:pPr>
              <w:ind w:left="0" w:right="0"/>
              <w:rPr>
                <w:kern w:val="2"/>
                <w:sz w:val="16"/>
                <w:szCs w:val="16"/>
              </w:rPr>
            </w:pPr>
            <w:r w:rsidRPr="00097566">
              <w:rPr>
                <w:kern w:val="2"/>
                <w:sz w:val="16"/>
                <w:szCs w:val="16"/>
              </w:rPr>
              <w:t>376</w:t>
            </w:r>
          </w:p>
        </w:tc>
      </w:tr>
      <w:tr w:rsidR="009E39B0" w:rsidRPr="00097566" w14:paraId="0EBAA9D2" w14:textId="77777777" w:rsidTr="008D3F2B">
        <w:trPr>
          <w:trHeight w:val="411"/>
        </w:trPr>
        <w:tc>
          <w:tcPr>
            <w:tcW w:w="1473" w:type="dxa"/>
            <w:vMerge/>
          </w:tcPr>
          <w:p w14:paraId="0988661A" w14:textId="77777777" w:rsidR="009E39B0" w:rsidRPr="00097566" w:rsidRDefault="009E39B0" w:rsidP="008D3F2B">
            <w:pPr>
              <w:ind w:left="0" w:right="0"/>
              <w:rPr>
                <w:kern w:val="2"/>
                <w:sz w:val="16"/>
                <w:szCs w:val="16"/>
              </w:rPr>
            </w:pPr>
          </w:p>
        </w:tc>
        <w:tc>
          <w:tcPr>
            <w:tcW w:w="1356" w:type="dxa"/>
            <w:vMerge w:val="restart"/>
          </w:tcPr>
          <w:p w14:paraId="31ABCC35" w14:textId="7380AA7F" w:rsidR="009E39B0" w:rsidRPr="00097566" w:rsidRDefault="009E39B0" w:rsidP="008D3F2B">
            <w:pPr>
              <w:ind w:left="0" w:right="0"/>
              <w:rPr>
                <w:kern w:val="2"/>
                <w:sz w:val="16"/>
                <w:szCs w:val="16"/>
              </w:rPr>
            </w:pPr>
            <w:r w:rsidRPr="00097566">
              <w:rPr>
                <w:kern w:val="2"/>
                <w:sz w:val="16"/>
                <w:szCs w:val="16"/>
              </w:rPr>
              <w:t>Embryofetal development</w:t>
            </w:r>
            <w:r w:rsidR="00AD51CF">
              <w:rPr>
                <w:kern w:val="2"/>
                <w:sz w:val="16"/>
                <w:szCs w:val="16"/>
              </w:rPr>
              <w:t xml:space="preserve"> </w:t>
            </w:r>
            <w:r w:rsidRPr="00097566">
              <w:rPr>
                <w:kern w:val="2"/>
                <w:sz w:val="16"/>
                <w:szCs w:val="16"/>
              </w:rPr>
              <w:t>[TT107833]</w:t>
            </w:r>
          </w:p>
          <w:p w14:paraId="5DA66D72" w14:textId="3AD8D8C0" w:rsidR="009E39B0" w:rsidRPr="00097566" w:rsidRDefault="009E39B0" w:rsidP="008D3F2B">
            <w:pPr>
              <w:ind w:left="0" w:right="0"/>
              <w:rPr>
                <w:kern w:val="2"/>
                <w:sz w:val="16"/>
                <w:szCs w:val="16"/>
              </w:rPr>
            </w:pPr>
            <w:r w:rsidRPr="00097566">
              <w:rPr>
                <w:kern w:val="2"/>
                <w:sz w:val="16"/>
                <w:szCs w:val="16"/>
              </w:rPr>
              <w:t>Pre/post</w:t>
            </w:r>
            <w:r w:rsidR="00DD7FF1">
              <w:rPr>
                <w:kern w:val="2"/>
                <w:sz w:val="16"/>
                <w:szCs w:val="16"/>
              </w:rPr>
              <w:t>-</w:t>
            </w:r>
            <w:r w:rsidRPr="00097566">
              <w:rPr>
                <w:kern w:val="2"/>
                <w:sz w:val="16"/>
                <w:szCs w:val="16"/>
              </w:rPr>
              <w:t>natal development</w:t>
            </w:r>
            <w:r w:rsidR="00AD51CF">
              <w:rPr>
                <w:kern w:val="2"/>
                <w:sz w:val="16"/>
                <w:szCs w:val="16"/>
              </w:rPr>
              <w:t xml:space="preserve"> </w:t>
            </w:r>
            <w:r w:rsidRPr="00097566">
              <w:rPr>
                <w:kern w:val="2"/>
                <w:sz w:val="16"/>
                <w:szCs w:val="16"/>
              </w:rPr>
              <w:t>[TT157803]</w:t>
            </w:r>
          </w:p>
        </w:tc>
        <w:tc>
          <w:tcPr>
            <w:tcW w:w="1332" w:type="dxa"/>
          </w:tcPr>
          <w:p w14:paraId="54C1900B" w14:textId="77777777" w:rsidR="009E39B0" w:rsidRPr="00097566" w:rsidRDefault="009E39B0" w:rsidP="008D3F2B">
            <w:pPr>
              <w:ind w:left="0" w:right="0"/>
              <w:rPr>
                <w:kern w:val="2"/>
                <w:sz w:val="16"/>
                <w:szCs w:val="16"/>
              </w:rPr>
            </w:pPr>
            <w:r w:rsidRPr="00097566">
              <w:rPr>
                <w:kern w:val="2"/>
                <w:sz w:val="16"/>
                <w:szCs w:val="16"/>
              </w:rPr>
              <w:t>50</w:t>
            </w:r>
          </w:p>
        </w:tc>
        <w:tc>
          <w:tcPr>
            <w:tcW w:w="788" w:type="dxa"/>
          </w:tcPr>
          <w:p w14:paraId="20BFE9D6" w14:textId="77777777" w:rsidR="009E39B0" w:rsidRPr="00097566" w:rsidRDefault="009E39B0" w:rsidP="008D3F2B">
            <w:pPr>
              <w:ind w:left="0" w:right="0"/>
              <w:rPr>
                <w:kern w:val="2"/>
                <w:sz w:val="16"/>
                <w:szCs w:val="16"/>
              </w:rPr>
            </w:pPr>
            <w:r w:rsidRPr="00097566">
              <w:rPr>
                <w:kern w:val="2"/>
                <w:sz w:val="16"/>
                <w:szCs w:val="16"/>
              </w:rPr>
              <w:t>–</w:t>
            </w:r>
          </w:p>
        </w:tc>
        <w:tc>
          <w:tcPr>
            <w:tcW w:w="789" w:type="dxa"/>
          </w:tcPr>
          <w:p w14:paraId="7D7A8989" w14:textId="77777777" w:rsidR="009E39B0" w:rsidRPr="00097566" w:rsidRDefault="009E39B0" w:rsidP="008D3F2B">
            <w:pPr>
              <w:ind w:left="0" w:right="0"/>
              <w:rPr>
                <w:kern w:val="2"/>
                <w:sz w:val="16"/>
                <w:szCs w:val="16"/>
              </w:rPr>
            </w:pPr>
            <w:r w:rsidRPr="00097566">
              <w:rPr>
                <w:kern w:val="2"/>
                <w:sz w:val="16"/>
                <w:szCs w:val="16"/>
              </w:rPr>
              <w:t>199</w:t>
            </w:r>
          </w:p>
        </w:tc>
        <w:tc>
          <w:tcPr>
            <w:tcW w:w="775" w:type="dxa"/>
          </w:tcPr>
          <w:p w14:paraId="60FB41F5" w14:textId="77777777" w:rsidR="009E39B0" w:rsidRPr="00097566" w:rsidRDefault="009E39B0" w:rsidP="008D3F2B">
            <w:pPr>
              <w:ind w:left="0" w:right="0"/>
              <w:rPr>
                <w:kern w:val="2"/>
                <w:sz w:val="16"/>
                <w:szCs w:val="16"/>
              </w:rPr>
            </w:pPr>
            <w:r w:rsidRPr="00097566">
              <w:rPr>
                <w:kern w:val="2"/>
                <w:sz w:val="16"/>
                <w:szCs w:val="16"/>
              </w:rPr>
              <w:t>–</w:t>
            </w:r>
          </w:p>
        </w:tc>
        <w:tc>
          <w:tcPr>
            <w:tcW w:w="776" w:type="dxa"/>
          </w:tcPr>
          <w:p w14:paraId="221E3124" w14:textId="77777777" w:rsidR="009E39B0" w:rsidRPr="00097566" w:rsidRDefault="009E39B0" w:rsidP="008D3F2B">
            <w:pPr>
              <w:ind w:left="0" w:right="0"/>
              <w:rPr>
                <w:kern w:val="2"/>
                <w:sz w:val="16"/>
                <w:szCs w:val="16"/>
              </w:rPr>
            </w:pPr>
            <w:r w:rsidRPr="00097566">
              <w:rPr>
                <w:kern w:val="2"/>
                <w:sz w:val="16"/>
                <w:szCs w:val="16"/>
              </w:rPr>
              <w:t>7.96</w:t>
            </w:r>
          </w:p>
        </w:tc>
        <w:tc>
          <w:tcPr>
            <w:tcW w:w="697" w:type="dxa"/>
          </w:tcPr>
          <w:p w14:paraId="7B500372" w14:textId="77777777" w:rsidR="009E39B0" w:rsidRPr="00097566" w:rsidRDefault="009E39B0" w:rsidP="008D3F2B">
            <w:pPr>
              <w:ind w:left="0" w:right="0"/>
              <w:rPr>
                <w:kern w:val="2"/>
                <w:sz w:val="16"/>
                <w:szCs w:val="16"/>
              </w:rPr>
            </w:pPr>
            <w:r w:rsidRPr="00097566">
              <w:rPr>
                <w:kern w:val="2"/>
                <w:sz w:val="16"/>
                <w:szCs w:val="16"/>
              </w:rPr>
              <w:t>–</w:t>
            </w:r>
          </w:p>
        </w:tc>
        <w:tc>
          <w:tcPr>
            <w:tcW w:w="698" w:type="dxa"/>
          </w:tcPr>
          <w:p w14:paraId="47A136A8" w14:textId="77777777" w:rsidR="009E39B0" w:rsidRPr="00097566" w:rsidRDefault="009E39B0" w:rsidP="008D3F2B">
            <w:pPr>
              <w:ind w:left="0" w:right="0"/>
              <w:rPr>
                <w:kern w:val="2"/>
                <w:sz w:val="16"/>
                <w:szCs w:val="16"/>
              </w:rPr>
            </w:pPr>
            <w:r w:rsidRPr="00097566">
              <w:rPr>
                <w:kern w:val="2"/>
                <w:sz w:val="16"/>
                <w:szCs w:val="16"/>
              </w:rPr>
              <w:t>104</w:t>
            </w:r>
          </w:p>
        </w:tc>
      </w:tr>
      <w:tr w:rsidR="009E39B0" w:rsidRPr="00097566" w14:paraId="7A5589B4" w14:textId="77777777" w:rsidTr="008D3F2B">
        <w:trPr>
          <w:trHeight w:val="410"/>
        </w:trPr>
        <w:tc>
          <w:tcPr>
            <w:tcW w:w="1473" w:type="dxa"/>
            <w:vMerge/>
          </w:tcPr>
          <w:p w14:paraId="2A118826" w14:textId="77777777" w:rsidR="009E39B0" w:rsidRPr="00097566" w:rsidRDefault="009E39B0" w:rsidP="008D3F2B">
            <w:pPr>
              <w:ind w:left="0" w:right="0"/>
              <w:rPr>
                <w:kern w:val="2"/>
                <w:sz w:val="16"/>
                <w:szCs w:val="16"/>
              </w:rPr>
            </w:pPr>
          </w:p>
        </w:tc>
        <w:tc>
          <w:tcPr>
            <w:tcW w:w="1356" w:type="dxa"/>
            <w:vMerge/>
          </w:tcPr>
          <w:p w14:paraId="7DA0EFBE" w14:textId="77777777" w:rsidR="009E39B0" w:rsidRPr="00097566" w:rsidRDefault="009E39B0" w:rsidP="008D3F2B">
            <w:pPr>
              <w:ind w:left="0" w:right="0"/>
              <w:rPr>
                <w:kern w:val="2"/>
                <w:sz w:val="16"/>
                <w:szCs w:val="16"/>
              </w:rPr>
            </w:pPr>
          </w:p>
        </w:tc>
        <w:tc>
          <w:tcPr>
            <w:tcW w:w="1332" w:type="dxa"/>
          </w:tcPr>
          <w:p w14:paraId="221A5957" w14:textId="77777777" w:rsidR="009E39B0" w:rsidRPr="00097566" w:rsidRDefault="009E39B0" w:rsidP="008D3F2B">
            <w:pPr>
              <w:ind w:left="0" w:right="0"/>
              <w:rPr>
                <w:kern w:val="2"/>
                <w:sz w:val="16"/>
                <w:szCs w:val="16"/>
              </w:rPr>
            </w:pPr>
            <w:r w:rsidRPr="00097566">
              <w:rPr>
                <w:kern w:val="2"/>
                <w:sz w:val="16"/>
                <w:szCs w:val="16"/>
              </w:rPr>
              <w:t>100</w:t>
            </w:r>
          </w:p>
        </w:tc>
        <w:tc>
          <w:tcPr>
            <w:tcW w:w="788" w:type="dxa"/>
          </w:tcPr>
          <w:p w14:paraId="67E2281C" w14:textId="77777777" w:rsidR="009E39B0" w:rsidRPr="00097566" w:rsidRDefault="009E39B0" w:rsidP="008D3F2B">
            <w:pPr>
              <w:ind w:left="0" w:right="0"/>
              <w:rPr>
                <w:kern w:val="2"/>
                <w:sz w:val="16"/>
                <w:szCs w:val="16"/>
              </w:rPr>
            </w:pPr>
            <w:r w:rsidRPr="00097566">
              <w:rPr>
                <w:kern w:val="2"/>
                <w:sz w:val="16"/>
                <w:szCs w:val="16"/>
              </w:rPr>
              <w:t>–</w:t>
            </w:r>
          </w:p>
        </w:tc>
        <w:tc>
          <w:tcPr>
            <w:tcW w:w="789" w:type="dxa"/>
          </w:tcPr>
          <w:p w14:paraId="6A299B47" w14:textId="77777777" w:rsidR="009E39B0" w:rsidRPr="00097566" w:rsidRDefault="009E39B0" w:rsidP="008D3F2B">
            <w:pPr>
              <w:ind w:left="0" w:right="0"/>
              <w:rPr>
                <w:kern w:val="2"/>
                <w:sz w:val="16"/>
                <w:szCs w:val="16"/>
              </w:rPr>
            </w:pPr>
            <w:r w:rsidRPr="00097566">
              <w:rPr>
                <w:kern w:val="2"/>
                <w:sz w:val="16"/>
                <w:szCs w:val="16"/>
              </w:rPr>
              <w:t>457</w:t>
            </w:r>
          </w:p>
        </w:tc>
        <w:tc>
          <w:tcPr>
            <w:tcW w:w="775" w:type="dxa"/>
          </w:tcPr>
          <w:p w14:paraId="5936DC37" w14:textId="77777777" w:rsidR="009E39B0" w:rsidRPr="00097566" w:rsidRDefault="009E39B0" w:rsidP="008D3F2B">
            <w:pPr>
              <w:ind w:left="0" w:right="0"/>
              <w:rPr>
                <w:kern w:val="2"/>
                <w:sz w:val="16"/>
                <w:szCs w:val="16"/>
              </w:rPr>
            </w:pPr>
            <w:r w:rsidRPr="00097566">
              <w:rPr>
                <w:kern w:val="2"/>
                <w:sz w:val="16"/>
                <w:szCs w:val="16"/>
              </w:rPr>
              <w:t>–</w:t>
            </w:r>
          </w:p>
        </w:tc>
        <w:tc>
          <w:tcPr>
            <w:tcW w:w="776" w:type="dxa"/>
          </w:tcPr>
          <w:p w14:paraId="28AB19A0" w14:textId="77777777" w:rsidR="009E39B0" w:rsidRPr="00097566" w:rsidRDefault="009E39B0" w:rsidP="008D3F2B">
            <w:pPr>
              <w:ind w:left="0" w:right="0"/>
              <w:rPr>
                <w:kern w:val="2"/>
                <w:sz w:val="16"/>
                <w:szCs w:val="16"/>
              </w:rPr>
            </w:pPr>
            <w:r w:rsidRPr="00097566">
              <w:rPr>
                <w:kern w:val="2"/>
                <w:sz w:val="16"/>
                <w:szCs w:val="16"/>
              </w:rPr>
              <w:t>18.3</w:t>
            </w:r>
          </w:p>
        </w:tc>
        <w:tc>
          <w:tcPr>
            <w:tcW w:w="697" w:type="dxa"/>
          </w:tcPr>
          <w:p w14:paraId="4702DB54" w14:textId="77777777" w:rsidR="009E39B0" w:rsidRPr="00097566" w:rsidRDefault="009E39B0" w:rsidP="008D3F2B">
            <w:pPr>
              <w:ind w:left="0" w:right="0"/>
              <w:rPr>
                <w:kern w:val="2"/>
                <w:sz w:val="16"/>
                <w:szCs w:val="16"/>
              </w:rPr>
            </w:pPr>
            <w:r w:rsidRPr="00097566">
              <w:rPr>
                <w:kern w:val="2"/>
                <w:sz w:val="16"/>
                <w:szCs w:val="16"/>
              </w:rPr>
              <w:t>–</w:t>
            </w:r>
          </w:p>
        </w:tc>
        <w:tc>
          <w:tcPr>
            <w:tcW w:w="698" w:type="dxa"/>
          </w:tcPr>
          <w:p w14:paraId="53A4F4F0" w14:textId="77777777" w:rsidR="009E39B0" w:rsidRPr="00097566" w:rsidRDefault="009E39B0" w:rsidP="008D3F2B">
            <w:pPr>
              <w:ind w:left="0" w:right="0"/>
              <w:rPr>
                <w:kern w:val="2"/>
                <w:sz w:val="16"/>
                <w:szCs w:val="16"/>
              </w:rPr>
            </w:pPr>
            <w:r w:rsidRPr="00097566">
              <w:rPr>
                <w:kern w:val="2"/>
                <w:sz w:val="16"/>
                <w:szCs w:val="16"/>
              </w:rPr>
              <w:t>239</w:t>
            </w:r>
          </w:p>
        </w:tc>
      </w:tr>
      <w:tr w:rsidR="009E39B0" w:rsidRPr="00097566" w14:paraId="6849E567" w14:textId="77777777" w:rsidTr="008D3F2B">
        <w:trPr>
          <w:trHeight w:val="411"/>
        </w:trPr>
        <w:tc>
          <w:tcPr>
            <w:tcW w:w="1473" w:type="dxa"/>
            <w:vMerge/>
          </w:tcPr>
          <w:p w14:paraId="3E90BB85" w14:textId="77777777" w:rsidR="009E39B0" w:rsidRPr="00097566" w:rsidRDefault="009E39B0" w:rsidP="008D3F2B">
            <w:pPr>
              <w:ind w:left="0" w:right="0"/>
              <w:rPr>
                <w:kern w:val="2"/>
                <w:sz w:val="16"/>
                <w:szCs w:val="16"/>
              </w:rPr>
            </w:pPr>
          </w:p>
        </w:tc>
        <w:tc>
          <w:tcPr>
            <w:tcW w:w="1356" w:type="dxa"/>
            <w:vMerge/>
          </w:tcPr>
          <w:p w14:paraId="5176C431" w14:textId="77777777" w:rsidR="009E39B0" w:rsidRPr="00097566" w:rsidRDefault="009E39B0" w:rsidP="008D3F2B">
            <w:pPr>
              <w:ind w:left="0" w:right="0"/>
              <w:rPr>
                <w:kern w:val="2"/>
                <w:sz w:val="16"/>
                <w:szCs w:val="16"/>
              </w:rPr>
            </w:pPr>
          </w:p>
        </w:tc>
        <w:tc>
          <w:tcPr>
            <w:tcW w:w="1332" w:type="dxa"/>
          </w:tcPr>
          <w:p w14:paraId="545174B3" w14:textId="77777777" w:rsidR="009E39B0" w:rsidRPr="00097566" w:rsidRDefault="009E39B0" w:rsidP="008D3F2B">
            <w:pPr>
              <w:ind w:left="0" w:right="0"/>
              <w:rPr>
                <w:kern w:val="2"/>
                <w:sz w:val="16"/>
                <w:szCs w:val="16"/>
              </w:rPr>
            </w:pPr>
            <w:r w:rsidRPr="00097566">
              <w:rPr>
                <w:kern w:val="2"/>
                <w:sz w:val="16"/>
                <w:szCs w:val="16"/>
              </w:rPr>
              <w:t>250</w:t>
            </w:r>
          </w:p>
        </w:tc>
        <w:tc>
          <w:tcPr>
            <w:tcW w:w="788" w:type="dxa"/>
          </w:tcPr>
          <w:p w14:paraId="53F6DC41" w14:textId="77777777" w:rsidR="009E39B0" w:rsidRPr="00097566" w:rsidRDefault="009E39B0" w:rsidP="008D3F2B">
            <w:pPr>
              <w:ind w:left="0" w:right="0"/>
              <w:rPr>
                <w:kern w:val="2"/>
                <w:sz w:val="16"/>
                <w:szCs w:val="16"/>
              </w:rPr>
            </w:pPr>
            <w:r w:rsidRPr="00097566">
              <w:rPr>
                <w:kern w:val="2"/>
                <w:sz w:val="16"/>
                <w:szCs w:val="16"/>
              </w:rPr>
              <w:t>–</w:t>
            </w:r>
          </w:p>
        </w:tc>
        <w:tc>
          <w:tcPr>
            <w:tcW w:w="789" w:type="dxa"/>
          </w:tcPr>
          <w:p w14:paraId="406C92AA" w14:textId="77777777" w:rsidR="009E39B0" w:rsidRPr="00097566" w:rsidRDefault="009E39B0" w:rsidP="008D3F2B">
            <w:pPr>
              <w:ind w:left="0" w:right="0"/>
              <w:rPr>
                <w:kern w:val="2"/>
                <w:sz w:val="16"/>
                <w:szCs w:val="16"/>
              </w:rPr>
            </w:pPr>
            <w:r w:rsidRPr="00097566">
              <w:rPr>
                <w:kern w:val="2"/>
                <w:sz w:val="16"/>
                <w:szCs w:val="16"/>
              </w:rPr>
              <w:t>975</w:t>
            </w:r>
          </w:p>
        </w:tc>
        <w:tc>
          <w:tcPr>
            <w:tcW w:w="775" w:type="dxa"/>
          </w:tcPr>
          <w:p w14:paraId="20435090" w14:textId="77777777" w:rsidR="009E39B0" w:rsidRPr="00097566" w:rsidRDefault="009E39B0" w:rsidP="008D3F2B">
            <w:pPr>
              <w:ind w:left="0" w:right="0"/>
              <w:rPr>
                <w:kern w:val="2"/>
                <w:sz w:val="16"/>
                <w:szCs w:val="16"/>
              </w:rPr>
            </w:pPr>
            <w:r w:rsidRPr="00097566">
              <w:rPr>
                <w:kern w:val="2"/>
                <w:sz w:val="16"/>
                <w:szCs w:val="16"/>
              </w:rPr>
              <w:t>–</w:t>
            </w:r>
          </w:p>
        </w:tc>
        <w:tc>
          <w:tcPr>
            <w:tcW w:w="776" w:type="dxa"/>
          </w:tcPr>
          <w:p w14:paraId="51765EC1" w14:textId="77777777" w:rsidR="009E39B0" w:rsidRPr="00097566" w:rsidRDefault="009E39B0" w:rsidP="008D3F2B">
            <w:pPr>
              <w:ind w:left="0" w:right="0"/>
              <w:rPr>
                <w:kern w:val="2"/>
                <w:sz w:val="16"/>
                <w:szCs w:val="16"/>
              </w:rPr>
            </w:pPr>
            <w:r w:rsidRPr="00097566">
              <w:rPr>
                <w:kern w:val="2"/>
                <w:sz w:val="16"/>
                <w:szCs w:val="16"/>
              </w:rPr>
              <w:t>39.0</w:t>
            </w:r>
          </w:p>
        </w:tc>
        <w:tc>
          <w:tcPr>
            <w:tcW w:w="697" w:type="dxa"/>
          </w:tcPr>
          <w:p w14:paraId="451E0607" w14:textId="77777777" w:rsidR="009E39B0" w:rsidRPr="00097566" w:rsidRDefault="009E39B0" w:rsidP="008D3F2B">
            <w:pPr>
              <w:ind w:left="0" w:right="0"/>
              <w:rPr>
                <w:kern w:val="2"/>
                <w:sz w:val="16"/>
                <w:szCs w:val="16"/>
              </w:rPr>
            </w:pPr>
            <w:r w:rsidRPr="00097566">
              <w:rPr>
                <w:kern w:val="2"/>
                <w:sz w:val="16"/>
                <w:szCs w:val="16"/>
              </w:rPr>
              <w:t>–</w:t>
            </w:r>
          </w:p>
        </w:tc>
        <w:tc>
          <w:tcPr>
            <w:tcW w:w="698" w:type="dxa"/>
          </w:tcPr>
          <w:p w14:paraId="2BDA144F" w14:textId="77777777" w:rsidR="009E39B0" w:rsidRPr="00097566" w:rsidRDefault="009E39B0" w:rsidP="008D3F2B">
            <w:pPr>
              <w:ind w:left="0" w:right="0"/>
              <w:rPr>
                <w:kern w:val="2"/>
                <w:sz w:val="16"/>
                <w:szCs w:val="16"/>
              </w:rPr>
            </w:pPr>
            <w:r w:rsidRPr="00097566">
              <w:rPr>
                <w:kern w:val="2"/>
                <w:sz w:val="16"/>
                <w:szCs w:val="16"/>
              </w:rPr>
              <w:t>510</w:t>
            </w:r>
          </w:p>
        </w:tc>
      </w:tr>
      <w:tr w:rsidR="009E39B0" w:rsidRPr="00097566" w14:paraId="1094B1EF" w14:textId="77777777" w:rsidTr="008D3F2B">
        <w:trPr>
          <w:trHeight w:val="258"/>
        </w:trPr>
        <w:tc>
          <w:tcPr>
            <w:tcW w:w="1473" w:type="dxa"/>
            <w:vMerge/>
          </w:tcPr>
          <w:p w14:paraId="75F27DED" w14:textId="77777777" w:rsidR="009E39B0" w:rsidRPr="00097566" w:rsidRDefault="009E39B0" w:rsidP="008D3F2B">
            <w:pPr>
              <w:ind w:left="0" w:right="0"/>
              <w:rPr>
                <w:kern w:val="2"/>
                <w:sz w:val="16"/>
                <w:szCs w:val="16"/>
              </w:rPr>
            </w:pPr>
          </w:p>
        </w:tc>
        <w:tc>
          <w:tcPr>
            <w:tcW w:w="1356" w:type="dxa"/>
            <w:vMerge w:val="restart"/>
          </w:tcPr>
          <w:p w14:paraId="1231896A" w14:textId="1BE61E66" w:rsidR="009E39B0" w:rsidRPr="00097566" w:rsidRDefault="009E39B0" w:rsidP="008D3F2B">
            <w:pPr>
              <w:ind w:left="0" w:right="0"/>
              <w:rPr>
                <w:kern w:val="2"/>
                <w:sz w:val="16"/>
                <w:szCs w:val="16"/>
              </w:rPr>
            </w:pPr>
            <w:r w:rsidRPr="00097566">
              <w:rPr>
                <w:kern w:val="2"/>
                <w:sz w:val="16"/>
                <w:szCs w:val="16"/>
              </w:rPr>
              <w:t>Juvenile</w:t>
            </w:r>
            <w:r w:rsidR="00AD51CF">
              <w:rPr>
                <w:kern w:val="2"/>
                <w:sz w:val="16"/>
                <w:szCs w:val="16"/>
              </w:rPr>
              <w:t xml:space="preserve"> </w:t>
            </w:r>
            <w:r w:rsidRPr="00097566">
              <w:rPr>
                <w:kern w:val="2"/>
                <w:sz w:val="16"/>
                <w:szCs w:val="16"/>
              </w:rPr>
              <w:t>toxicity</w:t>
            </w:r>
            <w:r w:rsidR="00AD51CF">
              <w:rPr>
                <w:kern w:val="2"/>
                <w:sz w:val="16"/>
                <w:szCs w:val="16"/>
              </w:rPr>
              <w:t xml:space="preserve"> </w:t>
            </w:r>
            <w:r w:rsidRPr="00097566">
              <w:rPr>
                <w:kern w:val="2"/>
                <w:sz w:val="16"/>
                <w:szCs w:val="16"/>
              </w:rPr>
              <w:t>[TT157803]</w:t>
            </w:r>
          </w:p>
        </w:tc>
        <w:tc>
          <w:tcPr>
            <w:tcW w:w="1332" w:type="dxa"/>
          </w:tcPr>
          <w:p w14:paraId="117168C6" w14:textId="77777777" w:rsidR="009E39B0" w:rsidRPr="00097566" w:rsidRDefault="009E39B0" w:rsidP="008D3F2B">
            <w:pPr>
              <w:ind w:left="0" w:right="0"/>
              <w:rPr>
                <w:kern w:val="2"/>
                <w:sz w:val="16"/>
                <w:szCs w:val="16"/>
              </w:rPr>
            </w:pPr>
            <w:r w:rsidRPr="00097566">
              <w:rPr>
                <w:kern w:val="2"/>
                <w:sz w:val="16"/>
                <w:szCs w:val="16"/>
              </w:rPr>
              <w:t>5</w:t>
            </w:r>
          </w:p>
        </w:tc>
        <w:tc>
          <w:tcPr>
            <w:tcW w:w="788" w:type="dxa"/>
          </w:tcPr>
          <w:p w14:paraId="46CD2F6C" w14:textId="77777777" w:rsidR="009E39B0" w:rsidRPr="00097566" w:rsidRDefault="009E39B0" w:rsidP="008D3F2B">
            <w:pPr>
              <w:ind w:left="0" w:right="0"/>
              <w:rPr>
                <w:kern w:val="2"/>
                <w:sz w:val="16"/>
                <w:szCs w:val="16"/>
              </w:rPr>
            </w:pPr>
            <w:r w:rsidRPr="00097566">
              <w:rPr>
                <w:kern w:val="2"/>
                <w:sz w:val="16"/>
                <w:szCs w:val="16"/>
              </w:rPr>
              <w:t>20.3</w:t>
            </w:r>
          </w:p>
        </w:tc>
        <w:tc>
          <w:tcPr>
            <w:tcW w:w="789" w:type="dxa"/>
          </w:tcPr>
          <w:p w14:paraId="48A1249D" w14:textId="77777777" w:rsidR="009E39B0" w:rsidRPr="00097566" w:rsidRDefault="009E39B0" w:rsidP="008D3F2B">
            <w:pPr>
              <w:ind w:left="0" w:right="0"/>
              <w:rPr>
                <w:kern w:val="2"/>
                <w:sz w:val="16"/>
                <w:szCs w:val="16"/>
              </w:rPr>
            </w:pPr>
            <w:r w:rsidRPr="00097566">
              <w:rPr>
                <w:kern w:val="2"/>
                <w:sz w:val="16"/>
                <w:szCs w:val="16"/>
              </w:rPr>
              <w:t>28.0</w:t>
            </w:r>
          </w:p>
        </w:tc>
        <w:tc>
          <w:tcPr>
            <w:tcW w:w="775" w:type="dxa"/>
          </w:tcPr>
          <w:p w14:paraId="690687D4" w14:textId="77777777" w:rsidR="009E39B0" w:rsidRPr="00097566" w:rsidRDefault="009E39B0" w:rsidP="008D3F2B">
            <w:pPr>
              <w:ind w:left="0" w:right="0"/>
              <w:rPr>
                <w:kern w:val="2"/>
                <w:sz w:val="16"/>
                <w:szCs w:val="16"/>
              </w:rPr>
            </w:pPr>
            <w:r w:rsidRPr="00097566">
              <w:rPr>
                <w:kern w:val="2"/>
                <w:sz w:val="16"/>
                <w:szCs w:val="16"/>
              </w:rPr>
              <w:t>0.812</w:t>
            </w:r>
          </w:p>
        </w:tc>
        <w:tc>
          <w:tcPr>
            <w:tcW w:w="776" w:type="dxa"/>
          </w:tcPr>
          <w:p w14:paraId="3A95C654" w14:textId="77777777" w:rsidR="009E39B0" w:rsidRPr="00097566" w:rsidRDefault="009E39B0" w:rsidP="008D3F2B">
            <w:pPr>
              <w:ind w:left="0" w:right="0"/>
              <w:rPr>
                <w:kern w:val="2"/>
                <w:sz w:val="16"/>
                <w:szCs w:val="16"/>
              </w:rPr>
            </w:pPr>
            <w:r w:rsidRPr="00097566">
              <w:rPr>
                <w:kern w:val="2"/>
                <w:sz w:val="16"/>
                <w:szCs w:val="16"/>
              </w:rPr>
              <w:t>1.12</w:t>
            </w:r>
          </w:p>
        </w:tc>
        <w:tc>
          <w:tcPr>
            <w:tcW w:w="697" w:type="dxa"/>
          </w:tcPr>
          <w:p w14:paraId="1EE65717" w14:textId="77777777" w:rsidR="009E39B0" w:rsidRPr="00097566" w:rsidRDefault="009E39B0" w:rsidP="008D3F2B">
            <w:pPr>
              <w:ind w:left="0" w:right="0"/>
              <w:rPr>
                <w:kern w:val="2"/>
                <w:sz w:val="16"/>
                <w:szCs w:val="16"/>
              </w:rPr>
            </w:pPr>
            <w:r w:rsidRPr="00097566">
              <w:rPr>
                <w:kern w:val="2"/>
                <w:sz w:val="16"/>
                <w:szCs w:val="16"/>
              </w:rPr>
              <w:t>11</w:t>
            </w:r>
          </w:p>
        </w:tc>
        <w:tc>
          <w:tcPr>
            <w:tcW w:w="698" w:type="dxa"/>
          </w:tcPr>
          <w:p w14:paraId="05A7C747" w14:textId="77777777" w:rsidR="009E39B0" w:rsidRPr="00097566" w:rsidRDefault="009E39B0" w:rsidP="008D3F2B">
            <w:pPr>
              <w:ind w:left="0" w:right="0"/>
              <w:rPr>
                <w:kern w:val="2"/>
                <w:sz w:val="16"/>
                <w:szCs w:val="16"/>
              </w:rPr>
            </w:pPr>
            <w:r w:rsidRPr="00097566">
              <w:rPr>
                <w:kern w:val="2"/>
                <w:sz w:val="16"/>
                <w:szCs w:val="16"/>
              </w:rPr>
              <w:t>15</w:t>
            </w:r>
          </w:p>
        </w:tc>
      </w:tr>
      <w:tr w:rsidR="009E39B0" w:rsidRPr="00097566" w14:paraId="6C85027E" w14:textId="77777777" w:rsidTr="008D3F2B">
        <w:trPr>
          <w:trHeight w:val="258"/>
        </w:trPr>
        <w:tc>
          <w:tcPr>
            <w:tcW w:w="1473" w:type="dxa"/>
            <w:vMerge/>
          </w:tcPr>
          <w:p w14:paraId="337AC7B6" w14:textId="77777777" w:rsidR="009E39B0" w:rsidRPr="00097566" w:rsidRDefault="009E39B0" w:rsidP="008D3F2B">
            <w:pPr>
              <w:ind w:left="0" w:right="0"/>
              <w:rPr>
                <w:kern w:val="2"/>
                <w:sz w:val="16"/>
                <w:szCs w:val="16"/>
              </w:rPr>
            </w:pPr>
          </w:p>
        </w:tc>
        <w:tc>
          <w:tcPr>
            <w:tcW w:w="1356" w:type="dxa"/>
            <w:vMerge/>
          </w:tcPr>
          <w:p w14:paraId="084C5934" w14:textId="77777777" w:rsidR="009E39B0" w:rsidRPr="00097566" w:rsidRDefault="009E39B0" w:rsidP="008D3F2B">
            <w:pPr>
              <w:ind w:left="0" w:right="0"/>
              <w:rPr>
                <w:kern w:val="2"/>
                <w:sz w:val="16"/>
                <w:szCs w:val="16"/>
              </w:rPr>
            </w:pPr>
          </w:p>
        </w:tc>
        <w:tc>
          <w:tcPr>
            <w:tcW w:w="1332" w:type="dxa"/>
          </w:tcPr>
          <w:p w14:paraId="7406C953" w14:textId="77777777" w:rsidR="009E39B0" w:rsidRPr="00097566" w:rsidRDefault="009E39B0" w:rsidP="008D3F2B">
            <w:pPr>
              <w:ind w:left="0" w:right="0"/>
              <w:rPr>
                <w:kern w:val="2"/>
                <w:sz w:val="16"/>
                <w:szCs w:val="16"/>
              </w:rPr>
            </w:pPr>
            <w:r w:rsidRPr="00097566">
              <w:rPr>
                <w:kern w:val="2"/>
                <w:sz w:val="16"/>
                <w:szCs w:val="16"/>
              </w:rPr>
              <w:t>25</w:t>
            </w:r>
          </w:p>
        </w:tc>
        <w:tc>
          <w:tcPr>
            <w:tcW w:w="788" w:type="dxa"/>
          </w:tcPr>
          <w:p w14:paraId="43666026" w14:textId="77777777" w:rsidR="009E39B0" w:rsidRPr="00097566" w:rsidRDefault="009E39B0" w:rsidP="008D3F2B">
            <w:pPr>
              <w:ind w:left="0" w:right="0"/>
              <w:rPr>
                <w:kern w:val="2"/>
                <w:sz w:val="16"/>
                <w:szCs w:val="16"/>
              </w:rPr>
            </w:pPr>
            <w:r w:rsidRPr="00097566">
              <w:rPr>
                <w:kern w:val="2"/>
                <w:sz w:val="16"/>
                <w:szCs w:val="16"/>
              </w:rPr>
              <w:t>116</w:t>
            </w:r>
          </w:p>
        </w:tc>
        <w:tc>
          <w:tcPr>
            <w:tcW w:w="789" w:type="dxa"/>
          </w:tcPr>
          <w:p w14:paraId="49837A54" w14:textId="77777777" w:rsidR="009E39B0" w:rsidRPr="00097566" w:rsidRDefault="009E39B0" w:rsidP="008D3F2B">
            <w:pPr>
              <w:ind w:left="0" w:right="0"/>
              <w:rPr>
                <w:kern w:val="2"/>
                <w:sz w:val="16"/>
                <w:szCs w:val="16"/>
              </w:rPr>
            </w:pPr>
            <w:r w:rsidRPr="00097566">
              <w:rPr>
                <w:kern w:val="2"/>
                <w:sz w:val="16"/>
                <w:szCs w:val="16"/>
              </w:rPr>
              <w:t>97.1</w:t>
            </w:r>
          </w:p>
        </w:tc>
        <w:tc>
          <w:tcPr>
            <w:tcW w:w="775" w:type="dxa"/>
          </w:tcPr>
          <w:p w14:paraId="53F8D144" w14:textId="77777777" w:rsidR="009E39B0" w:rsidRPr="00097566" w:rsidRDefault="009E39B0" w:rsidP="008D3F2B">
            <w:pPr>
              <w:ind w:left="0" w:right="0"/>
              <w:rPr>
                <w:kern w:val="2"/>
                <w:sz w:val="16"/>
                <w:szCs w:val="16"/>
              </w:rPr>
            </w:pPr>
            <w:r w:rsidRPr="00097566">
              <w:rPr>
                <w:kern w:val="2"/>
                <w:sz w:val="16"/>
                <w:szCs w:val="16"/>
              </w:rPr>
              <w:t>4.64</w:t>
            </w:r>
          </w:p>
        </w:tc>
        <w:tc>
          <w:tcPr>
            <w:tcW w:w="776" w:type="dxa"/>
          </w:tcPr>
          <w:p w14:paraId="0B80F500" w14:textId="77777777" w:rsidR="009E39B0" w:rsidRPr="00097566" w:rsidRDefault="009E39B0" w:rsidP="008D3F2B">
            <w:pPr>
              <w:ind w:left="0" w:right="0"/>
              <w:rPr>
                <w:kern w:val="2"/>
                <w:sz w:val="16"/>
                <w:szCs w:val="16"/>
              </w:rPr>
            </w:pPr>
            <w:r w:rsidRPr="00097566">
              <w:rPr>
                <w:kern w:val="2"/>
                <w:sz w:val="16"/>
                <w:szCs w:val="16"/>
              </w:rPr>
              <w:t>3.88</w:t>
            </w:r>
          </w:p>
        </w:tc>
        <w:tc>
          <w:tcPr>
            <w:tcW w:w="697" w:type="dxa"/>
          </w:tcPr>
          <w:p w14:paraId="6D43A590" w14:textId="77777777" w:rsidR="009E39B0" w:rsidRPr="00097566" w:rsidRDefault="009E39B0" w:rsidP="008D3F2B">
            <w:pPr>
              <w:ind w:left="0" w:right="0"/>
              <w:rPr>
                <w:kern w:val="2"/>
                <w:sz w:val="16"/>
                <w:szCs w:val="16"/>
              </w:rPr>
            </w:pPr>
            <w:r w:rsidRPr="00097566">
              <w:rPr>
                <w:kern w:val="2"/>
                <w:sz w:val="16"/>
                <w:szCs w:val="16"/>
              </w:rPr>
              <w:t>61</w:t>
            </w:r>
          </w:p>
        </w:tc>
        <w:tc>
          <w:tcPr>
            <w:tcW w:w="698" w:type="dxa"/>
          </w:tcPr>
          <w:p w14:paraId="573377BA" w14:textId="77777777" w:rsidR="009E39B0" w:rsidRPr="00097566" w:rsidRDefault="009E39B0" w:rsidP="008D3F2B">
            <w:pPr>
              <w:ind w:left="0" w:right="0"/>
              <w:rPr>
                <w:kern w:val="2"/>
                <w:sz w:val="16"/>
                <w:szCs w:val="16"/>
              </w:rPr>
            </w:pPr>
            <w:r w:rsidRPr="00097566">
              <w:rPr>
                <w:kern w:val="2"/>
                <w:sz w:val="16"/>
                <w:szCs w:val="16"/>
              </w:rPr>
              <w:t>51</w:t>
            </w:r>
          </w:p>
        </w:tc>
      </w:tr>
      <w:tr w:rsidR="009E39B0" w:rsidRPr="00097566" w14:paraId="0D84E257" w14:textId="77777777" w:rsidTr="008D3F2B">
        <w:trPr>
          <w:trHeight w:val="258"/>
        </w:trPr>
        <w:tc>
          <w:tcPr>
            <w:tcW w:w="1473" w:type="dxa"/>
            <w:vMerge/>
          </w:tcPr>
          <w:p w14:paraId="45BD9981" w14:textId="77777777" w:rsidR="009E39B0" w:rsidRPr="00097566" w:rsidRDefault="009E39B0" w:rsidP="008D3F2B">
            <w:pPr>
              <w:ind w:left="0" w:right="0"/>
              <w:rPr>
                <w:kern w:val="2"/>
                <w:sz w:val="16"/>
                <w:szCs w:val="16"/>
              </w:rPr>
            </w:pPr>
          </w:p>
        </w:tc>
        <w:tc>
          <w:tcPr>
            <w:tcW w:w="1356" w:type="dxa"/>
            <w:vMerge/>
          </w:tcPr>
          <w:p w14:paraId="15B6BBC3" w14:textId="77777777" w:rsidR="009E39B0" w:rsidRPr="00097566" w:rsidRDefault="009E39B0" w:rsidP="008D3F2B">
            <w:pPr>
              <w:ind w:left="0" w:right="0"/>
              <w:rPr>
                <w:kern w:val="2"/>
                <w:sz w:val="16"/>
                <w:szCs w:val="16"/>
              </w:rPr>
            </w:pPr>
          </w:p>
        </w:tc>
        <w:tc>
          <w:tcPr>
            <w:tcW w:w="1332" w:type="dxa"/>
          </w:tcPr>
          <w:p w14:paraId="1E4DEFC6" w14:textId="77777777" w:rsidR="009E39B0" w:rsidRPr="00097566" w:rsidRDefault="009E39B0" w:rsidP="008D3F2B">
            <w:pPr>
              <w:ind w:left="0" w:right="0"/>
              <w:rPr>
                <w:kern w:val="2"/>
                <w:sz w:val="16"/>
                <w:szCs w:val="16"/>
              </w:rPr>
            </w:pPr>
            <w:r w:rsidRPr="00097566">
              <w:rPr>
                <w:kern w:val="2"/>
                <w:sz w:val="16"/>
                <w:szCs w:val="16"/>
              </w:rPr>
              <w:t>250</w:t>
            </w:r>
          </w:p>
        </w:tc>
        <w:tc>
          <w:tcPr>
            <w:tcW w:w="788" w:type="dxa"/>
          </w:tcPr>
          <w:p w14:paraId="2EF440CB" w14:textId="77777777" w:rsidR="009E39B0" w:rsidRPr="00097566" w:rsidRDefault="009E39B0" w:rsidP="008D3F2B">
            <w:pPr>
              <w:ind w:left="0" w:right="0"/>
              <w:rPr>
                <w:kern w:val="2"/>
                <w:sz w:val="16"/>
                <w:szCs w:val="16"/>
              </w:rPr>
            </w:pPr>
            <w:r w:rsidRPr="00097566">
              <w:rPr>
                <w:kern w:val="2"/>
                <w:sz w:val="16"/>
                <w:szCs w:val="16"/>
              </w:rPr>
              <w:t>696</w:t>
            </w:r>
          </w:p>
        </w:tc>
        <w:tc>
          <w:tcPr>
            <w:tcW w:w="789" w:type="dxa"/>
          </w:tcPr>
          <w:p w14:paraId="6B66789F" w14:textId="77777777" w:rsidR="009E39B0" w:rsidRPr="00097566" w:rsidRDefault="009E39B0" w:rsidP="008D3F2B">
            <w:pPr>
              <w:ind w:left="0" w:right="0"/>
              <w:rPr>
                <w:kern w:val="2"/>
                <w:sz w:val="16"/>
                <w:szCs w:val="16"/>
              </w:rPr>
            </w:pPr>
            <w:r w:rsidRPr="00097566">
              <w:rPr>
                <w:kern w:val="2"/>
                <w:sz w:val="16"/>
                <w:szCs w:val="16"/>
              </w:rPr>
              <w:t>939</w:t>
            </w:r>
          </w:p>
        </w:tc>
        <w:tc>
          <w:tcPr>
            <w:tcW w:w="775" w:type="dxa"/>
          </w:tcPr>
          <w:p w14:paraId="552E5389" w14:textId="77777777" w:rsidR="009E39B0" w:rsidRPr="00097566" w:rsidRDefault="009E39B0" w:rsidP="008D3F2B">
            <w:pPr>
              <w:ind w:left="0" w:right="0"/>
              <w:rPr>
                <w:kern w:val="2"/>
                <w:sz w:val="16"/>
                <w:szCs w:val="16"/>
              </w:rPr>
            </w:pPr>
            <w:r w:rsidRPr="00097566">
              <w:rPr>
                <w:kern w:val="2"/>
                <w:sz w:val="16"/>
                <w:szCs w:val="16"/>
              </w:rPr>
              <w:t>27.8</w:t>
            </w:r>
          </w:p>
        </w:tc>
        <w:tc>
          <w:tcPr>
            <w:tcW w:w="776" w:type="dxa"/>
          </w:tcPr>
          <w:p w14:paraId="6D479EA3" w14:textId="77777777" w:rsidR="009E39B0" w:rsidRPr="00097566" w:rsidRDefault="009E39B0" w:rsidP="008D3F2B">
            <w:pPr>
              <w:ind w:left="0" w:right="0"/>
              <w:rPr>
                <w:kern w:val="2"/>
                <w:sz w:val="16"/>
                <w:szCs w:val="16"/>
              </w:rPr>
            </w:pPr>
            <w:r w:rsidRPr="00097566">
              <w:rPr>
                <w:kern w:val="2"/>
                <w:sz w:val="16"/>
                <w:szCs w:val="16"/>
              </w:rPr>
              <w:t>37.6</w:t>
            </w:r>
          </w:p>
        </w:tc>
        <w:tc>
          <w:tcPr>
            <w:tcW w:w="697" w:type="dxa"/>
          </w:tcPr>
          <w:p w14:paraId="6F9DB452" w14:textId="77777777" w:rsidR="009E39B0" w:rsidRPr="00097566" w:rsidRDefault="009E39B0" w:rsidP="008D3F2B">
            <w:pPr>
              <w:ind w:left="0" w:right="0"/>
              <w:rPr>
                <w:kern w:val="2"/>
                <w:sz w:val="16"/>
                <w:szCs w:val="16"/>
              </w:rPr>
            </w:pPr>
            <w:r w:rsidRPr="00097566">
              <w:rPr>
                <w:kern w:val="2"/>
                <w:sz w:val="16"/>
                <w:szCs w:val="16"/>
              </w:rPr>
              <w:t>364</w:t>
            </w:r>
          </w:p>
        </w:tc>
        <w:tc>
          <w:tcPr>
            <w:tcW w:w="698" w:type="dxa"/>
          </w:tcPr>
          <w:p w14:paraId="101B9737" w14:textId="77777777" w:rsidR="009E39B0" w:rsidRPr="00097566" w:rsidRDefault="009E39B0" w:rsidP="008D3F2B">
            <w:pPr>
              <w:ind w:left="0" w:right="0"/>
              <w:rPr>
                <w:kern w:val="2"/>
                <w:sz w:val="16"/>
                <w:szCs w:val="16"/>
              </w:rPr>
            </w:pPr>
            <w:r w:rsidRPr="00097566">
              <w:rPr>
                <w:kern w:val="2"/>
                <w:sz w:val="16"/>
                <w:szCs w:val="16"/>
              </w:rPr>
              <w:t>492</w:t>
            </w:r>
          </w:p>
        </w:tc>
      </w:tr>
      <w:tr w:rsidR="009E39B0" w:rsidRPr="00097566" w14:paraId="36257FE7" w14:textId="77777777" w:rsidTr="008D3F2B">
        <w:trPr>
          <w:trHeight w:val="258"/>
        </w:trPr>
        <w:tc>
          <w:tcPr>
            <w:tcW w:w="1473" w:type="dxa"/>
            <w:vMerge w:val="restart"/>
          </w:tcPr>
          <w:p w14:paraId="3DEBD06A" w14:textId="6628F2A3" w:rsidR="009E39B0" w:rsidRPr="00097566" w:rsidRDefault="009E39B0" w:rsidP="008D3F2B">
            <w:pPr>
              <w:ind w:left="0" w:right="0"/>
              <w:rPr>
                <w:kern w:val="2"/>
                <w:sz w:val="16"/>
                <w:szCs w:val="16"/>
              </w:rPr>
            </w:pPr>
            <w:r w:rsidRPr="00097566">
              <w:rPr>
                <w:kern w:val="2"/>
                <w:sz w:val="16"/>
                <w:szCs w:val="16"/>
              </w:rPr>
              <w:t>Rabbit</w:t>
            </w:r>
            <w:r w:rsidR="00AD51CF">
              <w:rPr>
                <w:kern w:val="2"/>
                <w:sz w:val="16"/>
                <w:szCs w:val="16"/>
              </w:rPr>
              <w:t xml:space="preserve"> </w:t>
            </w:r>
            <w:r w:rsidRPr="00097566">
              <w:rPr>
                <w:kern w:val="2"/>
                <w:sz w:val="16"/>
                <w:szCs w:val="16"/>
              </w:rPr>
              <w:t>(NZW)</w:t>
            </w:r>
          </w:p>
        </w:tc>
        <w:tc>
          <w:tcPr>
            <w:tcW w:w="1356" w:type="dxa"/>
            <w:vMerge w:val="restart"/>
          </w:tcPr>
          <w:p w14:paraId="1AA73DD0" w14:textId="77777777" w:rsidR="009E39B0" w:rsidRPr="00097566" w:rsidRDefault="009E39B0" w:rsidP="008D3F2B">
            <w:pPr>
              <w:ind w:left="0" w:right="0"/>
              <w:rPr>
                <w:kern w:val="2"/>
                <w:sz w:val="16"/>
                <w:szCs w:val="16"/>
              </w:rPr>
            </w:pPr>
            <w:r w:rsidRPr="00097566">
              <w:rPr>
                <w:kern w:val="2"/>
                <w:sz w:val="16"/>
                <w:szCs w:val="16"/>
              </w:rPr>
              <w:t>Embryofetal development</w:t>
            </w:r>
          </w:p>
          <w:p w14:paraId="1CFB1D18" w14:textId="77777777" w:rsidR="009E39B0" w:rsidRPr="00097566" w:rsidRDefault="009E39B0" w:rsidP="008D3F2B">
            <w:pPr>
              <w:ind w:left="0" w:right="0"/>
              <w:rPr>
                <w:kern w:val="2"/>
                <w:sz w:val="16"/>
                <w:szCs w:val="16"/>
              </w:rPr>
            </w:pPr>
            <w:r w:rsidRPr="00097566">
              <w:rPr>
                <w:kern w:val="2"/>
                <w:sz w:val="16"/>
                <w:szCs w:val="16"/>
              </w:rPr>
              <w:t>[TT107834]</w:t>
            </w:r>
          </w:p>
        </w:tc>
        <w:tc>
          <w:tcPr>
            <w:tcW w:w="1332" w:type="dxa"/>
          </w:tcPr>
          <w:p w14:paraId="6897F4F6" w14:textId="77777777" w:rsidR="009E39B0" w:rsidRPr="00097566" w:rsidRDefault="009E39B0" w:rsidP="008D3F2B">
            <w:pPr>
              <w:ind w:left="0" w:right="0"/>
              <w:rPr>
                <w:kern w:val="2"/>
                <w:sz w:val="16"/>
                <w:szCs w:val="16"/>
              </w:rPr>
            </w:pPr>
            <w:r w:rsidRPr="00097566">
              <w:rPr>
                <w:kern w:val="2"/>
                <w:sz w:val="16"/>
                <w:szCs w:val="16"/>
              </w:rPr>
              <w:t>50</w:t>
            </w:r>
          </w:p>
        </w:tc>
        <w:tc>
          <w:tcPr>
            <w:tcW w:w="788" w:type="dxa"/>
          </w:tcPr>
          <w:p w14:paraId="289D7A01" w14:textId="77777777" w:rsidR="009E39B0" w:rsidRPr="00097566" w:rsidRDefault="009E39B0" w:rsidP="008D3F2B">
            <w:pPr>
              <w:ind w:left="0" w:right="0"/>
              <w:rPr>
                <w:kern w:val="2"/>
                <w:sz w:val="16"/>
                <w:szCs w:val="16"/>
              </w:rPr>
            </w:pPr>
            <w:r w:rsidRPr="00097566">
              <w:rPr>
                <w:kern w:val="2"/>
                <w:sz w:val="16"/>
                <w:szCs w:val="16"/>
              </w:rPr>
              <w:t>–</w:t>
            </w:r>
          </w:p>
        </w:tc>
        <w:tc>
          <w:tcPr>
            <w:tcW w:w="789" w:type="dxa"/>
          </w:tcPr>
          <w:p w14:paraId="3C5E3CC6" w14:textId="77777777" w:rsidR="009E39B0" w:rsidRPr="00097566" w:rsidRDefault="009E39B0" w:rsidP="008D3F2B">
            <w:pPr>
              <w:ind w:left="0" w:right="0"/>
              <w:rPr>
                <w:kern w:val="2"/>
                <w:sz w:val="16"/>
                <w:szCs w:val="16"/>
              </w:rPr>
            </w:pPr>
            <w:r w:rsidRPr="00097566">
              <w:rPr>
                <w:kern w:val="2"/>
                <w:sz w:val="16"/>
                <w:szCs w:val="16"/>
              </w:rPr>
              <w:t>207</w:t>
            </w:r>
          </w:p>
        </w:tc>
        <w:tc>
          <w:tcPr>
            <w:tcW w:w="775" w:type="dxa"/>
          </w:tcPr>
          <w:p w14:paraId="064E4B8E" w14:textId="77777777" w:rsidR="009E39B0" w:rsidRPr="00097566" w:rsidRDefault="009E39B0" w:rsidP="008D3F2B">
            <w:pPr>
              <w:ind w:left="0" w:right="0"/>
              <w:rPr>
                <w:kern w:val="2"/>
                <w:sz w:val="16"/>
                <w:szCs w:val="16"/>
              </w:rPr>
            </w:pPr>
            <w:r w:rsidRPr="00097566">
              <w:rPr>
                <w:kern w:val="2"/>
                <w:sz w:val="16"/>
                <w:szCs w:val="16"/>
              </w:rPr>
              <w:t>–</w:t>
            </w:r>
          </w:p>
        </w:tc>
        <w:tc>
          <w:tcPr>
            <w:tcW w:w="776" w:type="dxa"/>
          </w:tcPr>
          <w:p w14:paraId="04B52EFA" w14:textId="77777777" w:rsidR="009E39B0" w:rsidRPr="00097566" w:rsidRDefault="009E39B0" w:rsidP="008D3F2B">
            <w:pPr>
              <w:ind w:left="0" w:right="0"/>
              <w:rPr>
                <w:kern w:val="2"/>
                <w:sz w:val="16"/>
                <w:szCs w:val="16"/>
              </w:rPr>
            </w:pPr>
            <w:r w:rsidRPr="00097566">
              <w:rPr>
                <w:kern w:val="2"/>
                <w:sz w:val="16"/>
                <w:szCs w:val="16"/>
              </w:rPr>
              <w:t>14.7</w:t>
            </w:r>
          </w:p>
        </w:tc>
        <w:tc>
          <w:tcPr>
            <w:tcW w:w="697" w:type="dxa"/>
          </w:tcPr>
          <w:p w14:paraId="35D7DCA0" w14:textId="77777777" w:rsidR="009E39B0" w:rsidRPr="00097566" w:rsidRDefault="009E39B0" w:rsidP="008D3F2B">
            <w:pPr>
              <w:ind w:left="0" w:right="0"/>
              <w:rPr>
                <w:kern w:val="2"/>
                <w:sz w:val="16"/>
                <w:szCs w:val="16"/>
              </w:rPr>
            </w:pPr>
            <w:r w:rsidRPr="00097566">
              <w:rPr>
                <w:kern w:val="2"/>
                <w:sz w:val="16"/>
                <w:szCs w:val="16"/>
              </w:rPr>
              <w:t>–</w:t>
            </w:r>
          </w:p>
        </w:tc>
        <w:tc>
          <w:tcPr>
            <w:tcW w:w="698" w:type="dxa"/>
          </w:tcPr>
          <w:p w14:paraId="3537BB9F" w14:textId="77777777" w:rsidR="009E39B0" w:rsidRPr="00097566" w:rsidRDefault="009E39B0" w:rsidP="008D3F2B">
            <w:pPr>
              <w:ind w:left="0" w:right="0"/>
              <w:rPr>
                <w:kern w:val="2"/>
                <w:sz w:val="16"/>
                <w:szCs w:val="16"/>
              </w:rPr>
            </w:pPr>
            <w:r w:rsidRPr="00097566">
              <w:rPr>
                <w:kern w:val="2"/>
                <w:sz w:val="16"/>
                <w:szCs w:val="16"/>
              </w:rPr>
              <w:t>192</w:t>
            </w:r>
          </w:p>
        </w:tc>
      </w:tr>
      <w:tr w:rsidR="009E39B0" w:rsidRPr="00097566" w14:paraId="2C694ACE" w14:textId="77777777" w:rsidTr="008D3F2B">
        <w:trPr>
          <w:trHeight w:val="258"/>
        </w:trPr>
        <w:tc>
          <w:tcPr>
            <w:tcW w:w="1473" w:type="dxa"/>
            <w:vMerge/>
          </w:tcPr>
          <w:p w14:paraId="57A8A326" w14:textId="77777777" w:rsidR="009E39B0" w:rsidRPr="00097566" w:rsidRDefault="009E39B0" w:rsidP="008D3F2B">
            <w:pPr>
              <w:ind w:left="0" w:right="0"/>
              <w:rPr>
                <w:kern w:val="2"/>
                <w:sz w:val="16"/>
                <w:szCs w:val="16"/>
              </w:rPr>
            </w:pPr>
          </w:p>
        </w:tc>
        <w:tc>
          <w:tcPr>
            <w:tcW w:w="1356" w:type="dxa"/>
            <w:vMerge/>
          </w:tcPr>
          <w:p w14:paraId="7B87C7A9" w14:textId="77777777" w:rsidR="009E39B0" w:rsidRPr="00097566" w:rsidRDefault="009E39B0" w:rsidP="008D3F2B">
            <w:pPr>
              <w:ind w:left="0" w:right="0"/>
              <w:rPr>
                <w:kern w:val="2"/>
                <w:sz w:val="16"/>
                <w:szCs w:val="16"/>
              </w:rPr>
            </w:pPr>
          </w:p>
        </w:tc>
        <w:tc>
          <w:tcPr>
            <w:tcW w:w="1332" w:type="dxa"/>
          </w:tcPr>
          <w:p w14:paraId="23039CF3" w14:textId="77777777" w:rsidR="009E39B0" w:rsidRPr="00097566" w:rsidRDefault="009E39B0" w:rsidP="008D3F2B">
            <w:pPr>
              <w:ind w:left="0" w:right="0"/>
              <w:rPr>
                <w:kern w:val="2"/>
                <w:sz w:val="16"/>
                <w:szCs w:val="16"/>
              </w:rPr>
            </w:pPr>
            <w:r w:rsidRPr="00097566">
              <w:rPr>
                <w:kern w:val="2"/>
                <w:sz w:val="16"/>
                <w:szCs w:val="16"/>
              </w:rPr>
              <w:t>100</w:t>
            </w:r>
          </w:p>
        </w:tc>
        <w:tc>
          <w:tcPr>
            <w:tcW w:w="788" w:type="dxa"/>
          </w:tcPr>
          <w:p w14:paraId="5CA8E82C" w14:textId="77777777" w:rsidR="009E39B0" w:rsidRPr="00097566" w:rsidRDefault="009E39B0" w:rsidP="008D3F2B">
            <w:pPr>
              <w:ind w:left="0" w:right="0"/>
              <w:rPr>
                <w:kern w:val="2"/>
                <w:sz w:val="16"/>
                <w:szCs w:val="16"/>
              </w:rPr>
            </w:pPr>
            <w:r w:rsidRPr="00097566">
              <w:rPr>
                <w:kern w:val="2"/>
                <w:sz w:val="16"/>
                <w:szCs w:val="16"/>
              </w:rPr>
              <w:t>–</w:t>
            </w:r>
          </w:p>
        </w:tc>
        <w:tc>
          <w:tcPr>
            <w:tcW w:w="789" w:type="dxa"/>
          </w:tcPr>
          <w:p w14:paraId="56DFCE47" w14:textId="77777777" w:rsidR="009E39B0" w:rsidRPr="00097566" w:rsidRDefault="009E39B0" w:rsidP="008D3F2B">
            <w:pPr>
              <w:ind w:left="0" w:right="0"/>
              <w:rPr>
                <w:kern w:val="2"/>
                <w:sz w:val="16"/>
                <w:szCs w:val="16"/>
              </w:rPr>
            </w:pPr>
            <w:r w:rsidRPr="00097566">
              <w:rPr>
                <w:kern w:val="2"/>
                <w:sz w:val="16"/>
                <w:szCs w:val="16"/>
              </w:rPr>
              <w:t>424</w:t>
            </w:r>
          </w:p>
        </w:tc>
        <w:tc>
          <w:tcPr>
            <w:tcW w:w="775" w:type="dxa"/>
          </w:tcPr>
          <w:p w14:paraId="62F96204" w14:textId="77777777" w:rsidR="009E39B0" w:rsidRPr="00097566" w:rsidRDefault="009E39B0" w:rsidP="008D3F2B">
            <w:pPr>
              <w:ind w:left="0" w:right="0"/>
              <w:rPr>
                <w:kern w:val="2"/>
                <w:sz w:val="16"/>
                <w:szCs w:val="16"/>
              </w:rPr>
            </w:pPr>
            <w:r w:rsidRPr="00097566">
              <w:rPr>
                <w:kern w:val="2"/>
                <w:sz w:val="16"/>
                <w:szCs w:val="16"/>
              </w:rPr>
              <w:t>–</w:t>
            </w:r>
          </w:p>
        </w:tc>
        <w:tc>
          <w:tcPr>
            <w:tcW w:w="776" w:type="dxa"/>
          </w:tcPr>
          <w:p w14:paraId="143226B2" w14:textId="77777777" w:rsidR="009E39B0" w:rsidRPr="00097566" w:rsidRDefault="009E39B0" w:rsidP="008D3F2B">
            <w:pPr>
              <w:ind w:left="0" w:right="0"/>
              <w:rPr>
                <w:kern w:val="2"/>
                <w:sz w:val="16"/>
                <w:szCs w:val="16"/>
              </w:rPr>
            </w:pPr>
            <w:r w:rsidRPr="00097566">
              <w:rPr>
                <w:kern w:val="2"/>
                <w:sz w:val="16"/>
                <w:szCs w:val="16"/>
              </w:rPr>
              <w:t>30.1</w:t>
            </w:r>
          </w:p>
        </w:tc>
        <w:tc>
          <w:tcPr>
            <w:tcW w:w="697" w:type="dxa"/>
          </w:tcPr>
          <w:p w14:paraId="63033C13" w14:textId="77777777" w:rsidR="009E39B0" w:rsidRPr="00097566" w:rsidRDefault="009E39B0" w:rsidP="008D3F2B">
            <w:pPr>
              <w:ind w:left="0" w:right="0"/>
              <w:rPr>
                <w:kern w:val="2"/>
                <w:sz w:val="16"/>
                <w:szCs w:val="16"/>
              </w:rPr>
            </w:pPr>
            <w:r w:rsidRPr="00097566">
              <w:rPr>
                <w:kern w:val="2"/>
                <w:sz w:val="16"/>
                <w:szCs w:val="16"/>
              </w:rPr>
              <w:t>–</w:t>
            </w:r>
          </w:p>
        </w:tc>
        <w:tc>
          <w:tcPr>
            <w:tcW w:w="698" w:type="dxa"/>
          </w:tcPr>
          <w:p w14:paraId="0E2494B3" w14:textId="77777777" w:rsidR="009E39B0" w:rsidRPr="00097566" w:rsidRDefault="009E39B0" w:rsidP="008D3F2B">
            <w:pPr>
              <w:ind w:left="0" w:right="0"/>
              <w:rPr>
                <w:kern w:val="2"/>
                <w:sz w:val="16"/>
                <w:szCs w:val="16"/>
              </w:rPr>
            </w:pPr>
            <w:r w:rsidRPr="00097566">
              <w:rPr>
                <w:kern w:val="2"/>
                <w:sz w:val="16"/>
                <w:szCs w:val="16"/>
              </w:rPr>
              <w:t>394</w:t>
            </w:r>
          </w:p>
        </w:tc>
      </w:tr>
      <w:tr w:rsidR="009E39B0" w:rsidRPr="00097566" w14:paraId="52DB2D6D" w14:textId="77777777" w:rsidTr="008D3F2B">
        <w:trPr>
          <w:trHeight w:val="258"/>
        </w:trPr>
        <w:tc>
          <w:tcPr>
            <w:tcW w:w="1473" w:type="dxa"/>
            <w:vMerge/>
          </w:tcPr>
          <w:p w14:paraId="5E678804" w14:textId="77777777" w:rsidR="009E39B0" w:rsidRPr="00097566" w:rsidRDefault="009E39B0" w:rsidP="008D3F2B">
            <w:pPr>
              <w:ind w:left="0" w:right="0"/>
              <w:rPr>
                <w:kern w:val="2"/>
                <w:sz w:val="16"/>
                <w:szCs w:val="16"/>
              </w:rPr>
            </w:pPr>
          </w:p>
        </w:tc>
        <w:tc>
          <w:tcPr>
            <w:tcW w:w="1356" w:type="dxa"/>
            <w:vMerge/>
          </w:tcPr>
          <w:p w14:paraId="44D9F0B9" w14:textId="77777777" w:rsidR="009E39B0" w:rsidRPr="00097566" w:rsidRDefault="009E39B0" w:rsidP="008D3F2B">
            <w:pPr>
              <w:ind w:left="0" w:right="0"/>
              <w:rPr>
                <w:kern w:val="2"/>
                <w:sz w:val="16"/>
                <w:szCs w:val="16"/>
              </w:rPr>
            </w:pPr>
          </w:p>
        </w:tc>
        <w:tc>
          <w:tcPr>
            <w:tcW w:w="1332" w:type="dxa"/>
          </w:tcPr>
          <w:p w14:paraId="77F4B8ED" w14:textId="77777777" w:rsidR="009E39B0" w:rsidRPr="00097566" w:rsidRDefault="009E39B0" w:rsidP="008D3F2B">
            <w:pPr>
              <w:ind w:left="0" w:right="0"/>
              <w:rPr>
                <w:kern w:val="2"/>
                <w:sz w:val="16"/>
                <w:szCs w:val="16"/>
              </w:rPr>
            </w:pPr>
            <w:r w:rsidRPr="00097566">
              <w:rPr>
                <w:kern w:val="2"/>
                <w:sz w:val="16"/>
                <w:szCs w:val="16"/>
              </w:rPr>
              <w:t>250</w:t>
            </w:r>
          </w:p>
        </w:tc>
        <w:tc>
          <w:tcPr>
            <w:tcW w:w="788" w:type="dxa"/>
          </w:tcPr>
          <w:p w14:paraId="0267667F" w14:textId="77777777" w:rsidR="009E39B0" w:rsidRPr="00097566" w:rsidRDefault="009E39B0" w:rsidP="008D3F2B">
            <w:pPr>
              <w:ind w:left="0" w:right="0"/>
              <w:rPr>
                <w:kern w:val="2"/>
                <w:sz w:val="16"/>
                <w:szCs w:val="16"/>
              </w:rPr>
            </w:pPr>
            <w:r w:rsidRPr="00097566">
              <w:rPr>
                <w:kern w:val="2"/>
                <w:sz w:val="16"/>
                <w:szCs w:val="16"/>
              </w:rPr>
              <w:t>–</w:t>
            </w:r>
          </w:p>
        </w:tc>
        <w:tc>
          <w:tcPr>
            <w:tcW w:w="789" w:type="dxa"/>
          </w:tcPr>
          <w:p w14:paraId="53D3B621" w14:textId="77777777" w:rsidR="009E39B0" w:rsidRPr="00097566" w:rsidRDefault="009E39B0" w:rsidP="008D3F2B">
            <w:pPr>
              <w:ind w:left="0" w:right="0"/>
              <w:rPr>
                <w:kern w:val="2"/>
                <w:sz w:val="16"/>
                <w:szCs w:val="16"/>
              </w:rPr>
            </w:pPr>
            <w:r w:rsidRPr="00097566">
              <w:rPr>
                <w:kern w:val="2"/>
                <w:sz w:val="16"/>
                <w:szCs w:val="16"/>
              </w:rPr>
              <w:t>1150</w:t>
            </w:r>
          </w:p>
        </w:tc>
        <w:tc>
          <w:tcPr>
            <w:tcW w:w="775" w:type="dxa"/>
          </w:tcPr>
          <w:p w14:paraId="7BFEFF55" w14:textId="77777777" w:rsidR="009E39B0" w:rsidRPr="00097566" w:rsidRDefault="009E39B0" w:rsidP="008D3F2B">
            <w:pPr>
              <w:ind w:left="0" w:right="0"/>
              <w:rPr>
                <w:kern w:val="2"/>
                <w:sz w:val="16"/>
                <w:szCs w:val="16"/>
              </w:rPr>
            </w:pPr>
            <w:r w:rsidRPr="00097566">
              <w:rPr>
                <w:kern w:val="2"/>
                <w:sz w:val="16"/>
                <w:szCs w:val="16"/>
              </w:rPr>
              <w:t>–</w:t>
            </w:r>
          </w:p>
        </w:tc>
        <w:tc>
          <w:tcPr>
            <w:tcW w:w="776" w:type="dxa"/>
          </w:tcPr>
          <w:p w14:paraId="00964D94" w14:textId="77777777" w:rsidR="009E39B0" w:rsidRPr="00097566" w:rsidRDefault="009E39B0" w:rsidP="008D3F2B">
            <w:pPr>
              <w:ind w:left="0" w:right="0"/>
              <w:rPr>
                <w:kern w:val="2"/>
                <w:sz w:val="16"/>
                <w:szCs w:val="16"/>
              </w:rPr>
            </w:pPr>
            <w:r w:rsidRPr="00097566">
              <w:rPr>
                <w:kern w:val="2"/>
                <w:sz w:val="16"/>
                <w:szCs w:val="16"/>
              </w:rPr>
              <w:t>81.7</w:t>
            </w:r>
          </w:p>
        </w:tc>
        <w:tc>
          <w:tcPr>
            <w:tcW w:w="697" w:type="dxa"/>
          </w:tcPr>
          <w:p w14:paraId="212AD73F" w14:textId="77777777" w:rsidR="009E39B0" w:rsidRPr="00097566" w:rsidRDefault="009E39B0" w:rsidP="008D3F2B">
            <w:pPr>
              <w:ind w:left="0" w:right="0"/>
              <w:rPr>
                <w:kern w:val="2"/>
                <w:sz w:val="16"/>
                <w:szCs w:val="16"/>
              </w:rPr>
            </w:pPr>
            <w:r w:rsidRPr="00097566">
              <w:rPr>
                <w:kern w:val="2"/>
                <w:sz w:val="16"/>
                <w:szCs w:val="16"/>
              </w:rPr>
              <w:t>–</w:t>
            </w:r>
          </w:p>
        </w:tc>
        <w:tc>
          <w:tcPr>
            <w:tcW w:w="698" w:type="dxa"/>
          </w:tcPr>
          <w:p w14:paraId="03905360" w14:textId="77777777" w:rsidR="009E39B0" w:rsidRPr="00097566" w:rsidRDefault="009E39B0" w:rsidP="008D3F2B">
            <w:pPr>
              <w:ind w:left="0" w:right="0"/>
              <w:rPr>
                <w:kern w:val="2"/>
                <w:sz w:val="16"/>
                <w:szCs w:val="16"/>
              </w:rPr>
            </w:pPr>
            <w:r w:rsidRPr="00097566">
              <w:rPr>
                <w:kern w:val="2"/>
                <w:sz w:val="16"/>
                <w:szCs w:val="16"/>
              </w:rPr>
              <w:t>1069</w:t>
            </w:r>
          </w:p>
        </w:tc>
      </w:tr>
      <w:tr w:rsidR="009E39B0" w:rsidRPr="00097566" w14:paraId="4467EA11" w14:textId="77777777" w:rsidTr="008D3F2B">
        <w:trPr>
          <w:trHeight w:val="229"/>
        </w:trPr>
        <w:tc>
          <w:tcPr>
            <w:tcW w:w="1473" w:type="dxa"/>
          </w:tcPr>
          <w:p w14:paraId="3D6AA2D9" w14:textId="4BF15146" w:rsidR="009E39B0" w:rsidRPr="00097566" w:rsidRDefault="009E39B0" w:rsidP="008D3F2B">
            <w:pPr>
              <w:ind w:left="0" w:right="0"/>
              <w:rPr>
                <w:kern w:val="2"/>
                <w:sz w:val="16"/>
                <w:szCs w:val="16"/>
              </w:rPr>
            </w:pPr>
            <w:r w:rsidRPr="00097566">
              <w:rPr>
                <w:kern w:val="2"/>
                <w:sz w:val="16"/>
                <w:szCs w:val="16"/>
              </w:rPr>
              <w:t>Human</w:t>
            </w:r>
            <w:r w:rsidR="00AD51CF">
              <w:rPr>
                <w:kern w:val="2"/>
                <w:sz w:val="16"/>
                <w:szCs w:val="16"/>
              </w:rPr>
              <w:t xml:space="preserve"> </w:t>
            </w:r>
            <w:r w:rsidRPr="00097566">
              <w:rPr>
                <w:kern w:val="2"/>
                <w:sz w:val="16"/>
                <w:szCs w:val="16"/>
              </w:rPr>
              <w:t>(healthy subjects)</w:t>
            </w:r>
          </w:p>
        </w:tc>
        <w:tc>
          <w:tcPr>
            <w:tcW w:w="1356" w:type="dxa"/>
          </w:tcPr>
          <w:p w14:paraId="08BA9B36" w14:textId="03C7C027" w:rsidR="009E39B0" w:rsidRPr="00097566" w:rsidRDefault="009E39B0" w:rsidP="008D3F2B">
            <w:pPr>
              <w:ind w:left="0" w:right="0"/>
              <w:rPr>
                <w:kern w:val="2"/>
                <w:sz w:val="16"/>
                <w:szCs w:val="16"/>
              </w:rPr>
            </w:pPr>
            <w:r w:rsidRPr="00097566">
              <w:rPr>
                <w:kern w:val="2"/>
                <w:sz w:val="16"/>
                <w:szCs w:val="16"/>
              </w:rPr>
              <w:t>steady state</w:t>
            </w:r>
            <w:r w:rsidR="00AD51CF">
              <w:rPr>
                <w:kern w:val="2"/>
                <w:sz w:val="16"/>
                <w:szCs w:val="16"/>
              </w:rPr>
              <w:t xml:space="preserve"> </w:t>
            </w:r>
            <w:r w:rsidRPr="00097566">
              <w:rPr>
                <w:kern w:val="2"/>
                <w:sz w:val="16"/>
                <w:szCs w:val="16"/>
              </w:rPr>
              <w:t>[P035/1051]</w:t>
            </w:r>
          </w:p>
        </w:tc>
        <w:tc>
          <w:tcPr>
            <w:tcW w:w="1332" w:type="dxa"/>
          </w:tcPr>
          <w:p w14:paraId="79E10A34" w14:textId="60EED810" w:rsidR="009E39B0" w:rsidRPr="00097566" w:rsidRDefault="009E39B0" w:rsidP="008D3F2B">
            <w:pPr>
              <w:ind w:left="0" w:right="0"/>
              <w:rPr>
                <w:kern w:val="2"/>
                <w:sz w:val="16"/>
                <w:szCs w:val="16"/>
              </w:rPr>
            </w:pPr>
            <w:r w:rsidRPr="00097566">
              <w:rPr>
                <w:kern w:val="2"/>
                <w:sz w:val="16"/>
                <w:szCs w:val="16"/>
              </w:rPr>
              <w:t>15</w:t>
            </w:r>
            <w:r w:rsidR="00715B39">
              <w:rPr>
                <w:kern w:val="2"/>
                <w:sz w:val="16"/>
                <w:szCs w:val="16"/>
              </w:rPr>
              <w:t xml:space="preserve"> </w:t>
            </w:r>
            <w:r w:rsidR="006D7D02">
              <w:rPr>
                <w:kern w:val="2"/>
                <w:sz w:val="16"/>
                <w:szCs w:val="16"/>
              </w:rPr>
              <w:t>mg</w:t>
            </w:r>
            <w:r w:rsidRPr="00097566">
              <w:rPr>
                <w:kern w:val="2"/>
                <w:sz w:val="16"/>
                <w:szCs w:val="16"/>
              </w:rPr>
              <w:t>/day</w:t>
            </w:r>
          </w:p>
        </w:tc>
        <w:tc>
          <w:tcPr>
            <w:tcW w:w="1576" w:type="dxa"/>
            <w:gridSpan w:val="2"/>
          </w:tcPr>
          <w:p w14:paraId="495177CF" w14:textId="77777777" w:rsidR="009E39B0" w:rsidRPr="00097566" w:rsidRDefault="009E39B0" w:rsidP="008D3F2B">
            <w:pPr>
              <w:ind w:left="0" w:right="0"/>
              <w:rPr>
                <w:kern w:val="2"/>
                <w:sz w:val="16"/>
                <w:szCs w:val="16"/>
              </w:rPr>
            </w:pPr>
            <w:r w:rsidRPr="00097566">
              <w:rPr>
                <w:kern w:val="2"/>
                <w:sz w:val="16"/>
                <w:szCs w:val="16"/>
              </w:rPr>
              <w:t>1.193</w:t>
            </w:r>
          </w:p>
        </w:tc>
        <w:tc>
          <w:tcPr>
            <w:tcW w:w="1551" w:type="dxa"/>
            <w:gridSpan w:val="2"/>
          </w:tcPr>
          <w:p w14:paraId="556E10E5" w14:textId="77777777" w:rsidR="009E39B0" w:rsidRPr="00097566" w:rsidRDefault="009E39B0" w:rsidP="008D3F2B">
            <w:pPr>
              <w:ind w:left="0" w:right="0"/>
              <w:rPr>
                <w:kern w:val="2"/>
                <w:sz w:val="16"/>
                <w:szCs w:val="16"/>
              </w:rPr>
            </w:pPr>
            <w:r w:rsidRPr="00097566">
              <w:rPr>
                <w:kern w:val="2"/>
                <w:sz w:val="16"/>
                <w:szCs w:val="16"/>
              </w:rPr>
              <w:t>0.0764</w:t>
            </w:r>
          </w:p>
        </w:tc>
        <w:tc>
          <w:tcPr>
            <w:tcW w:w="1396" w:type="dxa"/>
            <w:gridSpan w:val="2"/>
          </w:tcPr>
          <w:p w14:paraId="7A8B1314" w14:textId="77777777" w:rsidR="009E39B0" w:rsidRPr="00097566" w:rsidRDefault="009E39B0" w:rsidP="008D3F2B">
            <w:pPr>
              <w:ind w:left="0" w:right="0"/>
              <w:rPr>
                <w:kern w:val="2"/>
                <w:sz w:val="16"/>
                <w:szCs w:val="16"/>
              </w:rPr>
            </w:pPr>
            <w:r w:rsidRPr="00097566">
              <w:rPr>
                <w:kern w:val="2"/>
                <w:sz w:val="16"/>
                <w:szCs w:val="16"/>
              </w:rPr>
              <w:t>–</w:t>
            </w:r>
          </w:p>
        </w:tc>
      </w:tr>
    </w:tbl>
    <w:p w14:paraId="618B5522" w14:textId="5C30FA7D" w:rsidR="009E39B0" w:rsidRPr="00AD51CF" w:rsidRDefault="009E39B0">
      <w:pPr>
        <w:pStyle w:val="TableDescription"/>
      </w:pPr>
      <w:r w:rsidRPr="008D3F2B">
        <w:t># = animal:human plasma AUC0–24 h for unbound ertugliflozin; ^ = due to limited/absent toxicokinetic sampling, AUC</w:t>
      </w:r>
      <w:r w:rsidR="00AD51CF">
        <w:t xml:space="preserve"> </w:t>
      </w:r>
      <w:r w:rsidRPr="00AD51CF">
        <w:t>values for the fertility study are from a 1-month rat repeat</w:t>
      </w:r>
      <w:r w:rsidR="00AD51CF">
        <w:t xml:space="preserve"> </w:t>
      </w:r>
      <w:r w:rsidRPr="00AD51CF">
        <w:t>dose toxicity study (TT097890), and from the rat embryofetal development study for the pre</w:t>
      </w:r>
      <w:r w:rsidRPr="00E25FFB">
        <w:noBreakHyphen/>
        <w:t>/postnatal development study; fraction unbound: 4.0% for rat, 7.1%</w:t>
      </w:r>
      <w:r w:rsidR="00AD51CF">
        <w:t xml:space="preserve"> </w:t>
      </w:r>
      <w:r w:rsidRPr="00AD51CF">
        <w:t>for</w:t>
      </w:r>
      <w:r w:rsidR="00AD51CF">
        <w:t xml:space="preserve"> </w:t>
      </w:r>
      <w:r w:rsidRPr="00AD51CF">
        <w:t>rabbit and 6.4% for human</w:t>
      </w:r>
      <w:r w:rsidR="00AD51CF">
        <w:t>.</w:t>
      </w:r>
    </w:p>
    <w:p w14:paraId="394DD3B7" w14:textId="6EB03438" w:rsidR="009E39B0" w:rsidRDefault="009E39B0" w:rsidP="00B244EF">
      <w:r>
        <w:t>Male and female fertility were unaffected in rats up to the highest dose tested (250</w:t>
      </w:r>
      <w:r w:rsidR="00E87327">
        <w:t> </w:t>
      </w:r>
      <w:r w:rsidR="006D7D02">
        <w:t>mg</w:t>
      </w:r>
      <w:r>
        <w:t>/kg/day; relative exposure, 283</w:t>
      </w:r>
      <w:r w:rsidR="00AD51CF">
        <w:t xml:space="preserve"> to </w:t>
      </w:r>
      <w:r>
        <w:t>376).</w:t>
      </w:r>
    </w:p>
    <w:p w14:paraId="79BFEF90" w14:textId="502EA847" w:rsidR="009E39B0" w:rsidRPr="008B5B3C" w:rsidRDefault="009E39B0" w:rsidP="00B244EF">
      <w:r w:rsidRPr="008B5B3C">
        <w:t>Ertugliflozin and/or its metabolites were shown to cross the placenta and be excreted in milk in rats.</w:t>
      </w:r>
      <w:r>
        <w:t xml:space="preserve"> While only </w:t>
      </w:r>
      <w:r w:rsidR="008D3F2B">
        <w:t>[</w:t>
      </w:r>
      <w:r w:rsidRPr="009844BE">
        <w:rPr>
          <w:vertAlign w:val="superscript"/>
        </w:rPr>
        <w:t>14</w:t>
      </w:r>
      <w:r>
        <w:t>C</w:t>
      </w:r>
      <w:r w:rsidR="008D3F2B">
        <w:t>]</w:t>
      </w:r>
      <w:r>
        <w:t>-ertugliflozin</w:t>
      </w:r>
      <w:r w:rsidR="00AD51CF">
        <w:t xml:space="preserve"> </w:t>
      </w:r>
      <w:r>
        <w:t>derived radioactivity was measured (</w:t>
      </w:r>
      <w:r w:rsidR="00B244EF">
        <w:t>that is,</w:t>
      </w:r>
      <w:r>
        <w:t xml:space="preserve"> representing unchanged drug and/or metabolites), excretion of unchanged ertugliflozin in milk is apparent from observations of pharmacologically-mediated effects in nursing pups.</w:t>
      </w:r>
    </w:p>
    <w:p w14:paraId="53567095" w14:textId="05EEE6E4" w:rsidR="009E39B0" w:rsidRDefault="009E39B0" w:rsidP="00B244EF">
      <w:r>
        <w:t>Treatment with ertugliflozin was associated with embryo</w:t>
      </w:r>
      <w:r w:rsidR="00AD51CF">
        <w:t>-</w:t>
      </w:r>
      <w:r>
        <w:t xml:space="preserve">lethality (increased </w:t>
      </w:r>
      <w:r w:rsidRPr="00E30FB9">
        <w:t>post</w:t>
      </w:r>
      <w:r w:rsidRPr="00E30FB9">
        <w:noBreakHyphen/>
      </w:r>
      <w:r>
        <w:t>implantation loss due to increased early resorptions and leading to decreased live litter size) and teratogenicity (increased incidence of cardiac malformation [membranous ventricular septal defect])</w:t>
      </w:r>
      <w:r w:rsidRPr="00AA100E">
        <w:t xml:space="preserve"> </w:t>
      </w:r>
      <w:r>
        <w:t>at 250 </w:t>
      </w:r>
      <w:r w:rsidR="006D7D02">
        <w:t>mg</w:t>
      </w:r>
      <w:r>
        <w:t xml:space="preserve">/kg/day in the rat embryofetal development study; </w:t>
      </w:r>
      <w:r>
        <w:lastRenderedPageBreak/>
        <w:t>skeletal variations were also increased. This dose was maternotoxic. The NOEL for effects on embryofetal development in the rat is 100 </w:t>
      </w:r>
      <w:r w:rsidR="006D7D02">
        <w:t>mg</w:t>
      </w:r>
      <w:r>
        <w:t xml:space="preserve">/kg/day (relative exposure, </w:t>
      </w:r>
      <w:r w:rsidR="00D87593">
        <w:t xml:space="preserve">approximately </w:t>
      </w:r>
      <w:r>
        <w:t>240). No adverse effects on embryofetal development were observed in the rabbit (≤</w:t>
      </w:r>
      <w:r w:rsidR="00B244EF">
        <w:t> </w:t>
      </w:r>
      <w:r>
        <w:t>250</w:t>
      </w:r>
      <w:r w:rsidR="00E87327">
        <w:t xml:space="preserve"> </w:t>
      </w:r>
      <w:r w:rsidR="006D7D02">
        <w:t>mg</w:t>
      </w:r>
      <w:r>
        <w:t xml:space="preserve">/kg/day; relative exposure, </w:t>
      </w:r>
      <w:r w:rsidR="00AD51CF">
        <w:t xml:space="preserve">&gt; </w:t>
      </w:r>
      <w:r>
        <w:t>1000).</w:t>
      </w:r>
    </w:p>
    <w:p w14:paraId="3629D4FA" w14:textId="5C567334" w:rsidR="009E39B0" w:rsidRDefault="009E39B0" w:rsidP="00B244EF">
      <w:pPr>
        <w:rPr>
          <w:kern w:val="2"/>
          <w:szCs w:val="20"/>
        </w:rPr>
      </w:pPr>
      <w:r>
        <w:t xml:space="preserve">In the </w:t>
      </w:r>
      <w:r w:rsidRPr="00AA100E">
        <w:t>pre</w:t>
      </w:r>
      <w:r w:rsidRPr="00AA100E">
        <w:noBreakHyphen/>
      </w:r>
      <w:r>
        <w:t xml:space="preserve">/postnatal development study in rats, treatment with ertugliflozin decreased pup body weight at all doses </w:t>
      </w:r>
      <w:r w:rsidRPr="00FF12FD">
        <w:t>pre</w:t>
      </w:r>
      <w:r w:rsidRPr="00FF12FD">
        <w:noBreakHyphen/>
      </w:r>
      <w:r>
        <w:t>weaning (</w:t>
      </w:r>
      <w:r w:rsidR="00EB55BF">
        <w:t xml:space="preserve">≥ </w:t>
      </w:r>
      <w:r>
        <w:t>50</w:t>
      </w:r>
      <w:r w:rsidR="00E87327">
        <w:t xml:space="preserve"> </w:t>
      </w:r>
      <w:r w:rsidR="006D7D02">
        <w:t>mg</w:t>
      </w:r>
      <w:r>
        <w:t xml:space="preserve">/kg/day) and at </w:t>
      </w:r>
      <w:r w:rsidR="00EB55BF">
        <w:t xml:space="preserve">≥ </w:t>
      </w:r>
      <w:r>
        <w:t>100</w:t>
      </w:r>
      <w:r w:rsidR="00E87327">
        <w:t xml:space="preserve"> </w:t>
      </w:r>
      <w:r w:rsidR="006D7D02">
        <w:t>mg</w:t>
      </w:r>
      <w:r>
        <w:t xml:space="preserve">/kg/day </w:t>
      </w:r>
      <w:r w:rsidRPr="00FF12FD">
        <w:t>post</w:t>
      </w:r>
      <w:r w:rsidRPr="00FF12FD">
        <w:noBreakHyphen/>
      </w:r>
      <w:r>
        <w:t>weaning. At 250 </w:t>
      </w:r>
      <w:r w:rsidR="006D7D02">
        <w:t>mg</w:t>
      </w:r>
      <w:r>
        <w:t xml:space="preserve">/kg/day, there were reductions in pup birth weight and perinatal survival (with no milk in stomach commonly seen at necropsy) and delays in male and female sexual maturation. Motor activity, sensory function, learning and memory, and reproductive function were unaffected in the offspring. The NOAEL for effects on </w:t>
      </w:r>
      <w:r w:rsidRPr="00FF12FD">
        <w:t>pre</w:t>
      </w:r>
      <w:r>
        <w:t>/postnatal development is 50</w:t>
      </w:r>
      <w:r w:rsidR="00E87327">
        <w:t xml:space="preserve"> </w:t>
      </w:r>
      <w:r w:rsidR="006D7D02">
        <w:t>mg</w:t>
      </w:r>
      <w:r>
        <w:t xml:space="preserve">/kg/day (relative exposure, </w:t>
      </w:r>
      <w:r w:rsidR="00AD51CF">
        <w:t xml:space="preserve">&gt; </w:t>
      </w:r>
      <w:r>
        <w:t>100), with the effects on body weight observed at this low</w:t>
      </w:r>
      <w:r w:rsidR="00AD51CF">
        <w:t xml:space="preserve"> </w:t>
      </w:r>
      <w:r>
        <w:t xml:space="preserve">dose level not </w:t>
      </w:r>
      <w:r w:rsidR="00F14099">
        <w:t>as</w:t>
      </w:r>
      <w:r>
        <w:t xml:space="preserve"> severe as to be considered </w:t>
      </w:r>
      <w:r w:rsidR="00F14099">
        <w:t xml:space="preserve">as </w:t>
      </w:r>
      <w:r>
        <w:t xml:space="preserve">adverse. The adverse effects on </w:t>
      </w:r>
      <w:r w:rsidRPr="00765ECA">
        <w:t>pre</w:t>
      </w:r>
      <w:r>
        <w:t xml:space="preserve">/postnatal development observed in this study occurred in conjunction with maternotoxicity. </w:t>
      </w:r>
      <w:r>
        <w:rPr>
          <w:kern w:val="2"/>
          <w:szCs w:val="20"/>
        </w:rPr>
        <w:t>Tissues of pups (most notably the kidney; see below) were not subjected to microscopic examination.</w:t>
      </w:r>
    </w:p>
    <w:p w14:paraId="7DDC5448" w14:textId="47FBC30D" w:rsidR="009E39B0" w:rsidRPr="00786397" w:rsidRDefault="009E39B0" w:rsidP="00B244EF">
      <w:pPr>
        <w:rPr>
          <w:kern w:val="2"/>
        </w:rPr>
      </w:pPr>
      <w:r>
        <w:rPr>
          <w:kern w:val="2"/>
          <w:szCs w:val="20"/>
        </w:rPr>
        <w:t xml:space="preserve">The juvenile toxicity study involved treatment of rats for 10 weeks from postnatal </w:t>
      </w:r>
      <w:r w:rsidR="00AD51CF">
        <w:rPr>
          <w:kern w:val="2"/>
          <w:szCs w:val="20"/>
        </w:rPr>
        <w:t>D</w:t>
      </w:r>
      <w:r>
        <w:rPr>
          <w:kern w:val="2"/>
          <w:szCs w:val="20"/>
        </w:rPr>
        <w:t xml:space="preserve">ay 21. Body weight gain was suppressed in males at </w:t>
      </w:r>
      <w:r w:rsidR="00EB55BF">
        <w:rPr>
          <w:kern w:val="2"/>
          <w:szCs w:val="20"/>
        </w:rPr>
        <w:t xml:space="preserve">≥ </w:t>
      </w:r>
      <w:r>
        <w:rPr>
          <w:kern w:val="2"/>
          <w:szCs w:val="20"/>
        </w:rPr>
        <w:t>25</w:t>
      </w:r>
      <w:r w:rsidR="00E87327">
        <w:rPr>
          <w:kern w:val="2"/>
          <w:szCs w:val="20"/>
        </w:rPr>
        <w:t xml:space="preserve"> </w:t>
      </w:r>
      <w:r w:rsidR="006D7D02">
        <w:rPr>
          <w:kern w:val="2"/>
          <w:szCs w:val="20"/>
        </w:rPr>
        <w:t>mg</w:t>
      </w:r>
      <w:r>
        <w:rPr>
          <w:kern w:val="2"/>
          <w:szCs w:val="20"/>
        </w:rPr>
        <w:t>/kg/day. At 250</w:t>
      </w:r>
      <w:r w:rsidR="00E87327">
        <w:rPr>
          <w:kern w:val="2"/>
          <w:szCs w:val="20"/>
        </w:rPr>
        <w:t xml:space="preserve"> </w:t>
      </w:r>
      <w:r w:rsidR="006D7D02">
        <w:rPr>
          <w:kern w:val="2"/>
          <w:szCs w:val="20"/>
        </w:rPr>
        <w:t>mg</w:t>
      </w:r>
      <w:r>
        <w:rPr>
          <w:kern w:val="2"/>
          <w:szCs w:val="20"/>
        </w:rPr>
        <w:t>/kg/day, there was transient inhibition of body weight gain in females, along with delays in sexual maturation in both sexes (in females, this was not secondary to lower body weight). Increased bodyweight</w:t>
      </w:r>
      <w:r w:rsidR="00AD51CF">
        <w:rPr>
          <w:kern w:val="2"/>
          <w:szCs w:val="20"/>
        </w:rPr>
        <w:t xml:space="preserve"> </w:t>
      </w:r>
      <w:r>
        <w:rPr>
          <w:kern w:val="2"/>
          <w:szCs w:val="20"/>
        </w:rPr>
        <w:t>relative kidney weight and microscopic renal changes were observed at all dose levels tested (</w:t>
      </w:r>
      <w:r w:rsidR="00EB55BF">
        <w:rPr>
          <w:kern w:val="2"/>
          <w:szCs w:val="20"/>
        </w:rPr>
        <w:t xml:space="preserve">≥ </w:t>
      </w:r>
      <w:r>
        <w:rPr>
          <w:kern w:val="2"/>
          <w:szCs w:val="20"/>
        </w:rPr>
        <w:t>5</w:t>
      </w:r>
      <w:r w:rsidR="00E87327">
        <w:rPr>
          <w:kern w:val="2"/>
          <w:szCs w:val="20"/>
        </w:rPr>
        <w:t xml:space="preserve"> </w:t>
      </w:r>
      <w:r w:rsidR="006D7D02">
        <w:rPr>
          <w:kern w:val="2"/>
          <w:szCs w:val="20"/>
        </w:rPr>
        <w:t>mg</w:t>
      </w:r>
      <w:r>
        <w:rPr>
          <w:kern w:val="2"/>
          <w:szCs w:val="20"/>
        </w:rPr>
        <w:t>/kg/day; relative exposure, 13 [mean for males and females]). While the histopathological findings were similar in nature to those seen in adult animals</w:t>
      </w:r>
      <w:r w:rsidR="00B244EF">
        <w:rPr>
          <w:kern w:val="2"/>
          <w:szCs w:val="20"/>
        </w:rPr>
        <w:t xml:space="preserve">, </w:t>
      </w:r>
      <w:r>
        <w:rPr>
          <w:kern w:val="2"/>
          <w:szCs w:val="20"/>
        </w:rPr>
        <w:t>comprising renal tubule dilatation, pelvis dilatation and mineralisation</w:t>
      </w:r>
      <w:r w:rsidR="00B244EF">
        <w:rPr>
          <w:kern w:val="2"/>
          <w:szCs w:val="20"/>
        </w:rPr>
        <w:t>,</w:t>
      </w:r>
      <w:r>
        <w:rPr>
          <w:kern w:val="2"/>
          <w:szCs w:val="20"/>
        </w:rPr>
        <w:t> the incidence was greater in the younger animals. This was most prominent for tubule dilatation, with 17/20 juvenile rats displaying the finding at 5</w:t>
      </w:r>
      <w:r w:rsidR="00E87327">
        <w:rPr>
          <w:kern w:val="2"/>
          <w:szCs w:val="20"/>
        </w:rPr>
        <w:t xml:space="preserve"> </w:t>
      </w:r>
      <w:r w:rsidR="006D7D02">
        <w:rPr>
          <w:kern w:val="2"/>
          <w:szCs w:val="20"/>
        </w:rPr>
        <w:t>mg</w:t>
      </w:r>
      <w:r>
        <w:rPr>
          <w:kern w:val="2"/>
          <w:szCs w:val="20"/>
        </w:rPr>
        <w:t xml:space="preserve">/kg/day </w:t>
      </w:r>
      <w:r w:rsidR="00B244EF">
        <w:rPr>
          <w:kern w:val="2"/>
          <w:szCs w:val="20"/>
        </w:rPr>
        <w:t>compared to</w:t>
      </w:r>
      <w:r>
        <w:rPr>
          <w:kern w:val="2"/>
        </w:rPr>
        <w:t> 2/20 adult animals treated at this dose level in a 13</w:t>
      </w:r>
      <w:r w:rsidR="00B244EF">
        <w:rPr>
          <w:kern w:val="2"/>
        </w:rPr>
        <w:t xml:space="preserve"> </w:t>
      </w:r>
      <w:r>
        <w:rPr>
          <w:kern w:val="2"/>
        </w:rPr>
        <w:t>week study (where exposure was similar). Increased bone was also observed (at 250</w:t>
      </w:r>
      <w:r w:rsidR="00E87327">
        <w:rPr>
          <w:kern w:val="2"/>
        </w:rPr>
        <w:t xml:space="preserve"> </w:t>
      </w:r>
      <w:r w:rsidR="006D7D02">
        <w:rPr>
          <w:kern w:val="2"/>
        </w:rPr>
        <w:t>mg</w:t>
      </w:r>
      <w:r>
        <w:rPr>
          <w:kern w:val="2"/>
        </w:rPr>
        <w:t xml:space="preserve">/kg/day in males and at </w:t>
      </w:r>
      <w:r w:rsidRPr="004E14CF">
        <w:rPr>
          <w:kern w:val="2"/>
        </w:rPr>
        <w:t>≥</w:t>
      </w:r>
      <w:r w:rsidR="00AD51CF">
        <w:rPr>
          <w:kern w:val="2"/>
        </w:rPr>
        <w:t> </w:t>
      </w:r>
      <w:r w:rsidRPr="004E14CF">
        <w:rPr>
          <w:kern w:val="2"/>
        </w:rPr>
        <w:t>25 </w:t>
      </w:r>
      <w:r w:rsidR="006D7D02">
        <w:rPr>
          <w:kern w:val="2"/>
        </w:rPr>
        <w:t>mg</w:t>
      </w:r>
      <w:r w:rsidRPr="004E14CF">
        <w:rPr>
          <w:kern w:val="2"/>
        </w:rPr>
        <w:t>/kg/day in females), in</w:t>
      </w:r>
      <w:r>
        <w:rPr>
          <w:kern w:val="2"/>
        </w:rPr>
        <w:t> </w:t>
      </w:r>
      <w:r w:rsidRPr="004E14CF">
        <w:rPr>
          <w:kern w:val="2"/>
        </w:rPr>
        <w:t>line with findings in adult animals.</w:t>
      </w:r>
    </w:p>
    <w:p w14:paraId="089A49B7" w14:textId="77777777" w:rsidR="009E39B0" w:rsidRPr="004E14CF" w:rsidRDefault="009E39B0">
      <w:r w:rsidRPr="004E14CF">
        <w:t>The developing kidney is seen to be more sensitive to ertugliflozin than the mature organ, consistent with findings with other members of this pharmacological class (dapagliflozin, canagliflozin and empagliflozin). This is likely related to the reduced ability of the immature kidney to handle the increased urinary output that occurs as a consequence of SGLT2 inhibition.</w:t>
      </w:r>
    </w:p>
    <w:p w14:paraId="220AB930" w14:textId="7D2CD48F" w:rsidR="009E39B0" w:rsidRPr="006C29E7" w:rsidRDefault="009E39B0" w:rsidP="00097566">
      <w:pPr>
        <w:rPr>
          <w:kern w:val="2"/>
        </w:rPr>
      </w:pPr>
      <w:r w:rsidRPr="004E14CF">
        <w:rPr>
          <w:kern w:val="2"/>
          <w:szCs w:val="20"/>
        </w:rPr>
        <w:t>Kidney anatomical maturation occurs postnatally in rats, with nephrogenesis continuing to 11 days from birth</w:t>
      </w:r>
      <w:r w:rsidR="008D3F2B">
        <w:rPr>
          <w:kern w:val="2"/>
          <w:szCs w:val="20"/>
        </w:rPr>
        <w:t>;</w:t>
      </w:r>
      <w:r w:rsidRPr="004E14CF">
        <w:rPr>
          <w:rStyle w:val="FootnoteReference"/>
          <w:kern w:val="2"/>
          <w:szCs w:val="20"/>
        </w:rPr>
        <w:footnoteReference w:id="14"/>
      </w:r>
      <w:r w:rsidRPr="004E14CF">
        <w:rPr>
          <w:kern w:val="2"/>
          <w:szCs w:val="20"/>
        </w:rPr>
        <w:t xml:space="preserve"> and tubular differentiation continuing until the time of weaning (</w:t>
      </w:r>
      <w:r w:rsidR="00D87593">
        <w:rPr>
          <w:kern w:val="2"/>
          <w:szCs w:val="20"/>
        </w:rPr>
        <w:t xml:space="preserve">approximately </w:t>
      </w:r>
      <w:r w:rsidRPr="004E14CF">
        <w:rPr>
          <w:kern w:val="2"/>
          <w:szCs w:val="20"/>
        </w:rPr>
        <w:t xml:space="preserve">21 days of age); functional maturation occurs later still. Human anatomical renal maturation occurs </w:t>
      </w:r>
      <w:r w:rsidRPr="003E1628">
        <w:rPr>
          <w:kern w:val="2"/>
          <w:szCs w:val="20"/>
        </w:rPr>
        <w:t>in utero</w:t>
      </w:r>
      <w:r w:rsidRPr="004E14CF">
        <w:rPr>
          <w:kern w:val="2"/>
          <w:szCs w:val="20"/>
        </w:rPr>
        <w:t xml:space="preserve"> during the second and third trimesters and functional maturation continues for the first 2 years of life</w:t>
      </w:r>
      <w:r w:rsidR="008D3F2B">
        <w:rPr>
          <w:kern w:val="2"/>
          <w:szCs w:val="20"/>
        </w:rPr>
        <w:t>.</w:t>
      </w:r>
      <w:r w:rsidRPr="004E14CF">
        <w:rPr>
          <w:rStyle w:val="FootnoteReference"/>
          <w:kern w:val="2"/>
          <w:szCs w:val="20"/>
        </w:rPr>
        <w:footnoteReference w:id="15"/>
      </w:r>
      <w:r w:rsidRPr="004E14CF">
        <w:rPr>
          <w:kern w:val="2"/>
          <w:szCs w:val="20"/>
        </w:rPr>
        <w:t xml:space="preserve"> The absence of microscopic examination of the kidneys in the </w:t>
      </w:r>
      <w:r w:rsidRPr="004E14CF">
        <w:rPr>
          <w:kern w:val="2"/>
        </w:rPr>
        <w:t>pre/postnatal development study</w:t>
      </w:r>
      <w:r w:rsidRPr="006C29E7">
        <w:rPr>
          <w:kern w:val="2"/>
        </w:rPr>
        <w:t xml:space="preserve"> (beyond standard requirements) and the timing of the juvenile animal study means that effects of ertugliflozin exposure </w:t>
      </w:r>
      <w:r>
        <w:rPr>
          <w:kern w:val="2"/>
        </w:rPr>
        <w:t>prior to</w:t>
      </w:r>
      <w:r w:rsidRPr="006C29E7">
        <w:rPr>
          <w:kern w:val="2"/>
        </w:rPr>
        <w:t xml:space="preserve"> anatomical maturation of the kidney have not been examined. </w:t>
      </w:r>
      <w:r>
        <w:rPr>
          <w:kern w:val="2"/>
        </w:rPr>
        <w:t>Only limited reversibility of tubular dilatation was observed in juvenile male rats</w:t>
      </w:r>
      <w:r w:rsidRPr="00592800">
        <w:rPr>
          <w:kern w:val="2"/>
        </w:rPr>
        <w:t xml:space="preserve"> </w:t>
      </w:r>
      <w:r w:rsidRPr="006C29E7">
        <w:rPr>
          <w:kern w:val="2"/>
        </w:rPr>
        <w:t>after a 4</w:t>
      </w:r>
      <w:r w:rsidR="003E1628">
        <w:rPr>
          <w:kern w:val="2"/>
        </w:rPr>
        <w:t xml:space="preserve"> </w:t>
      </w:r>
      <w:r w:rsidRPr="006C29E7">
        <w:rPr>
          <w:kern w:val="2"/>
        </w:rPr>
        <w:t>week treatment-free period</w:t>
      </w:r>
      <w:r>
        <w:rPr>
          <w:kern w:val="2"/>
        </w:rPr>
        <w:t xml:space="preserve"> (still present in 4/5 animals), while recovery was more substantial in females. Pelvis dilatation was fully reversed in males and mostly reversed in females; renal mineralisation persisted. I</w:t>
      </w:r>
      <w:r w:rsidRPr="006C29E7">
        <w:rPr>
          <w:kern w:val="2"/>
        </w:rPr>
        <w:t xml:space="preserve">rreversible kidney changes </w:t>
      </w:r>
      <w:r>
        <w:rPr>
          <w:kern w:val="2"/>
        </w:rPr>
        <w:t xml:space="preserve">that may affect renal function </w:t>
      </w:r>
      <w:r w:rsidRPr="006C29E7">
        <w:rPr>
          <w:kern w:val="2"/>
        </w:rPr>
        <w:t>are recognised for the pharmacological class, and concerns are greatest with drug exposure prior to anatomical maturation of the kidney.</w:t>
      </w:r>
    </w:p>
    <w:p w14:paraId="106F39C3" w14:textId="77777777" w:rsidR="009E39B0" w:rsidRPr="00EB1225" w:rsidRDefault="009E39B0" w:rsidP="003E1628">
      <w:pPr>
        <w:pStyle w:val="Heading4"/>
      </w:pPr>
      <w:r w:rsidRPr="00EB1225">
        <w:lastRenderedPageBreak/>
        <w:t>Pregnancy classification</w:t>
      </w:r>
    </w:p>
    <w:p w14:paraId="70510E06" w14:textId="77777777" w:rsidR="008D3F2B" w:rsidRPr="000A1E72" w:rsidRDefault="008D3F2B" w:rsidP="008D3F2B">
      <w:r w:rsidRPr="00EB1225">
        <w:t xml:space="preserve">The sponsor has proposed </w:t>
      </w:r>
      <w:r w:rsidRPr="000A5476">
        <w:t>Pregnancy Category C.</w:t>
      </w:r>
      <w:r w:rsidRPr="000A5476">
        <w:rPr>
          <w:rStyle w:val="FootnoteReference"/>
        </w:rPr>
        <w:footnoteReference w:id="16"/>
      </w:r>
      <w:r w:rsidRPr="000A5476">
        <w:t xml:space="preserve"> However, based on concerns for potential irreversible effects on the developing kidney</w:t>
      </w:r>
      <w:r>
        <w:t xml:space="preserve"> an</w:t>
      </w:r>
      <w:r w:rsidRPr="000A5476">
        <w:t xml:space="preserve"> assignment to </w:t>
      </w:r>
      <w:r>
        <w:t xml:space="preserve">Pregnancy </w:t>
      </w:r>
      <w:r w:rsidRPr="00B654E6">
        <w:t>Category D</w:t>
      </w:r>
      <w:r>
        <w:rPr>
          <w:i/>
        </w:rPr>
        <w:t>;</w:t>
      </w:r>
      <w:bookmarkStart w:id="63" w:name="_Ref531992789"/>
      <w:r w:rsidRPr="00CD4D93">
        <w:rPr>
          <w:rStyle w:val="FootnoteReference"/>
        </w:rPr>
        <w:footnoteReference w:id="17"/>
      </w:r>
      <w:bookmarkEnd w:id="63"/>
      <w:r w:rsidRPr="000A5476">
        <w:t xml:space="preserve"> is warranted instead. This category is for drugs which have caused, are suspected to have caused or may be expected to cause an increased incidence</w:t>
      </w:r>
      <w:r w:rsidRPr="000A1E72">
        <w:t xml:space="preserve"> of human fetal malformations or irreversible damage.</w:t>
      </w:r>
    </w:p>
    <w:p w14:paraId="3DAD7322" w14:textId="77777777" w:rsidR="009E39B0" w:rsidRPr="00AD51CF" w:rsidRDefault="009E39B0">
      <w:pPr>
        <w:pStyle w:val="Heading4"/>
      </w:pPr>
      <w:r w:rsidRPr="00AD51CF">
        <w:t>Phototoxicity</w:t>
      </w:r>
    </w:p>
    <w:p w14:paraId="4226B359" w14:textId="77777777" w:rsidR="009E39B0" w:rsidRPr="000A1E72" w:rsidRDefault="009E39B0" w:rsidP="005F4198">
      <w:r w:rsidRPr="000A1E72">
        <w:t>No phototoxicity studies were performed with ertugliflozin. This is acceptable under the relevant TGA-adopted guideline</w:t>
      </w:r>
      <w:r w:rsidR="003E1628">
        <w:rPr>
          <w:rStyle w:val="FootnoteReference"/>
          <w:kern w:val="2"/>
          <w:szCs w:val="20"/>
        </w:rPr>
        <w:footnoteReference w:id="18"/>
      </w:r>
      <w:r>
        <w:t>, with its molar extinction coefficient &lt;</w:t>
      </w:r>
      <w:r w:rsidR="003E1628">
        <w:t> </w:t>
      </w:r>
      <w:r>
        <w:t>1000 L</w:t>
      </w:r>
      <w:r w:rsidR="003E1628">
        <w:t> </w:t>
      </w:r>
      <w:r>
        <w:t>mol</w:t>
      </w:r>
      <w:r w:rsidRPr="00A5719A">
        <w:rPr>
          <w:vertAlign w:val="superscript"/>
        </w:rPr>
        <w:t>-1</w:t>
      </w:r>
      <w:r>
        <w:rPr>
          <w:vertAlign w:val="superscript"/>
        </w:rPr>
        <w:t> </w:t>
      </w:r>
      <w:r>
        <w:t>cm</w:t>
      </w:r>
      <w:r w:rsidRPr="00A5719A">
        <w:rPr>
          <w:vertAlign w:val="superscript"/>
        </w:rPr>
        <w:t>-1</w:t>
      </w:r>
      <w:r>
        <w:t xml:space="preserve"> at wavelengths 290</w:t>
      </w:r>
      <w:r w:rsidR="003E1628">
        <w:t xml:space="preserve"> to </w:t>
      </w:r>
      <w:r>
        <w:t>700 nm. Tissue distribution studies in rats showed no particular distribution to skin or eye or binding to melanin.</w:t>
      </w:r>
    </w:p>
    <w:p w14:paraId="61BB288F" w14:textId="77777777" w:rsidR="009E39B0" w:rsidRPr="00320A16" w:rsidRDefault="009E39B0" w:rsidP="003E1628">
      <w:pPr>
        <w:pStyle w:val="Heading4"/>
      </w:pPr>
      <w:r w:rsidRPr="00320A16">
        <w:t>Impurities</w:t>
      </w:r>
    </w:p>
    <w:p w14:paraId="640FDDDF" w14:textId="77777777" w:rsidR="009E39B0" w:rsidRDefault="009E39B0" w:rsidP="00097566">
      <w:r w:rsidRPr="00320A16">
        <w:t>Proposed limits for ertugliflozin</w:t>
      </w:r>
      <w:r w:rsidR="005372D5">
        <w:t xml:space="preserve"> </w:t>
      </w:r>
      <w:r w:rsidRPr="00320A16">
        <w:t xml:space="preserve">related impurities/degradants in the drug substance and drug product are considered to be toxicologically acceptable. Limits for three impurities that exceeded the </w:t>
      </w:r>
      <w:r w:rsidRPr="000A5476">
        <w:t>applicable ICH Q3A threshold</w:t>
      </w:r>
      <w:r w:rsidRPr="00320A16">
        <w:t xml:space="preserve"> were adequately qualified.</w:t>
      </w:r>
    </w:p>
    <w:p w14:paraId="4FBFB1BE" w14:textId="77777777" w:rsidR="005372D5" w:rsidRDefault="005372D5" w:rsidP="005372D5">
      <w:pPr>
        <w:pStyle w:val="Heading4"/>
      </w:pPr>
      <w:r>
        <w:t>Nonclinical summary</w:t>
      </w:r>
    </w:p>
    <w:p w14:paraId="081297EC" w14:textId="77777777" w:rsidR="005372D5" w:rsidRDefault="005372D5" w:rsidP="005372D5">
      <w:pPr>
        <w:pStyle w:val="ListBullet"/>
      </w:pPr>
      <w:r>
        <w:t xml:space="preserve">The nonclinical dossier was of good quality, with the package of studies conducted in accordance with </w:t>
      </w:r>
      <w:r w:rsidR="000A5476">
        <w:t>the relevant EU guideline</w:t>
      </w:r>
      <w:r>
        <w:t>.</w:t>
      </w:r>
      <w:r w:rsidR="000A5476">
        <w:rPr>
          <w:rStyle w:val="FootnoteReference"/>
        </w:rPr>
        <w:footnoteReference w:id="19"/>
      </w:r>
      <w:r>
        <w:t xml:space="preserve"> All pivotal safety-related studies were </w:t>
      </w:r>
      <w:r w:rsidR="000A5476">
        <w:t xml:space="preserve">Good Laboratory Practice </w:t>
      </w:r>
      <w:r>
        <w:t>compliant.</w:t>
      </w:r>
    </w:p>
    <w:p w14:paraId="4C5B00AA" w14:textId="4BBF61B1" w:rsidR="005372D5" w:rsidRDefault="005372D5" w:rsidP="005372D5">
      <w:pPr>
        <w:pStyle w:val="ListBullet"/>
      </w:pPr>
      <w:r>
        <w:t xml:space="preserve">Ertugliflozin was shown to inhibit human SGLT2 in </w:t>
      </w:r>
      <w:r w:rsidRPr="000A5476">
        <w:t>vitro with approximately nanomolar potency (</w:t>
      </w:r>
      <w:r w:rsidR="000A5476" w:rsidRPr="000A5476">
        <w:t>50% inhibitory concentration (</w:t>
      </w:r>
      <w:r w:rsidRPr="000A5476">
        <w:t>IC</w:t>
      </w:r>
      <w:r w:rsidR="000A5476" w:rsidRPr="000A5476">
        <w:rPr>
          <w:vertAlign w:val="subscript"/>
        </w:rPr>
        <w:t>50</w:t>
      </w:r>
      <w:r w:rsidR="000A5476" w:rsidRPr="000A5476">
        <w:t>) =</w:t>
      </w:r>
      <w:r w:rsidR="00AD51CF">
        <w:t xml:space="preserve"> </w:t>
      </w:r>
      <w:r w:rsidRPr="000A5476">
        <w:t xml:space="preserve">0.877 nM). It inhibited the rat and dog forms of the transporter with comparable or higher potency </w:t>
      </w:r>
      <w:r w:rsidR="003E1628" w:rsidRPr="000A5476">
        <w:t>compared to</w:t>
      </w:r>
      <w:r w:rsidRPr="000A5476">
        <w:t xml:space="preserve"> human, resulting in markedly increased urinary excretion of g</w:t>
      </w:r>
      <w:r>
        <w:t>lucose in vivo in the laboratory animal species.</w:t>
      </w:r>
    </w:p>
    <w:p w14:paraId="5A3561FB" w14:textId="77777777" w:rsidR="005372D5" w:rsidRDefault="005372D5" w:rsidP="005372D5">
      <w:pPr>
        <w:pStyle w:val="ListBullet"/>
      </w:pPr>
      <w:r>
        <w:t>The two major metabolites of ertugliflozin in humans (glucuronides) have much lower potency against SGLT2 cf. their parent, with no appreciable pharmacological activity expected at clinical concentrations.</w:t>
      </w:r>
    </w:p>
    <w:p w14:paraId="4CFCCD6C" w14:textId="128E316C" w:rsidR="005372D5" w:rsidRDefault="005372D5" w:rsidP="005372D5">
      <w:pPr>
        <w:pStyle w:val="ListBullet"/>
      </w:pPr>
      <w:r>
        <w:t>Ertugliflozin displays very high selectivity (</w:t>
      </w:r>
      <w:r w:rsidR="00AD51CF">
        <w:t xml:space="preserve">&gt; </w:t>
      </w:r>
      <w:r>
        <w:t>2200</w:t>
      </w:r>
      <w:r w:rsidR="00AD51CF">
        <w:t xml:space="preserve"> </w:t>
      </w:r>
      <w:r>
        <w:t>fold) for human SGLT2 over SGLT1. No notable secondary targets for ertugliflozin were identified among other glucose transporters (GLUT1–4) and various other unrelated receptors, ion channels, amine transporters and enzymes.</w:t>
      </w:r>
    </w:p>
    <w:p w14:paraId="19619003" w14:textId="77777777" w:rsidR="005372D5" w:rsidRDefault="005372D5" w:rsidP="005372D5">
      <w:pPr>
        <w:pStyle w:val="ListBullet"/>
      </w:pPr>
      <w:r>
        <w:t>Safety pharmacology studies identified no clinically relevant effects on central nervous, cardiovascular or respiratory function.</w:t>
      </w:r>
    </w:p>
    <w:p w14:paraId="4EDE8C85" w14:textId="2261FEEA" w:rsidR="005372D5" w:rsidRDefault="005372D5" w:rsidP="005372D5">
      <w:pPr>
        <w:pStyle w:val="ListBullet"/>
      </w:pPr>
      <w:r>
        <w:t>Oral absorption of ertugliflozin was rapid in mice, rats and dogs, as in humans, with moderate (rats) or high (other species) bioavailability. Plasma protein binding was high in humans (93.6%) and laboratory animal species (92.9</w:t>
      </w:r>
      <w:r w:rsidR="00AD51CF">
        <w:t xml:space="preserve"> to </w:t>
      </w:r>
      <w:r>
        <w:t xml:space="preserve">96.8%); given the </w:t>
      </w:r>
      <w:r>
        <w:lastRenderedPageBreak/>
        <w:t xml:space="preserve">variability, exposure multiples in this report account for differences in the extent of plasma protein binding between animals and humans. Tissue distribution of radioactivity following oral administration of </w:t>
      </w:r>
      <w:r w:rsidR="005F4198">
        <w:t>[</w:t>
      </w:r>
      <w:r w:rsidRPr="003E1628">
        <w:rPr>
          <w:vertAlign w:val="superscript"/>
        </w:rPr>
        <w:t>14</w:t>
      </w:r>
      <w:r>
        <w:t>C</w:t>
      </w:r>
      <w:r w:rsidR="005F4198">
        <w:t>]-</w:t>
      </w:r>
      <w:r>
        <w:t>ertugliflozin was wide in the rat, with distribution to the target organ (kidney) particularly high; penetration of the blood-brain barrier was low. Metabolism of ertugliflozin chiefly involved glucuronidation on the hydroxy groups of the molecule’s modified glucose moiety (mediated by UGT1A9 and 2B7), generating two major circulating metabolites in humans. Excretion was predominantly via the faecal route in rats and dogs, with the renal route playing a more major role in humans (</w:t>
      </w:r>
      <w:r w:rsidR="003E1628">
        <w:t xml:space="preserve">approximately </w:t>
      </w:r>
      <w:r>
        <w:t>50%). Biliary excretion was demonstrated in animals.</w:t>
      </w:r>
    </w:p>
    <w:p w14:paraId="4AC1A474" w14:textId="77777777" w:rsidR="005372D5" w:rsidRDefault="005372D5" w:rsidP="005372D5">
      <w:pPr>
        <w:pStyle w:val="ListBullet"/>
      </w:pPr>
      <w:r>
        <w:t>Ertugliflozin and its two major glucuronide metabolites were only weak or very weak inhibitors of CYP and UGT isozymes and various transporters in vitro, with no relevant in vivo inhibition to cause pharmacokinetic drug interactions predicted in patients. The drug is a substrate for P glycoprotein and BCRP.</w:t>
      </w:r>
    </w:p>
    <w:p w14:paraId="01CEE3B1" w14:textId="77777777" w:rsidR="005372D5" w:rsidRDefault="005372D5" w:rsidP="005372D5">
      <w:pPr>
        <w:pStyle w:val="ListBullet"/>
      </w:pPr>
      <w:r>
        <w:t>Ertugliflozin had a low order of acute toxicity in animals by the PO and IV routes.</w:t>
      </w:r>
    </w:p>
    <w:p w14:paraId="79019FD7" w14:textId="6C6F8410" w:rsidR="005372D5" w:rsidRDefault="005372D5" w:rsidP="005372D5">
      <w:pPr>
        <w:pStyle w:val="ListBullet"/>
      </w:pPr>
      <w:r>
        <w:t>Repeat</w:t>
      </w:r>
      <w:r w:rsidR="00AD51CF">
        <w:t xml:space="preserve"> </w:t>
      </w:r>
      <w:r>
        <w:t>dose toxicity studies by the oral route were conducted in mice (up to 3</w:t>
      </w:r>
      <w:r w:rsidR="00AD51CF">
        <w:t> </w:t>
      </w:r>
      <w:r>
        <w:t>months), rats (up to 6 months) and dogs (up to 9 months). Very high multiples of the clinical exposure w</w:t>
      </w:r>
      <w:r w:rsidR="003E1628">
        <w:t>as</w:t>
      </w:r>
      <w:r>
        <w:t xml:space="preserve"> achieved at the upper dose levels tested. Major findings comprised changes in the kidneys (increased organ weight, tubule dilatation, pelvis dilatation, mineralisation, </w:t>
      </w:r>
      <w:r w:rsidR="00F14099">
        <w:t>and proximal</w:t>
      </w:r>
      <w:r>
        <w:t xml:space="preserve"> tubule epithelial hypertrophy), adrenal gland (hypertrophy and vacuolation of the zona glomerulosa), bone (hyperostosis) and stomach (erosion, ulceration, degeneration of pylorus crypts).</w:t>
      </w:r>
    </w:p>
    <w:p w14:paraId="4E5DF132" w14:textId="77777777" w:rsidR="005372D5" w:rsidRDefault="005372D5" w:rsidP="005372D5">
      <w:pPr>
        <w:pStyle w:val="ListBullet"/>
      </w:pPr>
      <w:r>
        <w:t>Ertugliflozin was not genotoxic in the standard battery of tests.</w:t>
      </w:r>
    </w:p>
    <w:p w14:paraId="04FADFC3" w14:textId="1D43762E" w:rsidR="005372D5" w:rsidRDefault="005372D5" w:rsidP="005372D5">
      <w:pPr>
        <w:pStyle w:val="ListBullet"/>
      </w:pPr>
      <w:r>
        <w:t>No treatment</w:t>
      </w:r>
      <w:r w:rsidR="003E1628">
        <w:t xml:space="preserve"> </w:t>
      </w:r>
      <w:r>
        <w:t>related increase in tumour incidence was observed in mice or female rats treated with ertugliflozin in 2</w:t>
      </w:r>
      <w:r w:rsidR="003E1628">
        <w:t xml:space="preserve"> </w:t>
      </w:r>
      <w:r>
        <w:t>year oral carcinogenicity studies. In male rats, ertugliflozin increased the incidence of benign adrenal phaeochromocytoma at 15</w:t>
      </w:r>
      <w:r w:rsidR="00E87327">
        <w:t> </w:t>
      </w:r>
      <w:r w:rsidR="006D7D02">
        <w:t>mg</w:t>
      </w:r>
      <w:r>
        <w:t>/kg/day. The NOEL for carcinogenicity was 40</w:t>
      </w:r>
      <w:r w:rsidR="00E87327">
        <w:t xml:space="preserve"> </w:t>
      </w:r>
      <w:r w:rsidR="006D7D02">
        <w:t>mg</w:t>
      </w:r>
      <w:r>
        <w:t>/kg/day in mice (relative exposure based on plasma AUC for unbound ertugliflozin 40) and 5</w:t>
      </w:r>
      <w:r w:rsidR="00E87327">
        <w:t xml:space="preserve"> </w:t>
      </w:r>
      <w:r w:rsidR="006D7D02">
        <w:t>mg</w:t>
      </w:r>
      <w:r>
        <w:t>/kg/day in rats (relative exposure, 13).</w:t>
      </w:r>
    </w:p>
    <w:p w14:paraId="2766F217" w14:textId="77777777" w:rsidR="005372D5" w:rsidRDefault="005372D5" w:rsidP="005372D5">
      <w:pPr>
        <w:pStyle w:val="ListBullet"/>
      </w:pPr>
      <w:r>
        <w:t>Male and female fertility were unaffected by ertugliflozin in rats. Embryolethality (increased post implantation loss) and teratogenicity (cardiac malformation) were observed in the rat (occurring in the context of maternotoxicity), while no adverse effects on embryofetal development were seen in the rabbit. Reductions in birth weight, perinatal survival, postnatal body weight gain and delayed sexual maturation were observed in a pre /postnatal development study in rats (at a maternotoxic dose). Placental transfer and excretion in milk were demonstrated in the rat.</w:t>
      </w:r>
    </w:p>
    <w:p w14:paraId="33622350" w14:textId="77777777" w:rsidR="005372D5" w:rsidRDefault="005372D5" w:rsidP="005372D5">
      <w:pPr>
        <w:pStyle w:val="ListBullet"/>
      </w:pPr>
      <w:r>
        <w:t>A juvenile toxicity study in rats showed that the developing kidney is more sensitive to ertugliflozin</w:t>
      </w:r>
      <w:r w:rsidR="003E1628">
        <w:t xml:space="preserve"> </w:t>
      </w:r>
      <w:r>
        <w:t>related changes than the mature organ.</w:t>
      </w:r>
    </w:p>
    <w:p w14:paraId="56F18E6D" w14:textId="77777777" w:rsidR="005372D5" w:rsidRDefault="005372D5" w:rsidP="005372D5">
      <w:pPr>
        <w:pStyle w:val="Heading4"/>
      </w:pPr>
      <w:r>
        <w:t>Nonclinical conclusions and recommendation</w:t>
      </w:r>
    </w:p>
    <w:p w14:paraId="0BF1C7B0" w14:textId="77777777" w:rsidR="005372D5" w:rsidRDefault="005372D5" w:rsidP="005372D5">
      <w:pPr>
        <w:pStyle w:val="ListBullet"/>
      </w:pPr>
      <w:r>
        <w:t>The nonclinical dossier contained no critical deficiencies.</w:t>
      </w:r>
    </w:p>
    <w:p w14:paraId="5586677B" w14:textId="77777777" w:rsidR="005372D5" w:rsidRDefault="005372D5" w:rsidP="005372D5">
      <w:pPr>
        <w:pStyle w:val="ListBullet"/>
      </w:pPr>
      <w:r>
        <w:t xml:space="preserve">Primary pharmacology studies, showing inhibition of SGLT2 in vitro and increased urinary glucose excretion in vivo, offer support for the proposed use of the drug in the treatment of </w:t>
      </w:r>
      <w:r w:rsidR="003E1628">
        <w:t>T2DM</w:t>
      </w:r>
      <w:r>
        <w:t>.</w:t>
      </w:r>
    </w:p>
    <w:p w14:paraId="203CAA89" w14:textId="77777777" w:rsidR="005372D5" w:rsidRDefault="005372D5" w:rsidP="005372D5">
      <w:pPr>
        <w:pStyle w:val="ListBullet"/>
      </w:pPr>
      <w:r w:rsidRPr="003E1628">
        <w:t>Ertugliflozin is not predicted to produce clinically significant enzyme or transporter inhibition in patients to give rise</w:t>
      </w:r>
      <w:r>
        <w:t xml:space="preserve"> to pharmacokinetic drug interactions.</w:t>
      </w:r>
    </w:p>
    <w:p w14:paraId="5266FCDF" w14:textId="77777777" w:rsidR="005372D5" w:rsidRDefault="005372D5" w:rsidP="005372D5">
      <w:pPr>
        <w:pStyle w:val="ListBullet"/>
      </w:pPr>
      <w:r>
        <w:t>The toxicological profile of ertugliflozin is typical of the SGLT2 inhibitor class.</w:t>
      </w:r>
    </w:p>
    <w:p w14:paraId="53FFCC34" w14:textId="77777777" w:rsidR="005372D5" w:rsidRDefault="005372D5" w:rsidP="005372D5">
      <w:pPr>
        <w:pStyle w:val="ListBullet"/>
      </w:pPr>
      <w:r>
        <w:lastRenderedPageBreak/>
        <w:t xml:space="preserve">The kidney, adrenal gland, bone and stomach were identified as targets for toxicity in repeat-dose studies in rats. These effects are largely seen to be related to osmotic diuresis (caused by glucosuria due to SGLT2 inhibition) and altered calcium homeostasis (secondary to carbohydrate malabsorption due to SGLT1 inhibition in the intestine). Supporting limited human relevance, histopathological changes in these tissues were not seen in dogs at very high multiples of the clinical exposure (up to </w:t>
      </w:r>
      <w:r w:rsidR="004F730E">
        <w:t xml:space="preserve">approximately </w:t>
      </w:r>
      <w:r>
        <w:t>380</w:t>
      </w:r>
      <w:r w:rsidR="004F730E">
        <w:t xml:space="preserve"> </w:t>
      </w:r>
      <w:r>
        <w:t>fold).</w:t>
      </w:r>
    </w:p>
    <w:p w14:paraId="1749D4E3" w14:textId="77777777" w:rsidR="005372D5" w:rsidRDefault="005372D5" w:rsidP="005372D5">
      <w:pPr>
        <w:pStyle w:val="ListBullet"/>
      </w:pPr>
      <w:r>
        <w:t>Ertugliflozin was not genotoxic. The finding of increased phaeochromocytomas in male rats is not considered to indicate that ertugliflozin poses a particular carcinogenic risk to patients.</w:t>
      </w:r>
    </w:p>
    <w:p w14:paraId="0678D4D2" w14:textId="4019900A" w:rsidR="005372D5" w:rsidRDefault="005372D5" w:rsidP="005372D5">
      <w:pPr>
        <w:pStyle w:val="ListBullet"/>
      </w:pPr>
      <w:r>
        <w:t>Like other members of this class, concerns exist for potential irreversible effects of ertugliflozin on the developing kidney. Treatment in the juvenile animal study commenced after renal anatomical maturation; other earlier developmental studies did not include microscopic examination of the kidney. Concern is greatest for drug exposure prior to this stage (</w:t>
      </w:r>
      <w:r w:rsidR="004F730E">
        <w:t>that is,</w:t>
      </w:r>
      <w:r>
        <w:t xml:space="preserve"> in utero in humans and prior to postnatal </w:t>
      </w:r>
      <w:r w:rsidR="00AD51CF">
        <w:t>D</w:t>
      </w:r>
      <w:r>
        <w:t>ay 21 in rats). Ertugliflozin should be assigned Pregnancy Category D, rather than Category C as the sponsor proposes.</w:t>
      </w:r>
    </w:p>
    <w:p w14:paraId="64893349" w14:textId="77777777" w:rsidR="005372D5" w:rsidRPr="009E39B0" w:rsidRDefault="005372D5" w:rsidP="005372D5">
      <w:pPr>
        <w:pStyle w:val="ListBullet"/>
      </w:pPr>
      <w:r>
        <w:t>There are no nonclinical objections to the registration of Steglatro for the proposed indication provided that the Product Information is amended.</w:t>
      </w:r>
    </w:p>
    <w:p w14:paraId="7E815DCB" w14:textId="77777777" w:rsidR="00C008B6" w:rsidRPr="009C244E" w:rsidRDefault="00453FBE" w:rsidP="009C244E">
      <w:pPr>
        <w:pStyle w:val="Heading3"/>
      </w:pPr>
      <w:bookmarkStart w:id="64" w:name="_Toc247691511"/>
      <w:bookmarkStart w:id="65" w:name="_Toc314842495"/>
      <w:bookmarkStart w:id="66" w:name="_Toc4405826"/>
      <w:r>
        <w:t>Steglujan</w:t>
      </w:r>
      <w:bookmarkEnd w:id="66"/>
    </w:p>
    <w:p w14:paraId="43F832A0" w14:textId="77777777" w:rsidR="008E7846" w:rsidRDefault="008E7846" w:rsidP="00F85259">
      <w:pPr>
        <w:pStyle w:val="Heading4"/>
      </w:pPr>
      <w:r>
        <w:t>Introduction</w:t>
      </w:r>
      <w:bookmarkEnd w:id="64"/>
      <w:bookmarkEnd w:id="65"/>
    </w:p>
    <w:p w14:paraId="23BB03F6" w14:textId="30C87CD7" w:rsidR="004334C7" w:rsidRPr="004334C7" w:rsidRDefault="00D666BA" w:rsidP="00AC1730">
      <w:r>
        <w:t>The nonclinical submission</w:t>
      </w:r>
      <w:r w:rsidR="00AC1730">
        <w:t xml:space="preserve"> contained repeat-dose toxicity studies (including toxicokinetic analyses) with ertugliflozin and sitagliptin in combination in rats. The scope of studies investigating the combination was in accordance with relevant TGA</w:t>
      </w:r>
      <w:r>
        <w:t xml:space="preserve"> </w:t>
      </w:r>
      <w:r w:rsidR="00AC1730">
        <w:t>adopted guidelines</w:t>
      </w:r>
      <w:r w:rsidR="005F4198">
        <w:t>.</w:t>
      </w:r>
      <w:r>
        <w:rPr>
          <w:rStyle w:val="FootnoteReference"/>
        </w:rPr>
        <w:footnoteReference w:id="20"/>
      </w:r>
      <w:r w:rsidR="00AC1730">
        <w:t xml:space="preserve"> The pivotal study was conducted according to</w:t>
      </w:r>
      <w:r>
        <w:t xml:space="preserve"> Good Laboratory Practice</w:t>
      </w:r>
      <w:r w:rsidR="00AC1730">
        <w:t>.</w:t>
      </w:r>
    </w:p>
    <w:p w14:paraId="5893B40E" w14:textId="77777777" w:rsidR="008E7846" w:rsidRDefault="008E7846" w:rsidP="00F85259">
      <w:pPr>
        <w:pStyle w:val="Heading4"/>
      </w:pPr>
      <w:bookmarkStart w:id="67" w:name="_Toc247691512"/>
      <w:bookmarkStart w:id="68" w:name="_Toc314842496"/>
      <w:r w:rsidRPr="00020030">
        <w:t>Pharmacology</w:t>
      </w:r>
      <w:bookmarkEnd w:id="67"/>
      <w:bookmarkEnd w:id="68"/>
    </w:p>
    <w:p w14:paraId="356F6610" w14:textId="77777777" w:rsidR="00AC1730" w:rsidRDefault="00AC1730" w:rsidP="00AC1730">
      <w:r>
        <w:t>Ertugliflozin is a new SGLT2 inhibitor and sitagliptin is an established DPP-4 inhibitor. This is a novel combination of pharmacological classes for a fixed-dose product but use of such agents in free combination is already approved.</w:t>
      </w:r>
    </w:p>
    <w:p w14:paraId="0DAB39A6" w14:textId="77777777" w:rsidR="004334C7" w:rsidRPr="004334C7" w:rsidRDefault="00AC1730" w:rsidP="00AC1730">
      <w:r>
        <w:t>No nonclinical efficacy studies with ertugliflozin and sitagliptin in combination were submitted.</w:t>
      </w:r>
    </w:p>
    <w:p w14:paraId="7CCF53DE" w14:textId="77777777" w:rsidR="008E7846" w:rsidRDefault="008E7846" w:rsidP="00F85259">
      <w:pPr>
        <w:pStyle w:val="Heading4"/>
      </w:pPr>
      <w:bookmarkStart w:id="69" w:name="_Toc247691513"/>
      <w:bookmarkStart w:id="70" w:name="_Toc314842497"/>
      <w:r>
        <w:t>Pharmacokinetics</w:t>
      </w:r>
      <w:bookmarkEnd w:id="69"/>
      <w:bookmarkEnd w:id="70"/>
    </w:p>
    <w:p w14:paraId="38D15F30" w14:textId="77777777" w:rsidR="00AC1730" w:rsidRDefault="00AC1730" w:rsidP="00AC1730">
      <w:bookmarkStart w:id="71" w:name="_Toc247691514"/>
      <w:bookmarkStart w:id="72" w:name="_Toc314842498"/>
      <w:r>
        <w:t>The enzymes chiefly responsible for the metabolism of ertugliflozin and sitagliptin are distinct: UGT1A9 and 2B7 for ertugliflozin; and</w:t>
      </w:r>
      <w:r w:rsidR="00D666BA">
        <w:t xml:space="preserve"> </w:t>
      </w:r>
      <w:r>
        <w:t>CYP3A4 and to a much lesser extent CYP2C8 for sitagliptin. In vitro studies showed that ertugliflozin (and its two major glucuronide metabolites) do not inhibit these CYP isoforms at clinically relevant concentrations.</w:t>
      </w:r>
    </w:p>
    <w:p w14:paraId="533D91B9" w14:textId="77777777" w:rsidR="004334C7" w:rsidRDefault="00AC1730" w:rsidP="00AC1730">
      <w:r>
        <w:t>Consistent with predictions from in vitro data, no pharmacokinetic interaction between ertugliflozin and sitagliptin was observed in rats nor is reported in humans.</w:t>
      </w:r>
    </w:p>
    <w:p w14:paraId="7C0C4583" w14:textId="77777777" w:rsidR="001B5C90" w:rsidRDefault="008E7846" w:rsidP="00F85259">
      <w:pPr>
        <w:pStyle w:val="Heading4"/>
      </w:pPr>
      <w:r>
        <w:lastRenderedPageBreak/>
        <w:t>Toxicology</w:t>
      </w:r>
      <w:bookmarkEnd w:id="71"/>
      <w:bookmarkEnd w:id="72"/>
    </w:p>
    <w:p w14:paraId="7DD3B496" w14:textId="166A207F" w:rsidR="00AC1730" w:rsidRDefault="00AC1730" w:rsidP="00AC1730">
      <w:r>
        <w:t>Repeat</w:t>
      </w:r>
      <w:r w:rsidR="00AD51CF">
        <w:t xml:space="preserve"> </w:t>
      </w:r>
      <w:r>
        <w:t>dose toxicity studies of 2 and 13 weeks duration were conducted with ertugliflozin and sitagliptin in combination in rats. Administration was by the clinical route (PO) and single</w:t>
      </w:r>
      <w:r w:rsidR="00845804">
        <w:t xml:space="preserve"> </w:t>
      </w:r>
      <w:r>
        <w:t xml:space="preserve">agent comparator groups were included in both studies. The duration of the pivotal study (3 months) and the use of a single species are consistent with </w:t>
      </w:r>
      <w:r w:rsidR="00845804">
        <w:t>relevant guidelines</w:t>
      </w:r>
      <w:r>
        <w:t>. Group size was appropriate.</w:t>
      </w:r>
    </w:p>
    <w:p w14:paraId="3DC3E464" w14:textId="04375016" w:rsidR="00AC1730" w:rsidRDefault="005F4198" w:rsidP="00AC1730">
      <w:r>
        <w:t>Ertugliflozin: sitagliptin</w:t>
      </w:r>
      <w:r w:rsidR="00AC1730">
        <w:t xml:space="preserve"> dose ratios used in rats were different from those proposed for patients (1:0.8, 1:2.4, 1:4 and 1:12 cf. 1:6.7 and 1:20) but the 5/60</w:t>
      </w:r>
      <w:r w:rsidR="00E87327">
        <w:t xml:space="preserve"> </w:t>
      </w:r>
      <w:r w:rsidR="006D7D02">
        <w:t>mg</w:t>
      </w:r>
      <w:r w:rsidR="00AC1730">
        <w:t>/kg/day dose group did yield exposure multiples that were roughly equivalent for the two drugs (with respect to the maximum recommended human dose). Exposure ratios obtained in the pivotal study are calculated below based on animal:</w:t>
      </w:r>
      <w:r w:rsidR="006E1F1D">
        <w:t xml:space="preserve"> </w:t>
      </w:r>
      <w:r w:rsidR="00AC1730">
        <w:t xml:space="preserve">human plasma </w:t>
      </w:r>
      <w:r w:rsidR="006E1F1D">
        <w:t>area under the plasma concentration versus time curve from time 0 to 24 h post</w:t>
      </w:r>
      <w:r>
        <w:t xml:space="preserve"> </w:t>
      </w:r>
      <w:r w:rsidR="006E1F1D">
        <w:t>dosing (</w:t>
      </w:r>
      <w:r w:rsidR="00AC1730">
        <w:t>AUC</w:t>
      </w:r>
      <w:r w:rsidR="00AC1730" w:rsidRPr="006E1F1D">
        <w:rPr>
          <w:vertAlign w:val="subscript"/>
        </w:rPr>
        <w:t>0–24 h</w:t>
      </w:r>
      <w:r w:rsidR="006E1F1D">
        <w:t>)</w:t>
      </w:r>
      <w:r w:rsidR="00AC1730">
        <w:t xml:space="preserve"> values for unbound ertugliflozin and for (total) sitagliptin. Human reference AUC values used are for the maximum dose level and are taken from the </w:t>
      </w:r>
      <w:r w:rsidR="006E1F1D">
        <w:t xml:space="preserve">nonclinical evaluation reports </w:t>
      </w:r>
      <w:r w:rsidR="00AC1730">
        <w:t xml:space="preserve">for the two </w:t>
      </w:r>
      <w:r w:rsidR="006E1F1D">
        <w:t>drugs as new chemical entities</w:t>
      </w:r>
      <w:r w:rsidR="00AC1730">
        <w:t xml:space="preserve">. Adequate multiples of the </w:t>
      </w:r>
      <w:r w:rsidR="006E1F1D">
        <w:t xml:space="preserve">expected </w:t>
      </w:r>
      <w:r w:rsidR="00AC1730">
        <w:t>clinical exposure w</w:t>
      </w:r>
      <w:r w:rsidR="006E1F1D">
        <w:t>as</w:t>
      </w:r>
      <w:r w:rsidR="00AC1730">
        <w:t xml:space="preserve"> achieved.</w:t>
      </w:r>
    </w:p>
    <w:p w14:paraId="1F1D9A96" w14:textId="77777777" w:rsidR="00AC1730" w:rsidRDefault="00AC1730" w:rsidP="00AC1730">
      <w:r>
        <w:t>Relative exposure</w:t>
      </w:r>
      <w:r w:rsidR="00F14099">
        <w:t>s</w:t>
      </w:r>
      <w:r>
        <w:t xml:space="preserve"> in the pivotal repeat-dose toxicity study</w:t>
      </w:r>
      <w:r w:rsidR="006E1F1D">
        <w:t xml:space="preserve"> are tabulated below.</w:t>
      </w:r>
    </w:p>
    <w:p w14:paraId="4DC02031" w14:textId="77777777" w:rsidR="00AC1730" w:rsidRPr="006E1F1D" w:rsidRDefault="006E1F1D" w:rsidP="006E1F1D">
      <w:pPr>
        <w:pStyle w:val="TableTitle"/>
      </w:pPr>
      <w:r>
        <w:t xml:space="preserve">Table </w:t>
      </w:r>
      <w:r w:rsidR="00E55ACA">
        <w:t>15: R</w:t>
      </w:r>
      <w:r w:rsidR="00AC1730" w:rsidRPr="00DA1140">
        <w:t>elative exposure in the pivotal repeat-dose toxicity study</w:t>
      </w:r>
    </w:p>
    <w:tbl>
      <w:tblPr>
        <w:tblStyle w:val="TableTGAblue"/>
        <w:tblW w:w="8555" w:type="dxa"/>
        <w:tblLayout w:type="fixed"/>
        <w:tblLook w:val="01E0" w:firstRow="1" w:lastRow="1" w:firstColumn="1" w:lastColumn="1" w:noHBand="0" w:noVBand="0"/>
      </w:tblPr>
      <w:tblGrid>
        <w:gridCol w:w="1176"/>
        <w:gridCol w:w="1073"/>
        <w:gridCol w:w="805"/>
        <w:gridCol w:w="939"/>
        <w:gridCol w:w="1476"/>
        <w:gridCol w:w="1342"/>
        <w:gridCol w:w="939"/>
        <w:gridCol w:w="805"/>
      </w:tblGrid>
      <w:tr w:rsidR="00AC1730" w:rsidRPr="006E1F1D" w14:paraId="0AA5E7EE" w14:textId="77777777" w:rsidTr="005F4198">
        <w:trPr>
          <w:cnfStyle w:val="100000000000" w:firstRow="1" w:lastRow="0" w:firstColumn="0" w:lastColumn="0" w:oddVBand="0" w:evenVBand="0" w:oddHBand="0" w:evenHBand="0" w:firstRowFirstColumn="0" w:firstRowLastColumn="0" w:lastRowFirstColumn="0" w:lastRowLastColumn="0"/>
          <w:cantSplit/>
          <w:trHeight w:val="284"/>
        </w:trPr>
        <w:tc>
          <w:tcPr>
            <w:tcW w:w="1176" w:type="dxa"/>
            <w:vMerge w:val="restart"/>
          </w:tcPr>
          <w:p w14:paraId="5E9FDE60" w14:textId="77777777" w:rsidR="00AC1730" w:rsidRPr="006E1F1D" w:rsidRDefault="00AC1730" w:rsidP="005F4198">
            <w:pPr>
              <w:pStyle w:val="TableHeader"/>
              <w:ind w:left="0" w:right="0"/>
              <w:rPr>
                <w:b/>
                <w:sz w:val="17"/>
                <w:szCs w:val="17"/>
              </w:rPr>
            </w:pPr>
            <w:r w:rsidRPr="006E1F1D">
              <w:rPr>
                <w:b/>
                <w:sz w:val="17"/>
                <w:szCs w:val="17"/>
              </w:rPr>
              <w:t>Species</w:t>
            </w:r>
          </w:p>
        </w:tc>
        <w:tc>
          <w:tcPr>
            <w:tcW w:w="1073" w:type="dxa"/>
            <w:vMerge w:val="restart"/>
          </w:tcPr>
          <w:p w14:paraId="3622FC44" w14:textId="77777777" w:rsidR="00AC1730" w:rsidRPr="006E1F1D" w:rsidRDefault="00AC1730" w:rsidP="005F4198">
            <w:pPr>
              <w:pStyle w:val="TableHeader"/>
              <w:ind w:left="0" w:right="0"/>
              <w:rPr>
                <w:b/>
                <w:sz w:val="17"/>
                <w:szCs w:val="17"/>
              </w:rPr>
            </w:pPr>
            <w:r w:rsidRPr="006E1F1D">
              <w:rPr>
                <w:b/>
                <w:sz w:val="17"/>
                <w:szCs w:val="17"/>
              </w:rPr>
              <w:t>Study</w:t>
            </w:r>
          </w:p>
        </w:tc>
        <w:tc>
          <w:tcPr>
            <w:tcW w:w="1744" w:type="dxa"/>
            <w:gridSpan w:val="2"/>
          </w:tcPr>
          <w:p w14:paraId="77348C0D" w14:textId="59081F80" w:rsidR="00AC1730" w:rsidRPr="006E1F1D" w:rsidRDefault="00AC1730" w:rsidP="005F4198">
            <w:pPr>
              <w:pStyle w:val="TableHeader"/>
              <w:spacing w:before="50" w:after="50"/>
              <w:ind w:left="0" w:right="0"/>
              <w:rPr>
                <w:b/>
                <w:sz w:val="17"/>
                <w:szCs w:val="17"/>
              </w:rPr>
            </w:pPr>
            <w:r w:rsidRPr="006E1F1D">
              <w:rPr>
                <w:b/>
                <w:sz w:val="17"/>
                <w:szCs w:val="17"/>
              </w:rPr>
              <w:t>Dose (</w:t>
            </w:r>
            <w:r w:rsidR="006D7D02">
              <w:rPr>
                <w:b/>
                <w:sz w:val="17"/>
                <w:szCs w:val="17"/>
              </w:rPr>
              <w:t>mg</w:t>
            </w:r>
            <w:r w:rsidRPr="006E1F1D">
              <w:rPr>
                <w:b/>
                <w:sz w:val="17"/>
                <w:szCs w:val="17"/>
              </w:rPr>
              <w:t>/kg/day)</w:t>
            </w:r>
          </w:p>
        </w:tc>
        <w:tc>
          <w:tcPr>
            <w:tcW w:w="2818" w:type="dxa"/>
            <w:gridSpan w:val="2"/>
          </w:tcPr>
          <w:p w14:paraId="35EDB646" w14:textId="77777777" w:rsidR="00AC1730" w:rsidRPr="006E1F1D" w:rsidRDefault="00AC1730" w:rsidP="005F4198">
            <w:pPr>
              <w:pStyle w:val="TableHeader"/>
              <w:spacing w:before="50" w:after="50"/>
              <w:ind w:left="0" w:right="0"/>
              <w:rPr>
                <w:b/>
                <w:i/>
                <w:sz w:val="17"/>
                <w:szCs w:val="17"/>
              </w:rPr>
            </w:pPr>
            <w:r w:rsidRPr="006E1F1D">
              <w:rPr>
                <w:b/>
                <w:sz w:val="17"/>
                <w:szCs w:val="17"/>
              </w:rPr>
              <w:t>AUC</w:t>
            </w:r>
            <w:r w:rsidRPr="006E1F1D">
              <w:rPr>
                <w:b/>
                <w:sz w:val="17"/>
                <w:szCs w:val="17"/>
                <w:vertAlign w:val="subscript"/>
              </w:rPr>
              <w:t>0–24</w:t>
            </w:r>
            <w:r w:rsidRPr="006E1F1D">
              <w:rPr>
                <w:b/>
                <w:w w:val="50"/>
                <w:sz w:val="17"/>
                <w:szCs w:val="17"/>
                <w:vertAlign w:val="subscript"/>
              </w:rPr>
              <w:t xml:space="preserve"> </w:t>
            </w:r>
            <w:r w:rsidRPr="006E1F1D">
              <w:rPr>
                <w:b/>
                <w:sz w:val="17"/>
                <w:szCs w:val="17"/>
                <w:vertAlign w:val="subscript"/>
              </w:rPr>
              <w:t xml:space="preserve">h </w:t>
            </w:r>
            <w:r w:rsidRPr="006E1F1D">
              <w:rPr>
                <w:b/>
                <w:sz w:val="17"/>
                <w:szCs w:val="17"/>
              </w:rPr>
              <w:t>(µg·h/mL)</w:t>
            </w:r>
          </w:p>
        </w:tc>
        <w:tc>
          <w:tcPr>
            <w:tcW w:w="1744" w:type="dxa"/>
            <w:gridSpan w:val="2"/>
          </w:tcPr>
          <w:p w14:paraId="7B767650" w14:textId="77777777" w:rsidR="00AC1730" w:rsidRPr="006E1F1D" w:rsidRDefault="00AC1730" w:rsidP="005F4198">
            <w:pPr>
              <w:pStyle w:val="TableHeader"/>
              <w:spacing w:before="50" w:after="50"/>
              <w:ind w:left="0" w:right="0"/>
              <w:rPr>
                <w:b/>
                <w:sz w:val="17"/>
                <w:szCs w:val="17"/>
              </w:rPr>
            </w:pPr>
            <w:r w:rsidRPr="006E1F1D">
              <w:rPr>
                <w:b/>
                <w:sz w:val="17"/>
                <w:szCs w:val="17"/>
              </w:rPr>
              <w:t>Exposure ratio</w:t>
            </w:r>
            <w:r w:rsidRPr="006E1F1D">
              <w:rPr>
                <w:b/>
                <w:sz w:val="17"/>
                <w:szCs w:val="17"/>
                <w:vertAlign w:val="superscript"/>
              </w:rPr>
              <w:t>#</w:t>
            </w:r>
          </w:p>
        </w:tc>
      </w:tr>
      <w:tr w:rsidR="00AC1730" w:rsidRPr="006E1F1D" w14:paraId="0A50C13A" w14:textId="77777777" w:rsidTr="005F4198">
        <w:trPr>
          <w:cantSplit/>
          <w:trHeight w:val="284"/>
        </w:trPr>
        <w:tc>
          <w:tcPr>
            <w:tcW w:w="1176" w:type="dxa"/>
            <w:vMerge/>
          </w:tcPr>
          <w:p w14:paraId="19BF5B86" w14:textId="77777777" w:rsidR="00AC1730" w:rsidRPr="006E1F1D" w:rsidRDefault="00AC1730" w:rsidP="005F4198">
            <w:pPr>
              <w:pStyle w:val="TableHeader"/>
              <w:ind w:left="0" w:right="0"/>
              <w:rPr>
                <w:b w:val="0"/>
                <w:sz w:val="18"/>
                <w:szCs w:val="18"/>
              </w:rPr>
            </w:pPr>
          </w:p>
        </w:tc>
        <w:tc>
          <w:tcPr>
            <w:tcW w:w="1073" w:type="dxa"/>
            <w:vMerge/>
          </w:tcPr>
          <w:p w14:paraId="5D26D0C9" w14:textId="77777777" w:rsidR="00AC1730" w:rsidRPr="006E1F1D" w:rsidRDefault="00AC1730" w:rsidP="005F4198">
            <w:pPr>
              <w:pStyle w:val="TableHeader"/>
              <w:ind w:left="0" w:right="0"/>
              <w:rPr>
                <w:b w:val="0"/>
                <w:sz w:val="18"/>
                <w:szCs w:val="18"/>
              </w:rPr>
            </w:pPr>
          </w:p>
        </w:tc>
        <w:tc>
          <w:tcPr>
            <w:tcW w:w="1744" w:type="dxa"/>
            <w:gridSpan w:val="2"/>
          </w:tcPr>
          <w:p w14:paraId="35249632" w14:textId="77777777" w:rsidR="006E1F1D" w:rsidRPr="006E1F1D" w:rsidRDefault="00AC1730" w:rsidP="005F4198">
            <w:pPr>
              <w:pStyle w:val="TableHeader"/>
              <w:spacing w:before="50" w:after="50"/>
              <w:ind w:left="0" w:right="0"/>
              <w:rPr>
                <w:b w:val="0"/>
                <w:sz w:val="17"/>
                <w:szCs w:val="17"/>
              </w:rPr>
            </w:pPr>
            <w:r w:rsidRPr="006E1F1D">
              <w:rPr>
                <w:sz w:val="17"/>
                <w:szCs w:val="17"/>
              </w:rPr>
              <w:t>Ertugliflozin/</w:t>
            </w:r>
          </w:p>
          <w:p w14:paraId="57A2DA93" w14:textId="77777777" w:rsidR="00AC1730" w:rsidRPr="006E1F1D" w:rsidRDefault="00AC1730" w:rsidP="005F4198">
            <w:pPr>
              <w:pStyle w:val="TableHeader"/>
              <w:spacing w:before="50" w:after="50"/>
              <w:ind w:left="0" w:right="0"/>
              <w:rPr>
                <w:b w:val="0"/>
                <w:sz w:val="17"/>
                <w:szCs w:val="17"/>
              </w:rPr>
            </w:pPr>
            <w:r w:rsidRPr="006E1F1D">
              <w:rPr>
                <w:sz w:val="17"/>
                <w:szCs w:val="17"/>
              </w:rPr>
              <w:t>sitagliptin</w:t>
            </w:r>
          </w:p>
        </w:tc>
        <w:tc>
          <w:tcPr>
            <w:tcW w:w="1476" w:type="dxa"/>
          </w:tcPr>
          <w:p w14:paraId="1DA80E26" w14:textId="77777777" w:rsidR="00AC1730" w:rsidRPr="006E1F1D" w:rsidRDefault="00AC1730" w:rsidP="005F4198">
            <w:pPr>
              <w:pStyle w:val="TableHeader"/>
              <w:spacing w:before="50" w:after="50"/>
              <w:ind w:left="0" w:right="0"/>
              <w:rPr>
                <w:b w:val="0"/>
                <w:sz w:val="17"/>
                <w:szCs w:val="17"/>
              </w:rPr>
            </w:pPr>
            <w:r w:rsidRPr="006E1F1D">
              <w:rPr>
                <w:sz w:val="17"/>
                <w:szCs w:val="17"/>
              </w:rPr>
              <w:t>Ertugliflozin</w:t>
            </w:r>
            <w:r w:rsidR="006E1F1D" w:rsidRPr="006E1F1D">
              <w:rPr>
                <w:sz w:val="17"/>
                <w:szCs w:val="17"/>
              </w:rPr>
              <w:t xml:space="preserve"> (E)</w:t>
            </w:r>
          </w:p>
        </w:tc>
        <w:tc>
          <w:tcPr>
            <w:tcW w:w="1342" w:type="dxa"/>
          </w:tcPr>
          <w:p w14:paraId="53338BFD" w14:textId="77777777" w:rsidR="00AC1730" w:rsidRPr="006E1F1D" w:rsidRDefault="00AC1730" w:rsidP="005F4198">
            <w:pPr>
              <w:pStyle w:val="TableHeader"/>
              <w:spacing w:before="50" w:after="50"/>
              <w:ind w:left="0" w:right="0"/>
              <w:rPr>
                <w:b w:val="0"/>
                <w:sz w:val="17"/>
                <w:szCs w:val="17"/>
              </w:rPr>
            </w:pPr>
            <w:r w:rsidRPr="006E1F1D">
              <w:rPr>
                <w:sz w:val="17"/>
                <w:szCs w:val="17"/>
              </w:rPr>
              <w:t>Sitagliptin</w:t>
            </w:r>
            <w:r w:rsidR="006E1F1D" w:rsidRPr="006E1F1D">
              <w:rPr>
                <w:sz w:val="17"/>
                <w:szCs w:val="17"/>
              </w:rPr>
              <w:t xml:space="preserve"> (S)</w:t>
            </w:r>
          </w:p>
        </w:tc>
        <w:tc>
          <w:tcPr>
            <w:tcW w:w="939" w:type="dxa"/>
          </w:tcPr>
          <w:p w14:paraId="7B8E4DFC" w14:textId="77777777" w:rsidR="00AC1730" w:rsidRPr="006E1F1D" w:rsidRDefault="006E1F1D" w:rsidP="005F4198">
            <w:pPr>
              <w:pStyle w:val="TableHeader"/>
              <w:spacing w:before="50" w:after="50"/>
              <w:ind w:left="0" w:right="0"/>
              <w:rPr>
                <w:b w:val="0"/>
                <w:sz w:val="17"/>
                <w:szCs w:val="17"/>
              </w:rPr>
            </w:pPr>
            <w:r w:rsidRPr="006E1F1D">
              <w:rPr>
                <w:sz w:val="17"/>
                <w:szCs w:val="17"/>
              </w:rPr>
              <w:t>E</w:t>
            </w:r>
          </w:p>
        </w:tc>
        <w:tc>
          <w:tcPr>
            <w:tcW w:w="805" w:type="dxa"/>
          </w:tcPr>
          <w:p w14:paraId="1D52BE07" w14:textId="77777777" w:rsidR="00AC1730" w:rsidRPr="006E1F1D" w:rsidRDefault="00AC1730" w:rsidP="005F4198">
            <w:pPr>
              <w:pStyle w:val="TableHeader"/>
              <w:spacing w:before="50" w:after="50"/>
              <w:ind w:left="0" w:right="0"/>
              <w:rPr>
                <w:b w:val="0"/>
                <w:sz w:val="17"/>
                <w:szCs w:val="17"/>
              </w:rPr>
            </w:pPr>
            <w:r w:rsidRPr="006E1F1D">
              <w:rPr>
                <w:sz w:val="17"/>
                <w:szCs w:val="17"/>
              </w:rPr>
              <w:t>S</w:t>
            </w:r>
          </w:p>
        </w:tc>
      </w:tr>
      <w:tr w:rsidR="00AC1730" w:rsidRPr="00DA1140" w14:paraId="202951C6" w14:textId="77777777" w:rsidTr="005F4198">
        <w:trPr>
          <w:trHeight w:val="227"/>
        </w:trPr>
        <w:tc>
          <w:tcPr>
            <w:tcW w:w="1176" w:type="dxa"/>
            <w:vMerge w:val="restart"/>
          </w:tcPr>
          <w:p w14:paraId="571187C4" w14:textId="27AD6497" w:rsidR="00AC1730" w:rsidRPr="00DA1140" w:rsidRDefault="00AC1730" w:rsidP="005F4198">
            <w:pPr>
              <w:pStyle w:val="Tabletext"/>
              <w:keepNext/>
              <w:keepLines/>
              <w:spacing w:before="40" w:after="40"/>
              <w:ind w:left="0" w:right="0"/>
              <w:rPr>
                <w:kern w:val="2"/>
                <w:sz w:val="17"/>
                <w:szCs w:val="17"/>
              </w:rPr>
            </w:pPr>
            <w:r w:rsidRPr="00DA1140">
              <w:rPr>
                <w:b/>
                <w:sz w:val="17"/>
                <w:szCs w:val="17"/>
              </w:rPr>
              <w:t>Rat</w:t>
            </w:r>
            <w:r w:rsidR="0009659F">
              <w:rPr>
                <w:sz w:val="17"/>
                <w:szCs w:val="17"/>
              </w:rPr>
              <w:t xml:space="preserve"> </w:t>
            </w:r>
            <w:r w:rsidRPr="00DA1140">
              <w:rPr>
                <w:sz w:val="17"/>
                <w:szCs w:val="17"/>
              </w:rPr>
              <w:t>(SD)</w:t>
            </w:r>
          </w:p>
        </w:tc>
        <w:tc>
          <w:tcPr>
            <w:tcW w:w="1073" w:type="dxa"/>
            <w:vMerge w:val="restart"/>
          </w:tcPr>
          <w:p w14:paraId="437FF4B9" w14:textId="41F8CEB2" w:rsidR="00AC1730" w:rsidRPr="00DA1140" w:rsidRDefault="00AC1730" w:rsidP="005F4198">
            <w:pPr>
              <w:pStyle w:val="Tabletext"/>
              <w:keepNext/>
              <w:keepLines/>
              <w:ind w:left="0" w:right="0"/>
              <w:rPr>
                <w:sz w:val="17"/>
                <w:szCs w:val="17"/>
              </w:rPr>
            </w:pPr>
            <w:r w:rsidRPr="00DA1140">
              <w:rPr>
                <w:kern w:val="2"/>
                <w:sz w:val="17"/>
                <w:szCs w:val="17"/>
              </w:rPr>
              <w:t>13 weeks</w:t>
            </w:r>
            <w:r w:rsidR="0009659F">
              <w:rPr>
                <w:kern w:val="2"/>
                <w:sz w:val="17"/>
                <w:szCs w:val="17"/>
              </w:rPr>
              <w:t xml:space="preserve"> </w:t>
            </w:r>
            <w:r w:rsidRPr="00DA1140">
              <w:rPr>
                <w:kern w:val="2"/>
                <w:sz w:val="17"/>
                <w:szCs w:val="17"/>
              </w:rPr>
              <w:t>[</w:t>
            </w:r>
            <w:r w:rsidRPr="00DA1140">
              <w:rPr>
                <w:sz w:val="17"/>
                <w:szCs w:val="17"/>
              </w:rPr>
              <w:t>TT147808]</w:t>
            </w:r>
          </w:p>
        </w:tc>
        <w:tc>
          <w:tcPr>
            <w:tcW w:w="805" w:type="dxa"/>
          </w:tcPr>
          <w:p w14:paraId="1EDC242B" w14:textId="77777777" w:rsidR="00AC1730" w:rsidRPr="00DA1140" w:rsidRDefault="00AC1730" w:rsidP="005F4198">
            <w:pPr>
              <w:pStyle w:val="Tabletext"/>
              <w:keepNext/>
              <w:keepLines/>
              <w:spacing w:before="0" w:after="0"/>
              <w:ind w:left="0" w:right="0"/>
              <w:rPr>
                <w:kern w:val="2"/>
                <w:sz w:val="17"/>
                <w:szCs w:val="17"/>
              </w:rPr>
            </w:pPr>
            <w:r w:rsidRPr="00DA1140">
              <w:rPr>
                <w:kern w:val="2"/>
                <w:sz w:val="17"/>
                <w:szCs w:val="17"/>
              </w:rPr>
              <w:t>5</w:t>
            </w:r>
          </w:p>
        </w:tc>
        <w:tc>
          <w:tcPr>
            <w:tcW w:w="939" w:type="dxa"/>
          </w:tcPr>
          <w:p w14:paraId="7E64399E" w14:textId="77777777" w:rsidR="00AC1730" w:rsidRPr="00DA1140" w:rsidRDefault="00AC1730" w:rsidP="005F4198">
            <w:pPr>
              <w:pStyle w:val="Tabletext"/>
              <w:keepNext/>
              <w:keepLines/>
              <w:spacing w:before="0" w:after="0"/>
              <w:ind w:left="0" w:right="0"/>
              <w:rPr>
                <w:kern w:val="2"/>
                <w:sz w:val="17"/>
                <w:szCs w:val="17"/>
              </w:rPr>
            </w:pPr>
            <w:r w:rsidRPr="00DA1140">
              <w:rPr>
                <w:kern w:val="2"/>
                <w:sz w:val="17"/>
                <w:szCs w:val="17"/>
              </w:rPr>
              <w:t>20</w:t>
            </w:r>
          </w:p>
        </w:tc>
        <w:tc>
          <w:tcPr>
            <w:tcW w:w="1476" w:type="dxa"/>
          </w:tcPr>
          <w:p w14:paraId="660364D9" w14:textId="77777777" w:rsidR="00AC1730" w:rsidRPr="00DA1140" w:rsidRDefault="00AC1730" w:rsidP="005F4198">
            <w:pPr>
              <w:pStyle w:val="Tabletext"/>
              <w:keepNext/>
              <w:keepLines/>
              <w:spacing w:before="0" w:after="0"/>
              <w:ind w:left="0" w:right="0"/>
              <w:rPr>
                <w:kern w:val="2"/>
                <w:sz w:val="17"/>
                <w:szCs w:val="17"/>
              </w:rPr>
            </w:pPr>
            <w:r w:rsidRPr="00DA1140">
              <w:rPr>
                <w:kern w:val="2"/>
                <w:sz w:val="17"/>
                <w:szCs w:val="17"/>
              </w:rPr>
              <w:t>21.0</w:t>
            </w:r>
          </w:p>
        </w:tc>
        <w:tc>
          <w:tcPr>
            <w:tcW w:w="1342" w:type="dxa"/>
          </w:tcPr>
          <w:p w14:paraId="2B40BBD0" w14:textId="77777777" w:rsidR="00AC1730" w:rsidRPr="00DA1140" w:rsidRDefault="00AC1730" w:rsidP="005F4198">
            <w:pPr>
              <w:pStyle w:val="Tabletext"/>
              <w:keepNext/>
              <w:keepLines/>
              <w:spacing w:before="0" w:after="0"/>
              <w:ind w:left="0" w:right="0"/>
              <w:rPr>
                <w:kern w:val="2"/>
                <w:sz w:val="17"/>
                <w:szCs w:val="17"/>
              </w:rPr>
            </w:pPr>
            <w:r w:rsidRPr="00DA1140">
              <w:rPr>
                <w:kern w:val="2"/>
                <w:sz w:val="17"/>
                <w:szCs w:val="17"/>
              </w:rPr>
              <w:t>6.93</w:t>
            </w:r>
          </w:p>
        </w:tc>
        <w:tc>
          <w:tcPr>
            <w:tcW w:w="939" w:type="dxa"/>
          </w:tcPr>
          <w:p w14:paraId="6D71F260" w14:textId="77777777" w:rsidR="00AC1730" w:rsidRPr="00DA1140" w:rsidRDefault="00AC1730" w:rsidP="005F4198">
            <w:pPr>
              <w:keepNext/>
              <w:spacing w:line="200" w:lineRule="exact"/>
              <w:ind w:left="0" w:right="0"/>
              <w:jc w:val="center"/>
              <w:rPr>
                <w:rFonts w:cs="Calibri"/>
                <w:sz w:val="17"/>
                <w:szCs w:val="17"/>
              </w:rPr>
            </w:pPr>
            <w:r w:rsidRPr="00DA1140">
              <w:rPr>
                <w:rFonts w:cs="Calibri"/>
                <w:sz w:val="17"/>
                <w:szCs w:val="17"/>
              </w:rPr>
              <w:t>11</w:t>
            </w:r>
          </w:p>
        </w:tc>
        <w:tc>
          <w:tcPr>
            <w:tcW w:w="805" w:type="dxa"/>
          </w:tcPr>
          <w:p w14:paraId="476C4895" w14:textId="77777777" w:rsidR="00AC1730" w:rsidRPr="00DA1140" w:rsidRDefault="00AC1730" w:rsidP="005F4198">
            <w:pPr>
              <w:keepNext/>
              <w:spacing w:line="200" w:lineRule="exact"/>
              <w:ind w:left="0" w:right="0"/>
              <w:jc w:val="center"/>
              <w:rPr>
                <w:rFonts w:cs="Calibri"/>
                <w:sz w:val="17"/>
                <w:szCs w:val="17"/>
              </w:rPr>
            </w:pPr>
            <w:r w:rsidRPr="00DA1140">
              <w:rPr>
                <w:rFonts w:cs="Calibri"/>
                <w:sz w:val="17"/>
                <w:szCs w:val="17"/>
              </w:rPr>
              <w:t>2.0</w:t>
            </w:r>
          </w:p>
        </w:tc>
      </w:tr>
      <w:tr w:rsidR="00AC1730" w:rsidRPr="00DA1140" w14:paraId="2AAD411A" w14:textId="77777777" w:rsidTr="005F4198">
        <w:trPr>
          <w:trHeight w:val="227"/>
        </w:trPr>
        <w:tc>
          <w:tcPr>
            <w:tcW w:w="1176" w:type="dxa"/>
            <w:vMerge/>
          </w:tcPr>
          <w:p w14:paraId="6C32E401" w14:textId="77777777" w:rsidR="00AC1730" w:rsidRPr="00DA1140" w:rsidRDefault="00AC1730" w:rsidP="005F4198">
            <w:pPr>
              <w:pStyle w:val="Tabletext"/>
              <w:keepNext/>
              <w:keepLines/>
              <w:spacing w:before="40" w:after="40"/>
              <w:ind w:left="0" w:right="0"/>
              <w:rPr>
                <w:kern w:val="2"/>
                <w:sz w:val="17"/>
                <w:szCs w:val="17"/>
              </w:rPr>
            </w:pPr>
          </w:p>
        </w:tc>
        <w:tc>
          <w:tcPr>
            <w:tcW w:w="1073" w:type="dxa"/>
            <w:vMerge/>
          </w:tcPr>
          <w:p w14:paraId="7761FAB6" w14:textId="77777777" w:rsidR="00AC1730" w:rsidRPr="00DA1140" w:rsidRDefault="00AC1730" w:rsidP="005F4198">
            <w:pPr>
              <w:pStyle w:val="Tabletext"/>
              <w:keepNext/>
              <w:keepLines/>
              <w:spacing w:before="0" w:after="0"/>
              <w:ind w:left="0" w:right="0"/>
              <w:rPr>
                <w:kern w:val="2"/>
                <w:sz w:val="17"/>
                <w:szCs w:val="17"/>
              </w:rPr>
            </w:pPr>
          </w:p>
        </w:tc>
        <w:tc>
          <w:tcPr>
            <w:tcW w:w="805" w:type="dxa"/>
          </w:tcPr>
          <w:p w14:paraId="04DC1E2B" w14:textId="77777777" w:rsidR="00AC1730" w:rsidRPr="00DA1140" w:rsidRDefault="00AC1730" w:rsidP="005F4198">
            <w:pPr>
              <w:pStyle w:val="Tabletext"/>
              <w:keepNext/>
              <w:keepLines/>
              <w:spacing w:before="0" w:after="0"/>
              <w:ind w:left="0" w:right="0"/>
              <w:rPr>
                <w:kern w:val="2"/>
                <w:sz w:val="17"/>
                <w:szCs w:val="17"/>
              </w:rPr>
            </w:pPr>
            <w:r w:rsidRPr="00DA1140">
              <w:rPr>
                <w:kern w:val="2"/>
                <w:sz w:val="17"/>
                <w:szCs w:val="17"/>
              </w:rPr>
              <w:t>5</w:t>
            </w:r>
          </w:p>
        </w:tc>
        <w:tc>
          <w:tcPr>
            <w:tcW w:w="939" w:type="dxa"/>
          </w:tcPr>
          <w:p w14:paraId="0B7E0974" w14:textId="77777777" w:rsidR="00AC1730" w:rsidRPr="00DA1140" w:rsidRDefault="00AC1730" w:rsidP="005F4198">
            <w:pPr>
              <w:pStyle w:val="Tabletext"/>
              <w:keepNext/>
              <w:keepLines/>
              <w:spacing w:before="0" w:after="0"/>
              <w:ind w:left="0" w:right="0"/>
              <w:rPr>
                <w:kern w:val="2"/>
                <w:sz w:val="17"/>
                <w:szCs w:val="17"/>
              </w:rPr>
            </w:pPr>
            <w:r w:rsidRPr="00DA1140">
              <w:rPr>
                <w:kern w:val="2"/>
                <w:sz w:val="17"/>
                <w:szCs w:val="17"/>
              </w:rPr>
              <w:t>60</w:t>
            </w:r>
          </w:p>
        </w:tc>
        <w:tc>
          <w:tcPr>
            <w:tcW w:w="1476" w:type="dxa"/>
          </w:tcPr>
          <w:p w14:paraId="7D3D5298" w14:textId="77777777" w:rsidR="00AC1730" w:rsidRPr="00DA1140" w:rsidRDefault="00AC1730" w:rsidP="005F4198">
            <w:pPr>
              <w:pStyle w:val="Tabletext"/>
              <w:keepNext/>
              <w:keepLines/>
              <w:spacing w:before="0" w:after="0"/>
              <w:ind w:left="0" w:right="0"/>
              <w:rPr>
                <w:kern w:val="2"/>
                <w:sz w:val="17"/>
                <w:szCs w:val="17"/>
              </w:rPr>
            </w:pPr>
            <w:r w:rsidRPr="00DA1140">
              <w:rPr>
                <w:kern w:val="2"/>
                <w:sz w:val="17"/>
                <w:szCs w:val="17"/>
              </w:rPr>
              <w:t>24.8</w:t>
            </w:r>
          </w:p>
        </w:tc>
        <w:tc>
          <w:tcPr>
            <w:tcW w:w="1342" w:type="dxa"/>
          </w:tcPr>
          <w:p w14:paraId="34969EE9" w14:textId="77777777" w:rsidR="00AC1730" w:rsidRPr="00DA1140" w:rsidRDefault="00AC1730" w:rsidP="005F4198">
            <w:pPr>
              <w:pStyle w:val="Tabletext"/>
              <w:keepNext/>
              <w:keepLines/>
              <w:spacing w:before="0" w:after="0"/>
              <w:ind w:left="0" w:right="0"/>
              <w:rPr>
                <w:kern w:val="2"/>
                <w:sz w:val="17"/>
                <w:szCs w:val="17"/>
              </w:rPr>
            </w:pPr>
            <w:r w:rsidRPr="00DA1140">
              <w:rPr>
                <w:kern w:val="2"/>
                <w:sz w:val="17"/>
                <w:szCs w:val="17"/>
              </w:rPr>
              <w:t>28.6</w:t>
            </w:r>
          </w:p>
        </w:tc>
        <w:tc>
          <w:tcPr>
            <w:tcW w:w="939" w:type="dxa"/>
          </w:tcPr>
          <w:p w14:paraId="115B16B5" w14:textId="77777777" w:rsidR="00AC1730" w:rsidRPr="00DA1140" w:rsidRDefault="00AC1730" w:rsidP="005F4198">
            <w:pPr>
              <w:keepNext/>
              <w:spacing w:line="200" w:lineRule="exact"/>
              <w:ind w:left="0" w:right="0"/>
              <w:jc w:val="center"/>
              <w:rPr>
                <w:rFonts w:cs="Calibri"/>
                <w:sz w:val="17"/>
                <w:szCs w:val="17"/>
              </w:rPr>
            </w:pPr>
            <w:r w:rsidRPr="00DA1140">
              <w:rPr>
                <w:rFonts w:cs="Calibri"/>
                <w:sz w:val="17"/>
                <w:szCs w:val="17"/>
              </w:rPr>
              <w:t>13</w:t>
            </w:r>
          </w:p>
        </w:tc>
        <w:tc>
          <w:tcPr>
            <w:tcW w:w="805" w:type="dxa"/>
          </w:tcPr>
          <w:p w14:paraId="6E82CADC" w14:textId="77777777" w:rsidR="00AC1730" w:rsidRPr="00DA1140" w:rsidRDefault="00AC1730" w:rsidP="005F4198">
            <w:pPr>
              <w:keepNext/>
              <w:spacing w:line="200" w:lineRule="exact"/>
              <w:ind w:left="0" w:right="0"/>
              <w:jc w:val="center"/>
              <w:rPr>
                <w:rFonts w:cs="Calibri"/>
                <w:sz w:val="17"/>
                <w:szCs w:val="17"/>
              </w:rPr>
            </w:pPr>
            <w:r w:rsidRPr="00DA1140">
              <w:rPr>
                <w:rFonts w:cs="Calibri"/>
                <w:sz w:val="17"/>
                <w:szCs w:val="17"/>
              </w:rPr>
              <w:t>8</w:t>
            </w:r>
          </w:p>
        </w:tc>
      </w:tr>
      <w:tr w:rsidR="00AC1730" w:rsidRPr="00DA1140" w14:paraId="4DC2A38F" w14:textId="77777777" w:rsidTr="005F4198">
        <w:trPr>
          <w:trHeight w:val="227"/>
        </w:trPr>
        <w:tc>
          <w:tcPr>
            <w:tcW w:w="1176" w:type="dxa"/>
            <w:vMerge/>
          </w:tcPr>
          <w:p w14:paraId="53A73A91" w14:textId="77777777" w:rsidR="00AC1730" w:rsidRPr="00DA1140" w:rsidRDefault="00AC1730" w:rsidP="005F4198">
            <w:pPr>
              <w:pStyle w:val="Tabletext"/>
              <w:keepNext/>
              <w:keepLines/>
              <w:spacing w:before="40" w:after="40"/>
              <w:ind w:left="0" w:right="0"/>
              <w:rPr>
                <w:kern w:val="2"/>
                <w:sz w:val="17"/>
                <w:szCs w:val="17"/>
              </w:rPr>
            </w:pPr>
          </w:p>
        </w:tc>
        <w:tc>
          <w:tcPr>
            <w:tcW w:w="1073" w:type="dxa"/>
            <w:vMerge/>
          </w:tcPr>
          <w:p w14:paraId="517EA863" w14:textId="77777777" w:rsidR="00AC1730" w:rsidRPr="00DA1140" w:rsidRDefault="00AC1730" w:rsidP="005F4198">
            <w:pPr>
              <w:pStyle w:val="Tabletext"/>
              <w:keepNext/>
              <w:keepLines/>
              <w:spacing w:before="0" w:after="0"/>
              <w:ind w:left="0" w:right="0"/>
              <w:rPr>
                <w:kern w:val="2"/>
                <w:sz w:val="17"/>
                <w:szCs w:val="17"/>
              </w:rPr>
            </w:pPr>
          </w:p>
        </w:tc>
        <w:tc>
          <w:tcPr>
            <w:tcW w:w="805" w:type="dxa"/>
          </w:tcPr>
          <w:p w14:paraId="030EC465" w14:textId="77777777" w:rsidR="00AC1730" w:rsidRPr="00DA1140" w:rsidRDefault="00AC1730" w:rsidP="005F4198">
            <w:pPr>
              <w:pStyle w:val="Tabletext"/>
              <w:keepNext/>
              <w:keepLines/>
              <w:spacing w:before="0" w:after="0"/>
              <w:ind w:left="0" w:right="0"/>
              <w:rPr>
                <w:kern w:val="2"/>
                <w:sz w:val="17"/>
                <w:szCs w:val="17"/>
              </w:rPr>
            </w:pPr>
            <w:r w:rsidRPr="00DA1140">
              <w:rPr>
                <w:kern w:val="2"/>
                <w:sz w:val="17"/>
                <w:szCs w:val="17"/>
              </w:rPr>
              <w:t>25</w:t>
            </w:r>
          </w:p>
        </w:tc>
        <w:tc>
          <w:tcPr>
            <w:tcW w:w="939" w:type="dxa"/>
          </w:tcPr>
          <w:p w14:paraId="689115C7" w14:textId="77777777" w:rsidR="00AC1730" w:rsidRPr="00DA1140" w:rsidRDefault="00AC1730" w:rsidP="005F4198">
            <w:pPr>
              <w:pStyle w:val="Tabletext"/>
              <w:keepNext/>
              <w:keepLines/>
              <w:spacing w:before="0" w:after="0"/>
              <w:ind w:left="0" w:right="0"/>
              <w:rPr>
                <w:kern w:val="2"/>
                <w:sz w:val="17"/>
                <w:szCs w:val="17"/>
              </w:rPr>
            </w:pPr>
            <w:r w:rsidRPr="00DA1140">
              <w:rPr>
                <w:kern w:val="2"/>
                <w:sz w:val="17"/>
                <w:szCs w:val="17"/>
              </w:rPr>
              <w:t>20</w:t>
            </w:r>
          </w:p>
        </w:tc>
        <w:tc>
          <w:tcPr>
            <w:tcW w:w="1476" w:type="dxa"/>
          </w:tcPr>
          <w:p w14:paraId="20FD7141" w14:textId="77777777" w:rsidR="00AC1730" w:rsidRPr="00DA1140" w:rsidRDefault="00AC1730" w:rsidP="005F4198">
            <w:pPr>
              <w:pStyle w:val="Tabletext"/>
              <w:keepNext/>
              <w:keepLines/>
              <w:spacing w:before="0" w:after="0"/>
              <w:ind w:left="0" w:right="0"/>
              <w:rPr>
                <w:kern w:val="2"/>
                <w:sz w:val="17"/>
                <w:szCs w:val="17"/>
              </w:rPr>
            </w:pPr>
            <w:r w:rsidRPr="00DA1140">
              <w:rPr>
                <w:kern w:val="2"/>
                <w:sz w:val="17"/>
                <w:szCs w:val="17"/>
              </w:rPr>
              <w:t>154</w:t>
            </w:r>
          </w:p>
        </w:tc>
        <w:tc>
          <w:tcPr>
            <w:tcW w:w="1342" w:type="dxa"/>
          </w:tcPr>
          <w:p w14:paraId="35EE7BB1" w14:textId="77777777" w:rsidR="00AC1730" w:rsidRPr="00DA1140" w:rsidRDefault="00AC1730" w:rsidP="005F4198">
            <w:pPr>
              <w:pStyle w:val="Tabletext"/>
              <w:keepNext/>
              <w:keepLines/>
              <w:spacing w:before="0" w:after="0"/>
              <w:ind w:left="0" w:right="0"/>
              <w:rPr>
                <w:kern w:val="2"/>
                <w:sz w:val="17"/>
                <w:szCs w:val="17"/>
              </w:rPr>
            </w:pPr>
            <w:r w:rsidRPr="00DA1140">
              <w:rPr>
                <w:kern w:val="2"/>
                <w:sz w:val="17"/>
                <w:szCs w:val="17"/>
              </w:rPr>
              <w:t>8.39</w:t>
            </w:r>
          </w:p>
        </w:tc>
        <w:tc>
          <w:tcPr>
            <w:tcW w:w="939" w:type="dxa"/>
          </w:tcPr>
          <w:p w14:paraId="190C0E2B" w14:textId="77777777" w:rsidR="00AC1730" w:rsidRPr="00DA1140" w:rsidRDefault="00AC1730" w:rsidP="005F4198">
            <w:pPr>
              <w:keepNext/>
              <w:spacing w:line="200" w:lineRule="exact"/>
              <w:ind w:left="0" w:right="0"/>
              <w:jc w:val="center"/>
              <w:rPr>
                <w:rFonts w:cs="Calibri"/>
                <w:sz w:val="17"/>
                <w:szCs w:val="17"/>
              </w:rPr>
            </w:pPr>
            <w:r w:rsidRPr="00DA1140">
              <w:rPr>
                <w:rFonts w:cs="Calibri"/>
                <w:sz w:val="17"/>
                <w:szCs w:val="17"/>
              </w:rPr>
              <w:t>80</w:t>
            </w:r>
          </w:p>
        </w:tc>
        <w:tc>
          <w:tcPr>
            <w:tcW w:w="805" w:type="dxa"/>
          </w:tcPr>
          <w:p w14:paraId="7E884B6D" w14:textId="77777777" w:rsidR="00AC1730" w:rsidRPr="00DA1140" w:rsidRDefault="00AC1730" w:rsidP="005F4198">
            <w:pPr>
              <w:keepNext/>
              <w:spacing w:line="200" w:lineRule="exact"/>
              <w:ind w:left="0" w:right="0"/>
              <w:jc w:val="center"/>
              <w:rPr>
                <w:rFonts w:cs="Calibri"/>
                <w:sz w:val="17"/>
                <w:szCs w:val="17"/>
              </w:rPr>
            </w:pPr>
            <w:r w:rsidRPr="00DA1140">
              <w:rPr>
                <w:rFonts w:cs="Calibri"/>
                <w:sz w:val="17"/>
                <w:szCs w:val="17"/>
              </w:rPr>
              <w:t>2.4</w:t>
            </w:r>
          </w:p>
        </w:tc>
      </w:tr>
      <w:tr w:rsidR="00AC1730" w:rsidRPr="00DA1140" w14:paraId="32945156" w14:textId="77777777" w:rsidTr="005F4198">
        <w:trPr>
          <w:trHeight w:val="227"/>
        </w:trPr>
        <w:tc>
          <w:tcPr>
            <w:tcW w:w="1176" w:type="dxa"/>
            <w:vMerge/>
          </w:tcPr>
          <w:p w14:paraId="3F0994AB" w14:textId="77777777" w:rsidR="00AC1730" w:rsidRPr="00DA1140" w:rsidRDefault="00AC1730" w:rsidP="005F4198">
            <w:pPr>
              <w:pStyle w:val="Tabletext"/>
              <w:keepNext/>
              <w:keepLines/>
              <w:spacing w:before="40" w:after="40"/>
              <w:ind w:left="0" w:right="0"/>
              <w:rPr>
                <w:kern w:val="2"/>
                <w:sz w:val="17"/>
                <w:szCs w:val="17"/>
              </w:rPr>
            </w:pPr>
          </w:p>
        </w:tc>
        <w:tc>
          <w:tcPr>
            <w:tcW w:w="1073" w:type="dxa"/>
            <w:vMerge/>
          </w:tcPr>
          <w:p w14:paraId="6D99374A" w14:textId="77777777" w:rsidR="00AC1730" w:rsidRPr="00DA1140" w:rsidRDefault="00AC1730" w:rsidP="005F4198">
            <w:pPr>
              <w:pStyle w:val="Tabletext"/>
              <w:keepNext/>
              <w:keepLines/>
              <w:spacing w:before="0" w:after="0"/>
              <w:ind w:left="0" w:right="0"/>
              <w:rPr>
                <w:kern w:val="2"/>
                <w:sz w:val="17"/>
                <w:szCs w:val="17"/>
              </w:rPr>
            </w:pPr>
          </w:p>
        </w:tc>
        <w:tc>
          <w:tcPr>
            <w:tcW w:w="805" w:type="dxa"/>
          </w:tcPr>
          <w:p w14:paraId="29EB038D" w14:textId="77777777" w:rsidR="00AC1730" w:rsidRPr="00DA1140" w:rsidRDefault="00AC1730" w:rsidP="005F4198">
            <w:pPr>
              <w:pStyle w:val="Tabletext"/>
              <w:keepNext/>
              <w:keepLines/>
              <w:spacing w:before="0" w:after="0"/>
              <w:ind w:left="0" w:right="0"/>
              <w:rPr>
                <w:kern w:val="2"/>
                <w:sz w:val="17"/>
                <w:szCs w:val="17"/>
              </w:rPr>
            </w:pPr>
            <w:r w:rsidRPr="00DA1140">
              <w:rPr>
                <w:kern w:val="2"/>
                <w:sz w:val="17"/>
                <w:szCs w:val="17"/>
              </w:rPr>
              <w:t>25</w:t>
            </w:r>
          </w:p>
        </w:tc>
        <w:tc>
          <w:tcPr>
            <w:tcW w:w="939" w:type="dxa"/>
          </w:tcPr>
          <w:p w14:paraId="37F400D4" w14:textId="77777777" w:rsidR="00AC1730" w:rsidRPr="00DA1140" w:rsidRDefault="00AC1730" w:rsidP="005F4198">
            <w:pPr>
              <w:pStyle w:val="Tabletext"/>
              <w:keepNext/>
              <w:keepLines/>
              <w:spacing w:before="0" w:after="0"/>
              <w:ind w:left="0" w:right="0"/>
              <w:rPr>
                <w:kern w:val="2"/>
                <w:sz w:val="17"/>
                <w:szCs w:val="17"/>
              </w:rPr>
            </w:pPr>
            <w:r w:rsidRPr="00DA1140">
              <w:rPr>
                <w:kern w:val="2"/>
                <w:sz w:val="17"/>
                <w:szCs w:val="17"/>
              </w:rPr>
              <w:t>60</w:t>
            </w:r>
          </w:p>
        </w:tc>
        <w:tc>
          <w:tcPr>
            <w:tcW w:w="1476" w:type="dxa"/>
          </w:tcPr>
          <w:p w14:paraId="26D09F3B" w14:textId="77777777" w:rsidR="00AC1730" w:rsidRPr="00DA1140" w:rsidRDefault="00AC1730" w:rsidP="005F4198">
            <w:pPr>
              <w:pStyle w:val="Tabletext"/>
              <w:keepNext/>
              <w:keepLines/>
              <w:spacing w:before="0" w:after="0"/>
              <w:ind w:left="0" w:right="0"/>
              <w:rPr>
                <w:kern w:val="2"/>
                <w:sz w:val="17"/>
                <w:szCs w:val="17"/>
              </w:rPr>
            </w:pPr>
            <w:r w:rsidRPr="00DA1140">
              <w:rPr>
                <w:kern w:val="2"/>
                <w:sz w:val="17"/>
                <w:szCs w:val="17"/>
              </w:rPr>
              <w:t>123</w:t>
            </w:r>
          </w:p>
        </w:tc>
        <w:tc>
          <w:tcPr>
            <w:tcW w:w="1342" w:type="dxa"/>
          </w:tcPr>
          <w:p w14:paraId="2C796896" w14:textId="77777777" w:rsidR="00AC1730" w:rsidRPr="00DA1140" w:rsidRDefault="00AC1730" w:rsidP="005F4198">
            <w:pPr>
              <w:pStyle w:val="Tabletext"/>
              <w:keepNext/>
              <w:keepLines/>
              <w:spacing w:before="0" w:after="0"/>
              <w:ind w:left="0" w:right="0"/>
              <w:rPr>
                <w:kern w:val="2"/>
                <w:sz w:val="17"/>
                <w:szCs w:val="17"/>
              </w:rPr>
            </w:pPr>
            <w:r w:rsidRPr="00DA1140">
              <w:rPr>
                <w:kern w:val="2"/>
                <w:sz w:val="17"/>
                <w:szCs w:val="17"/>
              </w:rPr>
              <w:t>24.4</w:t>
            </w:r>
          </w:p>
        </w:tc>
        <w:tc>
          <w:tcPr>
            <w:tcW w:w="939" w:type="dxa"/>
          </w:tcPr>
          <w:p w14:paraId="48AE0747" w14:textId="77777777" w:rsidR="00AC1730" w:rsidRPr="00DA1140" w:rsidRDefault="00AC1730" w:rsidP="005F4198">
            <w:pPr>
              <w:keepNext/>
              <w:spacing w:line="200" w:lineRule="exact"/>
              <w:ind w:left="0" w:right="0"/>
              <w:jc w:val="center"/>
              <w:rPr>
                <w:rFonts w:cs="Calibri"/>
                <w:sz w:val="17"/>
                <w:szCs w:val="17"/>
              </w:rPr>
            </w:pPr>
            <w:r w:rsidRPr="00DA1140">
              <w:rPr>
                <w:rFonts w:cs="Calibri"/>
                <w:sz w:val="17"/>
                <w:szCs w:val="17"/>
              </w:rPr>
              <w:t>64</w:t>
            </w:r>
          </w:p>
        </w:tc>
        <w:tc>
          <w:tcPr>
            <w:tcW w:w="805" w:type="dxa"/>
          </w:tcPr>
          <w:p w14:paraId="5759FEE4" w14:textId="77777777" w:rsidR="00AC1730" w:rsidRPr="00DA1140" w:rsidRDefault="00AC1730" w:rsidP="005F4198">
            <w:pPr>
              <w:keepNext/>
              <w:spacing w:line="200" w:lineRule="exact"/>
              <w:ind w:left="0" w:right="0"/>
              <w:jc w:val="center"/>
              <w:rPr>
                <w:rFonts w:cs="Calibri"/>
                <w:sz w:val="17"/>
                <w:szCs w:val="17"/>
              </w:rPr>
            </w:pPr>
            <w:r w:rsidRPr="00DA1140">
              <w:rPr>
                <w:rFonts w:cs="Calibri"/>
                <w:sz w:val="17"/>
                <w:szCs w:val="17"/>
              </w:rPr>
              <w:t>7</w:t>
            </w:r>
          </w:p>
        </w:tc>
      </w:tr>
      <w:tr w:rsidR="00AC1730" w:rsidRPr="00DA1140" w14:paraId="2CE2485B" w14:textId="77777777" w:rsidTr="005F4198">
        <w:trPr>
          <w:trHeight w:val="227"/>
        </w:trPr>
        <w:tc>
          <w:tcPr>
            <w:tcW w:w="1176" w:type="dxa"/>
            <w:vMerge/>
          </w:tcPr>
          <w:p w14:paraId="7F012848" w14:textId="77777777" w:rsidR="00AC1730" w:rsidRPr="00DA1140" w:rsidRDefault="00AC1730" w:rsidP="005F4198">
            <w:pPr>
              <w:pStyle w:val="Tabletext"/>
              <w:keepNext/>
              <w:keepLines/>
              <w:spacing w:before="40" w:after="40"/>
              <w:ind w:left="0" w:right="0"/>
              <w:rPr>
                <w:kern w:val="2"/>
                <w:sz w:val="17"/>
                <w:szCs w:val="17"/>
              </w:rPr>
            </w:pPr>
          </w:p>
        </w:tc>
        <w:tc>
          <w:tcPr>
            <w:tcW w:w="1073" w:type="dxa"/>
            <w:vMerge/>
          </w:tcPr>
          <w:p w14:paraId="6A733C67" w14:textId="77777777" w:rsidR="00AC1730" w:rsidRPr="00DA1140" w:rsidRDefault="00AC1730" w:rsidP="005F4198">
            <w:pPr>
              <w:pStyle w:val="Tabletext"/>
              <w:keepNext/>
              <w:keepLines/>
              <w:spacing w:before="0" w:after="0"/>
              <w:ind w:left="0" w:right="0"/>
              <w:rPr>
                <w:kern w:val="2"/>
                <w:sz w:val="17"/>
                <w:szCs w:val="17"/>
              </w:rPr>
            </w:pPr>
          </w:p>
        </w:tc>
        <w:tc>
          <w:tcPr>
            <w:tcW w:w="805" w:type="dxa"/>
          </w:tcPr>
          <w:p w14:paraId="61E12AFC" w14:textId="77777777" w:rsidR="00AC1730" w:rsidRPr="00DA1140" w:rsidRDefault="00AC1730" w:rsidP="005F4198">
            <w:pPr>
              <w:pStyle w:val="Tabletext"/>
              <w:keepNext/>
              <w:keepLines/>
              <w:spacing w:before="0" w:after="0"/>
              <w:ind w:left="0" w:right="0"/>
              <w:rPr>
                <w:kern w:val="2"/>
                <w:sz w:val="17"/>
                <w:szCs w:val="17"/>
              </w:rPr>
            </w:pPr>
            <w:r w:rsidRPr="00DA1140">
              <w:rPr>
                <w:kern w:val="2"/>
                <w:sz w:val="17"/>
                <w:szCs w:val="17"/>
              </w:rPr>
              <w:t>25</w:t>
            </w:r>
          </w:p>
        </w:tc>
        <w:tc>
          <w:tcPr>
            <w:tcW w:w="939" w:type="dxa"/>
          </w:tcPr>
          <w:p w14:paraId="163AF126" w14:textId="77777777" w:rsidR="00AC1730" w:rsidRPr="00DA1140" w:rsidRDefault="00AC1730" w:rsidP="005F4198">
            <w:pPr>
              <w:pStyle w:val="Tabletext"/>
              <w:keepNext/>
              <w:keepLines/>
              <w:spacing w:before="0" w:after="0"/>
              <w:ind w:left="0" w:right="0"/>
              <w:rPr>
                <w:kern w:val="2"/>
                <w:sz w:val="17"/>
                <w:szCs w:val="17"/>
              </w:rPr>
            </w:pPr>
            <w:r w:rsidRPr="00DA1140">
              <w:rPr>
                <w:kern w:val="2"/>
                <w:sz w:val="17"/>
                <w:szCs w:val="17"/>
              </w:rPr>
              <w:t>–</w:t>
            </w:r>
          </w:p>
        </w:tc>
        <w:tc>
          <w:tcPr>
            <w:tcW w:w="1476" w:type="dxa"/>
          </w:tcPr>
          <w:p w14:paraId="6E41EBFC" w14:textId="77777777" w:rsidR="00AC1730" w:rsidRPr="00DA1140" w:rsidRDefault="00AC1730" w:rsidP="005F4198">
            <w:pPr>
              <w:pStyle w:val="Tabletext"/>
              <w:keepNext/>
              <w:keepLines/>
              <w:spacing w:before="0" w:after="0"/>
              <w:ind w:left="0" w:right="0"/>
              <w:rPr>
                <w:kern w:val="2"/>
                <w:sz w:val="17"/>
                <w:szCs w:val="17"/>
              </w:rPr>
            </w:pPr>
            <w:r w:rsidRPr="00DA1140">
              <w:rPr>
                <w:kern w:val="2"/>
                <w:sz w:val="17"/>
                <w:szCs w:val="17"/>
              </w:rPr>
              <w:t>115</w:t>
            </w:r>
          </w:p>
        </w:tc>
        <w:tc>
          <w:tcPr>
            <w:tcW w:w="1342" w:type="dxa"/>
          </w:tcPr>
          <w:p w14:paraId="720710B0" w14:textId="77777777" w:rsidR="00AC1730" w:rsidRPr="00DA1140" w:rsidRDefault="00AC1730" w:rsidP="005F4198">
            <w:pPr>
              <w:pStyle w:val="Tabletext"/>
              <w:keepNext/>
              <w:keepLines/>
              <w:spacing w:before="0" w:after="0"/>
              <w:ind w:left="0" w:right="0"/>
              <w:rPr>
                <w:kern w:val="2"/>
                <w:sz w:val="17"/>
                <w:szCs w:val="17"/>
              </w:rPr>
            </w:pPr>
            <w:r w:rsidRPr="00DA1140">
              <w:rPr>
                <w:kern w:val="2"/>
                <w:sz w:val="17"/>
                <w:szCs w:val="17"/>
              </w:rPr>
              <w:t>–</w:t>
            </w:r>
          </w:p>
        </w:tc>
        <w:tc>
          <w:tcPr>
            <w:tcW w:w="939" w:type="dxa"/>
          </w:tcPr>
          <w:p w14:paraId="14183098" w14:textId="77777777" w:rsidR="00AC1730" w:rsidRPr="00DA1140" w:rsidRDefault="00AC1730" w:rsidP="005F4198">
            <w:pPr>
              <w:keepNext/>
              <w:spacing w:line="200" w:lineRule="exact"/>
              <w:ind w:left="0" w:right="0"/>
              <w:jc w:val="center"/>
              <w:rPr>
                <w:rFonts w:cs="Calibri"/>
                <w:sz w:val="17"/>
                <w:szCs w:val="17"/>
              </w:rPr>
            </w:pPr>
            <w:r w:rsidRPr="00DA1140">
              <w:rPr>
                <w:rFonts w:cs="Calibri"/>
                <w:sz w:val="17"/>
                <w:szCs w:val="17"/>
              </w:rPr>
              <w:t>60</w:t>
            </w:r>
          </w:p>
        </w:tc>
        <w:tc>
          <w:tcPr>
            <w:tcW w:w="805" w:type="dxa"/>
          </w:tcPr>
          <w:p w14:paraId="7F0CE60C" w14:textId="77777777" w:rsidR="00AC1730" w:rsidRPr="00DA1140" w:rsidRDefault="00AC1730" w:rsidP="005F4198">
            <w:pPr>
              <w:keepNext/>
              <w:spacing w:line="200" w:lineRule="exact"/>
              <w:ind w:left="0" w:right="0"/>
              <w:jc w:val="center"/>
              <w:rPr>
                <w:rFonts w:cs="Calibri"/>
                <w:sz w:val="17"/>
                <w:szCs w:val="17"/>
              </w:rPr>
            </w:pPr>
            <w:r w:rsidRPr="00DA1140">
              <w:rPr>
                <w:rFonts w:cs="Calibri"/>
                <w:sz w:val="17"/>
                <w:szCs w:val="17"/>
              </w:rPr>
              <w:t>–</w:t>
            </w:r>
          </w:p>
        </w:tc>
      </w:tr>
      <w:tr w:rsidR="00AC1730" w:rsidRPr="00DA1140" w14:paraId="54F9D569" w14:textId="77777777" w:rsidTr="005F4198">
        <w:trPr>
          <w:trHeight w:val="227"/>
        </w:trPr>
        <w:tc>
          <w:tcPr>
            <w:tcW w:w="1176" w:type="dxa"/>
            <w:vMerge/>
          </w:tcPr>
          <w:p w14:paraId="7FFE9768" w14:textId="77777777" w:rsidR="00AC1730" w:rsidRPr="00DA1140" w:rsidRDefault="00AC1730" w:rsidP="005F4198">
            <w:pPr>
              <w:pStyle w:val="Tabletext"/>
              <w:keepNext/>
              <w:keepLines/>
              <w:spacing w:before="40" w:after="40"/>
              <w:ind w:left="0" w:right="0"/>
              <w:rPr>
                <w:kern w:val="2"/>
                <w:sz w:val="17"/>
                <w:szCs w:val="17"/>
              </w:rPr>
            </w:pPr>
          </w:p>
        </w:tc>
        <w:tc>
          <w:tcPr>
            <w:tcW w:w="1073" w:type="dxa"/>
            <w:vMerge/>
          </w:tcPr>
          <w:p w14:paraId="65037481" w14:textId="77777777" w:rsidR="00AC1730" w:rsidRPr="00DA1140" w:rsidRDefault="00AC1730" w:rsidP="005F4198">
            <w:pPr>
              <w:pStyle w:val="Tabletext"/>
              <w:keepNext/>
              <w:keepLines/>
              <w:spacing w:before="0" w:after="0"/>
              <w:ind w:left="0" w:right="0"/>
              <w:rPr>
                <w:kern w:val="2"/>
                <w:sz w:val="17"/>
                <w:szCs w:val="17"/>
              </w:rPr>
            </w:pPr>
          </w:p>
        </w:tc>
        <w:tc>
          <w:tcPr>
            <w:tcW w:w="805" w:type="dxa"/>
          </w:tcPr>
          <w:p w14:paraId="50995F24" w14:textId="77777777" w:rsidR="00AC1730" w:rsidRPr="00DA1140" w:rsidRDefault="00AC1730" w:rsidP="005F4198">
            <w:pPr>
              <w:pStyle w:val="Tabletext"/>
              <w:keepNext/>
              <w:keepLines/>
              <w:spacing w:before="0" w:after="0"/>
              <w:ind w:left="0" w:right="0"/>
              <w:rPr>
                <w:kern w:val="2"/>
                <w:sz w:val="17"/>
                <w:szCs w:val="17"/>
              </w:rPr>
            </w:pPr>
            <w:r w:rsidRPr="00DA1140">
              <w:rPr>
                <w:kern w:val="2"/>
                <w:sz w:val="17"/>
                <w:szCs w:val="17"/>
              </w:rPr>
              <w:t>–</w:t>
            </w:r>
          </w:p>
        </w:tc>
        <w:tc>
          <w:tcPr>
            <w:tcW w:w="939" w:type="dxa"/>
          </w:tcPr>
          <w:p w14:paraId="26E3BF99" w14:textId="77777777" w:rsidR="00AC1730" w:rsidRPr="00DA1140" w:rsidRDefault="00AC1730" w:rsidP="005F4198">
            <w:pPr>
              <w:pStyle w:val="Tabletext"/>
              <w:keepNext/>
              <w:keepLines/>
              <w:spacing w:before="0" w:after="0"/>
              <w:ind w:left="0" w:right="0"/>
              <w:rPr>
                <w:kern w:val="2"/>
                <w:sz w:val="17"/>
                <w:szCs w:val="17"/>
              </w:rPr>
            </w:pPr>
            <w:r w:rsidRPr="00DA1140">
              <w:rPr>
                <w:kern w:val="2"/>
                <w:sz w:val="17"/>
                <w:szCs w:val="17"/>
              </w:rPr>
              <w:t>60</w:t>
            </w:r>
          </w:p>
        </w:tc>
        <w:tc>
          <w:tcPr>
            <w:tcW w:w="1476" w:type="dxa"/>
          </w:tcPr>
          <w:p w14:paraId="0A3A0A0E" w14:textId="77777777" w:rsidR="00AC1730" w:rsidRPr="00DA1140" w:rsidRDefault="00AC1730" w:rsidP="005F4198">
            <w:pPr>
              <w:pStyle w:val="Tabletext"/>
              <w:keepNext/>
              <w:keepLines/>
              <w:spacing w:before="0" w:after="0"/>
              <w:ind w:left="0" w:right="0"/>
              <w:rPr>
                <w:kern w:val="2"/>
                <w:sz w:val="17"/>
                <w:szCs w:val="17"/>
              </w:rPr>
            </w:pPr>
            <w:r w:rsidRPr="00DA1140">
              <w:rPr>
                <w:kern w:val="2"/>
                <w:sz w:val="17"/>
                <w:szCs w:val="17"/>
              </w:rPr>
              <w:t>–</w:t>
            </w:r>
          </w:p>
        </w:tc>
        <w:tc>
          <w:tcPr>
            <w:tcW w:w="1342" w:type="dxa"/>
          </w:tcPr>
          <w:p w14:paraId="6FA07AC6" w14:textId="77777777" w:rsidR="00AC1730" w:rsidRPr="00DA1140" w:rsidRDefault="00AC1730" w:rsidP="005F4198">
            <w:pPr>
              <w:pStyle w:val="Tabletext"/>
              <w:keepNext/>
              <w:keepLines/>
              <w:spacing w:before="0" w:after="0"/>
              <w:ind w:left="0" w:right="0"/>
              <w:rPr>
                <w:kern w:val="2"/>
                <w:sz w:val="17"/>
                <w:szCs w:val="17"/>
              </w:rPr>
            </w:pPr>
            <w:r w:rsidRPr="00DA1140">
              <w:rPr>
                <w:kern w:val="2"/>
                <w:sz w:val="17"/>
                <w:szCs w:val="17"/>
              </w:rPr>
              <w:t>30.2</w:t>
            </w:r>
          </w:p>
        </w:tc>
        <w:tc>
          <w:tcPr>
            <w:tcW w:w="939" w:type="dxa"/>
          </w:tcPr>
          <w:p w14:paraId="7A92E6E7" w14:textId="77777777" w:rsidR="00AC1730" w:rsidRPr="00DA1140" w:rsidRDefault="00AC1730" w:rsidP="005F4198">
            <w:pPr>
              <w:pStyle w:val="Tabletext"/>
              <w:keepNext/>
              <w:keepLines/>
              <w:spacing w:before="0" w:after="0"/>
              <w:ind w:left="0" w:right="0"/>
              <w:rPr>
                <w:kern w:val="2"/>
                <w:sz w:val="17"/>
                <w:szCs w:val="17"/>
              </w:rPr>
            </w:pPr>
            <w:r w:rsidRPr="00DA1140">
              <w:rPr>
                <w:kern w:val="2"/>
                <w:sz w:val="17"/>
                <w:szCs w:val="17"/>
              </w:rPr>
              <w:t>–</w:t>
            </w:r>
          </w:p>
        </w:tc>
        <w:tc>
          <w:tcPr>
            <w:tcW w:w="805" w:type="dxa"/>
          </w:tcPr>
          <w:p w14:paraId="70B11830" w14:textId="77777777" w:rsidR="00AC1730" w:rsidRPr="00DA1140" w:rsidRDefault="00AC1730" w:rsidP="005F4198">
            <w:pPr>
              <w:keepNext/>
              <w:spacing w:line="200" w:lineRule="exact"/>
              <w:ind w:left="0" w:right="0"/>
              <w:jc w:val="center"/>
              <w:rPr>
                <w:rFonts w:cs="Calibri"/>
                <w:sz w:val="17"/>
                <w:szCs w:val="17"/>
              </w:rPr>
            </w:pPr>
            <w:r w:rsidRPr="00DA1140">
              <w:rPr>
                <w:rFonts w:cs="Calibri"/>
                <w:sz w:val="17"/>
                <w:szCs w:val="17"/>
              </w:rPr>
              <w:t>9</w:t>
            </w:r>
          </w:p>
        </w:tc>
      </w:tr>
      <w:tr w:rsidR="00AC1730" w:rsidRPr="00DA1140" w14:paraId="21C25765" w14:textId="77777777" w:rsidTr="005F4198">
        <w:trPr>
          <w:trHeight w:val="227"/>
        </w:trPr>
        <w:tc>
          <w:tcPr>
            <w:tcW w:w="1176" w:type="dxa"/>
          </w:tcPr>
          <w:p w14:paraId="0F7CED3F" w14:textId="77777777" w:rsidR="00AC1730" w:rsidRPr="00DA1140" w:rsidRDefault="00AC1730" w:rsidP="005F4198">
            <w:pPr>
              <w:pStyle w:val="Tabletext"/>
              <w:keepNext/>
              <w:spacing w:before="40" w:after="40"/>
              <w:ind w:left="0" w:right="0"/>
              <w:rPr>
                <w:kern w:val="2"/>
                <w:sz w:val="17"/>
                <w:szCs w:val="17"/>
              </w:rPr>
            </w:pPr>
            <w:r w:rsidRPr="00DA1140">
              <w:rPr>
                <w:b/>
                <w:kern w:val="2"/>
                <w:sz w:val="17"/>
                <w:szCs w:val="17"/>
              </w:rPr>
              <w:t>Human</w:t>
            </w:r>
          </w:p>
        </w:tc>
        <w:tc>
          <w:tcPr>
            <w:tcW w:w="1073" w:type="dxa"/>
          </w:tcPr>
          <w:p w14:paraId="46A64408" w14:textId="011E5457" w:rsidR="00AC1730" w:rsidRPr="00DA1140" w:rsidRDefault="00AC1730" w:rsidP="005F4198">
            <w:pPr>
              <w:pStyle w:val="Tabletext"/>
              <w:keepNext/>
              <w:spacing w:before="40" w:after="40"/>
              <w:ind w:left="0" w:right="0"/>
              <w:rPr>
                <w:kern w:val="2"/>
                <w:sz w:val="17"/>
                <w:szCs w:val="17"/>
              </w:rPr>
            </w:pPr>
            <w:r w:rsidRPr="00DA1140">
              <w:rPr>
                <w:kern w:val="2"/>
                <w:sz w:val="17"/>
                <w:szCs w:val="17"/>
              </w:rPr>
              <w:t>P035/1051;</w:t>
            </w:r>
            <w:r w:rsidR="0009659F">
              <w:rPr>
                <w:kern w:val="2"/>
                <w:sz w:val="17"/>
                <w:szCs w:val="17"/>
              </w:rPr>
              <w:t xml:space="preserve"> </w:t>
            </w:r>
            <w:r w:rsidRPr="00DA1140">
              <w:rPr>
                <w:kern w:val="2"/>
                <w:sz w:val="17"/>
                <w:szCs w:val="17"/>
              </w:rPr>
              <w:t>P033/P004</w:t>
            </w:r>
          </w:p>
        </w:tc>
        <w:tc>
          <w:tcPr>
            <w:tcW w:w="805" w:type="dxa"/>
          </w:tcPr>
          <w:p w14:paraId="738CBEF2" w14:textId="363A5514" w:rsidR="00AC1730" w:rsidRPr="00DA1140" w:rsidRDefault="00E87327" w:rsidP="005F4198">
            <w:pPr>
              <w:pStyle w:val="Tabletext"/>
              <w:keepNext/>
              <w:spacing w:before="0" w:after="0"/>
              <w:ind w:left="0" w:right="0"/>
              <w:rPr>
                <w:kern w:val="2"/>
                <w:sz w:val="17"/>
                <w:szCs w:val="17"/>
              </w:rPr>
            </w:pPr>
            <w:r w:rsidRPr="00DA1140">
              <w:rPr>
                <w:kern w:val="2"/>
                <w:sz w:val="17"/>
                <w:szCs w:val="17"/>
              </w:rPr>
              <w:t>15</w:t>
            </w:r>
            <w:r>
              <w:rPr>
                <w:kern w:val="2"/>
                <w:sz w:val="17"/>
                <w:szCs w:val="17"/>
              </w:rPr>
              <w:t> </w:t>
            </w:r>
            <w:r w:rsidR="006D7D02">
              <w:rPr>
                <w:kern w:val="2"/>
                <w:sz w:val="17"/>
                <w:szCs w:val="17"/>
              </w:rPr>
              <w:t>mg</w:t>
            </w:r>
          </w:p>
        </w:tc>
        <w:tc>
          <w:tcPr>
            <w:tcW w:w="939" w:type="dxa"/>
          </w:tcPr>
          <w:p w14:paraId="79863429" w14:textId="593343FA" w:rsidR="00AC1730" w:rsidRPr="00DA1140" w:rsidRDefault="00AC1730" w:rsidP="005F4198">
            <w:pPr>
              <w:pStyle w:val="Tabletext"/>
              <w:keepNext/>
              <w:spacing w:before="0" w:after="0"/>
              <w:ind w:left="0" w:right="0"/>
              <w:rPr>
                <w:kern w:val="2"/>
                <w:sz w:val="17"/>
                <w:szCs w:val="17"/>
              </w:rPr>
            </w:pPr>
            <w:r w:rsidRPr="00DA1140">
              <w:rPr>
                <w:kern w:val="2"/>
                <w:sz w:val="17"/>
                <w:szCs w:val="17"/>
              </w:rPr>
              <w:t>100</w:t>
            </w:r>
            <w:r w:rsidR="00E87327">
              <w:rPr>
                <w:kern w:val="2"/>
                <w:sz w:val="17"/>
                <w:szCs w:val="17"/>
              </w:rPr>
              <w:t xml:space="preserve"> </w:t>
            </w:r>
            <w:r w:rsidR="006D7D02">
              <w:rPr>
                <w:kern w:val="2"/>
                <w:sz w:val="17"/>
                <w:szCs w:val="17"/>
              </w:rPr>
              <w:t>mg</w:t>
            </w:r>
          </w:p>
        </w:tc>
        <w:tc>
          <w:tcPr>
            <w:tcW w:w="1476" w:type="dxa"/>
          </w:tcPr>
          <w:p w14:paraId="2C8BF877" w14:textId="77777777" w:rsidR="00AC1730" w:rsidRPr="00DA1140" w:rsidRDefault="00AC1730" w:rsidP="005F4198">
            <w:pPr>
              <w:pStyle w:val="Tabletext"/>
              <w:keepNext/>
              <w:spacing w:before="0" w:after="0"/>
              <w:ind w:left="0" w:right="0"/>
              <w:rPr>
                <w:kern w:val="2"/>
                <w:sz w:val="17"/>
                <w:szCs w:val="17"/>
              </w:rPr>
            </w:pPr>
            <w:r w:rsidRPr="00DA1140">
              <w:rPr>
                <w:kern w:val="2"/>
                <w:sz w:val="17"/>
                <w:szCs w:val="17"/>
              </w:rPr>
              <w:t>1.193</w:t>
            </w:r>
          </w:p>
        </w:tc>
        <w:tc>
          <w:tcPr>
            <w:tcW w:w="1342" w:type="dxa"/>
          </w:tcPr>
          <w:p w14:paraId="10C7B28B" w14:textId="77777777" w:rsidR="00AC1730" w:rsidRPr="00DA1140" w:rsidRDefault="00AC1730" w:rsidP="005F4198">
            <w:pPr>
              <w:pStyle w:val="Tabletext"/>
              <w:keepNext/>
              <w:spacing w:before="0" w:after="0"/>
              <w:ind w:left="0" w:right="0"/>
              <w:rPr>
                <w:kern w:val="2"/>
                <w:sz w:val="17"/>
                <w:szCs w:val="17"/>
              </w:rPr>
            </w:pPr>
            <w:r w:rsidRPr="00DA1140">
              <w:rPr>
                <w:kern w:val="2"/>
                <w:sz w:val="17"/>
                <w:szCs w:val="17"/>
              </w:rPr>
              <w:t>3.45</w:t>
            </w:r>
          </w:p>
        </w:tc>
        <w:tc>
          <w:tcPr>
            <w:tcW w:w="939" w:type="dxa"/>
          </w:tcPr>
          <w:p w14:paraId="581932A5" w14:textId="77777777" w:rsidR="00AC1730" w:rsidRPr="00DA1140" w:rsidRDefault="00AC1730" w:rsidP="005F4198">
            <w:pPr>
              <w:pStyle w:val="Tabletext"/>
              <w:keepNext/>
              <w:spacing w:before="0" w:after="0"/>
              <w:ind w:left="0" w:right="0"/>
              <w:rPr>
                <w:kern w:val="2"/>
                <w:sz w:val="17"/>
                <w:szCs w:val="17"/>
              </w:rPr>
            </w:pPr>
            <w:r w:rsidRPr="00DA1140">
              <w:rPr>
                <w:kern w:val="2"/>
                <w:sz w:val="17"/>
                <w:szCs w:val="17"/>
              </w:rPr>
              <w:t>–</w:t>
            </w:r>
          </w:p>
        </w:tc>
        <w:tc>
          <w:tcPr>
            <w:tcW w:w="805" w:type="dxa"/>
          </w:tcPr>
          <w:p w14:paraId="59B8CDF7" w14:textId="77777777" w:rsidR="00AC1730" w:rsidRPr="00DA1140" w:rsidRDefault="00AC1730" w:rsidP="005F4198">
            <w:pPr>
              <w:pStyle w:val="Tabletext"/>
              <w:keepNext/>
              <w:spacing w:before="0" w:after="0"/>
              <w:ind w:left="0" w:right="0"/>
              <w:rPr>
                <w:kern w:val="2"/>
                <w:sz w:val="17"/>
                <w:szCs w:val="17"/>
              </w:rPr>
            </w:pPr>
            <w:r w:rsidRPr="00DA1140">
              <w:rPr>
                <w:kern w:val="2"/>
                <w:sz w:val="17"/>
                <w:szCs w:val="17"/>
              </w:rPr>
              <w:t>–</w:t>
            </w:r>
          </w:p>
        </w:tc>
      </w:tr>
    </w:tbl>
    <w:p w14:paraId="379F8F4A" w14:textId="77777777" w:rsidR="00AC1730" w:rsidRPr="0009659F" w:rsidRDefault="00AC1730">
      <w:pPr>
        <w:pStyle w:val="TableDescription"/>
      </w:pPr>
      <w:r w:rsidRPr="005F4198">
        <w:t># = animal:</w:t>
      </w:r>
      <w:r w:rsidR="00F14099" w:rsidRPr="0009659F">
        <w:t xml:space="preserve"> </w:t>
      </w:r>
      <w:r w:rsidRPr="0009659F">
        <w:t>human plasma AUC0–24 h; for ertugliflozin, the exposure ratio is adjusted for cross-species differences in protein binding (fraction unbound: 4.0% for rat and 6.4% for human); animal AUC values are for the last sampling occasion, and for the sexes combined.</w:t>
      </w:r>
    </w:p>
    <w:p w14:paraId="7F48DC4D" w14:textId="77777777" w:rsidR="00AC1730" w:rsidRDefault="00AC1730" w:rsidP="00AC1730">
      <w:r>
        <w:t xml:space="preserve">Findings with combination treatment in rats were almost entirely attributable to ertugliflozin. No novel or additive toxicity was seen. Histopathological changes involved the kidney (tubular dilatation and pelvic dilatation), adrenal (hypertrophy in the zona glomerulosa), stomach (erosion, submucosal inflammation, </w:t>
      </w:r>
      <w:r w:rsidR="00F14099">
        <w:t>and haemorrhage</w:t>
      </w:r>
      <w:r>
        <w:t>), pancreas (zymogen depletion) and prostate (mixed cell inflammation [considered secondary to infections due to increased urinary excretion of glucose]) and were mostly graded minimal or slight.</w:t>
      </w:r>
    </w:p>
    <w:p w14:paraId="29386EAF" w14:textId="77777777" w:rsidR="00AC1730" w:rsidRPr="00F85259" w:rsidRDefault="00AC1730" w:rsidP="00F85259">
      <w:pPr>
        <w:pStyle w:val="Heading4"/>
      </w:pPr>
      <w:r>
        <w:lastRenderedPageBreak/>
        <w:t>Pregnancy classification</w:t>
      </w:r>
    </w:p>
    <w:p w14:paraId="74FAFB06" w14:textId="77777777" w:rsidR="00C9747E" w:rsidRDefault="00AC1730" w:rsidP="00AC1730">
      <w:r>
        <w:t>No embryofetal development studies have been performed with ertugliflozin and sitagliptin in combination. The sponsor proposes Pregnancy Category C.</w:t>
      </w:r>
      <w:bookmarkStart w:id="73" w:name="_Ref521326486"/>
      <w:r w:rsidR="00501062">
        <w:rPr>
          <w:rStyle w:val="FootnoteReference"/>
        </w:rPr>
        <w:footnoteReference w:id="21"/>
      </w:r>
      <w:bookmarkEnd w:id="73"/>
      <w:r>
        <w:t xml:space="preserve"> This is not supported. Assignment to Pregnancy Category D</w:t>
      </w:r>
      <w:bookmarkStart w:id="74" w:name="_Ref521326502"/>
      <w:r w:rsidR="00501062">
        <w:rPr>
          <w:rStyle w:val="FootnoteReference"/>
        </w:rPr>
        <w:footnoteReference w:id="22"/>
      </w:r>
      <w:bookmarkEnd w:id="74"/>
      <w:r>
        <w:t xml:space="preserve"> is warranted instead due to concerns for potential irreversible effects on the developing kidney due to ertugliflozin. This is the more restrictive category for ertugliflozin (Category D recommended for </w:t>
      </w:r>
      <w:r w:rsidR="006E1F1D">
        <w:t>Steglatro</w:t>
      </w:r>
      <w:r>
        <w:t>) and sitagliptin (B3</w:t>
      </w:r>
      <w:r w:rsidR="00501062">
        <w:rPr>
          <w:rStyle w:val="FootnoteReference"/>
        </w:rPr>
        <w:footnoteReference w:id="23"/>
      </w:r>
      <w:r>
        <w:t>) as single agents.</w:t>
      </w:r>
    </w:p>
    <w:p w14:paraId="5B7D1202" w14:textId="77777777" w:rsidR="008E7846" w:rsidRDefault="008E7846" w:rsidP="00F85259">
      <w:pPr>
        <w:pStyle w:val="Heading4"/>
      </w:pPr>
      <w:bookmarkStart w:id="75" w:name="_Toc247691515"/>
      <w:bookmarkStart w:id="76" w:name="_Toc314842499"/>
      <w:r>
        <w:t>Nonclinical summary and conclusions</w:t>
      </w:r>
      <w:bookmarkEnd w:id="75"/>
      <w:bookmarkEnd w:id="76"/>
    </w:p>
    <w:p w14:paraId="6828C817" w14:textId="77777777" w:rsidR="00AC1730" w:rsidRDefault="00AC1730" w:rsidP="006E1F1D">
      <w:pPr>
        <w:pStyle w:val="ListBullet"/>
      </w:pPr>
      <w:r>
        <w:t>The set of nonclinical studies performed with ertugliflozin and sitagliptin in combination was suitably comprehensive.</w:t>
      </w:r>
    </w:p>
    <w:p w14:paraId="7F9113BC" w14:textId="77777777" w:rsidR="00AC1730" w:rsidRDefault="00AC1730" w:rsidP="006E1F1D">
      <w:pPr>
        <w:pStyle w:val="ListBullet"/>
      </w:pPr>
      <w:r>
        <w:t>No nonclinical efficacy studies with the combination were submitted. Assessment of combination efficacy relies on clinical data only.</w:t>
      </w:r>
    </w:p>
    <w:p w14:paraId="7BAF1D63" w14:textId="77777777" w:rsidR="00AC1730" w:rsidRDefault="00AC1730" w:rsidP="006E1F1D">
      <w:pPr>
        <w:pStyle w:val="ListBullet"/>
      </w:pPr>
      <w:r>
        <w:t>In vitro data suggest no likely pharmacokinetic interaction between the two drugs. Consistent with this, no pharmacokinetic interaction with co-administration of ertugliflozin and sitagliptin was observed in rats, and no notable interaction was reported for humans.</w:t>
      </w:r>
    </w:p>
    <w:p w14:paraId="0807562E" w14:textId="77777777" w:rsidR="00AC1730" w:rsidRDefault="00AC1730" w:rsidP="006E1F1D">
      <w:pPr>
        <w:pStyle w:val="ListBullet"/>
      </w:pPr>
      <w:r>
        <w:t>A G</w:t>
      </w:r>
      <w:r w:rsidR="000A5476">
        <w:t xml:space="preserve">ood Laboratory </w:t>
      </w:r>
      <w:r w:rsidR="00F14099">
        <w:t>Practice compliant</w:t>
      </w:r>
      <w:r>
        <w:t xml:space="preserve"> 3</w:t>
      </w:r>
      <w:r w:rsidR="00F85259">
        <w:t xml:space="preserve"> </w:t>
      </w:r>
      <w:r>
        <w:t>month repeat-dose toxicity study revealed no novel or additive toxicity with ertugliflozin and sitagliptin in combination in rats.</w:t>
      </w:r>
    </w:p>
    <w:p w14:paraId="1C81D5E4" w14:textId="77777777" w:rsidR="00AC1730" w:rsidRDefault="00AC1730" w:rsidP="006E1F1D">
      <w:pPr>
        <w:pStyle w:val="ListBullet"/>
      </w:pPr>
      <w:r>
        <w:t xml:space="preserve">There are no nonclinical objections to the registration of </w:t>
      </w:r>
      <w:r w:rsidR="00453FBE">
        <w:t>Steglujan</w:t>
      </w:r>
      <w:r w:rsidR="00F85259">
        <w:t xml:space="preserve"> </w:t>
      </w:r>
      <w:r>
        <w:t xml:space="preserve">for the proposed indication provided that the Product Information document is amended as </w:t>
      </w:r>
      <w:r w:rsidR="00F85259">
        <w:t>recommended</w:t>
      </w:r>
      <w:r>
        <w:t>. Of particular note, the product should be assigned Pregnancy Category D (rather than Category C as the sponsor proposes) due to concerns for irreversible effects on the developing kidney caused by ertugliflozin.</w:t>
      </w:r>
    </w:p>
    <w:p w14:paraId="3BF741A1" w14:textId="77777777" w:rsidR="0016492D" w:rsidRPr="002772C0" w:rsidRDefault="00F85259" w:rsidP="00F85259">
      <w:pPr>
        <w:pStyle w:val="Heading3"/>
      </w:pPr>
      <w:bookmarkStart w:id="77" w:name="_Toc294861480"/>
      <w:bookmarkStart w:id="78" w:name="_Toc295290863"/>
      <w:bookmarkStart w:id="79" w:name="_Toc504566976"/>
      <w:bookmarkStart w:id="80" w:name="_Toc4405827"/>
      <w:r>
        <w:t>Segluromet</w:t>
      </w:r>
      <w:bookmarkEnd w:id="80"/>
    </w:p>
    <w:bookmarkEnd w:id="77"/>
    <w:bookmarkEnd w:id="78"/>
    <w:bookmarkEnd w:id="79"/>
    <w:p w14:paraId="179D8100" w14:textId="1EC3C5C8" w:rsidR="0016492D" w:rsidRPr="00BF5376" w:rsidRDefault="00F85259" w:rsidP="007E7696">
      <w:r>
        <w:t xml:space="preserve">The nonclinical submission </w:t>
      </w:r>
      <w:r w:rsidR="0016492D" w:rsidRPr="00BF5376">
        <w:t>contained repeat-dose toxicity studies (including toxicokinetic analyses) with ertugliflozin and metformin in combination in rats. The scope of studies investigating the combination was in accordance with relevant TGA</w:t>
      </w:r>
      <w:r w:rsidR="0009659F">
        <w:t xml:space="preserve"> </w:t>
      </w:r>
      <w:r w:rsidR="0016492D" w:rsidRPr="00BF5376">
        <w:t>adopted guidelines.</w:t>
      </w:r>
      <w:r>
        <w:rPr>
          <w:rStyle w:val="FootnoteReference"/>
        </w:rPr>
        <w:footnoteReference w:id="24"/>
      </w:r>
      <w:r w:rsidR="0016492D" w:rsidRPr="00BF5376">
        <w:t xml:space="preserve"> The pivotal study was conducted according to </w:t>
      </w:r>
      <w:r w:rsidR="000A5476">
        <w:t>Good Laboratory Practice</w:t>
      </w:r>
      <w:r w:rsidR="0016492D" w:rsidRPr="00BF5376">
        <w:t>.</w:t>
      </w:r>
    </w:p>
    <w:p w14:paraId="106AA9BB" w14:textId="77777777" w:rsidR="0016492D" w:rsidRPr="00BF5376" w:rsidRDefault="0016492D" w:rsidP="00F97771">
      <w:pPr>
        <w:pStyle w:val="Heading4"/>
      </w:pPr>
      <w:bookmarkStart w:id="81" w:name="_Toc294861723"/>
      <w:bookmarkStart w:id="82" w:name="_Toc295290865"/>
      <w:bookmarkStart w:id="83" w:name="_Toc346609369"/>
      <w:bookmarkStart w:id="84" w:name="_Toc504566977"/>
      <w:r w:rsidRPr="00BF5376">
        <w:t>Pharmacology</w:t>
      </w:r>
      <w:bookmarkEnd w:id="81"/>
      <w:bookmarkEnd w:id="82"/>
      <w:bookmarkEnd w:id="83"/>
      <w:bookmarkEnd w:id="84"/>
    </w:p>
    <w:p w14:paraId="66FE1E68" w14:textId="7EE43D9C" w:rsidR="0016492D" w:rsidRPr="00BF5376" w:rsidRDefault="0016492D" w:rsidP="007E7696">
      <w:r w:rsidRPr="00BF5376">
        <w:t xml:space="preserve">Ertugliflozin is a new SGLT2 inhibitor and metformin is a biguanide. This is not a novel combination of pharmacological classes, with fixed-dose combinations of other SGLT2 </w:t>
      </w:r>
      <w:r w:rsidRPr="00BF5376">
        <w:lastRenderedPageBreak/>
        <w:t>inhibitors and metformin are already approved</w:t>
      </w:r>
      <w:r w:rsidR="00F85259">
        <w:t xml:space="preserve">: </w:t>
      </w:r>
      <w:r w:rsidR="00F85259" w:rsidRPr="00F85259">
        <w:t>Jardiamet</w:t>
      </w:r>
      <w:r w:rsidR="00F85259">
        <w:t xml:space="preserve"> (</w:t>
      </w:r>
      <w:r w:rsidRPr="00BF5376">
        <w:t>empagliflozin</w:t>
      </w:r>
      <w:proofErr w:type="gramStart"/>
      <w:r w:rsidRPr="00BF5376">
        <w:t> </w:t>
      </w:r>
      <w:r w:rsidR="005F4198">
        <w:t xml:space="preserve"> </w:t>
      </w:r>
      <w:r w:rsidRPr="00BF5376">
        <w:t>+</w:t>
      </w:r>
      <w:proofErr w:type="gramEnd"/>
      <w:r w:rsidRPr="00BF5376">
        <w:t> </w:t>
      </w:r>
      <w:r w:rsidR="005F4198">
        <w:t xml:space="preserve"> </w:t>
      </w:r>
      <w:r w:rsidRPr="00BF5376">
        <w:t>metformin</w:t>
      </w:r>
      <w:r w:rsidR="00F85259">
        <w:t>)</w:t>
      </w:r>
      <w:r w:rsidRPr="00BF5376">
        <w:t xml:space="preserve"> </w:t>
      </w:r>
      <w:r w:rsidR="00F85259">
        <w:t xml:space="preserve">and </w:t>
      </w:r>
      <w:r w:rsidR="00F85259" w:rsidRPr="00F85259">
        <w:t>Xigduo</w:t>
      </w:r>
      <w:r w:rsidR="00F85259">
        <w:t xml:space="preserve"> XR (</w:t>
      </w:r>
      <w:r w:rsidRPr="00BF5376">
        <w:t>dapagliflozin + metformin</w:t>
      </w:r>
      <w:r w:rsidR="00F85259">
        <w:t>)</w:t>
      </w:r>
      <w:r w:rsidRPr="00BF5376">
        <w:t>.</w:t>
      </w:r>
    </w:p>
    <w:p w14:paraId="3DE173D1" w14:textId="77777777" w:rsidR="0016492D" w:rsidRPr="00BF5376" w:rsidRDefault="0016492D" w:rsidP="007E7696">
      <w:r w:rsidRPr="00BF5376">
        <w:t>No nonclinical efficacy studies with ertugliflozin and metformin in combination were submitted.</w:t>
      </w:r>
    </w:p>
    <w:p w14:paraId="0D24F252" w14:textId="77777777" w:rsidR="0016492D" w:rsidRPr="00C80895" w:rsidRDefault="0016492D" w:rsidP="00F97771">
      <w:pPr>
        <w:pStyle w:val="Heading4"/>
      </w:pPr>
      <w:bookmarkStart w:id="85" w:name="_Toc504566978"/>
      <w:r w:rsidRPr="00C80895">
        <w:t>Pharmacokinetics</w:t>
      </w:r>
      <w:bookmarkEnd w:id="85"/>
    </w:p>
    <w:p w14:paraId="5D70DBA6" w14:textId="77777777" w:rsidR="0016492D" w:rsidRDefault="0016492D" w:rsidP="007E7696">
      <w:r w:rsidRPr="00C80895">
        <w:t>Ertugliflozin and metformin do not share metabolic pathways. Ertugliflozin is chiefly metabolised by UGT1A9 and 2B7 while metformin is not subject to hepatic metabolism being excreted unchanged in the urine and with no human metabolites identified.</w:t>
      </w:r>
    </w:p>
    <w:p w14:paraId="4DA7616C" w14:textId="77777777" w:rsidR="0016492D" w:rsidRPr="009367BD" w:rsidRDefault="0016492D" w:rsidP="007E7696">
      <w:r>
        <w:t xml:space="preserve">A modest pharmacokinetic interaction was suggested in rats, with metformin appearing to reduce absorption/exposure of ertugliflozin when </w:t>
      </w:r>
      <w:r w:rsidRPr="009367BD">
        <w:t>co</w:t>
      </w:r>
      <w:r w:rsidRPr="009367BD">
        <w:noBreakHyphen/>
        <w:t>administered; no effect of ertugliflozin on metformin’s kinetics was apparent. No pharmacokinetic interaction between ertugliflozin and metformin was reported in humans.</w:t>
      </w:r>
    </w:p>
    <w:p w14:paraId="29513837" w14:textId="77777777" w:rsidR="0016492D" w:rsidRPr="009367BD" w:rsidRDefault="0016492D" w:rsidP="007E7696">
      <w:pPr>
        <w:pStyle w:val="Heading4"/>
      </w:pPr>
      <w:bookmarkStart w:id="86" w:name="_Toc294861726"/>
      <w:bookmarkStart w:id="87" w:name="_Toc295290867"/>
      <w:bookmarkStart w:id="88" w:name="_Toc346609371"/>
      <w:bookmarkStart w:id="89" w:name="_Toc504566979"/>
      <w:r w:rsidRPr="009367BD">
        <w:t>Toxicity</w:t>
      </w:r>
      <w:bookmarkEnd w:id="86"/>
      <w:bookmarkEnd w:id="87"/>
      <w:bookmarkEnd w:id="88"/>
      <w:bookmarkEnd w:id="89"/>
    </w:p>
    <w:p w14:paraId="2BE65080" w14:textId="1A18BD6A" w:rsidR="0016492D" w:rsidRPr="009367BD" w:rsidRDefault="0016492D" w:rsidP="007E7696">
      <w:r w:rsidRPr="009367BD">
        <w:t>Repeat</w:t>
      </w:r>
      <w:r w:rsidR="0009659F">
        <w:t xml:space="preserve"> </w:t>
      </w:r>
      <w:r w:rsidRPr="009367BD">
        <w:t>dose toxicity studies of 2 and 13 weeks duration were conducted with ertugliflozin and metformin in combination in rats. Administration was by the clinical route (PO) and single</w:t>
      </w:r>
      <w:r w:rsidR="007E7696">
        <w:t xml:space="preserve"> </w:t>
      </w:r>
      <w:r w:rsidRPr="009367BD">
        <w:t xml:space="preserve">agent comparator groups were included in both studies. The duration of the pivotal study (3 months) and the use of a single species are consistent with </w:t>
      </w:r>
      <w:r w:rsidR="007E7696">
        <w:t>relevant</w:t>
      </w:r>
      <w:r w:rsidRPr="009367BD">
        <w:t xml:space="preserve"> guidelines. Group size was appropriate.</w:t>
      </w:r>
    </w:p>
    <w:p w14:paraId="3DAB1305" w14:textId="78DE61BD" w:rsidR="00AC1730" w:rsidRDefault="0016492D" w:rsidP="007E7696">
      <w:pPr>
        <w:rPr>
          <w:szCs w:val="18"/>
        </w:rPr>
      </w:pPr>
      <w:r w:rsidRPr="009367BD">
        <w:t>Ertugliflozin:</w:t>
      </w:r>
      <w:r w:rsidR="007E7696">
        <w:t xml:space="preserve"> </w:t>
      </w:r>
      <w:r w:rsidRPr="009367BD">
        <w:t>metformin dose ratios used in rats were mostly very different from those proposed for patients (1:4, 1:8, 1:24 and 1:</w:t>
      </w:r>
      <w:r w:rsidRPr="005F4198">
        <w:t xml:space="preserve">120 </w:t>
      </w:r>
      <w:r w:rsidR="005F4198" w:rsidRPr="005F4198">
        <w:rPr>
          <w:szCs w:val="18"/>
        </w:rPr>
        <w:t>compared with</w:t>
      </w:r>
      <w:r w:rsidRPr="005F4198">
        <w:rPr>
          <w:szCs w:val="18"/>
        </w:rPr>
        <w:t xml:space="preserve"> 1:</w:t>
      </w:r>
      <w:r w:rsidRPr="009367BD">
        <w:rPr>
          <w:szCs w:val="18"/>
        </w:rPr>
        <w:t>67, 1:133, 1:200 and 1:400) but the 5/600</w:t>
      </w:r>
      <w:r w:rsidR="00E87327">
        <w:rPr>
          <w:szCs w:val="18"/>
        </w:rPr>
        <w:t xml:space="preserve"> </w:t>
      </w:r>
      <w:r w:rsidR="006D7D02">
        <w:rPr>
          <w:szCs w:val="18"/>
        </w:rPr>
        <w:t>mg</w:t>
      </w:r>
      <w:r w:rsidRPr="009367BD">
        <w:rPr>
          <w:szCs w:val="18"/>
        </w:rPr>
        <w:t>/kg/day dose group did yield exposure multiples that were very roughly parallel for the two drugs (with respect to the maximum recommended human dose). Exposure ratios obtained in the pivotal study are calculated below based on animal:</w:t>
      </w:r>
      <w:r w:rsidR="007E7696">
        <w:rPr>
          <w:szCs w:val="18"/>
        </w:rPr>
        <w:t xml:space="preserve"> </w:t>
      </w:r>
      <w:r w:rsidRPr="009367BD">
        <w:rPr>
          <w:szCs w:val="18"/>
        </w:rPr>
        <w:t>human plasma AUC</w:t>
      </w:r>
      <w:r w:rsidRPr="009367BD">
        <w:rPr>
          <w:szCs w:val="18"/>
          <w:vertAlign w:val="subscript"/>
        </w:rPr>
        <w:t>0–24 h</w:t>
      </w:r>
      <w:r w:rsidRPr="009367BD">
        <w:rPr>
          <w:szCs w:val="18"/>
        </w:rPr>
        <w:t xml:space="preserve"> values for unbound ertugliflozin and for (total) metformin. Human reference AUC values used are taken from the </w:t>
      </w:r>
      <w:r w:rsidR="007E7696" w:rsidRPr="009367BD">
        <w:rPr>
          <w:szCs w:val="18"/>
        </w:rPr>
        <w:t xml:space="preserve">nonclinical evaluation report </w:t>
      </w:r>
      <w:r w:rsidRPr="009367BD">
        <w:rPr>
          <w:szCs w:val="18"/>
        </w:rPr>
        <w:t>for ertuglif</w:t>
      </w:r>
      <w:r w:rsidR="007E7696">
        <w:rPr>
          <w:szCs w:val="18"/>
        </w:rPr>
        <w:t xml:space="preserve">lozin as a new chemical entity </w:t>
      </w:r>
      <w:r w:rsidRPr="009367BD">
        <w:rPr>
          <w:szCs w:val="18"/>
        </w:rPr>
        <w:t>and from the literature for metformin: administration of metformin (immediate-release form) at 1000 </w:t>
      </w:r>
      <w:r w:rsidR="006D7D02">
        <w:rPr>
          <w:szCs w:val="18"/>
        </w:rPr>
        <w:t>mg</w:t>
      </w:r>
      <w:r w:rsidRPr="009367BD">
        <w:rPr>
          <w:szCs w:val="18"/>
        </w:rPr>
        <w:t xml:space="preserve"> </w:t>
      </w:r>
      <w:r w:rsidR="007E7696">
        <w:rPr>
          <w:szCs w:val="18"/>
        </w:rPr>
        <w:t>twice a day (</w:t>
      </w:r>
      <w:r w:rsidR="00AD51CF">
        <w:rPr>
          <w:szCs w:val="18"/>
        </w:rPr>
        <w:t>BD</w:t>
      </w:r>
      <w:r w:rsidR="007E7696">
        <w:rPr>
          <w:szCs w:val="18"/>
        </w:rPr>
        <w:t>)</w:t>
      </w:r>
      <w:r w:rsidRPr="009367BD">
        <w:rPr>
          <w:szCs w:val="18"/>
        </w:rPr>
        <w:t xml:space="preserve"> was reported to be associated with a human plasma AUC</w:t>
      </w:r>
      <w:r w:rsidRPr="009367BD">
        <w:rPr>
          <w:szCs w:val="18"/>
          <w:vertAlign w:val="subscript"/>
        </w:rPr>
        <w:t>0–24 h</w:t>
      </w:r>
      <w:r w:rsidRPr="009367BD">
        <w:rPr>
          <w:szCs w:val="18"/>
        </w:rPr>
        <w:t xml:space="preserve"> </w:t>
      </w:r>
      <w:proofErr w:type="gramStart"/>
      <w:r w:rsidRPr="009367BD">
        <w:rPr>
          <w:szCs w:val="18"/>
        </w:rPr>
        <w:t>of 20544 ng∙h/mL</w:t>
      </w:r>
      <w:proofErr w:type="gramEnd"/>
      <w:r w:rsidRPr="009367BD">
        <w:rPr>
          <w:szCs w:val="18"/>
        </w:rPr>
        <w:t xml:space="preserve"> by Timmins </w:t>
      </w:r>
      <w:r w:rsidRPr="007E7696">
        <w:rPr>
          <w:szCs w:val="18"/>
        </w:rPr>
        <w:t>et al</w:t>
      </w:r>
      <w:r w:rsidRPr="009367BD">
        <w:rPr>
          <w:i/>
          <w:szCs w:val="18"/>
        </w:rPr>
        <w:t>.</w:t>
      </w:r>
      <w:r w:rsidRPr="009367BD">
        <w:rPr>
          <w:szCs w:val="18"/>
        </w:rPr>
        <w:t xml:space="preserve"> (2005)</w:t>
      </w:r>
      <w:r w:rsidR="005F4198">
        <w:rPr>
          <w:szCs w:val="18"/>
        </w:rPr>
        <w:t>.</w:t>
      </w:r>
      <w:r w:rsidRPr="009367BD">
        <w:rPr>
          <w:rStyle w:val="FootnoteReference"/>
          <w:szCs w:val="18"/>
        </w:rPr>
        <w:footnoteReference w:id="25"/>
      </w:r>
      <w:r w:rsidRPr="009367BD">
        <w:rPr>
          <w:szCs w:val="18"/>
        </w:rPr>
        <w:t xml:space="preserve"> Adequate multiples of the clinical exposure w</w:t>
      </w:r>
      <w:r w:rsidR="007E7696">
        <w:rPr>
          <w:szCs w:val="18"/>
        </w:rPr>
        <w:t>as</w:t>
      </w:r>
      <w:r w:rsidRPr="009367BD">
        <w:rPr>
          <w:szCs w:val="18"/>
        </w:rPr>
        <w:t xml:space="preserve"> achieved.</w:t>
      </w:r>
    </w:p>
    <w:p w14:paraId="67057C75" w14:textId="6625A079" w:rsidR="0016492D" w:rsidRDefault="0016492D" w:rsidP="007E7696">
      <w:pPr>
        <w:pStyle w:val="Heading5"/>
      </w:pPr>
      <w:r w:rsidRPr="009367BD">
        <w:lastRenderedPageBreak/>
        <w:t>Relative exposure in the pivotal repeat</w:t>
      </w:r>
      <w:r w:rsidR="0009659F">
        <w:t xml:space="preserve"> </w:t>
      </w:r>
      <w:r w:rsidRPr="009367BD">
        <w:t>dose toxicity study</w:t>
      </w:r>
    </w:p>
    <w:p w14:paraId="588485F2" w14:textId="77777777" w:rsidR="007E7696" w:rsidRDefault="007E7696" w:rsidP="007E7696">
      <w:pPr>
        <w:pStyle w:val="TableTitle"/>
      </w:pPr>
      <w:r>
        <w:t xml:space="preserve">Table </w:t>
      </w:r>
      <w:r w:rsidR="00E55ACA">
        <w:t xml:space="preserve">16: </w:t>
      </w:r>
      <w:r w:rsidRPr="009367BD">
        <w:t>Relative exposure in the pivotal repeat-dose toxicity study</w:t>
      </w:r>
    </w:p>
    <w:tbl>
      <w:tblPr>
        <w:tblStyle w:val="TableTGAblue"/>
        <w:tblW w:w="8567" w:type="dxa"/>
        <w:tblLayout w:type="fixed"/>
        <w:tblLook w:val="01E0" w:firstRow="1" w:lastRow="1" w:firstColumn="1" w:lastColumn="1" w:noHBand="0" w:noVBand="0"/>
      </w:tblPr>
      <w:tblGrid>
        <w:gridCol w:w="1124"/>
        <w:gridCol w:w="1283"/>
        <w:gridCol w:w="1154"/>
        <w:gridCol w:w="1026"/>
        <w:gridCol w:w="1026"/>
        <w:gridCol w:w="1026"/>
        <w:gridCol w:w="1026"/>
        <w:gridCol w:w="902"/>
      </w:tblGrid>
      <w:tr w:rsidR="0016492D" w:rsidRPr="00DD7FF1" w14:paraId="1B242968" w14:textId="77777777" w:rsidTr="005F4198">
        <w:trPr>
          <w:cnfStyle w:val="100000000000" w:firstRow="1" w:lastRow="0" w:firstColumn="0" w:lastColumn="0" w:oddVBand="0" w:evenVBand="0" w:oddHBand="0" w:evenHBand="0" w:firstRowFirstColumn="0" w:firstRowLastColumn="0" w:lastRowFirstColumn="0" w:lastRowLastColumn="0"/>
          <w:cantSplit/>
          <w:trHeight w:val="272"/>
        </w:trPr>
        <w:tc>
          <w:tcPr>
            <w:tcW w:w="1124" w:type="dxa"/>
            <w:vMerge w:val="restart"/>
          </w:tcPr>
          <w:p w14:paraId="6F136EE7" w14:textId="77777777" w:rsidR="0016492D" w:rsidRPr="00DD7FF1" w:rsidRDefault="0016492D" w:rsidP="005F4198">
            <w:pPr>
              <w:pStyle w:val="TableHeader"/>
              <w:ind w:left="0" w:right="0"/>
              <w:rPr>
                <w:b/>
                <w:sz w:val="17"/>
                <w:szCs w:val="17"/>
              </w:rPr>
            </w:pPr>
            <w:r w:rsidRPr="00DD7FF1">
              <w:rPr>
                <w:b/>
                <w:sz w:val="17"/>
                <w:szCs w:val="17"/>
              </w:rPr>
              <w:t>Species</w:t>
            </w:r>
          </w:p>
        </w:tc>
        <w:tc>
          <w:tcPr>
            <w:tcW w:w="1283" w:type="dxa"/>
            <w:vMerge w:val="restart"/>
          </w:tcPr>
          <w:p w14:paraId="57927386" w14:textId="77777777" w:rsidR="0016492D" w:rsidRPr="00DD7FF1" w:rsidRDefault="0016492D" w:rsidP="005F4198">
            <w:pPr>
              <w:pStyle w:val="TableHeader"/>
              <w:ind w:left="0" w:right="0"/>
              <w:rPr>
                <w:b/>
                <w:sz w:val="17"/>
                <w:szCs w:val="17"/>
              </w:rPr>
            </w:pPr>
            <w:r w:rsidRPr="00DD7FF1">
              <w:rPr>
                <w:b/>
                <w:sz w:val="17"/>
                <w:szCs w:val="17"/>
              </w:rPr>
              <w:t>Study</w:t>
            </w:r>
          </w:p>
        </w:tc>
        <w:tc>
          <w:tcPr>
            <w:tcW w:w="2179" w:type="dxa"/>
            <w:gridSpan w:val="2"/>
          </w:tcPr>
          <w:p w14:paraId="0BC0CDC7" w14:textId="0D940E78" w:rsidR="00DD7FF1" w:rsidRPr="00DD7FF1" w:rsidRDefault="0016492D" w:rsidP="005F4198">
            <w:pPr>
              <w:pStyle w:val="TableHeader"/>
              <w:spacing w:before="50" w:after="50"/>
              <w:ind w:left="0" w:right="0"/>
              <w:rPr>
                <w:b/>
                <w:sz w:val="17"/>
                <w:szCs w:val="17"/>
              </w:rPr>
            </w:pPr>
            <w:r w:rsidRPr="00DD7FF1">
              <w:rPr>
                <w:b/>
                <w:sz w:val="17"/>
                <w:szCs w:val="17"/>
              </w:rPr>
              <w:t>Dose (</w:t>
            </w:r>
            <w:r w:rsidR="006D7D02">
              <w:rPr>
                <w:b/>
                <w:sz w:val="17"/>
                <w:szCs w:val="17"/>
              </w:rPr>
              <w:t>mg</w:t>
            </w:r>
            <w:r w:rsidRPr="00DD7FF1">
              <w:rPr>
                <w:b/>
                <w:sz w:val="17"/>
                <w:szCs w:val="17"/>
              </w:rPr>
              <w:t>/kg/day)</w:t>
            </w:r>
          </w:p>
        </w:tc>
        <w:tc>
          <w:tcPr>
            <w:tcW w:w="2051" w:type="dxa"/>
            <w:gridSpan w:val="2"/>
          </w:tcPr>
          <w:p w14:paraId="7EA31000" w14:textId="77777777" w:rsidR="0016492D" w:rsidRPr="00DD7FF1" w:rsidRDefault="0016492D" w:rsidP="005F4198">
            <w:pPr>
              <w:pStyle w:val="TableHeader"/>
              <w:spacing w:before="50" w:after="50"/>
              <w:ind w:left="0" w:right="0"/>
              <w:rPr>
                <w:b/>
                <w:i/>
                <w:sz w:val="17"/>
                <w:szCs w:val="17"/>
              </w:rPr>
            </w:pPr>
            <w:r w:rsidRPr="00DD7FF1">
              <w:rPr>
                <w:b/>
                <w:sz w:val="17"/>
                <w:szCs w:val="17"/>
              </w:rPr>
              <w:t>AUC</w:t>
            </w:r>
            <w:r w:rsidRPr="00DD7FF1">
              <w:rPr>
                <w:b/>
                <w:sz w:val="17"/>
                <w:szCs w:val="17"/>
                <w:vertAlign w:val="subscript"/>
              </w:rPr>
              <w:t>0–24</w:t>
            </w:r>
            <w:r w:rsidRPr="00DD7FF1">
              <w:rPr>
                <w:b/>
                <w:w w:val="50"/>
                <w:sz w:val="17"/>
                <w:szCs w:val="17"/>
                <w:vertAlign w:val="subscript"/>
              </w:rPr>
              <w:t xml:space="preserve"> </w:t>
            </w:r>
            <w:r w:rsidRPr="00DD7FF1">
              <w:rPr>
                <w:b/>
                <w:sz w:val="17"/>
                <w:szCs w:val="17"/>
                <w:vertAlign w:val="subscript"/>
              </w:rPr>
              <w:t xml:space="preserve">h </w:t>
            </w:r>
            <w:r w:rsidRPr="00DD7FF1">
              <w:rPr>
                <w:b/>
                <w:sz w:val="17"/>
                <w:szCs w:val="17"/>
              </w:rPr>
              <w:t>(µg·h/mL)</w:t>
            </w:r>
          </w:p>
        </w:tc>
        <w:tc>
          <w:tcPr>
            <w:tcW w:w="1927" w:type="dxa"/>
            <w:gridSpan w:val="2"/>
          </w:tcPr>
          <w:p w14:paraId="50A9BF7E" w14:textId="77777777" w:rsidR="0016492D" w:rsidRPr="00DD7FF1" w:rsidRDefault="0016492D" w:rsidP="005F4198">
            <w:pPr>
              <w:pStyle w:val="TableHeader"/>
              <w:spacing w:before="50" w:after="50"/>
              <w:ind w:left="0" w:right="0"/>
              <w:rPr>
                <w:b/>
                <w:sz w:val="17"/>
                <w:szCs w:val="17"/>
              </w:rPr>
            </w:pPr>
            <w:r w:rsidRPr="00DD7FF1">
              <w:rPr>
                <w:b/>
                <w:sz w:val="17"/>
                <w:szCs w:val="17"/>
              </w:rPr>
              <w:t>Exposure ratio</w:t>
            </w:r>
            <w:r w:rsidRPr="00DD7FF1">
              <w:rPr>
                <w:b/>
                <w:sz w:val="17"/>
                <w:szCs w:val="17"/>
                <w:vertAlign w:val="superscript"/>
              </w:rPr>
              <w:t>#</w:t>
            </w:r>
          </w:p>
        </w:tc>
      </w:tr>
      <w:tr w:rsidR="0016492D" w:rsidRPr="00DD7FF1" w14:paraId="556CC00D" w14:textId="77777777" w:rsidTr="005F4198">
        <w:trPr>
          <w:cantSplit/>
          <w:trHeight w:val="272"/>
        </w:trPr>
        <w:tc>
          <w:tcPr>
            <w:tcW w:w="1124" w:type="dxa"/>
            <w:vMerge/>
          </w:tcPr>
          <w:p w14:paraId="55552C15" w14:textId="77777777" w:rsidR="0016492D" w:rsidRPr="00DD7FF1" w:rsidRDefault="0016492D" w:rsidP="005F4198">
            <w:pPr>
              <w:pStyle w:val="TableHeader"/>
              <w:ind w:left="0" w:right="0"/>
              <w:rPr>
                <w:b w:val="0"/>
                <w:sz w:val="18"/>
                <w:szCs w:val="18"/>
              </w:rPr>
            </w:pPr>
          </w:p>
        </w:tc>
        <w:tc>
          <w:tcPr>
            <w:tcW w:w="1283" w:type="dxa"/>
            <w:vMerge/>
          </w:tcPr>
          <w:p w14:paraId="3F890F66" w14:textId="77777777" w:rsidR="0016492D" w:rsidRPr="00DD7FF1" w:rsidRDefault="0016492D" w:rsidP="005F4198">
            <w:pPr>
              <w:pStyle w:val="TableHeader"/>
              <w:ind w:left="0" w:right="0"/>
              <w:rPr>
                <w:b w:val="0"/>
                <w:sz w:val="18"/>
                <w:szCs w:val="18"/>
              </w:rPr>
            </w:pPr>
          </w:p>
        </w:tc>
        <w:tc>
          <w:tcPr>
            <w:tcW w:w="2179" w:type="dxa"/>
            <w:gridSpan w:val="2"/>
          </w:tcPr>
          <w:p w14:paraId="082099DE" w14:textId="77777777" w:rsidR="0016492D" w:rsidRPr="00DD7FF1" w:rsidRDefault="0016492D" w:rsidP="005F4198">
            <w:pPr>
              <w:pStyle w:val="TableHeader"/>
              <w:spacing w:before="50" w:after="50"/>
              <w:ind w:left="0" w:right="0"/>
              <w:rPr>
                <w:b w:val="0"/>
                <w:sz w:val="17"/>
                <w:szCs w:val="17"/>
              </w:rPr>
            </w:pPr>
            <w:r w:rsidRPr="00DD7FF1">
              <w:rPr>
                <w:sz w:val="17"/>
                <w:szCs w:val="17"/>
              </w:rPr>
              <w:t>Ertugliflozin</w:t>
            </w:r>
            <w:r w:rsidR="007E7696" w:rsidRPr="00DD7FF1">
              <w:rPr>
                <w:sz w:val="17"/>
                <w:szCs w:val="17"/>
              </w:rPr>
              <w:t xml:space="preserve"> (E)</w:t>
            </w:r>
            <w:r w:rsidRPr="00DD7FF1">
              <w:rPr>
                <w:sz w:val="17"/>
                <w:szCs w:val="17"/>
              </w:rPr>
              <w:t>/metformin</w:t>
            </w:r>
            <w:r w:rsidR="007E7696" w:rsidRPr="00DD7FF1">
              <w:rPr>
                <w:sz w:val="17"/>
                <w:szCs w:val="17"/>
              </w:rPr>
              <w:t xml:space="preserve"> (M)</w:t>
            </w:r>
          </w:p>
        </w:tc>
        <w:tc>
          <w:tcPr>
            <w:tcW w:w="1026" w:type="dxa"/>
          </w:tcPr>
          <w:p w14:paraId="65BB9D02" w14:textId="77777777" w:rsidR="0016492D" w:rsidRPr="00DD7FF1" w:rsidRDefault="007E7696" w:rsidP="005F4198">
            <w:pPr>
              <w:pStyle w:val="TableHeader"/>
              <w:spacing w:before="50" w:after="50"/>
              <w:ind w:left="0" w:right="0"/>
              <w:rPr>
                <w:b w:val="0"/>
                <w:sz w:val="17"/>
                <w:szCs w:val="17"/>
              </w:rPr>
            </w:pPr>
            <w:r w:rsidRPr="00DD7FF1">
              <w:rPr>
                <w:sz w:val="17"/>
                <w:szCs w:val="17"/>
              </w:rPr>
              <w:t>E</w:t>
            </w:r>
          </w:p>
        </w:tc>
        <w:tc>
          <w:tcPr>
            <w:tcW w:w="1026" w:type="dxa"/>
          </w:tcPr>
          <w:p w14:paraId="69833AE1" w14:textId="77777777" w:rsidR="0016492D" w:rsidRPr="00DD7FF1" w:rsidRDefault="0016492D" w:rsidP="005F4198">
            <w:pPr>
              <w:pStyle w:val="TableHeader"/>
              <w:spacing w:before="50" w:after="50"/>
              <w:ind w:left="0" w:right="0"/>
              <w:rPr>
                <w:b w:val="0"/>
                <w:sz w:val="17"/>
                <w:szCs w:val="17"/>
              </w:rPr>
            </w:pPr>
            <w:r w:rsidRPr="00DD7FF1">
              <w:rPr>
                <w:sz w:val="17"/>
                <w:szCs w:val="17"/>
              </w:rPr>
              <w:t>M</w:t>
            </w:r>
          </w:p>
        </w:tc>
        <w:tc>
          <w:tcPr>
            <w:tcW w:w="1026" w:type="dxa"/>
          </w:tcPr>
          <w:p w14:paraId="6A76ABD1" w14:textId="77777777" w:rsidR="0016492D" w:rsidRPr="00DD7FF1" w:rsidRDefault="0016492D" w:rsidP="005F4198">
            <w:pPr>
              <w:pStyle w:val="TableHeader"/>
              <w:spacing w:before="50" w:after="50"/>
              <w:ind w:left="0" w:right="0"/>
              <w:rPr>
                <w:b w:val="0"/>
                <w:sz w:val="17"/>
                <w:szCs w:val="17"/>
              </w:rPr>
            </w:pPr>
            <w:r w:rsidRPr="00DD7FF1">
              <w:rPr>
                <w:sz w:val="17"/>
                <w:szCs w:val="17"/>
              </w:rPr>
              <w:t>E</w:t>
            </w:r>
          </w:p>
        </w:tc>
        <w:tc>
          <w:tcPr>
            <w:tcW w:w="902" w:type="dxa"/>
          </w:tcPr>
          <w:p w14:paraId="65AA6836" w14:textId="77777777" w:rsidR="0016492D" w:rsidRPr="00DD7FF1" w:rsidRDefault="0016492D" w:rsidP="005F4198">
            <w:pPr>
              <w:pStyle w:val="TableHeader"/>
              <w:spacing w:before="50" w:after="50"/>
              <w:ind w:left="0" w:right="0"/>
              <w:rPr>
                <w:b w:val="0"/>
                <w:sz w:val="17"/>
                <w:szCs w:val="17"/>
              </w:rPr>
            </w:pPr>
            <w:r w:rsidRPr="00DD7FF1">
              <w:rPr>
                <w:sz w:val="17"/>
                <w:szCs w:val="17"/>
              </w:rPr>
              <w:t>M</w:t>
            </w:r>
          </w:p>
        </w:tc>
      </w:tr>
      <w:tr w:rsidR="0016492D" w:rsidRPr="00271299" w14:paraId="1CCA4659" w14:textId="77777777" w:rsidTr="005F4198">
        <w:trPr>
          <w:trHeight w:val="218"/>
        </w:trPr>
        <w:tc>
          <w:tcPr>
            <w:tcW w:w="1124" w:type="dxa"/>
            <w:vMerge w:val="restart"/>
          </w:tcPr>
          <w:p w14:paraId="481083CB" w14:textId="03FBDA21" w:rsidR="0016492D" w:rsidRPr="00271299" w:rsidRDefault="0016492D" w:rsidP="005F4198">
            <w:pPr>
              <w:pStyle w:val="Tabletext"/>
              <w:keepNext/>
              <w:keepLines/>
              <w:spacing w:before="40" w:after="40"/>
              <w:ind w:left="0" w:right="0"/>
              <w:rPr>
                <w:kern w:val="2"/>
                <w:sz w:val="17"/>
                <w:szCs w:val="17"/>
              </w:rPr>
            </w:pPr>
            <w:r w:rsidRPr="00271299">
              <w:rPr>
                <w:b/>
                <w:sz w:val="17"/>
                <w:szCs w:val="17"/>
              </w:rPr>
              <w:t>Rat</w:t>
            </w:r>
            <w:r w:rsidR="0009659F">
              <w:rPr>
                <w:sz w:val="17"/>
                <w:szCs w:val="17"/>
              </w:rPr>
              <w:t xml:space="preserve"> </w:t>
            </w:r>
            <w:r w:rsidRPr="00271299">
              <w:rPr>
                <w:sz w:val="17"/>
                <w:szCs w:val="17"/>
              </w:rPr>
              <w:t>(SD)</w:t>
            </w:r>
          </w:p>
        </w:tc>
        <w:tc>
          <w:tcPr>
            <w:tcW w:w="1283" w:type="dxa"/>
            <w:vMerge w:val="restart"/>
          </w:tcPr>
          <w:p w14:paraId="6BDAD4BA" w14:textId="6FEBD0DE" w:rsidR="0016492D" w:rsidRPr="00271299" w:rsidRDefault="0016492D" w:rsidP="005F4198">
            <w:pPr>
              <w:pStyle w:val="Tabletext"/>
              <w:keepNext/>
              <w:keepLines/>
              <w:ind w:left="0" w:right="0"/>
              <w:rPr>
                <w:sz w:val="17"/>
                <w:szCs w:val="17"/>
              </w:rPr>
            </w:pPr>
            <w:r w:rsidRPr="00271299">
              <w:rPr>
                <w:kern w:val="2"/>
                <w:sz w:val="17"/>
                <w:szCs w:val="17"/>
              </w:rPr>
              <w:t>13 weeks</w:t>
            </w:r>
            <w:r w:rsidR="0009659F">
              <w:rPr>
                <w:sz w:val="17"/>
                <w:szCs w:val="17"/>
              </w:rPr>
              <w:t xml:space="preserve"> </w:t>
            </w:r>
            <w:r w:rsidRPr="00271299">
              <w:rPr>
                <w:sz w:val="17"/>
                <w:szCs w:val="17"/>
              </w:rPr>
              <w:t>TT147809</w:t>
            </w:r>
          </w:p>
        </w:tc>
        <w:tc>
          <w:tcPr>
            <w:tcW w:w="1154" w:type="dxa"/>
          </w:tcPr>
          <w:p w14:paraId="451FD2B0" w14:textId="77777777" w:rsidR="0016492D" w:rsidRPr="00271299" w:rsidRDefault="0016492D" w:rsidP="005F4198">
            <w:pPr>
              <w:pStyle w:val="Tabletext"/>
              <w:keepNext/>
              <w:keepLines/>
              <w:spacing w:before="0" w:after="0"/>
              <w:ind w:left="0" w:right="0"/>
              <w:rPr>
                <w:kern w:val="2"/>
                <w:sz w:val="17"/>
                <w:szCs w:val="17"/>
              </w:rPr>
            </w:pPr>
            <w:r w:rsidRPr="00271299">
              <w:rPr>
                <w:kern w:val="2"/>
                <w:sz w:val="17"/>
                <w:szCs w:val="17"/>
              </w:rPr>
              <w:t>5</w:t>
            </w:r>
          </w:p>
        </w:tc>
        <w:tc>
          <w:tcPr>
            <w:tcW w:w="1026" w:type="dxa"/>
          </w:tcPr>
          <w:p w14:paraId="70E29229" w14:textId="77777777" w:rsidR="0016492D" w:rsidRPr="00271299" w:rsidRDefault="0016492D" w:rsidP="005F4198">
            <w:pPr>
              <w:pStyle w:val="Tabletext"/>
              <w:keepNext/>
              <w:keepLines/>
              <w:spacing w:before="0" w:after="0"/>
              <w:ind w:left="0" w:right="0"/>
              <w:rPr>
                <w:kern w:val="2"/>
                <w:sz w:val="17"/>
                <w:szCs w:val="17"/>
              </w:rPr>
            </w:pPr>
            <w:r w:rsidRPr="00271299">
              <w:rPr>
                <w:kern w:val="2"/>
                <w:sz w:val="17"/>
                <w:szCs w:val="17"/>
              </w:rPr>
              <w:t>200</w:t>
            </w:r>
          </w:p>
        </w:tc>
        <w:tc>
          <w:tcPr>
            <w:tcW w:w="1026" w:type="dxa"/>
          </w:tcPr>
          <w:p w14:paraId="3F0E2222" w14:textId="77777777" w:rsidR="0016492D" w:rsidRPr="00271299" w:rsidRDefault="0016492D" w:rsidP="005F4198">
            <w:pPr>
              <w:pStyle w:val="Tabletext"/>
              <w:keepNext/>
              <w:keepLines/>
              <w:spacing w:before="0" w:after="0"/>
              <w:ind w:left="0" w:right="0"/>
              <w:rPr>
                <w:kern w:val="2"/>
                <w:sz w:val="17"/>
                <w:szCs w:val="17"/>
              </w:rPr>
            </w:pPr>
            <w:r w:rsidRPr="00271299">
              <w:rPr>
                <w:kern w:val="2"/>
                <w:sz w:val="17"/>
                <w:szCs w:val="17"/>
              </w:rPr>
              <w:t>21.2</w:t>
            </w:r>
          </w:p>
        </w:tc>
        <w:tc>
          <w:tcPr>
            <w:tcW w:w="1026" w:type="dxa"/>
          </w:tcPr>
          <w:p w14:paraId="1C405A21" w14:textId="77777777" w:rsidR="0016492D" w:rsidRPr="00271299" w:rsidRDefault="0016492D" w:rsidP="005F4198">
            <w:pPr>
              <w:pStyle w:val="Tabletext"/>
              <w:keepNext/>
              <w:keepLines/>
              <w:spacing w:before="0" w:after="0"/>
              <w:ind w:left="0" w:right="0"/>
              <w:rPr>
                <w:kern w:val="2"/>
                <w:sz w:val="17"/>
                <w:szCs w:val="17"/>
              </w:rPr>
            </w:pPr>
            <w:r w:rsidRPr="00271299">
              <w:rPr>
                <w:kern w:val="2"/>
                <w:sz w:val="17"/>
                <w:szCs w:val="17"/>
              </w:rPr>
              <w:t>48.1</w:t>
            </w:r>
          </w:p>
        </w:tc>
        <w:tc>
          <w:tcPr>
            <w:tcW w:w="1026" w:type="dxa"/>
          </w:tcPr>
          <w:p w14:paraId="6BCE6D6A" w14:textId="77777777" w:rsidR="0016492D" w:rsidRPr="00271299" w:rsidRDefault="0016492D" w:rsidP="005F4198">
            <w:pPr>
              <w:spacing w:line="200" w:lineRule="exact"/>
              <w:ind w:left="0" w:right="0"/>
              <w:jc w:val="center"/>
              <w:rPr>
                <w:rFonts w:cs="Calibri"/>
                <w:sz w:val="17"/>
                <w:szCs w:val="17"/>
              </w:rPr>
            </w:pPr>
            <w:r w:rsidRPr="00271299">
              <w:rPr>
                <w:rFonts w:cs="Calibri"/>
                <w:sz w:val="17"/>
                <w:szCs w:val="17"/>
              </w:rPr>
              <w:t>11</w:t>
            </w:r>
          </w:p>
        </w:tc>
        <w:tc>
          <w:tcPr>
            <w:tcW w:w="902" w:type="dxa"/>
          </w:tcPr>
          <w:p w14:paraId="69487C02" w14:textId="77777777" w:rsidR="0016492D" w:rsidRPr="00271299" w:rsidRDefault="0016492D" w:rsidP="005F4198">
            <w:pPr>
              <w:spacing w:line="200" w:lineRule="exact"/>
              <w:ind w:left="0" w:right="0"/>
              <w:jc w:val="center"/>
              <w:rPr>
                <w:rFonts w:cs="Calibri"/>
                <w:sz w:val="17"/>
                <w:szCs w:val="17"/>
              </w:rPr>
            </w:pPr>
            <w:r w:rsidRPr="00271299">
              <w:rPr>
                <w:rFonts w:cs="Calibri"/>
                <w:sz w:val="17"/>
                <w:szCs w:val="17"/>
              </w:rPr>
              <w:t>2.3</w:t>
            </w:r>
          </w:p>
        </w:tc>
      </w:tr>
      <w:tr w:rsidR="0016492D" w:rsidRPr="00271299" w14:paraId="2784FAFD" w14:textId="77777777" w:rsidTr="005F4198">
        <w:trPr>
          <w:trHeight w:val="218"/>
        </w:trPr>
        <w:tc>
          <w:tcPr>
            <w:tcW w:w="1124" w:type="dxa"/>
            <w:vMerge/>
          </w:tcPr>
          <w:p w14:paraId="16F99435" w14:textId="77777777" w:rsidR="0016492D" w:rsidRPr="00271299" w:rsidRDefault="0016492D" w:rsidP="005F4198">
            <w:pPr>
              <w:pStyle w:val="Tabletext"/>
              <w:keepNext/>
              <w:keepLines/>
              <w:spacing w:before="40" w:after="40"/>
              <w:ind w:left="0" w:right="0"/>
              <w:rPr>
                <w:kern w:val="2"/>
                <w:sz w:val="17"/>
                <w:szCs w:val="17"/>
              </w:rPr>
            </w:pPr>
          </w:p>
        </w:tc>
        <w:tc>
          <w:tcPr>
            <w:tcW w:w="1283" w:type="dxa"/>
            <w:vMerge/>
          </w:tcPr>
          <w:p w14:paraId="7FB780DA" w14:textId="77777777" w:rsidR="0016492D" w:rsidRPr="00271299" w:rsidRDefault="0016492D" w:rsidP="005F4198">
            <w:pPr>
              <w:pStyle w:val="Tabletext"/>
              <w:keepNext/>
              <w:keepLines/>
              <w:spacing w:before="0" w:after="0"/>
              <w:ind w:left="0" w:right="0"/>
              <w:rPr>
                <w:kern w:val="2"/>
                <w:sz w:val="17"/>
                <w:szCs w:val="17"/>
              </w:rPr>
            </w:pPr>
          </w:p>
        </w:tc>
        <w:tc>
          <w:tcPr>
            <w:tcW w:w="1154" w:type="dxa"/>
          </w:tcPr>
          <w:p w14:paraId="3DD735F7" w14:textId="77777777" w:rsidR="0016492D" w:rsidRPr="00271299" w:rsidRDefault="0016492D" w:rsidP="005F4198">
            <w:pPr>
              <w:pStyle w:val="Tabletext"/>
              <w:keepNext/>
              <w:keepLines/>
              <w:spacing w:before="0" w:after="0"/>
              <w:ind w:left="0" w:right="0"/>
              <w:rPr>
                <w:kern w:val="2"/>
                <w:sz w:val="17"/>
                <w:szCs w:val="17"/>
              </w:rPr>
            </w:pPr>
            <w:r w:rsidRPr="00271299">
              <w:rPr>
                <w:kern w:val="2"/>
                <w:sz w:val="17"/>
                <w:szCs w:val="17"/>
              </w:rPr>
              <w:t>5</w:t>
            </w:r>
          </w:p>
        </w:tc>
        <w:tc>
          <w:tcPr>
            <w:tcW w:w="1026" w:type="dxa"/>
          </w:tcPr>
          <w:p w14:paraId="043E077F" w14:textId="77777777" w:rsidR="0016492D" w:rsidRPr="00271299" w:rsidRDefault="0016492D" w:rsidP="005F4198">
            <w:pPr>
              <w:pStyle w:val="Tabletext"/>
              <w:keepNext/>
              <w:keepLines/>
              <w:spacing w:before="0" w:after="0"/>
              <w:ind w:left="0" w:right="0"/>
              <w:rPr>
                <w:kern w:val="2"/>
                <w:sz w:val="17"/>
                <w:szCs w:val="17"/>
              </w:rPr>
            </w:pPr>
            <w:r w:rsidRPr="00271299">
              <w:rPr>
                <w:kern w:val="2"/>
                <w:sz w:val="17"/>
                <w:szCs w:val="17"/>
              </w:rPr>
              <w:t>600</w:t>
            </w:r>
          </w:p>
        </w:tc>
        <w:tc>
          <w:tcPr>
            <w:tcW w:w="1026" w:type="dxa"/>
          </w:tcPr>
          <w:p w14:paraId="5AB2408B" w14:textId="77777777" w:rsidR="0016492D" w:rsidRPr="00271299" w:rsidRDefault="0016492D" w:rsidP="005F4198">
            <w:pPr>
              <w:pStyle w:val="Tabletext"/>
              <w:keepNext/>
              <w:keepLines/>
              <w:spacing w:before="0" w:after="0"/>
              <w:ind w:left="0" w:right="0"/>
              <w:rPr>
                <w:kern w:val="2"/>
                <w:sz w:val="17"/>
                <w:szCs w:val="17"/>
              </w:rPr>
            </w:pPr>
            <w:r w:rsidRPr="00271299">
              <w:rPr>
                <w:kern w:val="2"/>
                <w:sz w:val="17"/>
                <w:szCs w:val="17"/>
              </w:rPr>
              <w:t>19.2</w:t>
            </w:r>
          </w:p>
        </w:tc>
        <w:tc>
          <w:tcPr>
            <w:tcW w:w="1026" w:type="dxa"/>
          </w:tcPr>
          <w:p w14:paraId="0362F130" w14:textId="77777777" w:rsidR="0016492D" w:rsidRPr="00271299" w:rsidRDefault="0016492D" w:rsidP="005F4198">
            <w:pPr>
              <w:pStyle w:val="Tabletext"/>
              <w:keepNext/>
              <w:keepLines/>
              <w:spacing w:before="0" w:after="0"/>
              <w:ind w:left="0" w:right="0"/>
              <w:rPr>
                <w:kern w:val="2"/>
                <w:sz w:val="17"/>
                <w:szCs w:val="17"/>
              </w:rPr>
            </w:pPr>
            <w:r w:rsidRPr="00271299">
              <w:rPr>
                <w:kern w:val="2"/>
                <w:sz w:val="17"/>
                <w:szCs w:val="17"/>
              </w:rPr>
              <w:t>123</w:t>
            </w:r>
          </w:p>
        </w:tc>
        <w:tc>
          <w:tcPr>
            <w:tcW w:w="1026" w:type="dxa"/>
          </w:tcPr>
          <w:p w14:paraId="05CB6601" w14:textId="77777777" w:rsidR="0016492D" w:rsidRPr="00271299" w:rsidRDefault="0016492D" w:rsidP="005F4198">
            <w:pPr>
              <w:spacing w:line="200" w:lineRule="exact"/>
              <w:ind w:left="0" w:right="0"/>
              <w:jc w:val="center"/>
              <w:rPr>
                <w:rFonts w:cs="Calibri"/>
                <w:sz w:val="17"/>
                <w:szCs w:val="17"/>
              </w:rPr>
            </w:pPr>
            <w:r w:rsidRPr="00271299">
              <w:rPr>
                <w:rFonts w:cs="Calibri"/>
                <w:sz w:val="17"/>
                <w:szCs w:val="17"/>
              </w:rPr>
              <w:t>10</w:t>
            </w:r>
          </w:p>
        </w:tc>
        <w:tc>
          <w:tcPr>
            <w:tcW w:w="902" w:type="dxa"/>
          </w:tcPr>
          <w:p w14:paraId="6714E43E" w14:textId="77777777" w:rsidR="0016492D" w:rsidRPr="00271299" w:rsidRDefault="0016492D" w:rsidP="005F4198">
            <w:pPr>
              <w:spacing w:line="200" w:lineRule="exact"/>
              <w:ind w:left="0" w:right="0"/>
              <w:jc w:val="center"/>
              <w:rPr>
                <w:rFonts w:cs="Calibri"/>
                <w:sz w:val="17"/>
                <w:szCs w:val="17"/>
              </w:rPr>
            </w:pPr>
            <w:r w:rsidRPr="00271299">
              <w:rPr>
                <w:rFonts w:cs="Calibri"/>
                <w:sz w:val="17"/>
                <w:szCs w:val="17"/>
              </w:rPr>
              <w:t>6.0</w:t>
            </w:r>
          </w:p>
        </w:tc>
      </w:tr>
      <w:tr w:rsidR="0016492D" w:rsidRPr="00271299" w14:paraId="5E195EDD" w14:textId="77777777" w:rsidTr="005F4198">
        <w:trPr>
          <w:trHeight w:val="218"/>
        </w:trPr>
        <w:tc>
          <w:tcPr>
            <w:tcW w:w="1124" w:type="dxa"/>
            <w:vMerge/>
          </w:tcPr>
          <w:p w14:paraId="339D74EF" w14:textId="77777777" w:rsidR="0016492D" w:rsidRPr="00271299" w:rsidRDefault="0016492D" w:rsidP="005F4198">
            <w:pPr>
              <w:pStyle w:val="Tabletext"/>
              <w:keepNext/>
              <w:keepLines/>
              <w:spacing w:before="40" w:after="40"/>
              <w:ind w:left="0" w:right="0"/>
              <w:rPr>
                <w:kern w:val="2"/>
                <w:sz w:val="17"/>
                <w:szCs w:val="17"/>
              </w:rPr>
            </w:pPr>
          </w:p>
        </w:tc>
        <w:tc>
          <w:tcPr>
            <w:tcW w:w="1283" w:type="dxa"/>
            <w:vMerge/>
          </w:tcPr>
          <w:p w14:paraId="3A9BB111" w14:textId="77777777" w:rsidR="0016492D" w:rsidRPr="00271299" w:rsidRDefault="0016492D" w:rsidP="005F4198">
            <w:pPr>
              <w:pStyle w:val="Tabletext"/>
              <w:keepNext/>
              <w:keepLines/>
              <w:spacing w:before="0" w:after="0"/>
              <w:ind w:left="0" w:right="0"/>
              <w:rPr>
                <w:kern w:val="2"/>
                <w:sz w:val="17"/>
                <w:szCs w:val="17"/>
              </w:rPr>
            </w:pPr>
          </w:p>
        </w:tc>
        <w:tc>
          <w:tcPr>
            <w:tcW w:w="1154" w:type="dxa"/>
          </w:tcPr>
          <w:p w14:paraId="01E4B484" w14:textId="77777777" w:rsidR="0016492D" w:rsidRPr="00271299" w:rsidRDefault="0016492D" w:rsidP="005F4198">
            <w:pPr>
              <w:pStyle w:val="Tabletext"/>
              <w:keepNext/>
              <w:keepLines/>
              <w:spacing w:before="0" w:after="0"/>
              <w:ind w:left="0" w:right="0"/>
              <w:rPr>
                <w:kern w:val="2"/>
                <w:sz w:val="17"/>
                <w:szCs w:val="17"/>
              </w:rPr>
            </w:pPr>
            <w:r w:rsidRPr="00271299">
              <w:rPr>
                <w:kern w:val="2"/>
                <w:sz w:val="17"/>
                <w:szCs w:val="17"/>
              </w:rPr>
              <w:t>25</w:t>
            </w:r>
          </w:p>
        </w:tc>
        <w:tc>
          <w:tcPr>
            <w:tcW w:w="1026" w:type="dxa"/>
          </w:tcPr>
          <w:p w14:paraId="3DEDEF8A" w14:textId="77777777" w:rsidR="0016492D" w:rsidRPr="00271299" w:rsidRDefault="0016492D" w:rsidP="005F4198">
            <w:pPr>
              <w:pStyle w:val="Tabletext"/>
              <w:keepNext/>
              <w:keepLines/>
              <w:spacing w:before="0" w:after="0"/>
              <w:ind w:left="0" w:right="0"/>
              <w:rPr>
                <w:kern w:val="2"/>
                <w:sz w:val="17"/>
                <w:szCs w:val="17"/>
              </w:rPr>
            </w:pPr>
            <w:r w:rsidRPr="00271299">
              <w:rPr>
                <w:kern w:val="2"/>
                <w:sz w:val="17"/>
                <w:szCs w:val="17"/>
              </w:rPr>
              <w:t>200</w:t>
            </w:r>
          </w:p>
        </w:tc>
        <w:tc>
          <w:tcPr>
            <w:tcW w:w="1026" w:type="dxa"/>
          </w:tcPr>
          <w:p w14:paraId="6C0B54D4" w14:textId="77777777" w:rsidR="0016492D" w:rsidRPr="00271299" w:rsidRDefault="0016492D" w:rsidP="005F4198">
            <w:pPr>
              <w:pStyle w:val="Tabletext"/>
              <w:keepNext/>
              <w:keepLines/>
              <w:spacing w:before="0" w:after="0"/>
              <w:ind w:left="0" w:right="0"/>
              <w:rPr>
                <w:kern w:val="2"/>
                <w:sz w:val="17"/>
                <w:szCs w:val="17"/>
              </w:rPr>
            </w:pPr>
            <w:r w:rsidRPr="00271299">
              <w:rPr>
                <w:kern w:val="2"/>
                <w:sz w:val="17"/>
                <w:szCs w:val="17"/>
              </w:rPr>
              <w:t>120</w:t>
            </w:r>
          </w:p>
        </w:tc>
        <w:tc>
          <w:tcPr>
            <w:tcW w:w="1026" w:type="dxa"/>
          </w:tcPr>
          <w:p w14:paraId="09C235BD" w14:textId="77777777" w:rsidR="0016492D" w:rsidRPr="00271299" w:rsidRDefault="0016492D" w:rsidP="005F4198">
            <w:pPr>
              <w:pStyle w:val="Tabletext"/>
              <w:keepNext/>
              <w:keepLines/>
              <w:spacing w:before="0" w:after="0"/>
              <w:ind w:left="0" w:right="0"/>
              <w:rPr>
                <w:kern w:val="2"/>
                <w:sz w:val="17"/>
                <w:szCs w:val="17"/>
              </w:rPr>
            </w:pPr>
            <w:r w:rsidRPr="00271299">
              <w:rPr>
                <w:kern w:val="2"/>
                <w:sz w:val="17"/>
                <w:szCs w:val="17"/>
              </w:rPr>
              <w:t>53.8</w:t>
            </w:r>
          </w:p>
        </w:tc>
        <w:tc>
          <w:tcPr>
            <w:tcW w:w="1026" w:type="dxa"/>
          </w:tcPr>
          <w:p w14:paraId="7A945CB6" w14:textId="77777777" w:rsidR="0016492D" w:rsidRPr="00271299" w:rsidRDefault="0016492D" w:rsidP="005F4198">
            <w:pPr>
              <w:spacing w:line="200" w:lineRule="exact"/>
              <w:ind w:left="0" w:right="0"/>
              <w:jc w:val="center"/>
              <w:rPr>
                <w:rFonts w:cs="Calibri"/>
                <w:sz w:val="17"/>
                <w:szCs w:val="17"/>
              </w:rPr>
            </w:pPr>
            <w:r w:rsidRPr="00271299">
              <w:rPr>
                <w:rFonts w:cs="Calibri"/>
                <w:sz w:val="17"/>
                <w:szCs w:val="17"/>
              </w:rPr>
              <w:t>63</w:t>
            </w:r>
          </w:p>
        </w:tc>
        <w:tc>
          <w:tcPr>
            <w:tcW w:w="902" w:type="dxa"/>
          </w:tcPr>
          <w:p w14:paraId="28B5B625" w14:textId="77777777" w:rsidR="0016492D" w:rsidRPr="00271299" w:rsidRDefault="0016492D" w:rsidP="005F4198">
            <w:pPr>
              <w:spacing w:line="200" w:lineRule="exact"/>
              <w:ind w:left="0" w:right="0"/>
              <w:jc w:val="center"/>
              <w:rPr>
                <w:rFonts w:cs="Calibri"/>
                <w:sz w:val="17"/>
                <w:szCs w:val="17"/>
              </w:rPr>
            </w:pPr>
            <w:r w:rsidRPr="00271299">
              <w:rPr>
                <w:rFonts w:cs="Calibri"/>
                <w:sz w:val="17"/>
                <w:szCs w:val="17"/>
              </w:rPr>
              <w:t>2.6</w:t>
            </w:r>
          </w:p>
        </w:tc>
      </w:tr>
      <w:tr w:rsidR="0016492D" w:rsidRPr="00271299" w14:paraId="5F453E59" w14:textId="77777777" w:rsidTr="005F4198">
        <w:trPr>
          <w:trHeight w:val="218"/>
        </w:trPr>
        <w:tc>
          <w:tcPr>
            <w:tcW w:w="1124" w:type="dxa"/>
            <w:vMerge/>
          </w:tcPr>
          <w:p w14:paraId="0E5931AF" w14:textId="77777777" w:rsidR="0016492D" w:rsidRPr="00271299" w:rsidRDefault="0016492D" w:rsidP="005F4198">
            <w:pPr>
              <w:pStyle w:val="Tabletext"/>
              <w:keepNext/>
              <w:keepLines/>
              <w:spacing w:before="40" w:after="40"/>
              <w:ind w:left="0" w:right="0"/>
              <w:rPr>
                <w:kern w:val="2"/>
                <w:sz w:val="17"/>
                <w:szCs w:val="17"/>
              </w:rPr>
            </w:pPr>
          </w:p>
        </w:tc>
        <w:tc>
          <w:tcPr>
            <w:tcW w:w="1283" w:type="dxa"/>
            <w:vMerge/>
          </w:tcPr>
          <w:p w14:paraId="0ED3C18C" w14:textId="77777777" w:rsidR="0016492D" w:rsidRPr="00271299" w:rsidRDefault="0016492D" w:rsidP="005F4198">
            <w:pPr>
              <w:pStyle w:val="Tabletext"/>
              <w:keepNext/>
              <w:keepLines/>
              <w:spacing w:before="0" w:after="0"/>
              <w:ind w:left="0" w:right="0"/>
              <w:rPr>
                <w:kern w:val="2"/>
                <w:sz w:val="17"/>
                <w:szCs w:val="17"/>
              </w:rPr>
            </w:pPr>
          </w:p>
        </w:tc>
        <w:tc>
          <w:tcPr>
            <w:tcW w:w="1154" w:type="dxa"/>
          </w:tcPr>
          <w:p w14:paraId="6CB4C976" w14:textId="77777777" w:rsidR="0016492D" w:rsidRPr="00271299" w:rsidRDefault="0016492D" w:rsidP="005F4198">
            <w:pPr>
              <w:pStyle w:val="Tabletext"/>
              <w:keepNext/>
              <w:keepLines/>
              <w:spacing w:before="0" w:after="0"/>
              <w:ind w:left="0" w:right="0"/>
              <w:rPr>
                <w:kern w:val="2"/>
                <w:sz w:val="17"/>
                <w:szCs w:val="17"/>
              </w:rPr>
            </w:pPr>
            <w:r w:rsidRPr="00271299">
              <w:rPr>
                <w:kern w:val="2"/>
                <w:sz w:val="17"/>
                <w:szCs w:val="17"/>
              </w:rPr>
              <w:t>25</w:t>
            </w:r>
          </w:p>
        </w:tc>
        <w:tc>
          <w:tcPr>
            <w:tcW w:w="1026" w:type="dxa"/>
          </w:tcPr>
          <w:p w14:paraId="6EA19725" w14:textId="77777777" w:rsidR="0016492D" w:rsidRPr="00271299" w:rsidRDefault="0016492D" w:rsidP="005F4198">
            <w:pPr>
              <w:pStyle w:val="Tabletext"/>
              <w:keepNext/>
              <w:keepLines/>
              <w:spacing w:before="0" w:after="0"/>
              <w:ind w:left="0" w:right="0"/>
              <w:rPr>
                <w:kern w:val="2"/>
                <w:sz w:val="17"/>
                <w:szCs w:val="17"/>
              </w:rPr>
            </w:pPr>
            <w:r w:rsidRPr="00271299">
              <w:rPr>
                <w:kern w:val="2"/>
                <w:sz w:val="17"/>
                <w:szCs w:val="17"/>
              </w:rPr>
              <w:t>600</w:t>
            </w:r>
          </w:p>
        </w:tc>
        <w:tc>
          <w:tcPr>
            <w:tcW w:w="1026" w:type="dxa"/>
          </w:tcPr>
          <w:p w14:paraId="48305A35" w14:textId="77777777" w:rsidR="0016492D" w:rsidRPr="00271299" w:rsidRDefault="0016492D" w:rsidP="005F4198">
            <w:pPr>
              <w:pStyle w:val="Tabletext"/>
              <w:keepNext/>
              <w:keepLines/>
              <w:spacing w:before="0" w:after="0"/>
              <w:ind w:left="0" w:right="0"/>
              <w:rPr>
                <w:kern w:val="2"/>
                <w:sz w:val="17"/>
                <w:szCs w:val="17"/>
              </w:rPr>
            </w:pPr>
            <w:r w:rsidRPr="00271299">
              <w:rPr>
                <w:kern w:val="2"/>
                <w:sz w:val="17"/>
                <w:szCs w:val="17"/>
              </w:rPr>
              <w:t>91.5</w:t>
            </w:r>
          </w:p>
        </w:tc>
        <w:tc>
          <w:tcPr>
            <w:tcW w:w="1026" w:type="dxa"/>
          </w:tcPr>
          <w:p w14:paraId="02016F29" w14:textId="77777777" w:rsidR="0016492D" w:rsidRPr="00271299" w:rsidRDefault="0016492D" w:rsidP="005F4198">
            <w:pPr>
              <w:pStyle w:val="Tabletext"/>
              <w:keepNext/>
              <w:keepLines/>
              <w:spacing w:before="0" w:after="0"/>
              <w:ind w:left="0" w:right="0"/>
              <w:rPr>
                <w:kern w:val="2"/>
                <w:sz w:val="17"/>
                <w:szCs w:val="17"/>
              </w:rPr>
            </w:pPr>
            <w:r w:rsidRPr="00271299">
              <w:rPr>
                <w:kern w:val="2"/>
                <w:sz w:val="17"/>
                <w:szCs w:val="17"/>
              </w:rPr>
              <w:t>135</w:t>
            </w:r>
          </w:p>
        </w:tc>
        <w:tc>
          <w:tcPr>
            <w:tcW w:w="1026" w:type="dxa"/>
          </w:tcPr>
          <w:p w14:paraId="0C122B73" w14:textId="77777777" w:rsidR="0016492D" w:rsidRPr="00271299" w:rsidRDefault="0016492D" w:rsidP="005F4198">
            <w:pPr>
              <w:spacing w:line="200" w:lineRule="exact"/>
              <w:ind w:left="0" w:right="0"/>
              <w:jc w:val="center"/>
              <w:rPr>
                <w:rFonts w:cs="Calibri"/>
                <w:sz w:val="17"/>
                <w:szCs w:val="17"/>
              </w:rPr>
            </w:pPr>
            <w:r w:rsidRPr="00271299">
              <w:rPr>
                <w:rFonts w:cs="Calibri"/>
                <w:sz w:val="17"/>
                <w:szCs w:val="17"/>
              </w:rPr>
              <w:t>48</w:t>
            </w:r>
          </w:p>
        </w:tc>
        <w:tc>
          <w:tcPr>
            <w:tcW w:w="902" w:type="dxa"/>
          </w:tcPr>
          <w:p w14:paraId="30198D0F" w14:textId="77777777" w:rsidR="0016492D" w:rsidRPr="00271299" w:rsidRDefault="0016492D" w:rsidP="005F4198">
            <w:pPr>
              <w:spacing w:line="200" w:lineRule="exact"/>
              <w:ind w:left="0" w:right="0"/>
              <w:jc w:val="center"/>
              <w:rPr>
                <w:rFonts w:cs="Calibri"/>
                <w:sz w:val="17"/>
                <w:szCs w:val="17"/>
              </w:rPr>
            </w:pPr>
            <w:r w:rsidRPr="00271299">
              <w:rPr>
                <w:rFonts w:cs="Calibri"/>
                <w:sz w:val="17"/>
                <w:szCs w:val="17"/>
              </w:rPr>
              <w:t>6.5</w:t>
            </w:r>
          </w:p>
        </w:tc>
      </w:tr>
      <w:tr w:rsidR="0016492D" w:rsidRPr="00271299" w14:paraId="59CC8FF0" w14:textId="77777777" w:rsidTr="005F4198">
        <w:trPr>
          <w:trHeight w:val="218"/>
        </w:trPr>
        <w:tc>
          <w:tcPr>
            <w:tcW w:w="1124" w:type="dxa"/>
            <w:vMerge/>
          </w:tcPr>
          <w:p w14:paraId="7E75B8FA" w14:textId="77777777" w:rsidR="0016492D" w:rsidRPr="00271299" w:rsidRDefault="0016492D" w:rsidP="005F4198">
            <w:pPr>
              <w:pStyle w:val="Tabletext"/>
              <w:keepNext/>
              <w:keepLines/>
              <w:spacing w:before="40" w:after="40"/>
              <w:ind w:left="0" w:right="0"/>
              <w:rPr>
                <w:kern w:val="2"/>
                <w:sz w:val="17"/>
                <w:szCs w:val="17"/>
              </w:rPr>
            </w:pPr>
          </w:p>
        </w:tc>
        <w:tc>
          <w:tcPr>
            <w:tcW w:w="1283" w:type="dxa"/>
            <w:vMerge/>
          </w:tcPr>
          <w:p w14:paraId="054652D9" w14:textId="77777777" w:rsidR="0016492D" w:rsidRPr="00271299" w:rsidRDefault="0016492D" w:rsidP="005F4198">
            <w:pPr>
              <w:pStyle w:val="Tabletext"/>
              <w:keepNext/>
              <w:keepLines/>
              <w:spacing w:before="0" w:after="0"/>
              <w:ind w:left="0" w:right="0"/>
              <w:rPr>
                <w:kern w:val="2"/>
                <w:sz w:val="17"/>
                <w:szCs w:val="17"/>
              </w:rPr>
            </w:pPr>
          </w:p>
        </w:tc>
        <w:tc>
          <w:tcPr>
            <w:tcW w:w="1154" w:type="dxa"/>
          </w:tcPr>
          <w:p w14:paraId="75E50441" w14:textId="77777777" w:rsidR="0016492D" w:rsidRPr="00271299" w:rsidRDefault="0016492D" w:rsidP="005F4198">
            <w:pPr>
              <w:pStyle w:val="Tabletext"/>
              <w:keepNext/>
              <w:keepLines/>
              <w:spacing w:before="0" w:after="0"/>
              <w:ind w:left="0" w:right="0"/>
              <w:rPr>
                <w:kern w:val="2"/>
                <w:sz w:val="17"/>
                <w:szCs w:val="17"/>
              </w:rPr>
            </w:pPr>
            <w:r w:rsidRPr="00271299">
              <w:rPr>
                <w:kern w:val="2"/>
                <w:sz w:val="17"/>
                <w:szCs w:val="17"/>
              </w:rPr>
              <w:t>25</w:t>
            </w:r>
          </w:p>
        </w:tc>
        <w:tc>
          <w:tcPr>
            <w:tcW w:w="1026" w:type="dxa"/>
          </w:tcPr>
          <w:p w14:paraId="6DE11F02" w14:textId="77777777" w:rsidR="0016492D" w:rsidRPr="00271299" w:rsidRDefault="0016492D" w:rsidP="005F4198">
            <w:pPr>
              <w:pStyle w:val="Tabletext"/>
              <w:keepNext/>
              <w:keepLines/>
              <w:spacing w:before="0" w:after="0"/>
              <w:ind w:left="0" w:right="0"/>
              <w:rPr>
                <w:kern w:val="2"/>
                <w:sz w:val="17"/>
                <w:szCs w:val="17"/>
              </w:rPr>
            </w:pPr>
            <w:r w:rsidRPr="00271299">
              <w:rPr>
                <w:kern w:val="2"/>
                <w:sz w:val="17"/>
                <w:szCs w:val="17"/>
              </w:rPr>
              <w:t>–</w:t>
            </w:r>
          </w:p>
        </w:tc>
        <w:tc>
          <w:tcPr>
            <w:tcW w:w="1026" w:type="dxa"/>
          </w:tcPr>
          <w:p w14:paraId="706F710E" w14:textId="77777777" w:rsidR="0016492D" w:rsidRPr="00271299" w:rsidRDefault="0016492D" w:rsidP="005F4198">
            <w:pPr>
              <w:pStyle w:val="Tabletext"/>
              <w:keepNext/>
              <w:keepLines/>
              <w:spacing w:before="0" w:after="0"/>
              <w:ind w:left="0" w:right="0"/>
              <w:rPr>
                <w:kern w:val="2"/>
                <w:sz w:val="17"/>
                <w:szCs w:val="17"/>
              </w:rPr>
            </w:pPr>
            <w:r w:rsidRPr="00271299">
              <w:rPr>
                <w:kern w:val="2"/>
                <w:sz w:val="17"/>
                <w:szCs w:val="17"/>
              </w:rPr>
              <w:t>145</w:t>
            </w:r>
          </w:p>
        </w:tc>
        <w:tc>
          <w:tcPr>
            <w:tcW w:w="1026" w:type="dxa"/>
          </w:tcPr>
          <w:p w14:paraId="7E51247D" w14:textId="77777777" w:rsidR="0016492D" w:rsidRPr="00271299" w:rsidRDefault="0016492D" w:rsidP="005F4198">
            <w:pPr>
              <w:pStyle w:val="Tabletext"/>
              <w:keepNext/>
              <w:keepLines/>
              <w:spacing w:before="0" w:after="0"/>
              <w:ind w:left="0" w:right="0"/>
              <w:rPr>
                <w:kern w:val="2"/>
                <w:sz w:val="17"/>
                <w:szCs w:val="17"/>
              </w:rPr>
            </w:pPr>
            <w:r w:rsidRPr="00271299">
              <w:rPr>
                <w:kern w:val="2"/>
                <w:sz w:val="17"/>
                <w:szCs w:val="17"/>
              </w:rPr>
              <w:t>–</w:t>
            </w:r>
          </w:p>
        </w:tc>
        <w:tc>
          <w:tcPr>
            <w:tcW w:w="1026" w:type="dxa"/>
          </w:tcPr>
          <w:p w14:paraId="09F1B9BD" w14:textId="77777777" w:rsidR="0016492D" w:rsidRPr="00271299" w:rsidRDefault="0016492D" w:rsidP="005F4198">
            <w:pPr>
              <w:spacing w:line="200" w:lineRule="exact"/>
              <w:ind w:left="0" w:right="0"/>
              <w:jc w:val="center"/>
              <w:rPr>
                <w:rFonts w:cs="Calibri"/>
                <w:sz w:val="17"/>
                <w:szCs w:val="17"/>
              </w:rPr>
            </w:pPr>
            <w:r w:rsidRPr="00271299">
              <w:rPr>
                <w:rFonts w:cs="Calibri"/>
                <w:sz w:val="17"/>
                <w:szCs w:val="17"/>
              </w:rPr>
              <w:t>76</w:t>
            </w:r>
          </w:p>
        </w:tc>
        <w:tc>
          <w:tcPr>
            <w:tcW w:w="902" w:type="dxa"/>
          </w:tcPr>
          <w:p w14:paraId="196F318C" w14:textId="77777777" w:rsidR="0016492D" w:rsidRPr="00271299" w:rsidRDefault="0016492D" w:rsidP="005F4198">
            <w:pPr>
              <w:spacing w:line="200" w:lineRule="exact"/>
              <w:ind w:left="0" w:right="0"/>
              <w:jc w:val="center"/>
              <w:rPr>
                <w:rFonts w:cs="Calibri"/>
                <w:sz w:val="17"/>
                <w:szCs w:val="17"/>
              </w:rPr>
            </w:pPr>
            <w:r w:rsidRPr="00271299">
              <w:rPr>
                <w:rFonts w:cs="Calibri"/>
                <w:sz w:val="17"/>
                <w:szCs w:val="17"/>
              </w:rPr>
              <w:t>–</w:t>
            </w:r>
          </w:p>
        </w:tc>
      </w:tr>
      <w:tr w:rsidR="0016492D" w:rsidRPr="00271299" w14:paraId="30E68750" w14:textId="77777777" w:rsidTr="005F4198">
        <w:trPr>
          <w:trHeight w:val="218"/>
        </w:trPr>
        <w:tc>
          <w:tcPr>
            <w:tcW w:w="1124" w:type="dxa"/>
            <w:vMerge/>
          </w:tcPr>
          <w:p w14:paraId="17BAE05A" w14:textId="77777777" w:rsidR="0016492D" w:rsidRPr="00271299" w:rsidRDefault="0016492D" w:rsidP="005F4198">
            <w:pPr>
              <w:pStyle w:val="Tabletext"/>
              <w:keepNext/>
              <w:keepLines/>
              <w:spacing w:before="40" w:after="40"/>
              <w:ind w:left="0" w:right="0"/>
              <w:rPr>
                <w:kern w:val="2"/>
                <w:sz w:val="17"/>
                <w:szCs w:val="17"/>
              </w:rPr>
            </w:pPr>
          </w:p>
        </w:tc>
        <w:tc>
          <w:tcPr>
            <w:tcW w:w="1283" w:type="dxa"/>
            <w:vMerge/>
          </w:tcPr>
          <w:p w14:paraId="773DA154" w14:textId="77777777" w:rsidR="0016492D" w:rsidRPr="00271299" w:rsidRDefault="0016492D" w:rsidP="005F4198">
            <w:pPr>
              <w:pStyle w:val="Tabletext"/>
              <w:keepNext/>
              <w:keepLines/>
              <w:spacing w:before="0" w:after="0"/>
              <w:ind w:left="0" w:right="0"/>
              <w:rPr>
                <w:kern w:val="2"/>
                <w:sz w:val="17"/>
                <w:szCs w:val="17"/>
              </w:rPr>
            </w:pPr>
          </w:p>
        </w:tc>
        <w:tc>
          <w:tcPr>
            <w:tcW w:w="1154" w:type="dxa"/>
          </w:tcPr>
          <w:p w14:paraId="1262FC0B" w14:textId="77777777" w:rsidR="0016492D" w:rsidRPr="00271299" w:rsidRDefault="0016492D" w:rsidP="005F4198">
            <w:pPr>
              <w:pStyle w:val="Tabletext"/>
              <w:keepNext/>
              <w:keepLines/>
              <w:spacing w:before="0" w:after="0"/>
              <w:ind w:left="0" w:right="0"/>
              <w:rPr>
                <w:kern w:val="2"/>
                <w:sz w:val="17"/>
                <w:szCs w:val="17"/>
              </w:rPr>
            </w:pPr>
            <w:r w:rsidRPr="00271299">
              <w:rPr>
                <w:kern w:val="2"/>
                <w:sz w:val="17"/>
                <w:szCs w:val="17"/>
              </w:rPr>
              <w:t>–</w:t>
            </w:r>
          </w:p>
        </w:tc>
        <w:tc>
          <w:tcPr>
            <w:tcW w:w="1026" w:type="dxa"/>
          </w:tcPr>
          <w:p w14:paraId="7A6BF474" w14:textId="77777777" w:rsidR="0016492D" w:rsidRPr="00271299" w:rsidRDefault="0016492D" w:rsidP="005F4198">
            <w:pPr>
              <w:pStyle w:val="Tabletext"/>
              <w:keepNext/>
              <w:keepLines/>
              <w:spacing w:before="0" w:after="0"/>
              <w:ind w:left="0" w:right="0"/>
              <w:rPr>
                <w:kern w:val="2"/>
                <w:sz w:val="17"/>
                <w:szCs w:val="17"/>
              </w:rPr>
            </w:pPr>
            <w:r w:rsidRPr="00271299">
              <w:rPr>
                <w:kern w:val="2"/>
                <w:sz w:val="17"/>
                <w:szCs w:val="17"/>
              </w:rPr>
              <w:t>600</w:t>
            </w:r>
          </w:p>
        </w:tc>
        <w:tc>
          <w:tcPr>
            <w:tcW w:w="1026" w:type="dxa"/>
          </w:tcPr>
          <w:p w14:paraId="1A8E0AC4" w14:textId="77777777" w:rsidR="0016492D" w:rsidRPr="00271299" w:rsidRDefault="0016492D" w:rsidP="005F4198">
            <w:pPr>
              <w:pStyle w:val="Tabletext"/>
              <w:keepNext/>
              <w:keepLines/>
              <w:spacing w:before="0" w:after="0"/>
              <w:ind w:left="0" w:right="0"/>
              <w:rPr>
                <w:kern w:val="2"/>
                <w:sz w:val="17"/>
                <w:szCs w:val="17"/>
              </w:rPr>
            </w:pPr>
            <w:r w:rsidRPr="00271299">
              <w:rPr>
                <w:kern w:val="2"/>
                <w:sz w:val="17"/>
                <w:szCs w:val="17"/>
              </w:rPr>
              <w:t>–</w:t>
            </w:r>
          </w:p>
        </w:tc>
        <w:tc>
          <w:tcPr>
            <w:tcW w:w="1026" w:type="dxa"/>
          </w:tcPr>
          <w:p w14:paraId="563FC802" w14:textId="77777777" w:rsidR="0016492D" w:rsidRPr="00271299" w:rsidRDefault="0016492D" w:rsidP="005F4198">
            <w:pPr>
              <w:pStyle w:val="Tabletext"/>
              <w:keepNext/>
              <w:keepLines/>
              <w:spacing w:before="0" w:after="0"/>
              <w:ind w:left="0" w:right="0"/>
              <w:rPr>
                <w:kern w:val="2"/>
                <w:sz w:val="17"/>
                <w:szCs w:val="17"/>
              </w:rPr>
            </w:pPr>
            <w:r w:rsidRPr="00271299">
              <w:rPr>
                <w:kern w:val="2"/>
                <w:sz w:val="17"/>
                <w:szCs w:val="17"/>
              </w:rPr>
              <w:t>138</w:t>
            </w:r>
          </w:p>
        </w:tc>
        <w:tc>
          <w:tcPr>
            <w:tcW w:w="1026" w:type="dxa"/>
          </w:tcPr>
          <w:p w14:paraId="67E8E784" w14:textId="77777777" w:rsidR="0016492D" w:rsidRPr="00271299" w:rsidRDefault="0016492D" w:rsidP="005F4198">
            <w:pPr>
              <w:pStyle w:val="Tabletext"/>
              <w:keepNext/>
              <w:keepLines/>
              <w:spacing w:before="0" w:after="0"/>
              <w:ind w:left="0" w:right="0"/>
              <w:rPr>
                <w:kern w:val="2"/>
                <w:sz w:val="17"/>
                <w:szCs w:val="17"/>
              </w:rPr>
            </w:pPr>
            <w:r w:rsidRPr="00271299">
              <w:rPr>
                <w:kern w:val="2"/>
                <w:sz w:val="17"/>
                <w:szCs w:val="17"/>
              </w:rPr>
              <w:t>–</w:t>
            </w:r>
          </w:p>
        </w:tc>
        <w:tc>
          <w:tcPr>
            <w:tcW w:w="902" w:type="dxa"/>
          </w:tcPr>
          <w:p w14:paraId="6D069748" w14:textId="77777777" w:rsidR="0016492D" w:rsidRPr="00271299" w:rsidRDefault="0016492D" w:rsidP="005F4198">
            <w:pPr>
              <w:spacing w:line="200" w:lineRule="exact"/>
              <w:ind w:left="0" w:right="0"/>
              <w:jc w:val="center"/>
              <w:rPr>
                <w:rFonts w:cs="Calibri"/>
                <w:sz w:val="17"/>
                <w:szCs w:val="17"/>
              </w:rPr>
            </w:pPr>
            <w:r w:rsidRPr="00271299">
              <w:rPr>
                <w:rFonts w:cs="Calibri"/>
                <w:sz w:val="17"/>
                <w:szCs w:val="17"/>
              </w:rPr>
              <w:t>6.7</w:t>
            </w:r>
          </w:p>
        </w:tc>
      </w:tr>
      <w:tr w:rsidR="0016492D" w:rsidRPr="00271299" w14:paraId="43E7D270" w14:textId="77777777" w:rsidTr="005F4198">
        <w:trPr>
          <w:trHeight w:val="218"/>
        </w:trPr>
        <w:tc>
          <w:tcPr>
            <w:tcW w:w="1124" w:type="dxa"/>
          </w:tcPr>
          <w:p w14:paraId="16E1DFF5" w14:textId="77777777" w:rsidR="0016492D" w:rsidRPr="00271299" w:rsidRDefault="0016492D" w:rsidP="005F4198">
            <w:pPr>
              <w:pStyle w:val="Tabletext"/>
              <w:spacing w:before="40" w:after="40"/>
              <w:ind w:left="0" w:right="0"/>
              <w:rPr>
                <w:kern w:val="2"/>
                <w:sz w:val="17"/>
                <w:szCs w:val="17"/>
              </w:rPr>
            </w:pPr>
            <w:r w:rsidRPr="00271299">
              <w:rPr>
                <w:b/>
                <w:kern w:val="2"/>
                <w:sz w:val="17"/>
                <w:szCs w:val="17"/>
              </w:rPr>
              <w:t>Human</w:t>
            </w:r>
          </w:p>
        </w:tc>
        <w:tc>
          <w:tcPr>
            <w:tcW w:w="1283" w:type="dxa"/>
          </w:tcPr>
          <w:p w14:paraId="72596FF3" w14:textId="77777777" w:rsidR="0016492D" w:rsidRPr="00271299" w:rsidRDefault="0016492D" w:rsidP="005F4198">
            <w:pPr>
              <w:pStyle w:val="Tabletext"/>
              <w:keepNext/>
              <w:spacing w:before="40" w:after="40"/>
              <w:ind w:left="0" w:right="0"/>
              <w:rPr>
                <w:kern w:val="2"/>
                <w:sz w:val="17"/>
                <w:szCs w:val="17"/>
              </w:rPr>
            </w:pPr>
            <w:r w:rsidRPr="00271299">
              <w:rPr>
                <w:kern w:val="2"/>
                <w:sz w:val="17"/>
                <w:szCs w:val="17"/>
              </w:rPr>
              <w:t>P035/1051</w:t>
            </w:r>
            <w:r w:rsidRPr="00271299">
              <w:rPr>
                <w:kern w:val="2"/>
                <w:sz w:val="17"/>
                <w:szCs w:val="17"/>
                <w:vertAlign w:val="superscript"/>
              </w:rPr>
              <w:t>†</w:t>
            </w:r>
            <w:r w:rsidRPr="00271299">
              <w:rPr>
                <w:kern w:val="2"/>
                <w:sz w:val="17"/>
                <w:szCs w:val="17"/>
              </w:rPr>
              <w:t xml:space="preserve">;Timmins </w:t>
            </w:r>
            <w:r w:rsidRPr="007E7696">
              <w:rPr>
                <w:kern w:val="2"/>
                <w:sz w:val="17"/>
                <w:szCs w:val="18"/>
              </w:rPr>
              <w:t>et al.</w:t>
            </w:r>
            <w:r w:rsidRPr="00271299">
              <w:rPr>
                <w:i/>
                <w:kern w:val="2"/>
                <w:sz w:val="17"/>
                <w:szCs w:val="18"/>
              </w:rPr>
              <w:t> </w:t>
            </w:r>
            <w:r w:rsidRPr="00271299">
              <w:rPr>
                <w:kern w:val="2"/>
                <w:sz w:val="17"/>
                <w:szCs w:val="18"/>
              </w:rPr>
              <w:t>2005</w:t>
            </w:r>
          </w:p>
        </w:tc>
        <w:tc>
          <w:tcPr>
            <w:tcW w:w="1154" w:type="dxa"/>
          </w:tcPr>
          <w:p w14:paraId="6C28B516" w14:textId="6EA60F61" w:rsidR="0016492D" w:rsidRPr="00271299" w:rsidRDefault="0016492D" w:rsidP="005F4198">
            <w:pPr>
              <w:pStyle w:val="Tabletext"/>
              <w:spacing w:before="0" w:after="0"/>
              <w:ind w:left="0" w:right="0"/>
              <w:rPr>
                <w:kern w:val="2"/>
                <w:sz w:val="17"/>
                <w:szCs w:val="17"/>
              </w:rPr>
            </w:pPr>
            <w:r w:rsidRPr="00271299">
              <w:rPr>
                <w:kern w:val="2"/>
                <w:sz w:val="17"/>
                <w:szCs w:val="17"/>
              </w:rPr>
              <w:t>7.5</w:t>
            </w:r>
            <w:r w:rsidR="00715B39">
              <w:rPr>
                <w:kern w:val="2"/>
                <w:sz w:val="17"/>
                <w:szCs w:val="17"/>
              </w:rPr>
              <w:t xml:space="preserve"> </w:t>
            </w:r>
            <w:r w:rsidR="006D7D02">
              <w:rPr>
                <w:kern w:val="2"/>
                <w:sz w:val="17"/>
                <w:szCs w:val="17"/>
              </w:rPr>
              <w:t>mg</w:t>
            </w:r>
            <w:r w:rsidR="00E87327">
              <w:rPr>
                <w:kern w:val="2"/>
                <w:sz w:val="17"/>
                <w:szCs w:val="17"/>
              </w:rPr>
              <w:t xml:space="preserve"> </w:t>
            </w:r>
            <w:r w:rsidR="00AD51CF">
              <w:rPr>
                <w:kern w:val="2"/>
                <w:sz w:val="17"/>
                <w:szCs w:val="17"/>
              </w:rPr>
              <w:t>BD</w:t>
            </w:r>
          </w:p>
        </w:tc>
        <w:tc>
          <w:tcPr>
            <w:tcW w:w="1026" w:type="dxa"/>
          </w:tcPr>
          <w:p w14:paraId="70B7F7EA" w14:textId="34FB4B27" w:rsidR="0016492D" w:rsidRPr="00271299" w:rsidRDefault="0016492D" w:rsidP="005F4198">
            <w:pPr>
              <w:pStyle w:val="Tabletext"/>
              <w:spacing w:before="0" w:after="0"/>
              <w:ind w:left="0" w:right="0"/>
              <w:rPr>
                <w:kern w:val="2"/>
                <w:sz w:val="17"/>
                <w:szCs w:val="17"/>
              </w:rPr>
            </w:pPr>
            <w:r w:rsidRPr="00271299">
              <w:rPr>
                <w:kern w:val="2"/>
                <w:sz w:val="17"/>
                <w:szCs w:val="17"/>
              </w:rPr>
              <w:t>1000</w:t>
            </w:r>
            <w:r w:rsidR="00E87327">
              <w:rPr>
                <w:kern w:val="2"/>
                <w:sz w:val="17"/>
                <w:szCs w:val="17"/>
              </w:rPr>
              <w:t xml:space="preserve"> </w:t>
            </w:r>
            <w:r w:rsidR="006D7D02">
              <w:rPr>
                <w:kern w:val="2"/>
                <w:sz w:val="17"/>
                <w:szCs w:val="17"/>
              </w:rPr>
              <w:t>mg</w:t>
            </w:r>
            <w:r w:rsidR="007E7696">
              <w:rPr>
                <w:kern w:val="2"/>
                <w:sz w:val="17"/>
                <w:szCs w:val="17"/>
              </w:rPr>
              <w:t xml:space="preserve"> </w:t>
            </w:r>
            <w:r w:rsidR="00AD51CF">
              <w:rPr>
                <w:kern w:val="2"/>
                <w:sz w:val="17"/>
                <w:szCs w:val="17"/>
              </w:rPr>
              <w:t>BD</w:t>
            </w:r>
          </w:p>
        </w:tc>
        <w:tc>
          <w:tcPr>
            <w:tcW w:w="1026" w:type="dxa"/>
          </w:tcPr>
          <w:p w14:paraId="5CAEADA3" w14:textId="77777777" w:rsidR="0016492D" w:rsidRPr="00271299" w:rsidRDefault="0016492D" w:rsidP="005F4198">
            <w:pPr>
              <w:pStyle w:val="Tabletext"/>
              <w:spacing w:before="0" w:after="0"/>
              <w:ind w:left="0" w:right="0"/>
              <w:rPr>
                <w:kern w:val="2"/>
                <w:sz w:val="17"/>
                <w:szCs w:val="17"/>
              </w:rPr>
            </w:pPr>
            <w:r w:rsidRPr="00271299">
              <w:rPr>
                <w:kern w:val="2"/>
                <w:sz w:val="17"/>
                <w:szCs w:val="17"/>
              </w:rPr>
              <w:t>1.193</w:t>
            </w:r>
          </w:p>
        </w:tc>
        <w:tc>
          <w:tcPr>
            <w:tcW w:w="1026" w:type="dxa"/>
          </w:tcPr>
          <w:p w14:paraId="34483A21" w14:textId="77777777" w:rsidR="0016492D" w:rsidRPr="00271299" w:rsidRDefault="0016492D" w:rsidP="005F4198">
            <w:pPr>
              <w:pStyle w:val="Tabletext"/>
              <w:spacing w:before="0" w:after="0"/>
              <w:ind w:left="0" w:right="0"/>
              <w:rPr>
                <w:kern w:val="2"/>
                <w:sz w:val="17"/>
                <w:szCs w:val="17"/>
              </w:rPr>
            </w:pPr>
            <w:r w:rsidRPr="00271299">
              <w:rPr>
                <w:kern w:val="2"/>
                <w:sz w:val="17"/>
                <w:szCs w:val="17"/>
              </w:rPr>
              <w:t>20.544</w:t>
            </w:r>
          </w:p>
        </w:tc>
        <w:tc>
          <w:tcPr>
            <w:tcW w:w="1026" w:type="dxa"/>
          </w:tcPr>
          <w:p w14:paraId="51EADDC0" w14:textId="77777777" w:rsidR="0016492D" w:rsidRPr="00271299" w:rsidRDefault="0016492D" w:rsidP="005F4198">
            <w:pPr>
              <w:pStyle w:val="Tabletext"/>
              <w:spacing w:before="0" w:after="0"/>
              <w:ind w:left="0" w:right="0"/>
              <w:rPr>
                <w:kern w:val="2"/>
                <w:sz w:val="17"/>
                <w:szCs w:val="17"/>
              </w:rPr>
            </w:pPr>
            <w:r w:rsidRPr="00271299">
              <w:rPr>
                <w:kern w:val="2"/>
                <w:sz w:val="17"/>
                <w:szCs w:val="17"/>
              </w:rPr>
              <w:t>–</w:t>
            </w:r>
          </w:p>
        </w:tc>
        <w:tc>
          <w:tcPr>
            <w:tcW w:w="902" w:type="dxa"/>
          </w:tcPr>
          <w:p w14:paraId="3A49FFD1" w14:textId="77777777" w:rsidR="0016492D" w:rsidRPr="00271299" w:rsidRDefault="0016492D" w:rsidP="005F4198">
            <w:pPr>
              <w:pStyle w:val="Tabletext"/>
              <w:spacing w:before="0" w:after="0"/>
              <w:ind w:left="0" w:right="0"/>
              <w:rPr>
                <w:kern w:val="2"/>
                <w:sz w:val="17"/>
                <w:szCs w:val="17"/>
              </w:rPr>
            </w:pPr>
            <w:r w:rsidRPr="00271299">
              <w:rPr>
                <w:kern w:val="2"/>
                <w:sz w:val="17"/>
                <w:szCs w:val="17"/>
              </w:rPr>
              <w:t>–</w:t>
            </w:r>
          </w:p>
        </w:tc>
      </w:tr>
    </w:tbl>
    <w:p w14:paraId="2F80E08A" w14:textId="70B32C2F" w:rsidR="0016492D" w:rsidRPr="0009659F" w:rsidRDefault="0016492D">
      <w:pPr>
        <w:pStyle w:val="TableDescription"/>
      </w:pPr>
      <w:r w:rsidRPr="005F4198">
        <w:t># = animal:</w:t>
      </w:r>
      <w:r w:rsidR="00C141FF" w:rsidRPr="0009659F">
        <w:t xml:space="preserve"> </w:t>
      </w:r>
      <w:r w:rsidRPr="0009659F">
        <w:t>human plasma AUC0–24 h; for ertugliflozin, the exposure ratio is adjusted for cross-species differences in protein binding (fraction unbound: 4.0% for rat and 6.4% for human); animal AUC values are for the last sampling occasion, and for the sexes combined; the human AUC for ertugliflozin was obtained with dosing at 15</w:t>
      </w:r>
      <w:r w:rsidR="00E87327" w:rsidRPr="0009659F">
        <w:t xml:space="preserve"> </w:t>
      </w:r>
      <w:r w:rsidR="006D7D02" w:rsidRPr="0009659F">
        <w:t>mg</w:t>
      </w:r>
      <w:r w:rsidRPr="0009659F">
        <w:t xml:space="preserve"> QD, with </w:t>
      </w:r>
      <w:r w:rsidR="00AD51CF" w:rsidRPr="0009659F">
        <w:t>BD</w:t>
      </w:r>
      <w:r w:rsidRPr="0009659F">
        <w:t> administration at 7.5</w:t>
      </w:r>
      <w:r w:rsidR="00E87327" w:rsidRPr="0009659F">
        <w:t xml:space="preserve"> </w:t>
      </w:r>
      <w:r w:rsidR="006D7D02" w:rsidRPr="0009659F">
        <w:t>mg</w:t>
      </w:r>
      <w:r w:rsidRPr="0009659F">
        <w:t xml:space="preserve"> seen to result in an equivalent plasma AUC0–24 h.</w:t>
      </w:r>
    </w:p>
    <w:p w14:paraId="7E32DD67" w14:textId="77777777" w:rsidR="0016492D" w:rsidRPr="00522CAF" w:rsidRDefault="0016492D" w:rsidP="007E7696">
      <w:r w:rsidRPr="00DF39B1">
        <w:t>Findings with combination treatment in rats were chiefly attributable to ertugliflozin. No novel or additive toxicity was seen</w:t>
      </w:r>
      <w:r>
        <w:t xml:space="preserve">. There were approximately additive increases in bodyweight-relative kidney, adrenal, liver and </w:t>
      </w:r>
      <w:r w:rsidRPr="00522CAF">
        <w:t>heart weights but microscopic correlates were either not increased in incidence or severity</w:t>
      </w:r>
      <w:r w:rsidR="00501062">
        <w:t xml:space="preserve"> as compared to</w:t>
      </w:r>
      <w:r w:rsidRPr="00522CAF">
        <w:rPr>
          <w:szCs w:val="18"/>
        </w:rPr>
        <w:t xml:space="preserve"> that with </w:t>
      </w:r>
      <w:r>
        <w:rPr>
          <w:szCs w:val="18"/>
        </w:rPr>
        <w:t xml:space="preserve">the single </w:t>
      </w:r>
      <w:r w:rsidRPr="00522CAF">
        <w:rPr>
          <w:szCs w:val="18"/>
        </w:rPr>
        <w:t>agent</w:t>
      </w:r>
      <w:r>
        <w:rPr>
          <w:szCs w:val="18"/>
        </w:rPr>
        <w:t>s</w:t>
      </w:r>
      <w:r w:rsidRPr="00522CAF">
        <w:rPr>
          <w:szCs w:val="18"/>
        </w:rPr>
        <w:t xml:space="preserve"> </w:t>
      </w:r>
      <w:r>
        <w:rPr>
          <w:szCs w:val="18"/>
        </w:rPr>
        <w:t>o</w:t>
      </w:r>
      <w:r w:rsidRPr="00522CAF">
        <w:rPr>
          <w:szCs w:val="18"/>
        </w:rPr>
        <w:t>r absent.</w:t>
      </w:r>
      <w:r w:rsidRPr="00522CAF">
        <w:t xml:space="preserve"> Histopathological changes involved the kidney (tubular dilatation), adrenal (hypertrophy in the zona glomerulosa), stomach (erosion, ulcer) and pancreas (zymogen depletion</w:t>
      </w:r>
      <w:r>
        <w:t>)</w:t>
      </w:r>
      <w:r w:rsidR="00501062">
        <w:t>,</w:t>
      </w:r>
      <w:r w:rsidRPr="00522CAF">
        <w:t> attributable to ertugliflozin</w:t>
      </w:r>
      <w:r w:rsidR="00501062">
        <w:t>,</w:t>
      </w:r>
      <w:r w:rsidRPr="00522CAF">
        <w:t> and salivary glands (decreased cytoplasmic granules and hypertrophy of the duct epithelium)</w:t>
      </w:r>
      <w:r w:rsidR="00501062">
        <w:t>,</w:t>
      </w:r>
      <w:r w:rsidRPr="00522CAF">
        <w:t> attributable to metformin.</w:t>
      </w:r>
    </w:p>
    <w:p w14:paraId="0064BF5E" w14:textId="77777777" w:rsidR="0016492D" w:rsidRPr="00522CAF" w:rsidRDefault="0016492D" w:rsidP="007E7696">
      <w:pPr>
        <w:pStyle w:val="Heading4"/>
      </w:pPr>
      <w:r w:rsidRPr="00522CAF">
        <w:t>Pregnancy classification</w:t>
      </w:r>
    </w:p>
    <w:p w14:paraId="6E56F3B5" w14:textId="77777777" w:rsidR="005F4198" w:rsidRDefault="005F4198" w:rsidP="005F4198">
      <w:r w:rsidRPr="00522CAF">
        <w:t>No embryofetal development studies have been performed with ertugliflozin and metformin in combination. The sponsor proposes Pregnancy Category C</w:t>
      </w:r>
      <w:r>
        <w:t>.</w:t>
      </w:r>
      <w:r w:rsidRPr="00501062">
        <w:rPr>
          <w:vertAlign w:val="superscript"/>
        </w:rPr>
        <w:fldChar w:fldCharType="begin"/>
      </w:r>
      <w:r w:rsidRPr="00501062">
        <w:rPr>
          <w:vertAlign w:val="superscript"/>
        </w:rPr>
        <w:instrText xml:space="preserve"> NOTEREF _Ref521326486 \h </w:instrText>
      </w:r>
      <w:r>
        <w:rPr>
          <w:vertAlign w:val="superscript"/>
        </w:rPr>
        <w:instrText xml:space="preserve"> \* MERGEFORMAT </w:instrText>
      </w:r>
      <w:r w:rsidRPr="00501062">
        <w:rPr>
          <w:vertAlign w:val="superscript"/>
        </w:rPr>
      </w:r>
      <w:r w:rsidRPr="00501062">
        <w:rPr>
          <w:vertAlign w:val="superscript"/>
        </w:rPr>
        <w:fldChar w:fldCharType="separate"/>
      </w:r>
      <w:r>
        <w:rPr>
          <w:vertAlign w:val="superscript"/>
        </w:rPr>
        <w:t>18</w:t>
      </w:r>
      <w:r w:rsidRPr="00501062">
        <w:rPr>
          <w:vertAlign w:val="superscript"/>
        </w:rPr>
        <w:fldChar w:fldCharType="end"/>
      </w:r>
      <w:r w:rsidRPr="00522CAF">
        <w:t xml:space="preserve"> This is not supported. Assignment to Pregnancy Category D</w:t>
      </w:r>
      <w:proofErr w:type="gramStart"/>
      <w:r>
        <w:t>;</w:t>
      </w:r>
      <w:proofErr w:type="gramEnd"/>
      <w:r w:rsidRPr="00501062">
        <w:rPr>
          <w:vertAlign w:val="superscript"/>
        </w:rPr>
        <w:fldChar w:fldCharType="begin"/>
      </w:r>
      <w:r w:rsidRPr="00501062">
        <w:rPr>
          <w:vertAlign w:val="superscript"/>
        </w:rPr>
        <w:instrText xml:space="preserve"> NOTEREF _Ref521326502 \h </w:instrText>
      </w:r>
      <w:r>
        <w:rPr>
          <w:vertAlign w:val="superscript"/>
        </w:rPr>
        <w:instrText xml:space="preserve"> \* MERGEFORMAT </w:instrText>
      </w:r>
      <w:r w:rsidRPr="00501062">
        <w:rPr>
          <w:vertAlign w:val="superscript"/>
        </w:rPr>
      </w:r>
      <w:r w:rsidRPr="00501062">
        <w:rPr>
          <w:vertAlign w:val="superscript"/>
        </w:rPr>
        <w:fldChar w:fldCharType="separate"/>
      </w:r>
      <w:r>
        <w:rPr>
          <w:vertAlign w:val="superscript"/>
        </w:rPr>
        <w:t>19</w:t>
      </w:r>
      <w:r w:rsidRPr="00501062">
        <w:rPr>
          <w:vertAlign w:val="superscript"/>
        </w:rPr>
        <w:fldChar w:fldCharType="end"/>
      </w:r>
      <w:r w:rsidRPr="00522CAF">
        <w:t xml:space="preserve"> is warranted instead due to concerns for potential irreversible effects on the developing kidney due to ertugliflozin. This is the more restrictive category for ertugliflozin (Category D recommended for </w:t>
      </w:r>
      <w:r w:rsidRPr="00501062">
        <w:t>Steglatro</w:t>
      </w:r>
      <w:r w:rsidRPr="00522CAF">
        <w:t>) and metformin (C) as single agents.</w:t>
      </w:r>
    </w:p>
    <w:p w14:paraId="1F9BFEBF" w14:textId="77777777" w:rsidR="0016492D" w:rsidRDefault="00501062" w:rsidP="00501062">
      <w:pPr>
        <w:pStyle w:val="Heading4"/>
      </w:pPr>
      <w:r>
        <w:t>Nonclinical summary, conclusions and recommendation</w:t>
      </w:r>
    </w:p>
    <w:p w14:paraId="3E88B93B" w14:textId="77777777" w:rsidR="0016492D" w:rsidRDefault="0016492D" w:rsidP="00EA16C3">
      <w:pPr>
        <w:pStyle w:val="ListBullet"/>
      </w:pPr>
      <w:r>
        <w:t>The set of nonclinical studies performed with ertugliflozin and metformin in combination was suitably comprehensive.</w:t>
      </w:r>
    </w:p>
    <w:p w14:paraId="1E36F017" w14:textId="77777777" w:rsidR="0016492D" w:rsidRDefault="0016492D" w:rsidP="00501062">
      <w:pPr>
        <w:pStyle w:val="ListBullet"/>
      </w:pPr>
      <w:r>
        <w:t>No nonclinical efficacy studies with the combination were submitted. Assessment of combination efficacy relies on clinical data only.</w:t>
      </w:r>
    </w:p>
    <w:p w14:paraId="3CA56C29" w14:textId="77777777" w:rsidR="0016492D" w:rsidRDefault="0016492D" w:rsidP="00501062">
      <w:pPr>
        <w:pStyle w:val="ListBullet"/>
      </w:pPr>
      <w:r>
        <w:t xml:space="preserve">Ertugliflozin and metformin do not share metabolic pathways. A modest pharmacokinetic </w:t>
      </w:r>
      <w:r w:rsidR="00F14099">
        <w:t>interaction</w:t>
      </w:r>
      <w:r>
        <w:t xml:space="preserve"> between the two agents was observed in rats (co-</w:t>
      </w:r>
      <w:r>
        <w:lastRenderedPageBreak/>
        <w:t>administration of metformin acting to reduce ertugliflozin absorption/exposure) but no pharmacokinetic interaction was reported in humans.</w:t>
      </w:r>
    </w:p>
    <w:p w14:paraId="31333783" w14:textId="77777777" w:rsidR="0016492D" w:rsidRDefault="0016492D" w:rsidP="00501062">
      <w:pPr>
        <w:pStyle w:val="ListBullet"/>
      </w:pPr>
      <w:r>
        <w:t>A G</w:t>
      </w:r>
      <w:r w:rsidR="000A5476">
        <w:t xml:space="preserve">ood Laboratory Practice </w:t>
      </w:r>
      <w:r>
        <w:t>compliant 3</w:t>
      </w:r>
      <w:r w:rsidR="00501062">
        <w:t xml:space="preserve"> </w:t>
      </w:r>
      <w:r>
        <w:t>month repeat-dose toxicity study revealed no novel or additive toxicity with ertugliflozin and metformin in combination in rats.</w:t>
      </w:r>
    </w:p>
    <w:p w14:paraId="14E57588" w14:textId="77777777" w:rsidR="0016492D" w:rsidRDefault="0016492D" w:rsidP="00501062">
      <w:pPr>
        <w:pStyle w:val="ListBullet"/>
      </w:pPr>
      <w:r>
        <w:t xml:space="preserve">There are no nonclinical objections to the registration of </w:t>
      </w:r>
      <w:r w:rsidR="00EA16C3" w:rsidRPr="00EA16C3">
        <w:t>Segluromet</w:t>
      </w:r>
      <w:r>
        <w:t xml:space="preserve"> for the proposed indication provided that the Product Information document is amended. Of particular note, the product should be assigned Pregnancy Category D (rather than Category C as the sponsor proposes) due to concerns for irreversible effects on the developing kidney caused by ertugliflozin.</w:t>
      </w:r>
    </w:p>
    <w:p w14:paraId="41DAAD2F" w14:textId="77777777" w:rsidR="008E7846" w:rsidRPr="00254787" w:rsidRDefault="008E7846" w:rsidP="008E7846">
      <w:pPr>
        <w:pStyle w:val="Heading2"/>
      </w:pPr>
      <w:bookmarkStart w:id="90" w:name="_Toc196046462"/>
      <w:bookmarkStart w:id="91" w:name="_Toc247691516"/>
      <w:bookmarkStart w:id="92" w:name="_Toc314842500"/>
      <w:bookmarkStart w:id="93" w:name="_Toc163441353"/>
      <w:bookmarkStart w:id="94" w:name="_Toc163441348"/>
      <w:bookmarkStart w:id="95" w:name="_Toc4405828"/>
      <w:r>
        <w:t xml:space="preserve">V. </w:t>
      </w:r>
      <w:r w:rsidRPr="00254787">
        <w:t>Clinical</w:t>
      </w:r>
      <w:bookmarkEnd w:id="90"/>
      <w:r>
        <w:t xml:space="preserve"> </w:t>
      </w:r>
      <w:r w:rsidR="003A7F6C">
        <w:t>f</w:t>
      </w:r>
      <w:r>
        <w:t>indings</w:t>
      </w:r>
      <w:bookmarkEnd w:id="91"/>
      <w:bookmarkEnd w:id="92"/>
      <w:bookmarkEnd w:id="95"/>
    </w:p>
    <w:p w14:paraId="7D32C88D" w14:textId="6643D095" w:rsidR="00C80137" w:rsidRDefault="00C80137" w:rsidP="00D425BB">
      <w:bookmarkStart w:id="96" w:name="_Toc196046463"/>
      <w:r>
        <w:t xml:space="preserve">A summary of the </w:t>
      </w:r>
      <w:r w:rsidRPr="00FD70B8">
        <w:t xml:space="preserve">clinical findings is presented in this section. </w:t>
      </w:r>
      <w:r>
        <w:t xml:space="preserve">Further details of these </w:t>
      </w:r>
      <w:r w:rsidRPr="00FD70B8">
        <w:t>clinical findings can be found in Attachment</w:t>
      </w:r>
      <w:r w:rsidR="004062FB">
        <w:t>s</w:t>
      </w:r>
      <w:r w:rsidRPr="00FD70B8">
        <w:t xml:space="preserve"> 2</w:t>
      </w:r>
      <w:r w:rsidR="0009659F">
        <w:t xml:space="preserve"> to </w:t>
      </w:r>
      <w:r w:rsidR="004062FB">
        <w:t>4 for the 3 submissions</w:t>
      </w:r>
      <w:r w:rsidRPr="00FD70B8">
        <w:t>.</w:t>
      </w:r>
    </w:p>
    <w:p w14:paraId="2044B951" w14:textId="77777777" w:rsidR="00BE2C72" w:rsidRDefault="00BE2C72" w:rsidP="00B51DF2">
      <w:pPr>
        <w:pStyle w:val="Heading3"/>
      </w:pPr>
      <w:bookmarkStart w:id="97" w:name="_Toc4405829"/>
      <w:r>
        <w:t>Steglatro</w:t>
      </w:r>
      <w:bookmarkEnd w:id="97"/>
    </w:p>
    <w:p w14:paraId="07862814" w14:textId="77777777" w:rsidR="004C4E10" w:rsidRDefault="004C4E10" w:rsidP="00A80F43">
      <w:pPr>
        <w:pStyle w:val="Heading4"/>
      </w:pPr>
      <w:r>
        <w:t>Clinical rationale</w:t>
      </w:r>
    </w:p>
    <w:p w14:paraId="40BC3DF7" w14:textId="77777777" w:rsidR="004C4E10" w:rsidRDefault="004C4E10" w:rsidP="004C4E10">
      <w:r>
        <w:t>Only about half of patients with T2DM achieve glycaemic control as per treatment guidelines despite the availability of a broad array of AHAs. Furthermore, while new classes of AHA medications have been introduced over the last decade, the percentage of patients reaching glycaemic targets has not improved.</w:t>
      </w:r>
      <w:r w:rsidR="00B51DF2">
        <w:rPr>
          <w:rStyle w:val="FootnoteReference"/>
        </w:rPr>
        <w:footnoteReference w:id="26"/>
      </w:r>
    </w:p>
    <w:p w14:paraId="10A1F723" w14:textId="5E9D55D2" w:rsidR="004C4E10" w:rsidRDefault="004C4E10" w:rsidP="004C4E10">
      <w:r>
        <w:t xml:space="preserve">Some of the factors contributing to the low attainment of </w:t>
      </w:r>
      <w:r w:rsidR="003F2DE3">
        <w:t>Hb</w:t>
      </w:r>
      <w:r w:rsidR="00A04B32">
        <w:t>A1c</w:t>
      </w:r>
      <w:r>
        <w:t xml:space="preserve"> goals are (1) patients with T2DM exhibit declining </w:t>
      </w:r>
      <w:r w:rsidR="00B51DF2">
        <w:t>beta</w:t>
      </w:r>
      <w:r>
        <w:t xml:space="preserve">-cell function, which influences disease progression and leads to elevated </w:t>
      </w:r>
      <w:r w:rsidR="003F2DE3">
        <w:t>Hb</w:t>
      </w:r>
      <w:r w:rsidR="00A04B32">
        <w:t>A1c</w:t>
      </w:r>
      <w:r>
        <w:t xml:space="preserve"> levels over time; (2) increased body weight leads to worsening insulin resistance; and (3) several classes of anti-hyperglycaemic medications are associated with adverse reactions, including weight gain (which may further worsen underlying insulin resistance), hypoglycaemia, oedema or gastrointestinal effects, which often limit their use, (4) patient non-compliance.</w:t>
      </w:r>
    </w:p>
    <w:p w14:paraId="3092BB5A" w14:textId="509CA3B6" w:rsidR="00BE2C72" w:rsidRDefault="004C4E10" w:rsidP="004C4E10">
      <w:r>
        <w:t>The SGLT2 inhibitors are a new class of AHAs for T2DM therapy that when used as monotherapy or in combination with other AHAs are shown to improve glycaemic control, reduce body weight and lower blood pressure and also have tolerable safety profiles.</w:t>
      </w:r>
      <w:r w:rsidR="00B51DF2">
        <w:t xml:space="preserve"> </w:t>
      </w:r>
      <w:r>
        <w:t>SGLT2 inhibitors have low rates of hypoglycaemia when used as monotherapy or in combinations with agents not associated with hypoglycaemia.</w:t>
      </w:r>
      <w:r w:rsidR="00A90E1B">
        <w:rPr>
          <w:rStyle w:val="FootnoteReference"/>
        </w:rPr>
        <w:footnoteReference w:id="27"/>
      </w:r>
      <w:r>
        <w:t xml:space="preserve"> Due to the insulin</w:t>
      </w:r>
      <w:r w:rsidR="0009659F">
        <w:t xml:space="preserve"> </w:t>
      </w:r>
      <w:r>
        <w:t xml:space="preserve">independent mechanism of action, SGLT2 inhibitors may also provide durable glycaemic efficacy. Data from the </w:t>
      </w:r>
      <w:r w:rsidR="003209C3">
        <w:t>cardiovascular</w:t>
      </w:r>
      <w:r>
        <w:t xml:space="preserve"> outcome trial (CVOT) with the SGLT2 inhibitor empagliflozin</w:t>
      </w:r>
      <w:r w:rsidR="005F4198">
        <w:t>;</w:t>
      </w:r>
      <w:r w:rsidR="00A90E1B">
        <w:rPr>
          <w:rStyle w:val="FootnoteReference"/>
        </w:rPr>
        <w:footnoteReference w:id="28"/>
      </w:r>
      <w:r>
        <w:t xml:space="preserve"> demonstrated a significant reduction in major adverse </w:t>
      </w:r>
      <w:r w:rsidR="003209C3">
        <w:t>cardiovascular (</w:t>
      </w:r>
      <w:r>
        <w:t>CV</w:t>
      </w:r>
      <w:r w:rsidR="003209C3">
        <w:t>)</w:t>
      </w:r>
      <w:r>
        <w:t xml:space="preserve"> events (MACE), as well as significant reductions in CV death and hospitalisation for worsening heart failure.</w:t>
      </w:r>
      <w:r w:rsidR="00A90E1B">
        <w:rPr>
          <w:rStyle w:val="FootnoteReference"/>
        </w:rPr>
        <w:footnoteReference w:id="29"/>
      </w:r>
    </w:p>
    <w:p w14:paraId="082A4A09" w14:textId="77777777" w:rsidR="004C4E10" w:rsidRDefault="004C4E10" w:rsidP="004C4E10">
      <w:pPr>
        <w:pStyle w:val="Heading4"/>
      </w:pPr>
      <w:r>
        <w:lastRenderedPageBreak/>
        <w:t>Scope of the clinical dossier</w:t>
      </w:r>
    </w:p>
    <w:p w14:paraId="5966E2AE" w14:textId="4C21D435" w:rsidR="004C4E10" w:rsidRDefault="004C4E10" w:rsidP="004C4E10">
      <w:r>
        <w:t xml:space="preserve">The ertugliflozin clinical development program is intended to support the approval of ertugliflozin as a stand-alone product, as well as the ertugliflozin/metformin and ertugliflozin/sitagliptin FDCs, and consists of 29 </w:t>
      </w:r>
      <w:r w:rsidR="00B51DF2">
        <w:t>Phase I</w:t>
      </w:r>
      <w:r>
        <w:t xml:space="preserve"> studies, 2 </w:t>
      </w:r>
      <w:r w:rsidR="00B51DF2">
        <w:t>Phase II</w:t>
      </w:r>
      <w:r>
        <w:t xml:space="preserve"> studies and 9</w:t>
      </w:r>
      <w:r w:rsidR="009676E2">
        <w:t> </w:t>
      </w:r>
      <w:r w:rsidR="00B51DF2">
        <w:t>Phase III</w:t>
      </w:r>
      <w:r>
        <w:t xml:space="preserve"> studies.</w:t>
      </w:r>
    </w:p>
    <w:p w14:paraId="5B131BE1" w14:textId="399E039A" w:rsidR="004C4E10" w:rsidRDefault="00A90E1B" w:rsidP="004C4E10">
      <w:pPr>
        <w:pStyle w:val="Heading5"/>
      </w:pPr>
      <w:r>
        <w:t xml:space="preserve">Clinical </w:t>
      </w:r>
      <w:r w:rsidR="0091712B">
        <w:t>p</w:t>
      </w:r>
      <w:r>
        <w:t>harmacology</w:t>
      </w:r>
    </w:p>
    <w:p w14:paraId="5011AF23" w14:textId="77777777" w:rsidR="009676E2" w:rsidRDefault="009676E2" w:rsidP="009676E2">
      <w:r>
        <w:t>There are 24 studies related to the pharmacokinetics (PK)/pharmacodynamics (PD) of ertugliflozin. Of these, 19 contain PK data and 10 contain data related to the PDs of ertugliflozin. One of the dedicated PK studies, Study PMAR-EQDD-B152a-DP4-403, represented a population PK (popPK) analysis, whereas 3 of the PD studies (Studies PMAR-EQDD-B152c-DP4-444; PMAR-EQDD-B152a-DP4-407 and ASR-EQDD-B152a-DP3-253), represented either population PD or dose-response analyses. All Phase I studies in support of this submission are complete.</w:t>
      </w:r>
    </w:p>
    <w:p w14:paraId="2823ACB0" w14:textId="77777777" w:rsidR="004C4E10" w:rsidRDefault="004C4E10" w:rsidP="004C4E10">
      <w:pPr>
        <w:pStyle w:val="Heading5"/>
      </w:pPr>
      <w:r>
        <w:t>Efficacy and safety</w:t>
      </w:r>
    </w:p>
    <w:p w14:paraId="7BA49F38" w14:textId="6C1282B1" w:rsidR="00A90E1B" w:rsidRDefault="004C4E10" w:rsidP="00A90E1B">
      <w:pPr>
        <w:pStyle w:val="Heading6"/>
      </w:pPr>
      <w:r>
        <w:t xml:space="preserve">Pivotal </w:t>
      </w:r>
      <w:r w:rsidR="0091712B">
        <w:t>p</w:t>
      </w:r>
      <w:r w:rsidR="00B51DF2">
        <w:t>hase III</w:t>
      </w:r>
      <w:r>
        <w:t xml:space="preserve"> studies</w:t>
      </w:r>
    </w:p>
    <w:p w14:paraId="757D2BE4" w14:textId="77777777" w:rsidR="004C4E10" w:rsidRDefault="004C4E10" w:rsidP="004C4E10">
      <w:r>
        <w:t xml:space="preserve">One monotherapy, 5 combination therapy and 1 </w:t>
      </w:r>
      <w:r w:rsidR="00B51DF2">
        <w:t>Phase III</w:t>
      </w:r>
      <w:r>
        <w:t xml:space="preserve"> study in patients with moderate renal impairment (see table below).</w:t>
      </w:r>
    </w:p>
    <w:p w14:paraId="5E09B01B" w14:textId="77777777" w:rsidR="004C4E10" w:rsidRDefault="00BE49B8" w:rsidP="00BE49B8">
      <w:pPr>
        <w:pStyle w:val="TableTitle"/>
      </w:pPr>
      <w:r>
        <w:t xml:space="preserve">Table </w:t>
      </w:r>
      <w:r w:rsidR="00E55ACA">
        <w:t>17</w:t>
      </w:r>
      <w:r>
        <w:t>:</w:t>
      </w:r>
      <w:r w:rsidR="00347FCC">
        <w:t xml:space="preserve"> </w:t>
      </w:r>
      <w:r w:rsidR="004C4E10">
        <w:t xml:space="preserve">Overview of </w:t>
      </w:r>
      <w:r w:rsidR="00B51DF2">
        <w:t>Phase III</w:t>
      </w:r>
      <w:r w:rsidR="004C4E10">
        <w:t xml:space="preserve"> studies contributing to efficacy</w:t>
      </w:r>
    </w:p>
    <w:p w14:paraId="34B5D367" w14:textId="77777777" w:rsidR="00BE49B8" w:rsidRDefault="00BE49B8" w:rsidP="00A04B32">
      <w:r>
        <w:rPr>
          <w:noProof/>
          <w:lang w:eastAsia="en-AU"/>
        </w:rPr>
        <w:drawing>
          <wp:inline distT="0" distB="0" distL="0" distR="0" wp14:anchorId="70518EB2" wp14:editId="03DC3BAD">
            <wp:extent cx="5400040" cy="3319834"/>
            <wp:effectExtent l="19050" t="19050" r="10160" b="13970"/>
            <wp:docPr id="10" name="Picture 10" descr="Overview of Phase III studies contributing to effica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lum bright="-20000" contrast="40000"/>
                      <a:extLst>
                        <a:ext uri="{28A0092B-C50C-407E-A947-70E740481C1C}">
                          <a14:useLocalDpi xmlns:a14="http://schemas.microsoft.com/office/drawing/2010/main" val="0"/>
                        </a:ext>
                      </a:extLst>
                    </a:blip>
                    <a:srcRect/>
                    <a:stretch>
                      <a:fillRect/>
                    </a:stretch>
                  </pic:blipFill>
                  <pic:spPr bwMode="auto">
                    <a:xfrm>
                      <a:off x="0" y="0"/>
                      <a:ext cx="5400040" cy="3319834"/>
                    </a:xfrm>
                    <a:prstGeom prst="rect">
                      <a:avLst/>
                    </a:prstGeom>
                    <a:noFill/>
                    <a:ln w="12700">
                      <a:solidFill>
                        <a:schemeClr val="tx1"/>
                      </a:solidFill>
                    </a:ln>
                  </pic:spPr>
                </pic:pic>
              </a:graphicData>
            </a:graphic>
          </wp:inline>
        </w:drawing>
      </w:r>
    </w:p>
    <w:p w14:paraId="3E7BD6DB" w14:textId="77777777" w:rsidR="004C4E10" w:rsidRDefault="004C4E10" w:rsidP="004C4E10">
      <w:pPr>
        <w:pStyle w:val="Heading5"/>
      </w:pPr>
      <w:r>
        <w:t>Other studie</w:t>
      </w:r>
      <w:r w:rsidR="00A80F43">
        <w:t>s</w:t>
      </w:r>
    </w:p>
    <w:p w14:paraId="2FEE717E" w14:textId="77777777" w:rsidR="00BE49B8" w:rsidRDefault="00B51DF2" w:rsidP="00BE49B8">
      <w:pPr>
        <w:pStyle w:val="Heading6"/>
      </w:pPr>
      <w:r>
        <w:t>Phase II</w:t>
      </w:r>
      <w:r w:rsidR="004C4E10">
        <w:t xml:space="preserve"> dose-finding studies</w:t>
      </w:r>
    </w:p>
    <w:p w14:paraId="7927AA26" w14:textId="77777777" w:rsidR="009676E2" w:rsidRDefault="009676E2" w:rsidP="009676E2">
      <w:r>
        <w:t>Phase II dose-finding studies P042/1004 and P016/1006 were submitted.</w:t>
      </w:r>
    </w:p>
    <w:p w14:paraId="4C45CF87" w14:textId="1D3F936A" w:rsidR="009676E2" w:rsidRDefault="009676E2" w:rsidP="004C4E10">
      <w:r>
        <w:t xml:space="preserve">In addition, an integrated summary of efficacy and safety, and Phase I and II Safety </w:t>
      </w:r>
      <w:proofErr w:type="gramStart"/>
      <w:r>
        <w:t>analyses,</w:t>
      </w:r>
      <w:proofErr w:type="gramEnd"/>
      <w:r>
        <w:t xml:space="preserve"> were also submitted.</w:t>
      </w:r>
    </w:p>
    <w:p w14:paraId="1370D07F" w14:textId="2D37512D" w:rsidR="004C4E10" w:rsidRDefault="004C4E10" w:rsidP="004C4E10">
      <w:r>
        <w:t xml:space="preserve">The </w:t>
      </w:r>
      <w:r w:rsidR="00B51DF2">
        <w:t>Phase III</w:t>
      </w:r>
      <w:r>
        <w:t xml:space="preserve"> studies investigated ertugliflozin as monotherapy or in combination with </w:t>
      </w:r>
      <w:r w:rsidRPr="00C65C63">
        <w:t xml:space="preserve">other AHAs across a broad and diverse population of subjects with T2DM. However, recruitment in 2 of the 9 </w:t>
      </w:r>
      <w:r w:rsidR="00B51DF2" w:rsidRPr="00C65C63">
        <w:t>Phase III</w:t>
      </w:r>
      <w:r w:rsidRPr="00C65C63">
        <w:t xml:space="preserve"> Studies [a CVOT study (P004/1021) and an Asia Pacific regional study (P012/1045)] are ongoing and limited (CVOT) or no data (Asia Pacific) </w:t>
      </w:r>
      <w:r w:rsidRPr="00C65C63">
        <w:lastRenderedPageBreak/>
        <w:t>from these studies are currently available. These studies will remain blinded until its completion according to agreement with the FDA and the EMA. Neither the detailed</w:t>
      </w:r>
      <w:r>
        <w:t xml:space="preserve"> results of the CV meta-analysis report nor any other results from the CVOT study have been included in this submission. The CVOT study is estimated to complete in 2019, with the exact timing dependent on the accrual of CV events.</w:t>
      </w:r>
    </w:p>
    <w:p w14:paraId="69FB40D2" w14:textId="77777777" w:rsidR="004C4E10" w:rsidRDefault="004C4E10" w:rsidP="004C4E10">
      <w:pPr>
        <w:pStyle w:val="Heading4"/>
      </w:pPr>
      <w:r>
        <w:t>Paediatric data</w:t>
      </w:r>
    </w:p>
    <w:p w14:paraId="66F2AA54" w14:textId="24415B9B" w:rsidR="004C4E10" w:rsidRDefault="004C4E10" w:rsidP="004C4E10">
      <w:r>
        <w:t xml:space="preserve">There is no paediatric data in the current submission. </w:t>
      </w:r>
      <w:r w:rsidR="00BE49B8">
        <w:t>T</w:t>
      </w:r>
      <w:r>
        <w:t>he sponsor ha</w:t>
      </w:r>
      <w:r w:rsidR="00BE49B8">
        <w:t>s</w:t>
      </w:r>
      <w:r>
        <w:t xml:space="preserve"> submitted a PIP (Paediatric investigation plan) in the EU and the date on which the sponsors are first required to submit a report of a study conducted as part of the PIP is Sept</w:t>
      </w:r>
      <w:r w:rsidR="00BE49B8">
        <w:t>ember</w:t>
      </w:r>
      <w:r>
        <w:t xml:space="preserve"> 2026.</w:t>
      </w:r>
    </w:p>
    <w:p w14:paraId="067D43E4" w14:textId="77777777" w:rsidR="004C4E10" w:rsidRDefault="004C4E10" w:rsidP="004C4E10">
      <w:pPr>
        <w:pStyle w:val="Heading4"/>
      </w:pPr>
      <w:r>
        <w:t>Good clinical practice</w:t>
      </w:r>
    </w:p>
    <w:p w14:paraId="0EA24079" w14:textId="77777777" w:rsidR="004C4E10" w:rsidRDefault="004C4E10" w:rsidP="004C4E10">
      <w:r>
        <w:t>Studies comprising the ertugliflozin clinical development program were conducted in accordance with Guidelines for Good Clinical Practice (GCP) and the Declaration of Helsinki.</w:t>
      </w:r>
    </w:p>
    <w:p w14:paraId="01900FBE" w14:textId="77777777" w:rsidR="00EE7154" w:rsidRDefault="00EE7154" w:rsidP="00E700A6">
      <w:pPr>
        <w:pStyle w:val="Heading4"/>
      </w:pPr>
      <w:r>
        <w:t>Pharmacokinetics</w:t>
      </w:r>
    </w:p>
    <w:p w14:paraId="0EB89ED4" w14:textId="77777777" w:rsidR="004C4E10" w:rsidRDefault="004C4E10" w:rsidP="00E700A6">
      <w:pPr>
        <w:pStyle w:val="Heading5"/>
      </w:pPr>
      <w:r>
        <w:t>Studies providing pharmacokinetic information</w:t>
      </w:r>
    </w:p>
    <w:p w14:paraId="5BB1E456" w14:textId="77777777" w:rsidR="00BE49B8" w:rsidRDefault="00BE49B8" w:rsidP="00BE49B8">
      <w:r>
        <w:t>The following table summarises the PK studies submitted.</w:t>
      </w:r>
    </w:p>
    <w:p w14:paraId="52919ADC" w14:textId="77777777" w:rsidR="004C4E10" w:rsidRDefault="004C4E10" w:rsidP="00EE7154">
      <w:pPr>
        <w:pStyle w:val="TableTitle"/>
      </w:pPr>
      <w:r>
        <w:t>Table 1</w:t>
      </w:r>
      <w:r w:rsidR="00E55ACA">
        <w:t>8</w:t>
      </w:r>
      <w:r w:rsidR="0068452D">
        <w:t xml:space="preserve">: </w:t>
      </w:r>
      <w:r>
        <w:t>Su</w:t>
      </w:r>
      <w:r w:rsidR="00A80F43">
        <w:t>bmitted pharmacokinetic studies</w:t>
      </w:r>
    </w:p>
    <w:tbl>
      <w:tblPr>
        <w:tblStyle w:val="TableTGAblue"/>
        <w:tblW w:w="8613" w:type="dxa"/>
        <w:tblLayout w:type="fixed"/>
        <w:tblLook w:val="04A0" w:firstRow="1" w:lastRow="0" w:firstColumn="1" w:lastColumn="0" w:noHBand="0" w:noVBand="1"/>
      </w:tblPr>
      <w:tblGrid>
        <w:gridCol w:w="1668"/>
        <w:gridCol w:w="1701"/>
        <w:gridCol w:w="1559"/>
        <w:gridCol w:w="3685"/>
      </w:tblGrid>
      <w:tr w:rsidR="00BE49B8" w:rsidRPr="00BE49B8" w14:paraId="116243E3" w14:textId="77777777" w:rsidTr="00BE49B8">
        <w:trPr>
          <w:cnfStyle w:val="100000000000" w:firstRow="1" w:lastRow="0" w:firstColumn="0" w:lastColumn="0" w:oddVBand="0" w:evenVBand="0" w:oddHBand="0" w:evenHBand="0" w:firstRowFirstColumn="0" w:firstRowLastColumn="0" w:lastRowFirstColumn="0" w:lastRowLastColumn="0"/>
        </w:trPr>
        <w:tc>
          <w:tcPr>
            <w:tcW w:w="1668" w:type="dxa"/>
          </w:tcPr>
          <w:p w14:paraId="36EEC376" w14:textId="77777777" w:rsidR="00BE49B8" w:rsidRPr="00BE49B8" w:rsidRDefault="00BE49B8" w:rsidP="009676E2">
            <w:pPr>
              <w:ind w:left="0" w:right="0"/>
              <w:rPr>
                <w:b w:val="0"/>
                <w:sz w:val="18"/>
                <w:szCs w:val="18"/>
              </w:rPr>
            </w:pPr>
            <w:r w:rsidRPr="00BE49B8">
              <w:rPr>
                <w:sz w:val="18"/>
                <w:szCs w:val="18"/>
              </w:rPr>
              <w:t>PK topic</w:t>
            </w:r>
          </w:p>
        </w:tc>
        <w:tc>
          <w:tcPr>
            <w:tcW w:w="1701" w:type="dxa"/>
          </w:tcPr>
          <w:p w14:paraId="00CD6208" w14:textId="77777777" w:rsidR="00BE49B8" w:rsidRPr="00BE49B8" w:rsidRDefault="00BE49B8" w:rsidP="009676E2">
            <w:pPr>
              <w:ind w:left="0" w:right="0"/>
              <w:rPr>
                <w:b w:val="0"/>
                <w:sz w:val="18"/>
                <w:szCs w:val="18"/>
              </w:rPr>
            </w:pPr>
            <w:r w:rsidRPr="00BE49B8">
              <w:rPr>
                <w:sz w:val="18"/>
                <w:szCs w:val="18"/>
              </w:rPr>
              <w:t>Subtopic</w:t>
            </w:r>
          </w:p>
        </w:tc>
        <w:tc>
          <w:tcPr>
            <w:tcW w:w="1559" w:type="dxa"/>
          </w:tcPr>
          <w:p w14:paraId="6236906A" w14:textId="77777777" w:rsidR="00BE49B8" w:rsidRPr="00BE49B8" w:rsidRDefault="00BE49B8" w:rsidP="009676E2">
            <w:pPr>
              <w:ind w:left="0" w:right="0"/>
              <w:rPr>
                <w:b w:val="0"/>
                <w:sz w:val="18"/>
                <w:szCs w:val="18"/>
              </w:rPr>
            </w:pPr>
            <w:r w:rsidRPr="00BE49B8">
              <w:rPr>
                <w:sz w:val="18"/>
                <w:szCs w:val="18"/>
              </w:rPr>
              <w:t>Study ID</w:t>
            </w:r>
          </w:p>
        </w:tc>
        <w:tc>
          <w:tcPr>
            <w:tcW w:w="3685" w:type="dxa"/>
          </w:tcPr>
          <w:p w14:paraId="624F2599" w14:textId="77777777" w:rsidR="00BE49B8" w:rsidRPr="00BE49B8" w:rsidRDefault="00BE49B8" w:rsidP="009676E2">
            <w:pPr>
              <w:ind w:left="0" w:right="0"/>
              <w:rPr>
                <w:b w:val="0"/>
                <w:sz w:val="18"/>
                <w:szCs w:val="18"/>
              </w:rPr>
            </w:pPr>
            <w:r w:rsidRPr="00BE49B8">
              <w:rPr>
                <w:sz w:val="18"/>
                <w:szCs w:val="18"/>
              </w:rPr>
              <w:t>*</w:t>
            </w:r>
          </w:p>
        </w:tc>
      </w:tr>
      <w:tr w:rsidR="00BE49B8" w:rsidRPr="00BE49B8" w14:paraId="24B1F60C" w14:textId="77777777" w:rsidTr="00BE49B8">
        <w:tc>
          <w:tcPr>
            <w:tcW w:w="1668" w:type="dxa"/>
            <w:vMerge w:val="restart"/>
          </w:tcPr>
          <w:p w14:paraId="01D32520" w14:textId="77777777" w:rsidR="00BE49B8" w:rsidRPr="00BE49B8" w:rsidRDefault="00BE49B8" w:rsidP="009676E2">
            <w:pPr>
              <w:ind w:left="0" w:right="0"/>
              <w:rPr>
                <w:b/>
                <w:sz w:val="18"/>
                <w:szCs w:val="18"/>
              </w:rPr>
            </w:pPr>
            <w:r w:rsidRPr="00BE49B8">
              <w:rPr>
                <w:b/>
                <w:sz w:val="18"/>
                <w:szCs w:val="18"/>
              </w:rPr>
              <w:t>PK in healthy adults</w:t>
            </w:r>
          </w:p>
        </w:tc>
        <w:tc>
          <w:tcPr>
            <w:tcW w:w="1701" w:type="dxa"/>
          </w:tcPr>
          <w:p w14:paraId="1C43DEF2" w14:textId="77777777" w:rsidR="00BE49B8" w:rsidRPr="00BE49B8" w:rsidRDefault="00BE49B8" w:rsidP="009676E2">
            <w:pPr>
              <w:ind w:left="0" w:right="0"/>
              <w:rPr>
                <w:sz w:val="18"/>
                <w:szCs w:val="18"/>
              </w:rPr>
            </w:pPr>
            <w:r w:rsidRPr="00BE49B8">
              <w:rPr>
                <w:sz w:val="18"/>
                <w:szCs w:val="18"/>
              </w:rPr>
              <w:t>BE</w:t>
            </w:r>
          </w:p>
        </w:tc>
        <w:tc>
          <w:tcPr>
            <w:tcW w:w="1559" w:type="dxa"/>
          </w:tcPr>
          <w:p w14:paraId="72CCA4BB" w14:textId="77777777" w:rsidR="00BE49B8" w:rsidRPr="00BE49B8" w:rsidRDefault="00BE49B8" w:rsidP="009676E2">
            <w:pPr>
              <w:ind w:left="0" w:right="0"/>
              <w:rPr>
                <w:sz w:val="18"/>
                <w:szCs w:val="18"/>
              </w:rPr>
            </w:pPr>
            <w:r w:rsidRPr="00BE49B8">
              <w:rPr>
                <w:bCs/>
                <w:color w:val="000000"/>
                <w:sz w:val="18"/>
                <w:szCs w:val="18"/>
              </w:rPr>
              <w:t>P023/1037</w:t>
            </w:r>
          </w:p>
        </w:tc>
        <w:tc>
          <w:tcPr>
            <w:tcW w:w="3685" w:type="dxa"/>
          </w:tcPr>
          <w:p w14:paraId="2FD8A155" w14:textId="30C6405B" w:rsidR="00BE49B8" w:rsidRPr="00BE49B8" w:rsidRDefault="00BE49B8" w:rsidP="009676E2">
            <w:pPr>
              <w:ind w:left="0" w:right="0"/>
              <w:rPr>
                <w:sz w:val="18"/>
                <w:szCs w:val="18"/>
                <w:u w:val="single"/>
              </w:rPr>
            </w:pPr>
            <w:r w:rsidRPr="00BE49B8">
              <w:rPr>
                <w:sz w:val="18"/>
                <w:szCs w:val="18"/>
                <w:lang w:eastAsia="en-US"/>
              </w:rPr>
              <w:t>BE of the ertugliflozin 15</w:t>
            </w:r>
            <w:r w:rsidR="00E87327">
              <w:rPr>
                <w:sz w:val="18"/>
                <w:szCs w:val="18"/>
                <w:lang w:eastAsia="en-US"/>
              </w:rPr>
              <w:t xml:space="preserve"> </w:t>
            </w:r>
            <w:r w:rsidR="006D7D02">
              <w:rPr>
                <w:sz w:val="18"/>
                <w:szCs w:val="18"/>
                <w:lang w:eastAsia="en-US"/>
              </w:rPr>
              <w:t>mg</w:t>
            </w:r>
            <w:r w:rsidRPr="00BE49B8">
              <w:rPr>
                <w:sz w:val="18"/>
                <w:szCs w:val="18"/>
                <w:lang w:eastAsia="en-US"/>
              </w:rPr>
              <w:t xml:space="preserve"> commercial image tablet and the 15</w:t>
            </w:r>
            <w:r w:rsidR="00E87327">
              <w:rPr>
                <w:sz w:val="18"/>
                <w:szCs w:val="18"/>
                <w:lang w:eastAsia="en-US"/>
              </w:rPr>
              <w:t xml:space="preserve"> </w:t>
            </w:r>
            <w:r w:rsidR="006D7D02">
              <w:rPr>
                <w:sz w:val="18"/>
                <w:szCs w:val="18"/>
                <w:lang w:eastAsia="en-US"/>
              </w:rPr>
              <w:t>mg</w:t>
            </w:r>
            <w:r w:rsidRPr="00BE49B8">
              <w:rPr>
                <w:sz w:val="18"/>
                <w:szCs w:val="18"/>
                <w:lang w:eastAsia="en-US"/>
              </w:rPr>
              <w:t xml:space="preserve"> ertugliflozin dose studied in Phase III</w:t>
            </w:r>
          </w:p>
        </w:tc>
      </w:tr>
      <w:tr w:rsidR="00BE49B8" w:rsidRPr="00BE49B8" w14:paraId="3D93D779" w14:textId="77777777" w:rsidTr="00BE49B8">
        <w:tc>
          <w:tcPr>
            <w:tcW w:w="1668" w:type="dxa"/>
            <w:vMerge/>
          </w:tcPr>
          <w:p w14:paraId="5A38FEBA" w14:textId="77777777" w:rsidR="00BE49B8" w:rsidRPr="00BE49B8" w:rsidRDefault="00BE49B8" w:rsidP="009676E2">
            <w:pPr>
              <w:ind w:left="0" w:right="0"/>
              <w:rPr>
                <w:b/>
                <w:sz w:val="18"/>
                <w:szCs w:val="18"/>
              </w:rPr>
            </w:pPr>
          </w:p>
        </w:tc>
        <w:tc>
          <w:tcPr>
            <w:tcW w:w="1701" w:type="dxa"/>
          </w:tcPr>
          <w:p w14:paraId="579113A4" w14:textId="77777777" w:rsidR="00BE49B8" w:rsidRPr="00BE49B8" w:rsidRDefault="00BE49B8" w:rsidP="009676E2">
            <w:pPr>
              <w:ind w:left="0" w:right="0"/>
              <w:rPr>
                <w:sz w:val="18"/>
                <w:szCs w:val="18"/>
              </w:rPr>
            </w:pPr>
            <w:r w:rsidRPr="00BE49B8">
              <w:rPr>
                <w:sz w:val="18"/>
                <w:szCs w:val="18"/>
              </w:rPr>
              <w:t>BA</w:t>
            </w:r>
          </w:p>
        </w:tc>
        <w:tc>
          <w:tcPr>
            <w:tcW w:w="1559" w:type="dxa"/>
          </w:tcPr>
          <w:p w14:paraId="73AB4DE5" w14:textId="77777777" w:rsidR="00BE49B8" w:rsidRPr="00BE49B8" w:rsidRDefault="00BE49B8" w:rsidP="009676E2">
            <w:pPr>
              <w:ind w:left="0" w:right="0"/>
              <w:rPr>
                <w:sz w:val="18"/>
                <w:szCs w:val="18"/>
              </w:rPr>
            </w:pPr>
            <w:r w:rsidRPr="00BE49B8">
              <w:rPr>
                <w:sz w:val="18"/>
                <w:szCs w:val="18"/>
              </w:rPr>
              <w:t>P</w:t>
            </w:r>
            <w:r w:rsidRPr="00BE49B8">
              <w:rPr>
                <w:rFonts w:eastAsia="TimesNewRoman"/>
                <w:sz w:val="18"/>
                <w:szCs w:val="18"/>
              </w:rPr>
              <w:t>020/1043</w:t>
            </w:r>
          </w:p>
        </w:tc>
        <w:tc>
          <w:tcPr>
            <w:tcW w:w="3685" w:type="dxa"/>
          </w:tcPr>
          <w:p w14:paraId="0DD849CC" w14:textId="77777777" w:rsidR="00BE49B8" w:rsidRPr="00BE49B8" w:rsidRDefault="00BE49B8" w:rsidP="009676E2">
            <w:pPr>
              <w:ind w:left="0" w:right="0"/>
              <w:rPr>
                <w:sz w:val="18"/>
                <w:szCs w:val="18"/>
              </w:rPr>
            </w:pPr>
            <w:r w:rsidRPr="00BE49B8">
              <w:rPr>
                <w:sz w:val="18"/>
                <w:szCs w:val="18"/>
              </w:rPr>
              <w:t xml:space="preserve">Absolute BA </w:t>
            </w:r>
            <w:r w:rsidRPr="00BE49B8">
              <w:rPr>
                <w:rFonts w:eastAsia="TimesNewRoman"/>
                <w:sz w:val="18"/>
                <w:szCs w:val="18"/>
                <w:lang w:eastAsia="en-US"/>
              </w:rPr>
              <w:t>of ertugliflozin</w:t>
            </w:r>
          </w:p>
        </w:tc>
      </w:tr>
      <w:tr w:rsidR="00BE49B8" w:rsidRPr="00BE49B8" w14:paraId="42E6E78B" w14:textId="77777777" w:rsidTr="00BE49B8">
        <w:tc>
          <w:tcPr>
            <w:tcW w:w="1668" w:type="dxa"/>
            <w:vMerge/>
          </w:tcPr>
          <w:p w14:paraId="6BBE17EB" w14:textId="77777777" w:rsidR="00BE49B8" w:rsidRPr="00BE49B8" w:rsidRDefault="00BE49B8" w:rsidP="009676E2">
            <w:pPr>
              <w:ind w:left="0" w:right="0"/>
              <w:rPr>
                <w:b/>
                <w:sz w:val="18"/>
                <w:szCs w:val="18"/>
              </w:rPr>
            </w:pPr>
          </w:p>
        </w:tc>
        <w:tc>
          <w:tcPr>
            <w:tcW w:w="1701" w:type="dxa"/>
          </w:tcPr>
          <w:p w14:paraId="76A87FD7" w14:textId="77777777" w:rsidR="00BE49B8" w:rsidRPr="00BE49B8" w:rsidRDefault="00BE49B8" w:rsidP="009676E2">
            <w:pPr>
              <w:ind w:left="0" w:right="0"/>
              <w:rPr>
                <w:sz w:val="18"/>
                <w:szCs w:val="18"/>
              </w:rPr>
            </w:pPr>
            <w:r w:rsidRPr="00BE49B8">
              <w:rPr>
                <w:sz w:val="18"/>
                <w:szCs w:val="18"/>
              </w:rPr>
              <w:t>BA/BE</w:t>
            </w:r>
          </w:p>
        </w:tc>
        <w:tc>
          <w:tcPr>
            <w:tcW w:w="1559" w:type="dxa"/>
          </w:tcPr>
          <w:p w14:paraId="393D437B" w14:textId="77777777" w:rsidR="00BE49B8" w:rsidRPr="00BE49B8" w:rsidRDefault="00BE49B8" w:rsidP="009676E2">
            <w:pPr>
              <w:ind w:left="0" w:right="0"/>
              <w:rPr>
                <w:sz w:val="18"/>
                <w:szCs w:val="18"/>
              </w:rPr>
            </w:pPr>
            <w:r w:rsidRPr="00BE49B8">
              <w:rPr>
                <w:sz w:val="18"/>
                <w:szCs w:val="18"/>
              </w:rPr>
              <w:t>P011/1034</w:t>
            </w:r>
          </w:p>
        </w:tc>
        <w:tc>
          <w:tcPr>
            <w:tcW w:w="3685" w:type="dxa"/>
          </w:tcPr>
          <w:p w14:paraId="7E52A091" w14:textId="77777777" w:rsidR="00BE49B8" w:rsidRPr="00BE49B8" w:rsidRDefault="00BE49B8" w:rsidP="009676E2">
            <w:pPr>
              <w:ind w:left="0" w:right="0"/>
              <w:rPr>
                <w:sz w:val="18"/>
                <w:szCs w:val="18"/>
              </w:rPr>
            </w:pPr>
            <w:r w:rsidRPr="00BE49B8">
              <w:rPr>
                <w:rFonts w:eastAsia="TimesNewRoman"/>
                <w:sz w:val="18"/>
                <w:szCs w:val="18"/>
                <w:lang w:eastAsia="en-US"/>
              </w:rPr>
              <w:t>Relative BA of ertugliflozin when administered as a tablet containing amorphous form versus tablets containing co</w:t>
            </w:r>
            <w:r w:rsidR="00F14099">
              <w:rPr>
                <w:rFonts w:eastAsia="TimesNewRoman"/>
                <w:sz w:val="18"/>
                <w:szCs w:val="18"/>
                <w:lang w:eastAsia="en-US"/>
              </w:rPr>
              <w:t>-</w:t>
            </w:r>
            <w:r w:rsidRPr="00BE49B8">
              <w:rPr>
                <w:rFonts w:eastAsia="TimesNewRoman"/>
                <w:sz w:val="18"/>
                <w:szCs w:val="18"/>
                <w:lang w:eastAsia="en-US"/>
              </w:rPr>
              <w:t>crystal</w:t>
            </w:r>
          </w:p>
        </w:tc>
      </w:tr>
      <w:tr w:rsidR="00BE49B8" w:rsidRPr="00BE49B8" w14:paraId="0741FE7F" w14:textId="77777777" w:rsidTr="00BE49B8">
        <w:tc>
          <w:tcPr>
            <w:tcW w:w="1668" w:type="dxa"/>
            <w:vMerge/>
          </w:tcPr>
          <w:p w14:paraId="2F4D858E" w14:textId="77777777" w:rsidR="00BE49B8" w:rsidRPr="00BE49B8" w:rsidRDefault="00BE49B8" w:rsidP="009676E2">
            <w:pPr>
              <w:ind w:left="0" w:right="0"/>
              <w:rPr>
                <w:b/>
                <w:sz w:val="18"/>
                <w:szCs w:val="18"/>
              </w:rPr>
            </w:pPr>
          </w:p>
        </w:tc>
        <w:tc>
          <w:tcPr>
            <w:tcW w:w="1701" w:type="dxa"/>
          </w:tcPr>
          <w:p w14:paraId="4C096C0E" w14:textId="77777777" w:rsidR="00BE49B8" w:rsidRPr="00BE49B8" w:rsidRDefault="00BE49B8" w:rsidP="009676E2">
            <w:pPr>
              <w:ind w:left="0" w:right="0"/>
              <w:rPr>
                <w:sz w:val="18"/>
                <w:szCs w:val="18"/>
              </w:rPr>
            </w:pPr>
            <w:r w:rsidRPr="00BE49B8">
              <w:rPr>
                <w:sz w:val="18"/>
                <w:szCs w:val="18"/>
              </w:rPr>
              <w:t>Food</w:t>
            </w:r>
          </w:p>
        </w:tc>
        <w:tc>
          <w:tcPr>
            <w:tcW w:w="1559" w:type="dxa"/>
          </w:tcPr>
          <w:p w14:paraId="20833C44" w14:textId="77777777" w:rsidR="00BE49B8" w:rsidRPr="00BE49B8" w:rsidRDefault="00BE49B8" w:rsidP="009676E2">
            <w:pPr>
              <w:ind w:left="0" w:right="0"/>
              <w:rPr>
                <w:sz w:val="18"/>
                <w:szCs w:val="18"/>
              </w:rPr>
            </w:pPr>
            <w:r w:rsidRPr="00BE49B8">
              <w:rPr>
                <w:sz w:val="18"/>
                <w:szCs w:val="18"/>
              </w:rPr>
              <w:t>P024/</w:t>
            </w:r>
            <w:r w:rsidRPr="00BE49B8">
              <w:rPr>
                <w:rFonts w:eastAsia="TimesNewRoman"/>
                <w:sz w:val="18"/>
                <w:szCs w:val="18"/>
              </w:rPr>
              <w:t>1048</w:t>
            </w:r>
          </w:p>
        </w:tc>
        <w:tc>
          <w:tcPr>
            <w:tcW w:w="3685" w:type="dxa"/>
          </w:tcPr>
          <w:p w14:paraId="65ABB4BF" w14:textId="4BED8BEA" w:rsidR="00BE49B8" w:rsidRPr="00BE49B8" w:rsidRDefault="00BE49B8" w:rsidP="009676E2">
            <w:pPr>
              <w:ind w:left="0" w:right="0"/>
              <w:rPr>
                <w:sz w:val="18"/>
                <w:szCs w:val="18"/>
              </w:rPr>
            </w:pPr>
            <w:r w:rsidRPr="00BE49B8">
              <w:rPr>
                <w:rFonts w:eastAsia="TimesNewRoman"/>
                <w:sz w:val="18"/>
                <w:szCs w:val="18"/>
                <w:lang w:eastAsia="en-US"/>
              </w:rPr>
              <w:t>The effect of food on the PKs of ertugliflozin 15</w:t>
            </w:r>
            <w:r w:rsidR="00E87327">
              <w:rPr>
                <w:rFonts w:eastAsia="TimesNewRoman"/>
                <w:sz w:val="18"/>
                <w:szCs w:val="18"/>
                <w:lang w:eastAsia="en-US"/>
              </w:rPr>
              <w:t xml:space="preserve"> </w:t>
            </w:r>
            <w:r w:rsidR="006D7D02">
              <w:rPr>
                <w:rFonts w:eastAsia="TimesNewRoman"/>
                <w:sz w:val="18"/>
                <w:szCs w:val="18"/>
                <w:lang w:eastAsia="en-US"/>
              </w:rPr>
              <w:t>mg</w:t>
            </w:r>
            <w:r w:rsidRPr="00BE49B8">
              <w:rPr>
                <w:rFonts w:eastAsia="TimesNewRoman"/>
                <w:sz w:val="18"/>
                <w:szCs w:val="18"/>
                <w:lang w:eastAsia="en-US"/>
              </w:rPr>
              <w:t xml:space="preserve"> commercial image tablet.</w:t>
            </w:r>
          </w:p>
        </w:tc>
      </w:tr>
      <w:tr w:rsidR="00BE49B8" w:rsidRPr="00BE49B8" w14:paraId="1C94662A" w14:textId="77777777" w:rsidTr="00BE49B8">
        <w:tc>
          <w:tcPr>
            <w:tcW w:w="1668" w:type="dxa"/>
            <w:vMerge/>
          </w:tcPr>
          <w:p w14:paraId="09CD1253" w14:textId="77777777" w:rsidR="00BE49B8" w:rsidRPr="00BE49B8" w:rsidRDefault="00BE49B8" w:rsidP="009676E2">
            <w:pPr>
              <w:ind w:left="0" w:right="0"/>
              <w:rPr>
                <w:b/>
                <w:sz w:val="18"/>
                <w:szCs w:val="18"/>
              </w:rPr>
            </w:pPr>
          </w:p>
        </w:tc>
        <w:tc>
          <w:tcPr>
            <w:tcW w:w="1701" w:type="dxa"/>
            <w:vMerge w:val="restart"/>
          </w:tcPr>
          <w:p w14:paraId="1B44B8DF" w14:textId="77777777" w:rsidR="00BE49B8" w:rsidRPr="00BE49B8" w:rsidRDefault="00BE49B8" w:rsidP="009676E2">
            <w:pPr>
              <w:ind w:left="0" w:right="0"/>
              <w:rPr>
                <w:sz w:val="18"/>
                <w:szCs w:val="18"/>
              </w:rPr>
            </w:pPr>
            <w:r w:rsidRPr="00BE49B8">
              <w:rPr>
                <w:sz w:val="18"/>
                <w:szCs w:val="18"/>
              </w:rPr>
              <w:t>Escalating Single dose</w:t>
            </w:r>
          </w:p>
        </w:tc>
        <w:tc>
          <w:tcPr>
            <w:tcW w:w="1559" w:type="dxa"/>
          </w:tcPr>
          <w:p w14:paraId="3674F7C3" w14:textId="77777777" w:rsidR="00BE49B8" w:rsidRPr="00BE49B8" w:rsidRDefault="00BE49B8" w:rsidP="009676E2">
            <w:pPr>
              <w:ind w:left="0" w:right="0"/>
              <w:rPr>
                <w:sz w:val="18"/>
                <w:szCs w:val="18"/>
              </w:rPr>
            </w:pPr>
            <w:r w:rsidRPr="00BE49B8">
              <w:rPr>
                <w:bCs/>
                <w:color w:val="000000"/>
                <w:sz w:val="18"/>
                <w:szCs w:val="18"/>
              </w:rPr>
              <w:t>P036/1001</w:t>
            </w:r>
          </w:p>
        </w:tc>
        <w:tc>
          <w:tcPr>
            <w:tcW w:w="3685" w:type="dxa"/>
          </w:tcPr>
          <w:p w14:paraId="4051C8E2" w14:textId="24BAA30A" w:rsidR="00BE49B8" w:rsidRPr="00BE49B8" w:rsidRDefault="00BE49B8" w:rsidP="009676E2">
            <w:pPr>
              <w:ind w:left="0" w:right="0"/>
              <w:rPr>
                <w:sz w:val="18"/>
                <w:szCs w:val="18"/>
              </w:rPr>
            </w:pPr>
            <w:r w:rsidRPr="00BE49B8">
              <w:rPr>
                <w:rFonts w:eastAsia="TimesNewRoman"/>
                <w:sz w:val="18"/>
                <w:szCs w:val="18"/>
                <w:lang w:eastAsia="en-US"/>
              </w:rPr>
              <w:t>Ertugliflozin PKs following single oral doses ranging from 0.5 to 300</w:t>
            </w:r>
            <w:r w:rsidR="006D7D02">
              <w:rPr>
                <w:rFonts w:eastAsia="TimesNewRoman"/>
                <w:sz w:val="18"/>
                <w:szCs w:val="18"/>
                <w:lang w:eastAsia="en-US"/>
              </w:rPr>
              <w:t xml:space="preserve"> mg</w:t>
            </w:r>
          </w:p>
        </w:tc>
      </w:tr>
      <w:tr w:rsidR="00BE49B8" w:rsidRPr="00BE49B8" w14:paraId="2923745B" w14:textId="77777777" w:rsidTr="00BE49B8">
        <w:tc>
          <w:tcPr>
            <w:tcW w:w="1668" w:type="dxa"/>
            <w:vMerge/>
          </w:tcPr>
          <w:p w14:paraId="0420077E" w14:textId="77777777" w:rsidR="00BE49B8" w:rsidRPr="00BE49B8" w:rsidRDefault="00BE49B8" w:rsidP="009676E2">
            <w:pPr>
              <w:ind w:left="0" w:right="0"/>
              <w:rPr>
                <w:b/>
                <w:sz w:val="18"/>
                <w:szCs w:val="18"/>
              </w:rPr>
            </w:pPr>
          </w:p>
        </w:tc>
        <w:tc>
          <w:tcPr>
            <w:tcW w:w="1701" w:type="dxa"/>
            <w:vMerge/>
          </w:tcPr>
          <w:p w14:paraId="5BCC2305" w14:textId="77777777" w:rsidR="00BE49B8" w:rsidRPr="00BE49B8" w:rsidRDefault="00BE49B8" w:rsidP="009676E2">
            <w:pPr>
              <w:ind w:left="0" w:right="0"/>
              <w:rPr>
                <w:sz w:val="18"/>
                <w:szCs w:val="18"/>
              </w:rPr>
            </w:pPr>
          </w:p>
        </w:tc>
        <w:tc>
          <w:tcPr>
            <w:tcW w:w="1559" w:type="dxa"/>
          </w:tcPr>
          <w:p w14:paraId="41686423" w14:textId="77777777" w:rsidR="00BE49B8" w:rsidRPr="00BE49B8" w:rsidRDefault="00BE49B8" w:rsidP="009676E2">
            <w:pPr>
              <w:ind w:left="0" w:right="0"/>
              <w:rPr>
                <w:sz w:val="18"/>
                <w:szCs w:val="18"/>
              </w:rPr>
            </w:pPr>
            <w:r w:rsidRPr="00BE49B8">
              <w:rPr>
                <w:bCs/>
                <w:color w:val="000000"/>
                <w:sz w:val="18"/>
                <w:szCs w:val="18"/>
              </w:rPr>
              <w:t>P037/1002</w:t>
            </w:r>
          </w:p>
        </w:tc>
        <w:tc>
          <w:tcPr>
            <w:tcW w:w="3685" w:type="dxa"/>
          </w:tcPr>
          <w:p w14:paraId="5CD66D14" w14:textId="77777777" w:rsidR="00BE49B8" w:rsidRPr="00BE49B8" w:rsidRDefault="00BE49B8" w:rsidP="009676E2">
            <w:pPr>
              <w:ind w:left="0" w:right="0"/>
              <w:rPr>
                <w:sz w:val="18"/>
                <w:szCs w:val="18"/>
              </w:rPr>
            </w:pPr>
            <w:r w:rsidRPr="00BE49B8">
              <w:rPr>
                <w:rFonts w:eastAsia="TimesNewRoman"/>
                <w:sz w:val="18"/>
                <w:szCs w:val="18"/>
                <w:lang w:eastAsia="en-US"/>
              </w:rPr>
              <w:t>PKs of ertugliflozin and its metabolite M2</w:t>
            </w:r>
          </w:p>
        </w:tc>
      </w:tr>
      <w:tr w:rsidR="00BE49B8" w:rsidRPr="00BE49B8" w14:paraId="604E4331" w14:textId="77777777" w:rsidTr="00BE49B8">
        <w:tc>
          <w:tcPr>
            <w:tcW w:w="1668" w:type="dxa"/>
            <w:vMerge/>
          </w:tcPr>
          <w:p w14:paraId="5033839A" w14:textId="77777777" w:rsidR="00BE49B8" w:rsidRPr="00BE49B8" w:rsidRDefault="00BE49B8" w:rsidP="009676E2">
            <w:pPr>
              <w:ind w:left="0" w:right="0"/>
              <w:rPr>
                <w:b/>
                <w:sz w:val="18"/>
                <w:szCs w:val="18"/>
              </w:rPr>
            </w:pPr>
          </w:p>
        </w:tc>
        <w:tc>
          <w:tcPr>
            <w:tcW w:w="1701" w:type="dxa"/>
          </w:tcPr>
          <w:p w14:paraId="634C7BCB" w14:textId="77777777" w:rsidR="00BE49B8" w:rsidRPr="00BE49B8" w:rsidRDefault="00BE49B8" w:rsidP="009676E2">
            <w:pPr>
              <w:ind w:left="0" w:right="0"/>
              <w:rPr>
                <w:sz w:val="18"/>
                <w:szCs w:val="18"/>
              </w:rPr>
            </w:pPr>
            <w:r w:rsidRPr="00BE49B8">
              <w:rPr>
                <w:sz w:val="18"/>
                <w:szCs w:val="18"/>
              </w:rPr>
              <w:t>Mass balance</w:t>
            </w:r>
          </w:p>
        </w:tc>
        <w:tc>
          <w:tcPr>
            <w:tcW w:w="1559" w:type="dxa"/>
          </w:tcPr>
          <w:p w14:paraId="0835F437" w14:textId="77777777" w:rsidR="00BE49B8" w:rsidRPr="00BE49B8" w:rsidRDefault="00BE49B8" w:rsidP="009676E2">
            <w:pPr>
              <w:ind w:left="0" w:right="0"/>
              <w:rPr>
                <w:bCs/>
                <w:color w:val="000000"/>
                <w:sz w:val="18"/>
                <w:szCs w:val="18"/>
              </w:rPr>
            </w:pPr>
            <w:bookmarkStart w:id="98" w:name="_Toc492029855"/>
            <w:bookmarkStart w:id="99" w:name="_Toc504038244"/>
            <w:r w:rsidRPr="00BE49B8">
              <w:rPr>
                <w:rStyle w:val="Heading8Char"/>
                <w:sz w:val="18"/>
                <w:szCs w:val="18"/>
              </w:rPr>
              <w:t>P038/1003</w:t>
            </w:r>
            <w:bookmarkEnd w:id="98"/>
            <w:bookmarkEnd w:id="99"/>
          </w:p>
        </w:tc>
        <w:tc>
          <w:tcPr>
            <w:tcW w:w="3685" w:type="dxa"/>
          </w:tcPr>
          <w:p w14:paraId="18E690D0" w14:textId="4E3B65D4" w:rsidR="00BE49B8" w:rsidRPr="00BE49B8" w:rsidRDefault="00BE49B8" w:rsidP="009676E2">
            <w:pPr>
              <w:ind w:left="0" w:right="0"/>
              <w:rPr>
                <w:rFonts w:eastAsia="TimesNewRoman"/>
                <w:sz w:val="18"/>
                <w:szCs w:val="18"/>
              </w:rPr>
            </w:pPr>
            <w:r w:rsidRPr="00BE49B8">
              <w:rPr>
                <w:rFonts w:eastAsia="TimesNewRoman"/>
                <w:sz w:val="18"/>
                <w:szCs w:val="18"/>
                <w:lang w:eastAsia="en-US"/>
              </w:rPr>
              <w:t>Rate and extent of excretion of total radioactivity in urine and faeces, following a single oral dose of 25</w:t>
            </w:r>
            <w:r w:rsidR="00E87327">
              <w:rPr>
                <w:rFonts w:eastAsia="TimesNewRoman"/>
                <w:sz w:val="18"/>
                <w:szCs w:val="18"/>
                <w:lang w:eastAsia="en-US"/>
              </w:rPr>
              <w:t xml:space="preserve"> </w:t>
            </w:r>
            <w:r w:rsidR="006D7D02">
              <w:rPr>
                <w:rFonts w:eastAsia="TimesNewRoman"/>
                <w:sz w:val="18"/>
                <w:szCs w:val="18"/>
                <w:lang w:eastAsia="en-US"/>
              </w:rPr>
              <w:t>mg</w:t>
            </w:r>
            <w:r w:rsidRPr="00BE49B8">
              <w:rPr>
                <w:rFonts w:eastAsia="TimesNewRoman"/>
                <w:sz w:val="18"/>
                <w:szCs w:val="18"/>
                <w:lang w:eastAsia="en-US"/>
              </w:rPr>
              <w:t xml:space="preserve"> [</w:t>
            </w:r>
            <w:r w:rsidRPr="00BE49B8">
              <w:rPr>
                <w:rFonts w:eastAsia="TimesNewRoman"/>
                <w:sz w:val="18"/>
                <w:szCs w:val="18"/>
                <w:vertAlign w:val="superscript"/>
                <w:lang w:eastAsia="en-US"/>
              </w:rPr>
              <w:t>14</w:t>
            </w:r>
            <w:r w:rsidRPr="00BE49B8">
              <w:rPr>
                <w:rFonts w:eastAsia="TimesNewRoman"/>
                <w:sz w:val="18"/>
                <w:szCs w:val="18"/>
                <w:lang w:eastAsia="en-US"/>
              </w:rPr>
              <w:t>C]ertugliflozin</w:t>
            </w:r>
          </w:p>
        </w:tc>
      </w:tr>
      <w:tr w:rsidR="00BE49B8" w:rsidRPr="00BE49B8" w14:paraId="0689271A" w14:textId="77777777" w:rsidTr="00BE49B8">
        <w:tc>
          <w:tcPr>
            <w:tcW w:w="1668" w:type="dxa"/>
            <w:vMerge/>
          </w:tcPr>
          <w:p w14:paraId="3574A184" w14:textId="77777777" w:rsidR="00BE49B8" w:rsidRPr="00BE49B8" w:rsidRDefault="00BE49B8" w:rsidP="009676E2">
            <w:pPr>
              <w:ind w:left="0" w:right="0"/>
              <w:rPr>
                <w:b/>
                <w:sz w:val="18"/>
                <w:szCs w:val="18"/>
              </w:rPr>
            </w:pPr>
          </w:p>
        </w:tc>
        <w:tc>
          <w:tcPr>
            <w:tcW w:w="1701" w:type="dxa"/>
          </w:tcPr>
          <w:p w14:paraId="56652250" w14:textId="77777777" w:rsidR="00BE49B8" w:rsidRPr="00BE49B8" w:rsidRDefault="00BE49B8" w:rsidP="009676E2">
            <w:pPr>
              <w:ind w:left="0" w:right="0"/>
              <w:rPr>
                <w:sz w:val="18"/>
                <w:szCs w:val="18"/>
              </w:rPr>
            </w:pPr>
            <w:r w:rsidRPr="00BE49B8">
              <w:rPr>
                <w:sz w:val="18"/>
                <w:szCs w:val="18"/>
              </w:rPr>
              <w:t>Effect of timing of doses</w:t>
            </w:r>
          </w:p>
        </w:tc>
        <w:tc>
          <w:tcPr>
            <w:tcW w:w="1559" w:type="dxa"/>
          </w:tcPr>
          <w:p w14:paraId="00E23D58" w14:textId="77777777" w:rsidR="00BE49B8" w:rsidRPr="00BE49B8" w:rsidRDefault="00BE49B8" w:rsidP="009676E2">
            <w:pPr>
              <w:ind w:left="0" w:right="0"/>
              <w:rPr>
                <w:sz w:val="18"/>
                <w:szCs w:val="18"/>
              </w:rPr>
            </w:pPr>
            <w:r w:rsidRPr="00BE49B8">
              <w:rPr>
                <w:bCs/>
                <w:color w:val="000000"/>
                <w:sz w:val="18"/>
                <w:szCs w:val="18"/>
              </w:rPr>
              <w:t>P035/1051</w:t>
            </w:r>
          </w:p>
        </w:tc>
        <w:tc>
          <w:tcPr>
            <w:tcW w:w="3685" w:type="dxa"/>
          </w:tcPr>
          <w:p w14:paraId="02580A20" w14:textId="17771F9E" w:rsidR="00BE49B8" w:rsidRPr="00BE49B8" w:rsidRDefault="00BE49B8" w:rsidP="009676E2">
            <w:pPr>
              <w:ind w:left="0" w:right="0"/>
              <w:rPr>
                <w:sz w:val="18"/>
                <w:szCs w:val="18"/>
              </w:rPr>
            </w:pPr>
            <w:r w:rsidRPr="00BE49B8">
              <w:rPr>
                <w:rFonts w:eastAsia="TimesNewRoman"/>
                <w:sz w:val="18"/>
                <w:szCs w:val="18"/>
                <w:lang w:eastAsia="en-US"/>
              </w:rPr>
              <w:t>Equivalence of exposure following daily dosing with 5</w:t>
            </w:r>
            <w:r w:rsidR="00E87327">
              <w:rPr>
                <w:rFonts w:eastAsia="TimesNewRoman"/>
                <w:sz w:val="18"/>
                <w:szCs w:val="18"/>
                <w:lang w:eastAsia="en-US"/>
              </w:rPr>
              <w:t xml:space="preserve"> </w:t>
            </w:r>
            <w:r w:rsidR="006D7D02">
              <w:rPr>
                <w:rFonts w:eastAsia="TimesNewRoman"/>
                <w:sz w:val="18"/>
                <w:szCs w:val="18"/>
                <w:lang w:eastAsia="en-US"/>
              </w:rPr>
              <w:t>mg</w:t>
            </w:r>
            <w:r w:rsidRPr="00BE49B8">
              <w:rPr>
                <w:rFonts w:eastAsia="TimesNewRoman"/>
                <w:sz w:val="18"/>
                <w:szCs w:val="18"/>
                <w:lang w:eastAsia="en-US"/>
              </w:rPr>
              <w:t xml:space="preserve"> QD </w:t>
            </w:r>
            <w:r w:rsidR="00E600D5">
              <w:rPr>
                <w:rFonts w:eastAsia="TimesNewRoman"/>
                <w:sz w:val="18"/>
                <w:szCs w:val="18"/>
                <w:lang w:eastAsia="en-US"/>
              </w:rPr>
              <w:t>versus</w:t>
            </w:r>
            <w:r w:rsidRPr="00BE49B8">
              <w:rPr>
                <w:rFonts w:eastAsia="TimesNewRoman"/>
                <w:sz w:val="18"/>
                <w:szCs w:val="18"/>
                <w:lang w:eastAsia="en-US"/>
              </w:rPr>
              <w:t xml:space="preserve"> </w:t>
            </w:r>
            <w:r w:rsidR="00AD51CF">
              <w:rPr>
                <w:rFonts w:eastAsia="TimesNewRoman"/>
                <w:sz w:val="18"/>
                <w:szCs w:val="18"/>
                <w:lang w:eastAsia="en-US"/>
              </w:rPr>
              <w:t>BD</w:t>
            </w:r>
            <w:r w:rsidRPr="00BE49B8">
              <w:rPr>
                <w:rFonts w:eastAsia="TimesNewRoman"/>
                <w:sz w:val="18"/>
                <w:szCs w:val="18"/>
                <w:lang w:eastAsia="en-US"/>
              </w:rPr>
              <w:t>.</w:t>
            </w:r>
          </w:p>
        </w:tc>
      </w:tr>
      <w:tr w:rsidR="00BE49B8" w:rsidRPr="00BE49B8" w14:paraId="1FCD4C46" w14:textId="77777777" w:rsidTr="00BE49B8">
        <w:tc>
          <w:tcPr>
            <w:tcW w:w="1668" w:type="dxa"/>
            <w:vMerge w:val="restart"/>
          </w:tcPr>
          <w:p w14:paraId="56ADB545" w14:textId="77777777" w:rsidR="00BE49B8" w:rsidRPr="00BE49B8" w:rsidRDefault="00BE49B8" w:rsidP="009676E2">
            <w:pPr>
              <w:ind w:left="0" w:right="0"/>
              <w:rPr>
                <w:b/>
                <w:sz w:val="18"/>
                <w:szCs w:val="18"/>
              </w:rPr>
            </w:pPr>
            <w:r w:rsidRPr="00BE49B8">
              <w:rPr>
                <w:b/>
                <w:sz w:val="18"/>
                <w:szCs w:val="18"/>
              </w:rPr>
              <w:t xml:space="preserve">PK in special </w:t>
            </w:r>
            <w:r w:rsidRPr="00BE49B8">
              <w:rPr>
                <w:b/>
                <w:sz w:val="18"/>
                <w:szCs w:val="18"/>
              </w:rPr>
              <w:lastRenderedPageBreak/>
              <w:t>populations</w:t>
            </w:r>
          </w:p>
        </w:tc>
        <w:tc>
          <w:tcPr>
            <w:tcW w:w="1701" w:type="dxa"/>
          </w:tcPr>
          <w:p w14:paraId="610FF8B2" w14:textId="77777777" w:rsidR="00BE49B8" w:rsidRPr="00BE49B8" w:rsidRDefault="00BE49B8" w:rsidP="009676E2">
            <w:pPr>
              <w:ind w:left="0" w:right="0"/>
              <w:rPr>
                <w:sz w:val="18"/>
                <w:szCs w:val="18"/>
              </w:rPr>
            </w:pPr>
            <w:r w:rsidRPr="00BE49B8">
              <w:rPr>
                <w:sz w:val="18"/>
                <w:szCs w:val="18"/>
              </w:rPr>
              <w:lastRenderedPageBreak/>
              <w:t>Target population§</w:t>
            </w:r>
          </w:p>
        </w:tc>
        <w:tc>
          <w:tcPr>
            <w:tcW w:w="1559" w:type="dxa"/>
          </w:tcPr>
          <w:p w14:paraId="3CC4A339" w14:textId="77777777" w:rsidR="00BE49B8" w:rsidRPr="00BE49B8" w:rsidRDefault="00BE49B8" w:rsidP="009676E2">
            <w:pPr>
              <w:ind w:left="0" w:right="0"/>
              <w:rPr>
                <w:sz w:val="18"/>
                <w:szCs w:val="18"/>
              </w:rPr>
            </w:pPr>
            <w:r w:rsidRPr="00BE49B8">
              <w:rPr>
                <w:sz w:val="18"/>
                <w:szCs w:val="18"/>
              </w:rPr>
              <w:t>P040/1007</w:t>
            </w:r>
          </w:p>
        </w:tc>
        <w:tc>
          <w:tcPr>
            <w:tcW w:w="3685" w:type="dxa"/>
          </w:tcPr>
          <w:p w14:paraId="5EB6A463" w14:textId="5004B16F" w:rsidR="00BE49B8" w:rsidRPr="00BE49B8" w:rsidRDefault="00BE49B8" w:rsidP="009676E2">
            <w:pPr>
              <w:ind w:left="0" w:right="0"/>
              <w:rPr>
                <w:sz w:val="18"/>
                <w:szCs w:val="18"/>
              </w:rPr>
            </w:pPr>
            <w:r w:rsidRPr="00BE49B8">
              <w:rPr>
                <w:rFonts w:eastAsia="TimesNewRoman"/>
                <w:sz w:val="18"/>
                <w:szCs w:val="18"/>
                <w:lang w:eastAsia="en-US"/>
              </w:rPr>
              <w:t xml:space="preserve">Ertugliflozin PKs following administration QD and </w:t>
            </w:r>
            <w:r w:rsidR="00AD51CF">
              <w:rPr>
                <w:rFonts w:eastAsia="TimesNewRoman"/>
                <w:sz w:val="18"/>
                <w:szCs w:val="18"/>
                <w:lang w:eastAsia="en-US"/>
              </w:rPr>
              <w:t>BD</w:t>
            </w:r>
            <w:r w:rsidRPr="00BE49B8">
              <w:rPr>
                <w:rFonts w:eastAsia="TimesNewRoman"/>
                <w:sz w:val="18"/>
                <w:szCs w:val="18"/>
                <w:lang w:eastAsia="en-US"/>
              </w:rPr>
              <w:t xml:space="preserve"> in adults with T2DM; and to </w:t>
            </w:r>
            <w:r w:rsidRPr="00BE49B8">
              <w:rPr>
                <w:rFonts w:eastAsia="TimesNewRoman"/>
                <w:sz w:val="18"/>
                <w:szCs w:val="18"/>
                <w:lang w:eastAsia="en-US"/>
              </w:rPr>
              <w:lastRenderedPageBreak/>
              <w:t>investigate the relationship between plasma concentrations and PD.</w:t>
            </w:r>
          </w:p>
        </w:tc>
      </w:tr>
      <w:tr w:rsidR="00BE49B8" w:rsidRPr="00BE49B8" w14:paraId="65568B24" w14:textId="77777777" w:rsidTr="00BE49B8">
        <w:tc>
          <w:tcPr>
            <w:tcW w:w="1668" w:type="dxa"/>
            <w:vMerge/>
          </w:tcPr>
          <w:p w14:paraId="21F3D8E5" w14:textId="77777777" w:rsidR="00BE49B8" w:rsidRPr="00BE49B8" w:rsidRDefault="00BE49B8" w:rsidP="009676E2">
            <w:pPr>
              <w:ind w:left="0" w:right="0"/>
              <w:rPr>
                <w:b/>
                <w:sz w:val="18"/>
                <w:szCs w:val="18"/>
              </w:rPr>
            </w:pPr>
          </w:p>
        </w:tc>
        <w:tc>
          <w:tcPr>
            <w:tcW w:w="1701" w:type="dxa"/>
          </w:tcPr>
          <w:p w14:paraId="22D49D43" w14:textId="77777777" w:rsidR="00BE49B8" w:rsidRPr="00BE49B8" w:rsidRDefault="00BE49B8" w:rsidP="009676E2">
            <w:pPr>
              <w:ind w:left="0" w:right="0"/>
              <w:rPr>
                <w:sz w:val="18"/>
                <w:szCs w:val="18"/>
              </w:rPr>
            </w:pPr>
            <w:r w:rsidRPr="00BE49B8">
              <w:rPr>
                <w:sz w:val="18"/>
                <w:szCs w:val="18"/>
              </w:rPr>
              <w:t>Hepatic impairment</w:t>
            </w:r>
          </w:p>
        </w:tc>
        <w:tc>
          <w:tcPr>
            <w:tcW w:w="1559" w:type="dxa"/>
          </w:tcPr>
          <w:p w14:paraId="51A1E589" w14:textId="77777777" w:rsidR="00BE49B8" w:rsidRPr="00BE49B8" w:rsidRDefault="00BE49B8" w:rsidP="009676E2">
            <w:pPr>
              <w:ind w:left="0" w:right="0"/>
              <w:rPr>
                <w:sz w:val="18"/>
                <w:szCs w:val="18"/>
              </w:rPr>
            </w:pPr>
            <w:r w:rsidRPr="00BE49B8">
              <w:rPr>
                <w:bCs/>
                <w:color w:val="000000"/>
                <w:sz w:val="18"/>
                <w:szCs w:val="18"/>
              </w:rPr>
              <w:t>P014/1024</w:t>
            </w:r>
          </w:p>
        </w:tc>
        <w:tc>
          <w:tcPr>
            <w:tcW w:w="3685" w:type="dxa"/>
          </w:tcPr>
          <w:p w14:paraId="4AEF9C93" w14:textId="325E75F6" w:rsidR="00BE49B8" w:rsidRPr="00BE49B8" w:rsidRDefault="00BE49B8" w:rsidP="009676E2">
            <w:pPr>
              <w:ind w:left="0" w:right="0"/>
              <w:rPr>
                <w:rFonts w:eastAsia="TimesNewRoman"/>
                <w:sz w:val="18"/>
                <w:szCs w:val="18"/>
                <w:lang w:eastAsia="en-US"/>
              </w:rPr>
            </w:pPr>
            <w:r w:rsidRPr="00BE49B8">
              <w:rPr>
                <w:rFonts w:eastAsia="TimesNewRoman"/>
                <w:sz w:val="18"/>
                <w:szCs w:val="18"/>
                <w:lang w:eastAsia="en-US"/>
              </w:rPr>
              <w:t>Effect of moderate hepatic impairment on the ertugliflozin PKs following a single oral dose of 15</w:t>
            </w:r>
            <w:r w:rsidR="00E87327">
              <w:rPr>
                <w:rFonts w:eastAsia="TimesNewRoman"/>
                <w:sz w:val="18"/>
                <w:szCs w:val="18"/>
                <w:lang w:eastAsia="en-US"/>
              </w:rPr>
              <w:t xml:space="preserve"> </w:t>
            </w:r>
            <w:r w:rsidR="006D7D02">
              <w:rPr>
                <w:rFonts w:eastAsia="TimesNewRoman"/>
                <w:sz w:val="18"/>
                <w:szCs w:val="18"/>
                <w:lang w:eastAsia="en-US"/>
              </w:rPr>
              <w:t>mg</w:t>
            </w:r>
            <w:r w:rsidRPr="00BE49B8">
              <w:rPr>
                <w:rFonts w:eastAsia="TimesNewRoman"/>
                <w:sz w:val="18"/>
                <w:szCs w:val="18"/>
                <w:lang w:eastAsia="en-US"/>
              </w:rPr>
              <w:t>.</w:t>
            </w:r>
          </w:p>
        </w:tc>
      </w:tr>
      <w:tr w:rsidR="00BE49B8" w:rsidRPr="00BE49B8" w14:paraId="112AEE07" w14:textId="77777777" w:rsidTr="00BE49B8">
        <w:tc>
          <w:tcPr>
            <w:tcW w:w="1668" w:type="dxa"/>
            <w:vMerge/>
          </w:tcPr>
          <w:p w14:paraId="4424D8D1" w14:textId="77777777" w:rsidR="00BE49B8" w:rsidRPr="00BE49B8" w:rsidRDefault="00BE49B8" w:rsidP="009676E2">
            <w:pPr>
              <w:ind w:left="0" w:right="0"/>
              <w:rPr>
                <w:b/>
                <w:sz w:val="18"/>
                <w:szCs w:val="18"/>
              </w:rPr>
            </w:pPr>
          </w:p>
        </w:tc>
        <w:tc>
          <w:tcPr>
            <w:tcW w:w="1701" w:type="dxa"/>
          </w:tcPr>
          <w:p w14:paraId="549EA39D" w14:textId="77777777" w:rsidR="00BE49B8" w:rsidRPr="00BE49B8" w:rsidRDefault="00BE49B8" w:rsidP="009676E2">
            <w:pPr>
              <w:ind w:left="0" w:right="0"/>
              <w:rPr>
                <w:sz w:val="18"/>
                <w:szCs w:val="18"/>
              </w:rPr>
            </w:pPr>
            <w:r w:rsidRPr="00BE49B8">
              <w:rPr>
                <w:sz w:val="18"/>
                <w:szCs w:val="18"/>
              </w:rPr>
              <w:t>Renal impairment</w:t>
            </w:r>
          </w:p>
        </w:tc>
        <w:tc>
          <w:tcPr>
            <w:tcW w:w="1559" w:type="dxa"/>
          </w:tcPr>
          <w:p w14:paraId="64F7A822" w14:textId="77777777" w:rsidR="00BE49B8" w:rsidRPr="00BE49B8" w:rsidRDefault="00BE49B8" w:rsidP="009676E2">
            <w:pPr>
              <w:ind w:left="0" w:right="0"/>
              <w:rPr>
                <w:sz w:val="18"/>
                <w:szCs w:val="18"/>
              </w:rPr>
            </w:pPr>
            <w:r w:rsidRPr="00BE49B8">
              <w:rPr>
                <w:bCs/>
                <w:color w:val="000000"/>
                <w:sz w:val="18"/>
                <w:szCs w:val="18"/>
              </w:rPr>
              <w:t>P009/1023</w:t>
            </w:r>
          </w:p>
        </w:tc>
        <w:tc>
          <w:tcPr>
            <w:tcW w:w="3685" w:type="dxa"/>
          </w:tcPr>
          <w:p w14:paraId="0BFA01FD" w14:textId="6DC57E5C" w:rsidR="00BE49B8" w:rsidRPr="00BE49B8" w:rsidRDefault="00BE49B8" w:rsidP="009676E2">
            <w:pPr>
              <w:ind w:left="0" w:right="0"/>
              <w:rPr>
                <w:sz w:val="18"/>
                <w:szCs w:val="18"/>
              </w:rPr>
            </w:pPr>
            <w:r w:rsidRPr="00BE49B8">
              <w:rPr>
                <w:rFonts w:eastAsia="TimesNewRoman"/>
                <w:sz w:val="18"/>
                <w:szCs w:val="18"/>
                <w:lang w:eastAsia="en-US"/>
              </w:rPr>
              <w:t>Effect of renal impairment on ertugliflozin PKs and PDs following a single oral dose of 15</w:t>
            </w:r>
            <w:r w:rsidR="00E87327">
              <w:rPr>
                <w:rFonts w:eastAsia="TimesNewRoman"/>
                <w:sz w:val="18"/>
                <w:szCs w:val="18"/>
                <w:lang w:eastAsia="en-US"/>
              </w:rPr>
              <w:t xml:space="preserve"> </w:t>
            </w:r>
            <w:r w:rsidR="006D7D02">
              <w:rPr>
                <w:rFonts w:eastAsia="TimesNewRoman"/>
                <w:sz w:val="18"/>
                <w:szCs w:val="18"/>
                <w:lang w:eastAsia="en-US"/>
              </w:rPr>
              <w:t>mg</w:t>
            </w:r>
            <w:r w:rsidRPr="00BE49B8">
              <w:rPr>
                <w:rFonts w:eastAsia="TimesNewRoman"/>
                <w:sz w:val="18"/>
                <w:szCs w:val="18"/>
                <w:lang w:eastAsia="en-US"/>
              </w:rPr>
              <w:t>.</w:t>
            </w:r>
          </w:p>
        </w:tc>
      </w:tr>
      <w:tr w:rsidR="00BE49B8" w:rsidRPr="00BE49B8" w14:paraId="7A675717" w14:textId="77777777" w:rsidTr="00BE49B8">
        <w:tc>
          <w:tcPr>
            <w:tcW w:w="1668" w:type="dxa"/>
            <w:vMerge/>
          </w:tcPr>
          <w:p w14:paraId="36FA2EFA" w14:textId="77777777" w:rsidR="00BE49B8" w:rsidRPr="00BE49B8" w:rsidRDefault="00BE49B8" w:rsidP="009676E2">
            <w:pPr>
              <w:ind w:left="0" w:right="0"/>
              <w:rPr>
                <w:b/>
                <w:sz w:val="18"/>
                <w:szCs w:val="18"/>
              </w:rPr>
            </w:pPr>
          </w:p>
        </w:tc>
        <w:tc>
          <w:tcPr>
            <w:tcW w:w="1701" w:type="dxa"/>
          </w:tcPr>
          <w:p w14:paraId="36E8FBA5" w14:textId="77777777" w:rsidR="00BE49B8" w:rsidRPr="00BE49B8" w:rsidRDefault="00BE49B8" w:rsidP="009676E2">
            <w:pPr>
              <w:ind w:left="0" w:right="0"/>
              <w:rPr>
                <w:sz w:val="18"/>
                <w:szCs w:val="18"/>
              </w:rPr>
            </w:pPr>
            <w:r w:rsidRPr="00BE49B8">
              <w:rPr>
                <w:sz w:val="18"/>
                <w:szCs w:val="18"/>
              </w:rPr>
              <w:t>Other special population</w:t>
            </w:r>
          </w:p>
        </w:tc>
        <w:tc>
          <w:tcPr>
            <w:tcW w:w="1559" w:type="dxa"/>
          </w:tcPr>
          <w:p w14:paraId="230AC614" w14:textId="77777777" w:rsidR="00BE49B8" w:rsidRPr="00BE49B8" w:rsidRDefault="00BE49B8" w:rsidP="009676E2">
            <w:pPr>
              <w:ind w:left="0" w:right="0"/>
              <w:rPr>
                <w:sz w:val="18"/>
                <w:szCs w:val="18"/>
              </w:rPr>
            </w:pPr>
            <w:r w:rsidRPr="00BE49B8">
              <w:rPr>
                <w:sz w:val="18"/>
                <w:szCs w:val="18"/>
              </w:rPr>
              <w:t>P041/1009</w:t>
            </w:r>
          </w:p>
        </w:tc>
        <w:tc>
          <w:tcPr>
            <w:tcW w:w="3685" w:type="dxa"/>
          </w:tcPr>
          <w:p w14:paraId="6F5DBEA3" w14:textId="77777777" w:rsidR="00BE49B8" w:rsidRPr="00BE49B8" w:rsidRDefault="00BE49B8" w:rsidP="009676E2">
            <w:pPr>
              <w:ind w:left="0" w:right="0"/>
              <w:rPr>
                <w:sz w:val="18"/>
                <w:szCs w:val="18"/>
              </w:rPr>
            </w:pPr>
            <w:r w:rsidRPr="00BE49B8">
              <w:rPr>
                <w:rFonts w:eastAsia="TimesNewRoman"/>
                <w:sz w:val="18"/>
                <w:szCs w:val="18"/>
                <w:lang w:eastAsia="en-US"/>
              </w:rPr>
              <w:t>Comparison of ertugliflozin PKs and PDs following single and multiple doses in healthy Japanese and Westerners.</w:t>
            </w:r>
          </w:p>
        </w:tc>
      </w:tr>
      <w:tr w:rsidR="00BE49B8" w:rsidRPr="00BE49B8" w14:paraId="688CC000" w14:textId="77777777" w:rsidTr="00BE49B8">
        <w:tc>
          <w:tcPr>
            <w:tcW w:w="1668" w:type="dxa"/>
            <w:vMerge w:val="restart"/>
          </w:tcPr>
          <w:p w14:paraId="69851280" w14:textId="77777777" w:rsidR="00BE49B8" w:rsidRPr="00BE49B8" w:rsidRDefault="00BE49B8" w:rsidP="009676E2">
            <w:pPr>
              <w:ind w:left="0" w:right="0"/>
              <w:rPr>
                <w:b/>
                <w:sz w:val="18"/>
                <w:szCs w:val="18"/>
              </w:rPr>
            </w:pPr>
            <w:r w:rsidRPr="00BE49B8">
              <w:rPr>
                <w:b/>
                <w:sz w:val="18"/>
                <w:szCs w:val="18"/>
              </w:rPr>
              <w:t>PK interactions</w:t>
            </w:r>
          </w:p>
        </w:tc>
        <w:tc>
          <w:tcPr>
            <w:tcW w:w="1701" w:type="dxa"/>
          </w:tcPr>
          <w:p w14:paraId="3123B029" w14:textId="77777777" w:rsidR="00BE49B8" w:rsidRPr="00BE49B8" w:rsidRDefault="00BE49B8" w:rsidP="009676E2">
            <w:pPr>
              <w:ind w:left="0" w:right="0"/>
              <w:rPr>
                <w:sz w:val="18"/>
                <w:szCs w:val="18"/>
              </w:rPr>
            </w:pPr>
            <w:r w:rsidRPr="00BE49B8">
              <w:rPr>
                <w:sz w:val="18"/>
                <w:szCs w:val="18"/>
              </w:rPr>
              <w:t>Metformin</w:t>
            </w:r>
          </w:p>
        </w:tc>
        <w:tc>
          <w:tcPr>
            <w:tcW w:w="1559" w:type="dxa"/>
          </w:tcPr>
          <w:p w14:paraId="4129F1CE" w14:textId="77777777" w:rsidR="00BE49B8" w:rsidRPr="00BE49B8" w:rsidRDefault="00BE49B8" w:rsidP="009676E2">
            <w:pPr>
              <w:ind w:left="0" w:right="0"/>
              <w:rPr>
                <w:sz w:val="18"/>
                <w:szCs w:val="18"/>
              </w:rPr>
            </w:pPr>
            <w:r w:rsidRPr="00BE49B8">
              <w:rPr>
                <w:bCs/>
                <w:color w:val="000000"/>
                <w:sz w:val="18"/>
                <w:szCs w:val="18"/>
              </w:rPr>
              <w:t>P019/1032</w:t>
            </w:r>
          </w:p>
        </w:tc>
        <w:tc>
          <w:tcPr>
            <w:tcW w:w="3685" w:type="dxa"/>
          </w:tcPr>
          <w:p w14:paraId="012E4EAC" w14:textId="6C0FB798" w:rsidR="00BE49B8" w:rsidRPr="00BE49B8" w:rsidRDefault="00BE49B8" w:rsidP="009676E2">
            <w:pPr>
              <w:ind w:left="0" w:right="0"/>
              <w:rPr>
                <w:sz w:val="18"/>
                <w:szCs w:val="18"/>
              </w:rPr>
            </w:pPr>
            <w:r w:rsidRPr="00BE49B8">
              <w:rPr>
                <w:rFonts w:eastAsia="TimesNewRoman"/>
                <w:sz w:val="18"/>
                <w:szCs w:val="18"/>
                <w:lang w:eastAsia="en-US"/>
              </w:rPr>
              <w:t>Effect of 100</w:t>
            </w:r>
            <w:r w:rsidR="0072297B">
              <w:rPr>
                <w:rFonts w:eastAsia="TimesNewRoman"/>
                <w:sz w:val="18"/>
                <w:szCs w:val="18"/>
                <w:lang w:eastAsia="en-US"/>
              </w:rPr>
              <w:t>0</w:t>
            </w:r>
            <w:r w:rsidR="00E87327">
              <w:rPr>
                <w:rFonts w:eastAsia="TimesNewRoman"/>
                <w:sz w:val="18"/>
                <w:szCs w:val="18"/>
                <w:lang w:eastAsia="en-US"/>
              </w:rPr>
              <w:t xml:space="preserve"> </w:t>
            </w:r>
            <w:r w:rsidR="006D7D02">
              <w:rPr>
                <w:rFonts w:eastAsia="TimesNewRoman"/>
                <w:sz w:val="18"/>
                <w:szCs w:val="18"/>
                <w:lang w:eastAsia="en-US"/>
              </w:rPr>
              <w:t>mg</w:t>
            </w:r>
            <w:r w:rsidRPr="00BE49B8">
              <w:rPr>
                <w:rFonts w:eastAsia="TimesNewRoman"/>
                <w:sz w:val="18"/>
                <w:szCs w:val="18"/>
                <w:lang w:eastAsia="en-US"/>
              </w:rPr>
              <w:t xml:space="preserve"> metformin on the PKs of a 15</w:t>
            </w:r>
            <w:r w:rsidR="00E87327">
              <w:rPr>
                <w:rFonts w:eastAsia="TimesNewRoman"/>
                <w:sz w:val="18"/>
                <w:szCs w:val="18"/>
                <w:lang w:eastAsia="en-US"/>
              </w:rPr>
              <w:t xml:space="preserve"> </w:t>
            </w:r>
            <w:r w:rsidR="006D7D02">
              <w:rPr>
                <w:rFonts w:eastAsia="TimesNewRoman"/>
                <w:sz w:val="18"/>
                <w:szCs w:val="18"/>
                <w:lang w:eastAsia="en-US"/>
              </w:rPr>
              <w:t>mg</w:t>
            </w:r>
            <w:r w:rsidRPr="00BE49B8">
              <w:rPr>
                <w:rFonts w:eastAsia="TimesNewRoman"/>
                <w:sz w:val="18"/>
                <w:szCs w:val="18"/>
                <w:lang w:eastAsia="en-US"/>
              </w:rPr>
              <w:t xml:space="preserve"> dose of ertugliflozin </w:t>
            </w:r>
          </w:p>
        </w:tc>
      </w:tr>
      <w:tr w:rsidR="00BE49B8" w:rsidRPr="00BE49B8" w14:paraId="0971D198" w14:textId="77777777" w:rsidTr="00BE49B8">
        <w:tc>
          <w:tcPr>
            <w:tcW w:w="1668" w:type="dxa"/>
            <w:vMerge/>
          </w:tcPr>
          <w:p w14:paraId="7AAE9D95" w14:textId="77777777" w:rsidR="00BE49B8" w:rsidRPr="00BE49B8" w:rsidRDefault="00BE49B8" w:rsidP="009676E2">
            <w:pPr>
              <w:ind w:left="0" w:right="0"/>
              <w:rPr>
                <w:b/>
                <w:sz w:val="18"/>
                <w:szCs w:val="18"/>
              </w:rPr>
            </w:pPr>
          </w:p>
        </w:tc>
        <w:tc>
          <w:tcPr>
            <w:tcW w:w="1701" w:type="dxa"/>
          </w:tcPr>
          <w:p w14:paraId="17E063C7" w14:textId="77777777" w:rsidR="00BE49B8" w:rsidRPr="00BE49B8" w:rsidRDefault="00BE49B8" w:rsidP="009676E2">
            <w:pPr>
              <w:ind w:left="0" w:right="0"/>
              <w:rPr>
                <w:sz w:val="18"/>
                <w:szCs w:val="18"/>
              </w:rPr>
            </w:pPr>
            <w:r w:rsidRPr="00BE49B8">
              <w:rPr>
                <w:sz w:val="18"/>
                <w:szCs w:val="18"/>
              </w:rPr>
              <w:t>Sitagliptin</w:t>
            </w:r>
          </w:p>
        </w:tc>
        <w:tc>
          <w:tcPr>
            <w:tcW w:w="1559" w:type="dxa"/>
          </w:tcPr>
          <w:p w14:paraId="16608C82" w14:textId="77777777" w:rsidR="00BE49B8" w:rsidRPr="00BE49B8" w:rsidRDefault="00BE49B8" w:rsidP="009676E2">
            <w:pPr>
              <w:ind w:left="0" w:right="0"/>
              <w:rPr>
                <w:sz w:val="18"/>
                <w:szCs w:val="18"/>
              </w:rPr>
            </w:pPr>
            <w:r w:rsidRPr="00BE49B8">
              <w:rPr>
                <w:sz w:val="18"/>
                <w:szCs w:val="18"/>
              </w:rPr>
              <w:t>P022/1033</w:t>
            </w:r>
          </w:p>
        </w:tc>
        <w:tc>
          <w:tcPr>
            <w:tcW w:w="3685" w:type="dxa"/>
          </w:tcPr>
          <w:p w14:paraId="10FB0815" w14:textId="71D42472" w:rsidR="00BE49B8" w:rsidRPr="00BE49B8" w:rsidRDefault="00BE49B8" w:rsidP="009676E2">
            <w:pPr>
              <w:ind w:left="0" w:right="0"/>
              <w:rPr>
                <w:sz w:val="18"/>
                <w:szCs w:val="18"/>
              </w:rPr>
            </w:pPr>
            <w:r w:rsidRPr="00BE49B8">
              <w:rPr>
                <w:rFonts w:eastAsia="TimesNewRoman"/>
                <w:sz w:val="18"/>
                <w:szCs w:val="18"/>
                <w:lang w:eastAsia="en-US"/>
              </w:rPr>
              <w:t>Effect of 100</w:t>
            </w:r>
            <w:r w:rsidR="00E87327">
              <w:rPr>
                <w:rFonts w:eastAsia="TimesNewRoman"/>
                <w:sz w:val="18"/>
                <w:szCs w:val="18"/>
                <w:lang w:eastAsia="en-US"/>
              </w:rPr>
              <w:t xml:space="preserve"> </w:t>
            </w:r>
            <w:r w:rsidR="006D7D02">
              <w:rPr>
                <w:rFonts w:eastAsia="TimesNewRoman"/>
                <w:sz w:val="18"/>
                <w:szCs w:val="18"/>
                <w:lang w:eastAsia="en-US"/>
              </w:rPr>
              <w:t>mg</w:t>
            </w:r>
            <w:r w:rsidRPr="00BE49B8">
              <w:rPr>
                <w:rFonts w:eastAsia="TimesNewRoman"/>
                <w:sz w:val="18"/>
                <w:szCs w:val="18"/>
                <w:lang w:eastAsia="en-US"/>
              </w:rPr>
              <w:t xml:space="preserve"> sitagliptin on the PKs of a 15</w:t>
            </w:r>
            <w:r w:rsidR="00E87327">
              <w:rPr>
                <w:rFonts w:eastAsia="TimesNewRoman"/>
                <w:sz w:val="18"/>
                <w:szCs w:val="18"/>
                <w:lang w:eastAsia="en-US"/>
              </w:rPr>
              <w:t xml:space="preserve"> </w:t>
            </w:r>
            <w:r w:rsidR="006D7D02">
              <w:rPr>
                <w:rFonts w:eastAsia="TimesNewRoman"/>
                <w:sz w:val="18"/>
                <w:szCs w:val="18"/>
                <w:lang w:eastAsia="en-US"/>
              </w:rPr>
              <w:t>mg</w:t>
            </w:r>
            <w:r w:rsidRPr="00BE49B8">
              <w:rPr>
                <w:rFonts w:eastAsia="TimesNewRoman"/>
                <w:sz w:val="18"/>
                <w:szCs w:val="18"/>
                <w:lang w:eastAsia="en-US"/>
              </w:rPr>
              <w:t xml:space="preserve"> dose of ertugliflozin</w:t>
            </w:r>
          </w:p>
        </w:tc>
      </w:tr>
      <w:tr w:rsidR="00BE49B8" w:rsidRPr="00BE49B8" w14:paraId="66FD784E" w14:textId="77777777" w:rsidTr="00BE49B8">
        <w:tc>
          <w:tcPr>
            <w:tcW w:w="1668" w:type="dxa"/>
            <w:vMerge/>
          </w:tcPr>
          <w:p w14:paraId="6E825E07" w14:textId="77777777" w:rsidR="00BE49B8" w:rsidRPr="00BE49B8" w:rsidRDefault="00BE49B8" w:rsidP="009676E2">
            <w:pPr>
              <w:ind w:left="0" w:right="0"/>
              <w:rPr>
                <w:b/>
                <w:sz w:val="18"/>
                <w:szCs w:val="18"/>
              </w:rPr>
            </w:pPr>
          </w:p>
        </w:tc>
        <w:tc>
          <w:tcPr>
            <w:tcW w:w="1701" w:type="dxa"/>
          </w:tcPr>
          <w:p w14:paraId="1A5E1A06" w14:textId="77777777" w:rsidR="00BE49B8" w:rsidRPr="00BE49B8" w:rsidRDefault="00BE49B8" w:rsidP="009676E2">
            <w:pPr>
              <w:ind w:left="0" w:right="0"/>
              <w:rPr>
                <w:sz w:val="18"/>
                <w:szCs w:val="18"/>
              </w:rPr>
            </w:pPr>
            <w:r w:rsidRPr="00BE49B8">
              <w:rPr>
                <w:sz w:val="18"/>
                <w:szCs w:val="18"/>
              </w:rPr>
              <w:t>Simvastatin</w:t>
            </w:r>
          </w:p>
        </w:tc>
        <w:tc>
          <w:tcPr>
            <w:tcW w:w="1559" w:type="dxa"/>
          </w:tcPr>
          <w:p w14:paraId="271905D0" w14:textId="77777777" w:rsidR="00BE49B8" w:rsidRPr="00BE49B8" w:rsidRDefault="00BE49B8" w:rsidP="009676E2">
            <w:pPr>
              <w:ind w:left="0" w:right="0"/>
              <w:rPr>
                <w:sz w:val="18"/>
                <w:szCs w:val="18"/>
              </w:rPr>
            </w:pPr>
            <w:r w:rsidRPr="00BE49B8">
              <w:rPr>
                <w:sz w:val="18"/>
                <w:szCs w:val="18"/>
              </w:rPr>
              <w:t>P030/1036</w:t>
            </w:r>
          </w:p>
        </w:tc>
        <w:tc>
          <w:tcPr>
            <w:tcW w:w="3685" w:type="dxa"/>
          </w:tcPr>
          <w:p w14:paraId="0600C7CB" w14:textId="1CE5A872" w:rsidR="00BE49B8" w:rsidRPr="00BE49B8" w:rsidRDefault="00BE49B8" w:rsidP="009676E2">
            <w:pPr>
              <w:ind w:left="0" w:right="0"/>
              <w:rPr>
                <w:sz w:val="18"/>
                <w:szCs w:val="18"/>
              </w:rPr>
            </w:pPr>
            <w:r w:rsidRPr="00BE49B8">
              <w:rPr>
                <w:rFonts w:eastAsia="TimesNewRoman"/>
                <w:sz w:val="18"/>
                <w:szCs w:val="18"/>
                <w:lang w:eastAsia="en-US"/>
              </w:rPr>
              <w:t>Effect of 40</w:t>
            </w:r>
            <w:r w:rsidR="00E87327">
              <w:rPr>
                <w:rFonts w:eastAsia="TimesNewRoman"/>
                <w:sz w:val="18"/>
                <w:szCs w:val="18"/>
                <w:lang w:eastAsia="en-US"/>
              </w:rPr>
              <w:t xml:space="preserve"> </w:t>
            </w:r>
            <w:r w:rsidR="006D7D02">
              <w:rPr>
                <w:rFonts w:eastAsia="TimesNewRoman"/>
                <w:sz w:val="18"/>
                <w:szCs w:val="18"/>
                <w:lang w:eastAsia="en-US"/>
              </w:rPr>
              <w:t>mg</w:t>
            </w:r>
            <w:r w:rsidRPr="00BE49B8">
              <w:rPr>
                <w:rFonts w:eastAsia="TimesNewRoman"/>
                <w:sz w:val="18"/>
                <w:szCs w:val="18"/>
                <w:lang w:eastAsia="en-US"/>
              </w:rPr>
              <w:t xml:space="preserve"> simvastatin on the PKs of a 15</w:t>
            </w:r>
            <w:r w:rsidR="00E87327">
              <w:rPr>
                <w:rFonts w:eastAsia="TimesNewRoman"/>
                <w:sz w:val="18"/>
                <w:szCs w:val="18"/>
                <w:lang w:eastAsia="en-US"/>
              </w:rPr>
              <w:t xml:space="preserve"> </w:t>
            </w:r>
            <w:r w:rsidR="006D7D02">
              <w:rPr>
                <w:rFonts w:eastAsia="TimesNewRoman"/>
                <w:sz w:val="18"/>
                <w:szCs w:val="18"/>
                <w:lang w:eastAsia="en-US"/>
              </w:rPr>
              <w:t>mg</w:t>
            </w:r>
            <w:r w:rsidRPr="00BE49B8">
              <w:rPr>
                <w:rFonts w:eastAsia="TimesNewRoman"/>
                <w:sz w:val="18"/>
                <w:szCs w:val="18"/>
                <w:lang w:eastAsia="en-US"/>
              </w:rPr>
              <w:t xml:space="preserve"> dose of ertugliflozin</w:t>
            </w:r>
          </w:p>
        </w:tc>
      </w:tr>
      <w:tr w:rsidR="00BE49B8" w:rsidRPr="00BE49B8" w14:paraId="26D04A43" w14:textId="77777777" w:rsidTr="00BE49B8">
        <w:tc>
          <w:tcPr>
            <w:tcW w:w="1668" w:type="dxa"/>
            <w:vMerge/>
          </w:tcPr>
          <w:p w14:paraId="24FD4611" w14:textId="77777777" w:rsidR="00BE49B8" w:rsidRPr="00BE49B8" w:rsidRDefault="00BE49B8" w:rsidP="009676E2">
            <w:pPr>
              <w:ind w:left="0" w:right="0"/>
              <w:rPr>
                <w:b/>
                <w:sz w:val="18"/>
                <w:szCs w:val="18"/>
              </w:rPr>
            </w:pPr>
          </w:p>
        </w:tc>
        <w:tc>
          <w:tcPr>
            <w:tcW w:w="1701" w:type="dxa"/>
          </w:tcPr>
          <w:p w14:paraId="2375CC13" w14:textId="77777777" w:rsidR="00BE49B8" w:rsidRPr="00BE49B8" w:rsidRDefault="00BE49B8" w:rsidP="009676E2">
            <w:pPr>
              <w:ind w:left="0" w:right="0"/>
              <w:rPr>
                <w:sz w:val="18"/>
                <w:szCs w:val="18"/>
              </w:rPr>
            </w:pPr>
            <w:r w:rsidRPr="00BE49B8">
              <w:rPr>
                <w:sz w:val="18"/>
                <w:szCs w:val="18"/>
              </w:rPr>
              <w:t>Rifampin</w:t>
            </w:r>
          </w:p>
        </w:tc>
        <w:tc>
          <w:tcPr>
            <w:tcW w:w="1559" w:type="dxa"/>
          </w:tcPr>
          <w:p w14:paraId="7922BCD5" w14:textId="77777777" w:rsidR="00BE49B8" w:rsidRPr="00BE49B8" w:rsidRDefault="00BE49B8" w:rsidP="009676E2">
            <w:pPr>
              <w:ind w:left="0" w:right="0"/>
              <w:rPr>
                <w:sz w:val="18"/>
                <w:szCs w:val="18"/>
              </w:rPr>
            </w:pPr>
            <w:r w:rsidRPr="00BE49B8">
              <w:rPr>
                <w:bCs/>
                <w:color w:val="000000"/>
                <w:sz w:val="18"/>
                <w:szCs w:val="18"/>
              </w:rPr>
              <w:t>P021/1040</w:t>
            </w:r>
          </w:p>
        </w:tc>
        <w:tc>
          <w:tcPr>
            <w:tcW w:w="3685" w:type="dxa"/>
          </w:tcPr>
          <w:p w14:paraId="44B31F9B" w14:textId="75855272" w:rsidR="00BE49B8" w:rsidRPr="00BE49B8" w:rsidRDefault="00BE49B8" w:rsidP="009676E2">
            <w:pPr>
              <w:ind w:left="0" w:right="0"/>
              <w:rPr>
                <w:sz w:val="18"/>
                <w:szCs w:val="18"/>
              </w:rPr>
            </w:pPr>
            <w:r w:rsidRPr="00BE49B8">
              <w:rPr>
                <w:sz w:val="18"/>
                <w:szCs w:val="18"/>
              </w:rPr>
              <w:t xml:space="preserve">Effect of steady-state </w:t>
            </w:r>
            <w:r w:rsidRPr="00BE49B8">
              <w:rPr>
                <w:rFonts w:eastAsia="TimesNewRoman"/>
                <w:sz w:val="18"/>
                <w:szCs w:val="18"/>
                <w:lang w:eastAsia="en-US"/>
              </w:rPr>
              <w:t>rifampin on the PKs of a single 15</w:t>
            </w:r>
            <w:r w:rsidR="00E87327">
              <w:rPr>
                <w:rFonts w:eastAsia="TimesNewRoman"/>
                <w:sz w:val="18"/>
                <w:szCs w:val="18"/>
                <w:lang w:eastAsia="en-US"/>
              </w:rPr>
              <w:t xml:space="preserve"> </w:t>
            </w:r>
            <w:r w:rsidR="006D7D02">
              <w:rPr>
                <w:rFonts w:eastAsia="TimesNewRoman"/>
                <w:sz w:val="18"/>
                <w:szCs w:val="18"/>
                <w:lang w:eastAsia="en-US"/>
              </w:rPr>
              <w:t>mg</w:t>
            </w:r>
            <w:r w:rsidRPr="00BE49B8">
              <w:rPr>
                <w:rFonts w:eastAsia="TimesNewRoman"/>
                <w:sz w:val="18"/>
                <w:szCs w:val="18"/>
                <w:lang w:eastAsia="en-US"/>
              </w:rPr>
              <w:t xml:space="preserve"> dose of ertugliflozin</w:t>
            </w:r>
          </w:p>
        </w:tc>
      </w:tr>
      <w:tr w:rsidR="00BE49B8" w:rsidRPr="00BE49B8" w14:paraId="095B9748" w14:textId="77777777" w:rsidTr="00BE49B8">
        <w:tc>
          <w:tcPr>
            <w:tcW w:w="1668" w:type="dxa"/>
            <w:vMerge/>
          </w:tcPr>
          <w:p w14:paraId="1FBDB4B9" w14:textId="77777777" w:rsidR="00BE49B8" w:rsidRPr="00BE49B8" w:rsidRDefault="00BE49B8" w:rsidP="009676E2">
            <w:pPr>
              <w:ind w:left="0" w:right="0"/>
              <w:rPr>
                <w:b/>
                <w:sz w:val="18"/>
                <w:szCs w:val="18"/>
              </w:rPr>
            </w:pPr>
          </w:p>
        </w:tc>
        <w:tc>
          <w:tcPr>
            <w:tcW w:w="1701" w:type="dxa"/>
          </w:tcPr>
          <w:p w14:paraId="4BCAE284" w14:textId="77777777" w:rsidR="00BE49B8" w:rsidRPr="00BE49B8" w:rsidRDefault="00BE49B8" w:rsidP="009676E2">
            <w:pPr>
              <w:ind w:left="0" w:right="0"/>
              <w:rPr>
                <w:sz w:val="18"/>
                <w:szCs w:val="18"/>
              </w:rPr>
            </w:pPr>
            <w:r w:rsidRPr="00BE49B8">
              <w:rPr>
                <w:sz w:val="18"/>
                <w:szCs w:val="18"/>
              </w:rPr>
              <w:t>Glimepiride</w:t>
            </w:r>
          </w:p>
        </w:tc>
        <w:tc>
          <w:tcPr>
            <w:tcW w:w="1559" w:type="dxa"/>
          </w:tcPr>
          <w:p w14:paraId="4160BC77" w14:textId="77777777" w:rsidR="00BE49B8" w:rsidRPr="00BE49B8" w:rsidRDefault="00BE49B8" w:rsidP="009676E2">
            <w:pPr>
              <w:ind w:left="0" w:right="0"/>
              <w:rPr>
                <w:sz w:val="18"/>
                <w:szCs w:val="18"/>
              </w:rPr>
            </w:pPr>
            <w:r w:rsidRPr="00BE49B8">
              <w:rPr>
                <w:bCs/>
                <w:color w:val="000000"/>
                <w:sz w:val="18"/>
                <w:szCs w:val="18"/>
              </w:rPr>
              <w:t>P032/1044</w:t>
            </w:r>
          </w:p>
        </w:tc>
        <w:tc>
          <w:tcPr>
            <w:tcW w:w="3685" w:type="dxa"/>
          </w:tcPr>
          <w:p w14:paraId="372B0B41" w14:textId="1511C1BD" w:rsidR="00BE49B8" w:rsidRPr="00BE49B8" w:rsidRDefault="00BE49B8" w:rsidP="009676E2">
            <w:pPr>
              <w:ind w:left="0" w:right="0"/>
              <w:rPr>
                <w:sz w:val="18"/>
                <w:szCs w:val="18"/>
              </w:rPr>
            </w:pPr>
            <w:r w:rsidRPr="00BE49B8">
              <w:rPr>
                <w:rFonts w:eastAsia="TimesNewRoman"/>
                <w:sz w:val="18"/>
                <w:szCs w:val="18"/>
                <w:lang w:eastAsia="en-US"/>
              </w:rPr>
              <w:t>Effect of 1</w:t>
            </w:r>
            <w:r w:rsidR="006D7D02">
              <w:rPr>
                <w:rFonts w:eastAsia="TimesNewRoman"/>
                <w:sz w:val="18"/>
                <w:szCs w:val="18"/>
                <w:lang w:eastAsia="en-US"/>
              </w:rPr>
              <w:t xml:space="preserve"> mg</w:t>
            </w:r>
            <w:r w:rsidRPr="00BE49B8">
              <w:rPr>
                <w:rFonts w:eastAsia="TimesNewRoman"/>
                <w:sz w:val="18"/>
                <w:szCs w:val="18"/>
                <w:lang w:eastAsia="en-US"/>
              </w:rPr>
              <w:t xml:space="preserve"> glimepiride on the PKs of 15</w:t>
            </w:r>
            <w:r w:rsidR="00E87327">
              <w:rPr>
                <w:rFonts w:eastAsia="TimesNewRoman"/>
                <w:sz w:val="18"/>
                <w:szCs w:val="18"/>
                <w:lang w:eastAsia="en-US"/>
              </w:rPr>
              <w:t> </w:t>
            </w:r>
            <w:r w:rsidR="006D7D02">
              <w:rPr>
                <w:rFonts w:eastAsia="TimesNewRoman"/>
                <w:sz w:val="18"/>
                <w:szCs w:val="18"/>
                <w:lang w:eastAsia="en-US"/>
              </w:rPr>
              <w:t>mg</w:t>
            </w:r>
            <w:r w:rsidRPr="00BE49B8">
              <w:rPr>
                <w:rFonts w:eastAsia="TimesNewRoman"/>
                <w:sz w:val="18"/>
                <w:szCs w:val="18"/>
                <w:lang w:eastAsia="en-US"/>
              </w:rPr>
              <w:t xml:space="preserve"> ertugliflozin </w:t>
            </w:r>
          </w:p>
        </w:tc>
      </w:tr>
      <w:tr w:rsidR="00BE49B8" w:rsidRPr="00BE49B8" w14:paraId="1CE04E5E" w14:textId="77777777" w:rsidTr="00BE49B8">
        <w:tc>
          <w:tcPr>
            <w:tcW w:w="1668" w:type="dxa"/>
          </w:tcPr>
          <w:p w14:paraId="19C75064" w14:textId="77777777" w:rsidR="00BE49B8" w:rsidRPr="00BE49B8" w:rsidRDefault="00BE49B8" w:rsidP="009676E2">
            <w:pPr>
              <w:ind w:left="0" w:right="0"/>
              <w:rPr>
                <w:b/>
                <w:sz w:val="18"/>
                <w:szCs w:val="18"/>
              </w:rPr>
            </w:pPr>
            <w:r w:rsidRPr="00BE49B8">
              <w:rPr>
                <w:b/>
                <w:sz w:val="18"/>
                <w:szCs w:val="18"/>
              </w:rPr>
              <w:t>Population PK analyses</w:t>
            </w:r>
          </w:p>
        </w:tc>
        <w:tc>
          <w:tcPr>
            <w:tcW w:w="1701" w:type="dxa"/>
          </w:tcPr>
          <w:p w14:paraId="0E63DEC1" w14:textId="77777777" w:rsidR="00BE49B8" w:rsidRPr="00BE49B8" w:rsidRDefault="00BE49B8" w:rsidP="009676E2">
            <w:pPr>
              <w:ind w:left="0" w:right="0"/>
              <w:rPr>
                <w:sz w:val="18"/>
                <w:szCs w:val="18"/>
              </w:rPr>
            </w:pPr>
            <w:r w:rsidRPr="00BE49B8">
              <w:rPr>
                <w:sz w:val="18"/>
                <w:szCs w:val="18"/>
              </w:rPr>
              <w:t>Healthy and target pop</w:t>
            </w:r>
          </w:p>
        </w:tc>
        <w:tc>
          <w:tcPr>
            <w:tcW w:w="1559" w:type="dxa"/>
          </w:tcPr>
          <w:p w14:paraId="28653E19" w14:textId="77777777" w:rsidR="00BE49B8" w:rsidRPr="00BE49B8" w:rsidRDefault="00BE49B8" w:rsidP="009676E2">
            <w:pPr>
              <w:ind w:left="0" w:right="0"/>
              <w:rPr>
                <w:sz w:val="18"/>
                <w:szCs w:val="18"/>
              </w:rPr>
            </w:pPr>
            <w:r w:rsidRPr="00BE49B8">
              <w:rPr>
                <w:rFonts w:eastAsiaTheme="minorHAnsi"/>
                <w:sz w:val="18"/>
                <w:szCs w:val="18"/>
                <w:lang w:eastAsia="en-US"/>
              </w:rPr>
              <w:t>PMAR-EQDD-B152a-DP4-403</w:t>
            </w:r>
          </w:p>
        </w:tc>
        <w:tc>
          <w:tcPr>
            <w:tcW w:w="3685" w:type="dxa"/>
          </w:tcPr>
          <w:p w14:paraId="4F0C1076" w14:textId="77777777" w:rsidR="00BE49B8" w:rsidRPr="00BE49B8" w:rsidRDefault="00BE49B8" w:rsidP="009676E2">
            <w:pPr>
              <w:ind w:left="0" w:right="0"/>
              <w:rPr>
                <w:sz w:val="18"/>
                <w:szCs w:val="18"/>
              </w:rPr>
            </w:pPr>
            <w:r w:rsidRPr="00BE49B8">
              <w:rPr>
                <w:rFonts w:eastAsiaTheme="minorHAnsi"/>
                <w:sz w:val="18"/>
                <w:szCs w:val="18"/>
                <w:lang w:eastAsia="en-US"/>
              </w:rPr>
              <w:t xml:space="preserve">To describe the structural PK model and quantify the population variability in ertugliflozin PKs </w:t>
            </w:r>
          </w:p>
        </w:tc>
      </w:tr>
    </w:tbl>
    <w:p w14:paraId="642B3B45" w14:textId="77777777" w:rsidR="00A80F43" w:rsidRDefault="0068452D" w:rsidP="00BE49B8">
      <w:pPr>
        <w:pStyle w:val="TableDescription"/>
      </w:pPr>
      <w:r w:rsidRPr="002E2E9A">
        <w:t>* Indicates the primary PK aim of the study</w:t>
      </w:r>
      <w:proofErr w:type="gramStart"/>
      <w:r w:rsidRPr="002E2E9A">
        <w:t>.†</w:t>
      </w:r>
      <w:proofErr w:type="gramEnd"/>
      <w:r w:rsidRPr="002E2E9A">
        <w:t xml:space="preserve"> Bioequivalence of different formulations.</w:t>
      </w:r>
      <w:r w:rsidR="00BE49B8">
        <w:t xml:space="preserve"> </w:t>
      </w:r>
      <w:r w:rsidRPr="002E2E9A">
        <w:t>§ Subjects who would be eligible to receive the drug if approved for the proposed indication.</w:t>
      </w:r>
    </w:p>
    <w:p w14:paraId="698DBF13" w14:textId="77777777" w:rsidR="00BE49B8" w:rsidRDefault="00BE49B8" w:rsidP="00E700A6">
      <w:r>
        <w:t>One PK BA/BE study was excluded from consideration (</w:t>
      </w:r>
      <w:r w:rsidR="00E700A6">
        <w:t xml:space="preserve">Study </w:t>
      </w:r>
      <w:r>
        <w:t>P039/1005).</w:t>
      </w:r>
    </w:p>
    <w:p w14:paraId="7DE82326" w14:textId="77777777" w:rsidR="004C4E10" w:rsidRDefault="004C4E10" w:rsidP="00E700A6">
      <w:pPr>
        <w:pStyle w:val="Heading4"/>
      </w:pPr>
      <w:r>
        <w:t>Evaluator’s overall conclusions on pharmacokinetics</w:t>
      </w:r>
    </w:p>
    <w:p w14:paraId="4D99748C" w14:textId="77777777" w:rsidR="004C4E10" w:rsidRDefault="004C4E10" w:rsidP="004C4E10">
      <w:r>
        <w:t>Overall, the conduct of the PK studies of ertugliflozin was satisfactory and was compliant with existing TGA guidelines, validated analytical methods were employed and the data analyses undertaken were appropriate.</w:t>
      </w:r>
    </w:p>
    <w:p w14:paraId="1318EF8F" w14:textId="77777777" w:rsidR="004C4E10" w:rsidRDefault="004C4E10" w:rsidP="00A80F43">
      <w:pPr>
        <w:pStyle w:val="Heading5"/>
      </w:pPr>
      <w:r>
        <w:t>ADME</w:t>
      </w:r>
    </w:p>
    <w:p w14:paraId="3EAB0C7A" w14:textId="1473E0C9" w:rsidR="004C4E10" w:rsidRDefault="004C4E10" w:rsidP="00A80F43">
      <w:pPr>
        <w:pStyle w:val="ListBullet"/>
      </w:pPr>
      <w:r>
        <w:t>The absolute oral bioavailability of a single 15</w:t>
      </w:r>
      <w:r w:rsidR="00E87327">
        <w:t xml:space="preserve"> </w:t>
      </w:r>
      <w:r w:rsidR="006D7D02">
        <w:t>mg</w:t>
      </w:r>
      <w:r>
        <w:t xml:space="preserve"> dose of amorphous ertugliflozin was 104.7%.</w:t>
      </w:r>
      <w:r w:rsidR="00B51DF2">
        <w:t xml:space="preserve"> </w:t>
      </w:r>
      <w:r>
        <w:t>Following administration of a single oral 15</w:t>
      </w:r>
      <w:r w:rsidR="00E87327">
        <w:t xml:space="preserve"> </w:t>
      </w:r>
      <w:r w:rsidR="006D7D02">
        <w:t>mg</w:t>
      </w:r>
      <w:r>
        <w:t xml:space="preserve"> dose of the commercial image tablet the median </w:t>
      </w:r>
      <w:r w:rsidR="00E700A6">
        <w:t>T</w:t>
      </w:r>
      <w:r w:rsidR="00E700A6" w:rsidRPr="00E700A6">
        <w:rPr>
          <w:vertAlign w:val="subscript"/>
        </w:rPr>
        <w:t>max</w:t>
      </w:r>
      <w:r>
        <w:t xml:space="preserve"> occurred 1 h after dosing and the mean </w:t>
      </w:r>
      <w:r w:rsidR="00E700A6">
        <w:t>t</w:t>
      </w:r>
      <w:r w:rsidR="00E700A6" w:rsidRPr="00E700A6">
        <w:rPr>
          <w:vertAlign w:val="subscript"/>
        </w:rPr>
        <w:t>1/2</w:t>
      </w:r>
      <w:r>
        <w:t xml:space="preserve"> was 12.6 h. A high-fat/high-calorie breakfast had no effect on the </w:t>
      </w:r>
      <w:r w:rsidR="00E700A6">
        <w:t>AUC</w:t>
      </w:r>
      <w:r w:rsidR="00E700A6" w:rsidRPr="00E700A6">
        <w:rPr>
          <w:vertAlign w:val="subscript"/>
        </w:rPr>
        <w:t>inf</w:t>
      </w:r>
      <w:r>
        <w:t xml:space="preserve"> of a 15</w:t>
      </w:r>
      <w:r w:rsidR="00E87327">
        <w:t xml:space="preserve"> </w:t>
      </w:r>
      <w:r w:rsidR="006D7D02">
        <w:t>mg</w:t>
      </w:r>
      <w:r>
        <w:t xml:space="preserve"> dose and reduced </w:t>
      </w:r>
      <w:r w:rsidR="00E700A6">
        <w:t>C</w:t>
      </w:r>
      <w:r w:rsidR="00E700A6" w:rsidRPr="00E700A6">
        <w:rPr>
          <w:vertAlign w:val="subscript"/>
        </w:rPr>
        <w:t>max</w:t>
      </w:r>
      <w:r>
        <w:t xml:space="preserve"> by 29%, which is unlikely to be clinically relevant. Hence, the proposed dosing with or without food is justified; however, dosing should be undertaken at the same time of day as indicated by the </w:t>
      </w:r>
      <w:r w:rsidR="00B51DF2">
        <w:t>Phase III</w:t>
      </w:r>
      <w:r>
        <w:t xml:space="preserve"> studies. The commercial image tablet (1 x 15</w:t>
      </w:r>
      <w:r w:rsidR="00E87327">
        <w:t xml:space="preserve"> </w:t>
      </w:r>
      <w:r w:rsidR="006D7D02">
        <w:t>mg</w:t>
      </w:r>
      <w:r>
        <w:t xml:space="preserve">) and </w:t>
      </w:r>
      <w:r w:rsidR="00B51DF2">
        <w:lastRenderedPageBreak/>
        <w:t>Phase III</w:t>
      </w:r>
      <w:r>
        <w:t xml:space="preserve"> tablets (administered as a 10</w:t>
      </w:r>
      <w:r w:rsidR="00E87327">
        <w:t xml:space="preserve"> </w:t>
      </w:r>
      <w:r w:rsidR="006D7D02">
        <w:t>mg</w:t>
      </w:r>
      <w:r>
        <w:t xml:space="preserve"> tablet + a 5</w:t>
      </w:r>
      <w:r w:rsidR="00E87327">
        <w:t xml:space="preserve"> </w:t>
      </w:r>
      <w:r w:rsidR="006D7D02">
        <w:t>mg</w:t>
      </w:r>
      <w:r>
        <w:t xml:space="preserve"> tablet) were bioequivalent, as were the tablets that contained the </w:t>
      </w:r>
      <w:r w:rsidR="00B51DF2">
        <w:t>Phase III</w:t>
      </w:r>
      <w:r>
        <w:t xml:space="preserve"> and amorphous formulations.</w:t>
      </w:r>
    </w:p>
    <w:p w14:paraId="430A81C2" w14:textId="7A725426" w:rsidR="004C4E10" w:rsidRDefault="004C4E10" w:rsidP="00A80F43">
      <w:pPr>
        <w:pStyle w:val="ListBullet"/>
      </w:pPr>
      <w:r>
        <w:t>Followi</w:t>
      </w:r>
      <w:r w:rsidR="00A04B32">
        <w:t>ng administration of single 0.5 to 300</w:t>
      </w:r>
      <w:r w:rsidR="006D7D02">
        <w:t xml:space="preserve"> mg</w:t>
      </w:r>
      <w:r>
        <w:t xml:space="preserve"> doses, ertugliflozin </w:t>
      </w:r>
      <w:r w:rsidR="00E700A6">
        <w:t>C</w:t>
      </w:r>
      <w:r w:rsidR="00E700A6" w:rsidRPr="00E700A6">
        <w:rPr>
          <w:vertAlign w:val="subscript"/>
        </w:rPr>
        <w:t>max</w:t>
      </w:r>
      <w:r>
        <w:t xml:space="preserve"> and </w:t>
      </w:r>
      <w:r w:rsidR="00E700A6">
        <w:t>AUC</w:t>
      </w:r>
      <w:r w:rsidR="00E700A6" w:rsidRPr="00E700A6">
        <w:rPr>
          <w:vertAlign w:val="subscript"/>
        </w:rPr>
        <w:t>inf</w:t>
      </w:r>
      <w:r>
        <w:t xml:space="preserve"> increased linearly with increasing dose. Similarly, following 14 days of treatment with QD doses ranging from 1</w:t>
      </w:r>
      <w:r w:rsidR="006D7D02">
        <w:t xml:space="preserve"> mg</w:t>
      </w:r>
      <w:r>
        <w:t xml:space="preserve"> to 100</w:t>
      </w:r>
      <w:r w:rsidR="00E87327">
        <w:t xml:space="preserve"> </w:t>
      </w:r>
      <w:r w:rsidR="006D7D02">
        <w:t>mg</w:t>
      </w:r>
      <w:r>
        <w:t xml:space="preserve">, mean </w:t>
      </w:r>
      <w:r w:rsidR="00E700A6">
        <w:t>C</w:t>
      </w:r>
      <w:r w:rsidR="00E700A6" w:rsidRPr="00E700A6">
        <w:rPr>
          <w:vertAlign w:val="subscript"/>
        </w:rPr>
        <w:t>max</w:t>
      </w:r>
      <w:r>
        <w:t xml:space="preserve"> and </w:t>
      </w:r>
      <w:r w:rsidR="00E700A6">
        <w:t>AUC</w:t>
      </w:r>
      <w:r w:rsidR="00E700A6" w:rsidRPr="00E700A6">
        <w:rPr>
          <w:vertAlign w:val="subscript"/>
        </w:rPr>
        <w:t>τ</w:t>
      </w:r>
      <w:r>
        <w:t xml:space="preserve"> values increased proportionally with dose and the relative accumulation ratios for the 1</w:t>
      </w:r>
      <w:r w:rsidR="00E87327">
        <w:t xml:space="preserve"> </w:t>
      </w:r>
      <w:r w:rsidR="006D7D02">
        <w:t>mg</w:t>
      </w:r>
      <w:r>
        <w:t>, 5</w:t>
      </w:r>
      <w:r w:rsidR="00E87327">
        <w:t xml:space="preserve"> </w:t>
      </w:r>
      <w:r w:rsidR="006D7D02">
        <w:t>mg</w:t>
      </w:r>
      <w:r>
        <w:t>, 25</w:t>
      </w:r>
      <w:r w:rsidR="00E87327">
        <w:t> </w:t>
      </w:r>
      <w:r w:rsidR="006D7D02">
        <w:t>mg</w:t>
      </w:r>
      <w:r>
        <w:t xml:space="preserve"> and 100</w:t>
      </w:r>
      <w:r w:rsidR="00E87327">
        <w:t xml:space="preserve"> </w:t>
      </w:r>
      <w:r w:rsidR="006D7D02">
        <w:t>mg</w:t>
      </w:r>
      <w:r>
        <w:t xml:space="preserve"> doses were, 1.36, 1.2</w:t>
      </w:r>
      <w:r w:rsidR="00A04B32">
        <w:t>5, 1.22 and 1.38, respectively.</w:t>
      </w:r>
    </w:p>
    <w:p w14:paraId="0520B65D" w14:textId="6E6DE524" w:rsidR="004C4E10" w:rsidRDefault="004C4E10" w:rsidP="00A80F43">
      <w:pPr>
        <w:pStyle w:val="ListBullet"/>
      </w:pPr>
      <w:r>
        <w:t>A study that compared the PKs of ertugliflozin following 6 days of dosing with either 7.5</w:t>
      </w:r>
      <w:r w:rsidR="00E87327">
        <w:t xml:space="preserve"> </w:t>
      </w:r>
      <w:r w:rsidR="006D7D02">
        <w:t>mg</w:t>
      </w:r>
      <w:r>
        <w:t xml:space="preserve"> </w:t>
      </w:r>
      <w:r w:rsidR="00AD51CF">
        <w:t>BD</w:t>
      </w:r>
      <w:r>
        <w:t xml:space="preserve"> or 15</w:t>
      </w:r>
      <w:r w:rsidR="00E87327">
        <w:t xml:space="preserve"> </w:t>
      </w:r>
      <w:r w:rsidR="006D7D02">
        <w:t>mg</w:t>
      </w:r>
      <w:r>
        <w:t xml:space="preserve"> QD identified that the </w:t>
      </w:r>
      <w:r w:rsidR="00E700A6">
        <w:t>AUC</w:t>
      </w:r>
      <w:r w:rsidR="00E700A6" w:rsidRPr="00E700A6">
        <w:rPr>
          <w:vertAlign w:val="subscript"/>
        </w:rPr>
        <w:t>24</w:t>
      </w:r>
      <w:r>
        <w:t xml:space="preserve"> was similar following both treatments, whereas, </w:t>
      </w:r>
      <w:r w:rsidR="00E700A6">
        <w:t>C</w:t>
      </w:r>
      <w:r w:rsidR="00E700A6" w:rsidRPr="00E700A6">
        <w:rPr>
          <w:vertAlign w:val="subscript"/>
        </w:rPr>
        <w:t>max</w:t>
      </w:r>
      <w:r>
        <w:t xml:space="preserve"> after the morning dose was higher following QD rather than </w:t>
      </w:r>
      <w:r w:rsidR="00AD51CF">
        <w:t>BD</w:t>
      </w:r>
      <w:r>
        <w:t xml:space="preserve"> dosing.</w:t>
      </w:r>
    </w:p>
    <w:p w14:paraId="5300BAD1" w14:textId="59C2A07F" w:rsidR="004C4E10" w:rsidRDefault="004C4E10" w:rsidP="00A80F43">
      <w:pPr>
        <w:pStyle w:val="ListBullet"/>
      </w:pPr>
      <w:r>
        <w:t xml:space="preserve">The </w:t>
      </w:r>
      <w:r w:rsidR="00E700A6">
        <w:t>absolute volume of distribution (</w:t>
      </w:r>
      <w:r>
        <w:t>Vz/F</w:t>
      </w:r>
      <w:r w:rsidR="00E700A6">
        <w:t>)</w:t>
      </w:r>
      <w:r>
        <w:t xml:space="preserve"> for a 15</w:t>
      </w:r>
      <w:r w:rsidR="00E87327">
        <w:t xml:space="preserve"> </w:t>
      </w:r>
      <w:r w:rsidR="006D7D02">
        <w:t>mg</w:t>
      </w:r>
      <w:r>
        <w:t xml:space="preserve"> dose of unlabelled ertugliflozin was 215.3 L. Plasma protein binding was high with in vitro studies indicating that 93.6% of a 2.3 µM concentration being protein bound. In human whole blood, ertugliflozin distributed preferentially into plasma relative to red blood cells with a blood-to-plasma concentration ratio of 0.66.</w:t>
      </w:r>
    </w:p>
    <w:p w14:paraId="5E0BC422" w14:textId="3BBABE61" w:rsidR="004C4E10" w:rsidRDefault="004C4E10" w:rsidP="00A80F43">
      <w:pPr>
        <w:pStyle w:val="ListBullet"/>
      </w:pPr>
      <w:r>
        <w:t>HPLC analysis identified 8 metabolites following dosing with ertugliflozin in humans. Glucuronidation, which accounts for approximately 86% of ertugliflozin metabolism, was identified as the major metabolic pathway and the glucuronides, M5a, M5b, M5c, and M6a, were identified as the major circulating metabolites. They were responsible for 12.2%, 4.1%, 24.1%, and 6.0% of total radioactivity in plasma, respectively. Following multiple QD doses of 1 to 100</w:t>
      </w:r>
      <w:r w:rsidR="00E87327">
        <w:t xml:space="preserve"> </w:t>
      </w:r>
      <w:r w:rsidR="006D7D02">
        <w:t>mg</w:t>
      </w:r>
      <w:r>
        <w:t xml:space="preserve"> of ertugliflozin, M2 exposure represented less than 2% of that of the parent compound. Following an oral dose of radioactive ertugliflozin, 50.2% of the radioactivity was recovered in the urine and 40.9% was recovered in the faeces. Ertugliflozin accounted for approximately 50% of the circulating radioactivity.</w:t>
      </w:r>
    </w:p>
    <w:p w14:paraId="04702EE3" w14:textId="77777777" w:rsidR="004C4E10" w:rsidRDefault="004C4E10" w:rsidP="00A80F43">
      <w:pPr>
        <w:pStyle w:val="ListBullet"/>
      </w:pPr>
      <w:r>
        <w:t xml:space="preserve">The inter-individual variance on </w:t>
      </w:r>
      <w:r w:rsidR="00D83148">
        <w:t>absolute clearance (</w:t>
      </w:r>
      <w:r>
        <w:t>CL/F</w:t>
      </w:r>
      <w:r w:rsidR="00D83148">
        <w:t>)</w:t>
      </w:r>
      <w:r>
        <w:t xml:space="preserve"> expressed as %CV was 32%, whereas, the residual error estimates were 38.7% for the </w:t>
      </w:r>
      <w:r w:rsidR="00B51DF2">
        <w:t>Phase I</w:t>
      </w:r>
      <w:r>
        <w:t xml:space="preserve"> studies and 83.6% for the Phase</w:t>
      </w:r>
      <w:r w:rsidR="00D83148">
        <w:t xml:space="preserve"> II</w:t>
      </w:r>
      <w:r>
        <w:t xml:space="preserve"> and </w:t>
      </w:r>
      <w:r w:rsidR="00D83148">
        <w:t>III</w:t>
      </w:r>
      <w:r>
        <w:t xml:space="preserve"> studies.</w:t>
      </w:r>
    </w:p>
    <w:p w14:paraId="5EC36878" w14:textId="77777777" w:rsidR="004C4E10" w:rsidRDefault="004C4E10" w:rsidP="00A80F43">
      <w:pPr>
        <w:pStyle w:val="Heading6"/>
      </w:pPr>
      <w:r>
        <w:t>Target population</w:t>
      </w:r>
    </w:p>
    <w:p w14:paraId="098BB1AB" w14:textId="77777777" w:rsidR="004C4E10" w:rsidRDefault="004C4E10" w:rsidP="00A80F43">
      <w:pPr>
        <w:pStyle w:val="ListBullet"/>
      </w:pPr>
      <w:r>
        <w:t>Pop</w:t>
      </w:r>
      <w:r w:rsidR="00D83148">
        <w:t xml:space="preserve">ulation </w:t>
      </w:r>
      <w:r>
        <w:t xml:space="preserve">PK </w:t>
      </w:r>
      <w:r w:rsidR="00D83148">
        <w:t xml:space="preserve">(popPK) </w:t>
      </w:r>
      <w:r>
        <w:t>analysis predicted that ertugliflozin CL/F was reduced by approximately 10% in patients with T2DM compared to healthy subjects; however; this difference is unlikely to be clinically relevant.</w:t>
      </w:r>
    </w:p>
    <w:p w14:paraId="4F2B9A14" w14:textId="0B0FD0A3" w:rsidR="004C4E10" w:rsidRDefault="004C4E10" w:rsidP="00A80F43">
      <w:pPr>
        <w:pStyle w:val="ListBullet"/>
      </w:pPr>
      <w:r>
        <w:t>Following QD administration of a range of ertugliflozin doses</w:t>
      </w:r>
      <w:r w:rsidR="00B51DF2">
        <w:t xml:space="preserve"> </w:t>
      </w:r>
      <w:r>
        <w:t>to subjects with T2DM manifesting inadequate glycaemic and blood pressure control ertugliflozin trough concentrations increased proportionally with increasing dose and appeared to be stable over time. Similarly, following</w:t>
      </w:r>
      <w:r w:rsidR="00B51DF2">
        <w:t xml:space="preserve"> </w:t>
      </w:r>
      <w:r>
        <w:t>QD doses to subjects with inadequately controlled T2DM who were receiving stable doses of metformin, ertugliflozin trough levels increased proportionally with increasing dose and appeared to be stable over time.</w:t>
      </w:r>
      <w:r w:rsidR="00B51DF2">
        <w:t xml:space="preserve"> </w:t>
      </w:r>
      <w:r>
        <w:t xml:space="preserve">It is important to note that none of the above </w:t>
      </w:r>
      <w:r w:rsidR="00B51DF2">
        <w:t>Phase II</w:t>
      </w:r>
      <w:r>
        <w:t xml:space="preserve"> dose</w:t>
      </w:r>
      <w:r w:rsidR="00D83148">
        <w:t xml:space="preserve"> </w:t>
      </w:r>
      <w:r>
        <w:t>ranging studies evaluated the proposed 1</w:t>
      </w:r>
      <w:r w:rsidR="00731A2E">
        <w:t>5</w:t>
      </w:r>
      <w:r w:rsidR="00E87327">
        <w:t xml:space="preserve"> </w:t>
      </w:r>
      <w:r w:rsidR="006D7D02">
        <w:t>mg</w:t>
      </w:r>
      <w:r>
        <w:t xml:space="preserve"> dose of ertugliflozin.</w:t>
      </w:r>
    </w:p>
    <w:p w14:paraId="56C2CA81" w14:textId="77777777" w:rsidR="004C4E10" w:rsidRDefault="004C4E10" w:rsidP="00A80F43">
      <w:pPr>
        <w:pStyle w:val="Heading6"/>
      </w:pPr>
      <w:r>
        <w:t>Special populations</w:t>
      </w:r>
    </w:p>
    <w:p w14:paraId="09DF9D85" w14:textId="77777777" w:rsidR="004C4E10" w:rsidRDefault="004C4E10" w:rsidP="00A80F43">
      <w:pPr>
        <w:pStyle w:val="ListBullet"/>
      </w:pPr>
      <w:r>
        <w:t xml:space="preserve">The </w:t>
      </w:r>
      <w:r w:rsidR="00D83148">
        <w:t>geometric mean ratios (</w:t>
      </w:r>
      <w:r>
        <w:t>GMRs</w:t>
      </w:r>
      <w:r w:rsidR="00D83148">
        <w:t>)</w:t>
      </w:r>
      <w:r>
        <w:t xml:space="preserve"> for </w:t>
      </w:r>
      <w:r w:rsidR="00E700A6">
        <w:t>AUC</w:t>
      </w:r>
      <w:r w:rsidR="00E700A6" w:rsidRPr="00E700A6">
        <w:rPr>
          <w:vertAlign w:val="subscript"/>
        </w:rPr>
        <w:t>inf</w:t>
      </w:r>
      <w:r>
        <w:t xml:space="preserve"> and </w:t>
      </w:r>
      <w:r w:rsidR="00E700A6">
        <w:t>C</w:t>
      </w:r>
      <w:r w:rsidR="00E700A6" w:rsidRPr="00E700A6">
        <w:rPr>
          <w:vertAlign w:val="subscript"/>
        </w:rPr>
        <w:t>max</w:t>
      </w:r>
      <w:r>
        <w:t xml:space="preserve"> in subjects with moderate hepatic impairment compared to subjects with normal hepatic function were approximately 12 and 22% lower, respectively.</w:t>
      </w:r>
    </w:p>
    <w:p w14:paraId="62AAA4F2" w14:textId="09B9C14F" w:rsidR="004C4E10" w:rsidRDefault="004C4E10" w:rsidP="00A80F43">
      <w:pPr>
        <w:pStyle w:val="ListBullet"/>
      </w:pPr>
      <w:r>
        <w:t>In subjects with normal renal function, either healthy or with T2DM, the AUC values for ertugliflozin were similar.</w:t>
      </w:r>
      <w:r w:rsidR="00B51DF2">
        <w:t xml:space="preserve"> </w:t>
      </w:r>
      <w:r>
        <w:t xml:space="preserve">In comparison to subjects with normal renal function, </w:t>
      </w:r>
      <w:r w:rsidR="00E700A6">
        <w:lastRenderedPageBreak/>
        <w:t>AUC</w:t>
      </w:r>
      <w:r w:rsidR="00E700A6" w:rsidRPr="00E700A6">
        <w:rPr>
          <w:vertAlign w:val="subscript"/>
        </w:rPr>
        <w:t>inf</w:t>
      </w:r>
      <w:r>
        <w:t xml:space="preserve"> values for subjects with T2DM and mild, moderate and severe renal impairment were 1.2, 1.4</w:t>
      </w:r>
      <w:r w:rsidR="006D7D02">
        <w:t xml:space="preserve"> </w:t>
      </w:r>
      <w:r>
        <w:t>and 1.7</w:t>
      </w:r>
      <w:r w:rsidR="00D83148">
        <w:t xml:space="preserve"> </w:t>
      </w:r>
      <w:r>
        <w:t>fold higher, respectively.</w:t>
      </w:r>
    </w:p>
    <w:p w14:paraId="4786C981" w14:textId="4AB985EA" w:rsidR="004C4E10" w:rsidRDefault="004C4E10" w:rsidP="00A80F43">
      <w:pPr>
        <w:pStyle w:val="ListBullet"/>
      </w:pPr>
      <w:r>
        <w:t>Following single doses of 1</w:t>
      </w:r>
      <w:r w:rsidR="00E87327">
        <w:t xml:space="preserve"> </w:t>
      </w:r>
      <w:r w:rsidR="006D7D02">
        <w:t>mg</w:t>
      </w:r>
      <w:r>
        <w:t>, 5</w:t>
      </w:r>
      <w:r w:rsidR="00E87327">
        <w:t xml:space="preserve"> </w:t>
      </w:r>
      <w:r w:rsidR="006D7D02">
        <w:t>mg</w:t>
      </w:r>
      <w:r>
        <w:t xml:space="preserve"> and 25</w:t>
      </w:r>
      <w:r w:rsidR="00E87327">
        <w:t xml:space="preserve"> </w:t>
      </w:r>
      <w:r w:rsidR="006D7D02">
        <w:t>mg</w:t>
      </w:r>
      <w:r>
        <w:t xml:space="preserve"> in Japanese and Western males, the GMRs for </w:t>
      </w:r>
      <w:r w:rsidR="00E700A6">
        <w:t>AUC</w:t>
      </w:r>
      <w:r w:rsidR="00E700A6" w:rsidRPr="00E700A6">
        <w:rPr>
          <w:vertAlign w:val="subscript"/>
        </w:rPr>
        <w:t>inf</w:t>
      </w:r>
      <w:r>
        <w:t xml:space="preserve"> ranged from 91.05% to 98.94%.</w:t>
      </w:r>
    </w:p>
    <w:p w14:paraId="18ED41CB" w14:textId="77777777" w:rsidR="004C4E10" w:rsidRDefault="004C4E10" w:rsidP="00A80F43">
      <w:pPr>
        <w:pStyle w:val="Heading6"/>
      </w:pPr>
      <w:r>
        <w:t>PopPK</w:t>
      </w:r>
    </w:p>
    <w:p w14:paraId="6101B9BF" w14:textId="77777777" w:rsidR="004C4E10" w:rsidRPr="0009659F" w:rsidRDefault="004C4E10">
      <w:pPr>
        <w:pStyle w:val="ListBullet"/>
      </w:pPr>
      <w:r w:rsidRPr="0009659F">
        <w:t>The popPK analysis identified that ertugliflozin plasma concentration data from patients with T2DM could be characterised by a 2-compartment model with lag time, first-order absorption, and first-order elimination.</w:t>
      </w:r>
      <w:r w:rsidR="00B51DF2" w:rsidRPr="0009659F">
        <w:t xml:space="preserve"> </w:t>
      </w:r>
      <w:r w:rsidRPr="0009659F">
        <w:t>A number of significant covariates were identified for CL/F, AUCt, relative bioavailability and ka; however, the magnitude of the changes (≤ 56%) induced by any one of the covariates could not be considered clinically relevant. By contrast, the covariate Asian race increased Vc/F by 112%.</w:t>
      </w:r>
    </w:p>
    <w:p w14:paraId="1A3FCCA6" w14:textId="77777777" w:rsidR="004C4E10" w:rsidRDefault="004C4E10" w:rsidP="00A80F43">
      <w:pPr>
        <w:pStyle w:val="Heading6"/>
      </w:pPr>
      <w:r>
        <w:t>D</w:t>
      </w:r>
      <w:r w:rsidR="00D83148">
        <w:t>rug-drug interactions (DDIs)</w:t>
      </w:r>
    </w:p>
    <w:p w14:paraId="1C9AC43D" w14:textId="77777777" w:rsidR="004C4E10" w:rsidRDefault="004C4E10" w:rsidP="00A80F43">
      <w:pPr>
        <w:pStyle w:val="ListBullet"/>
      </w:pPr>
      <w:r>
        <w:t>There was no DDI between ertugliflozin and metformin, sitagliptin or glimepiride.</w:t>
      </w:r>
    </w:p>
    <w:p w14:paraId="78671A05" w14:textId="77777777" w:rsidR="004C4E10" w:rsidRDefault="004C4E10" w:rsidP="00A80F43">
      <w:pPr>
        <w:pStyle w:val="ListBullet"/>
      </w:pPr>
      <w:r>
        <w:t xml:space="preserve">Although a single dose of simvastatin had no effect on ertugliflozin exposure, co-administration increased simvastatin </w:t>
      </w:r>
      <w:r w:rsidR="00E700A6">
        <w:t>AUC</w:t>
      </w:r>
      <w:r w:rsidR="00E700A6" w:rsidRPr="00E700A6">
        <w:rPr>
          <w:vertAlign w:val="subscript"/>
        </w:rPr>
        <w:t>inf</w:t>
      </w:r>
      <w:r>
        <w:t xml:space="preserve"> by approximately 24%.</w:t>
      </w:r>
    </w:p>
    <w:p w14:paraId="265E250F" w14:textId="76FD9C0F" w:rsidR="004C4E10" w:rsidRDefault="004C4E10" w:rsidP="00A80F43">
      <w:pPr>
        <w:pStyle w:val="ListBullet"/>
      </w:pPr>
      <w:r>
        <w:t>Steady-state rifampin 600</w:t>
      </w:r>
      <w:r w:rsidR="00E87327">
        <w:t xml:space="preserve"> </w:t>
      </w:r>
      <w:r w:rsidR="006D7D02">
        <w:t>mg</w:t>
      </w:r>
      <w:r>
        <w:t xml:space="preserve"> QD reduced ertugliflozin </w:t>
      </w:r>
      <w:r w:rsidR="00E700A6">
        <w:t>AUC</w:t>
      </w:r>
      <w:r w:rsidR="00E700A6" w:rsidRPr="00E700A6">
        <w:rPr>
          <w:vertAlign w:val="subscript"/>
        </w:rPr>
        <w:t>inf</w:t>
      </w:r>
      <w:r>
        <w:t xml:space="preserve"> and </w:t>
      </w:r>
      <w:r w:rsidR="00E700A6">
        <w:t>C</w:t>
      </w:r>
      <w:r w:rsidR="00E700A6" w:rsidRPr="00E700A6">
        <w:rPr>
          <w:vertAlign w:val="subscript"/>
        </w:rPr>
        <w:t>max</w:t>
      </w:r>
      <w:r>
        <w:t xml:space="preserve"> following a single dose by approximately 39% and 15%, respectively.</w:t>
      </w:r>
    </w:p>
    <w:p w14:paraId="04C071DE" w14:textId="77777777" w:rsidR="004C4E10" w:rsidRDefault="004C4E10" w:rsidP="004C4E10">
      <w:r>
        <w:t>Overall, the PK sections of the proposed PI accurately reflect the submitted data.</w:t>
      </w:r>
    </w:p>
    <w:p w14:paraId="65DCF4B7" w14:textId="3CC985F4" w:rsidR="004C4E10" w:rsidRDefault="004C4E10" w:rsidP="004C4E10">
      <w:r>
        <w:t xml:space="preserve">The following limitations have </w:t>
      </w:r>
      <w:r w:rsidR="00A04B32">
        <w:t>been identified in the PK data:</w:t>
      </w:r>
    </w:p>
    <w:p w14:paraId="68A4EA9E" w14:textId="3A80ACCC" w:rsidR="004C4E10" w:rsidRPr="00C65C63" w:rsidRDefault="00D83148" w:rsidP="00A80F43">
      <w:pPr>
        <w:pStyle w:val="ListBullet"/>
      </w:pPr>
      <w:r w:rsidRPr="00C65C63">
        <w:t>T</w:t>
      </w:r>
      <w:r w:rsidR="004C4E10" w:rsidRPr="00C65C63">
        <w:t>he bioequivalence of the 5</w:t>
      </w:r>
      <w:r w:rsidR="00E87327">
        <w:t xml:space="preserve"> </w:t>
      </w:r>
      <w:r w:rsidR="006D7D02">
        <w:t>mg</w:t>
      </w:r>
      <w:r w:rsidR="004C4E10" w:rsidRPr="00C65C63">
        <w:t xml:space="preserve"> commercial image tablet and 5</w:t>
      </w:r>
      <w:r w:rsidR="00E87327">
        <w:t xml:space="preserve"> </w:t>
      </w:r>
      <w:r w:rsidR="006D7D02">
        <w:t>mg</w:t>
      </w:r>
      <w:r w:rsidR="004C4E10" w:rsidRPr="00C65C63">
        <w:t xml:space="preserve"> </w:t>
      </w:r>
      <w:r w:rsidR="00B51DF2" w:rsidRPr="00C65C63">
        <w:t>Phase III</w:t>
      </w:r>
      <w:r w:rsidR="004C4E10" w:rsidRPr="00C65C63">
        <w:t xml:space="preserve"> tablet has not been assessed</w:t>
      </w:r>
      <w:r w:rsidR="0009659F">
        <w:t>.</w:t>
      </w:r>
    </w:p>
    <w:p w14:paraId="19C99CF2" w14:textId="1E7E7C08" w:rsidR="004C4E10" w:rsidRDefault="00D83148" w:rsidP="00A80F43">
      <w:pPr>
        <w:pStyle w:val="ListBullet"/>
      </w:pPr>
      <w:r>
        <w:t>A</w:t>
      </w:r>
      <w:r w:rsidR="004C4E10">
        <w:t xml:space="preserve"> limited number of DDI studies were undertaken with drugs that are known to interact with the pathways via which ertugliflozin is metabolised (</w:t>
      </w:r>
      <w:r>
        <w:t xml:space="preserve">for example, </w:t>
      </w:r>
      <w:r w:rsidR="00A04B32">
        <w:t xml:space="preserve">CYP3A4 </w:t>
      </w:r>
      <w:r w:rsidR="004C4E10">
        <w:t>inhibitors). Although ertugliflozin is in part metabolised by CYP3A4, no studies have examine</w:t>
      </w:r>
      <w:r w:rsidR="00A04B32">
        <w:t xml:space="preserve">d the effects of a strong CYP3A </w:t>
      </w:r>
      <w:r w:rsidR="004C4E10">
        <w:t>inhibitor on ertugliflozin PKs.</w:t>
      </w:r>
    </w:p>
    <w:p w14:paraId="6696B8D1" w14:textId="77777777" w:rsidR="004C4E10" w:rsidRDefault="00D83148" w:rsidP="00A80F43">
      <w:pPr>
        <w:pStyle w:val="ListBullet"/>
      </w:pPr>
      <w:r>
        <w:t>P</w:t>
      </w:r>
      <w:r w:rsidR="004C4E10">
        <w:t>harmacokinetic interactions between ertugliflozin and other commonly administered drugs in this patient population such as diuretics, warfarin</w:t>
      </w:r>
      <w:r w:rsidR="00F14099">
        <w:t xml:space="preserve"> and</w:t>
      </w:r>
      <w:r w:rsidR="004C4E10">
        <w:t xml:space="preserve"> digoxin</w:t>
      </w:r>
      <w:r>
        <w:t xml:space="preserve"> and so on</w:t>
      </w:r>
      <w:r w:rsidR="004C4E10">
        <w:t xml:space="preserve"> were not evaluated.</w:t>
      </w:r>
    </w:p>
    <w:p w14:paraId="3F3D2003" w14:textId="77777777" w:rsidR="004C4E10" w:rsidRDefault="004C4E10" w:rsidP="00D83148">
      <w:pPr>
        <w:pStyle w:val="Heading4"/>
      </w:pPr>
      <w:r>
        <w:t>Pharmacodynamics</w:t>
      </w:r>
    </w:p>
    <w:p w14:paraId="2701F71F" w14:textId="77777777" w:rsidR="004C4E10" w:rsidRDefault="004C4E10" w:rsidP="00D83148">
      <w:pPr>
        <w:pStyle w:val="Heading5"/>
      </w:pPr>
      <w:r>
        <w:t>Studies providing pharmacodynamic information</w:t>
      </w:r>
    </w:p>
    <w:p w14:paraId="1172268C" w14:textId="77777777" w:rsidR="004C4E10" w:rsidRDefault="004C4E10" w:rsidP="004C4E10">
      <w:r>
        <w:t xml:space="preserve">A number of PD studies reported also contain PK data and have been previously summarised </w:t>
      </w:r>
      <w:r w:rsidR="00D83148">
        <w:t>under Pharmacokinetics and</w:t>
      </w:r>
      <w:r>
        <w:t xml:space="preserve"> therefore, they are not included in </w:t>
      </w:r>
      <w:r w:rsidR="00D83148">
        <w:t xml:space="preserve">the </w:t>
      </w:r>
      <w:r w:rsidR="00F14099">
        <w:t>table</w:t>
      </w:r>
      <w:r w:rsidR="00D83148">
        <w:t xml:space="preserve"> below</w:t>
      </w:r>
      <w:r>
        <w:t>.</w:t>
      </w:r>
    </w:p>
    <w:p w14:paraId="633D8ADF" w14:textId="77777777" w:rsidR="004C4E10" w:rsidRDefault="004C4E10" w:rsidP="00EE7154">
      <w:pPr>
        <w:pStyle w:val="TableTitle"/>
      </w:pPr>
      <w:r>
        <w:t xml:space="preserve">Table </w:t>
      </w:r>
      <w:r w:rsidR="00E55ACA">
        <w:t>19</w:t>
      </w:r>
      <w:r w:rsidR="00EE7154">
        <w:t xml:space="preserve">: </w:t>
      </w:r>
      <w:r>
        <w:t>Su</w:t>
      </w:r>
      <w:r w:rsidR="0068452D">
        <w:t>bmitted pharmacodynamic studies</w:t>
      </w:r>
    </w:p>
    <w:tbl>
      <w:tblPr>
        <w:tblStyle w:val="TableTGAblue"/>
        <w:tblW w:w="8243" w:type="dxa"/>
        <w:tblLayout w:type="fixed"/>
        <w:tblLook w:val="04A0" w:firstRow="1" w:lastRow="0" w:firstColumn="1" w:lastColumn="0" w:noHBand="0" w:noVBand="1"/>
      </w:tblPr>
      <w:tblGrid>
        <w:gridCol w:w="1779"/>
        <w:gridCol w:w="1422"/>
        <w:gridCol w:w="1423"/>
        <w:gridCol w:w="3619"/>
      </w:tblGrid>
      <w:tr w:rsidR="00D83148" w:rsidRPr="00C37A1D" w14:paraId="1A89EC79" w14:textId="77777777" w:rsidTr="009676E2">
        <w:trPr>
          <w:cnfStyle w:val="100000000000" w:firstRow="1" w:lastRow="0" w:firstColumn="0" w:lastColumn="0" w:oddVBand="0" w:evenVBand="0" w:oddHBand="0" w:evenHBand="0" w:firstRowFirstColumn="0" w:firstRowLastColumn="0" w:lastRowFirstColumn="0" w:lastRowLastColumn="0"/>
          <w:cantSplit/>
          <w:trHeight w:val="465"/>
        </w:trPr>
        <w:tc>
          <w:tcPr>
            <w:tcW w:w="1779" w:type="dxa"/>
          </w:tcPr>
          <w:p w14:paraId="4B0567D3" w14:textId="77777777" w:rsidR="00D83148" w:rsidRPr="00D83148" w:rsidRDefault="00D83148" w:rsidP="00D83148">
            <w:pPr>
              <w:rPr>
                <w:b w:val="0"/>
                <w:sz w:val="20"/>
                <w:szCs w:val="20"/>
              </w:rPr>
            </w:pPr>
            <w:r w:rsidRPr="00D83148">
              <w:rPr>
                <w:sz w:val="20"/>
                <w:szCs w:val="20"/>
              </w:rPr>
              <w:t>PD Topic</w:t>
            </w:r>
          </w:p>
        </w:tc>
        <w:tc>
          <w:tcPr>
            <w:tcW w:w="1422" w:type="dxa"/>
          </w:tcPr>
          <w:p w14:paraId="296CE930" w14:textId="77777777" w:rsidR="00D83148" w:rsidRPr="00D83148" w:rsidRDefault="00D83148" w:rsidP="00D83148">
            <w:pPr>
              <w:rPr>
                <w:b w:val="0"/>
                <w:sz w:val="20"/>
                <w:szCs w:val="20"/>
              </w:rPr>
            </w:pPr>
            <w:r w:rsidRPr="00D83148">
              <w:rPr>
                <w:sz w:val="20"/>
                <w:szCs w:val="20"/>
              </w:rPr>
              <w:t>Subtopic</w:t>
            </w:r>
          </w:p>
        </w:tc>
        <w:tc>
          <w:tcPr>
            <w:tcW w:w="1423" w:type="dxa"/>
          </w:tcPr>
          <w:p w14:paraId="523AA09E" w14:textId="77777777" w:rsidR="00D83148" w:rsidRPr="00D83148" w:rsidRDefault="00D83148" w:rsidP="00D83148">
            <w:pPr>
              <w:rPr>
                <w:b w:val="0"/>
                <w:sz w:val="20"/>
                <w:szCs w:val="20"/>
              </w:rPr>
            </w:pPr>
            <w:r w:rsidRPr="00D83148">
              <w:rPr>
                <w:sz w:val="20"/>
                <w:szCs w:val="20"/>
              </w:rPr>
              <w:t>Study ID</w:t>
            </w:r>
          </w:p>
        </w:tc>
        <w:tc>
          <w:tcPr>
            <w:tcW w:w="3619" w:type="dxa"/>
          </w:tcPr>
          <w:p w14:paraId="2E30A07F" w14:textId="77777777" w:rsidR="00D83148" w:rsidRPr="00D83148" w:rsidRDefault="00D83148" w:rsidP="00D83148">
            <w:pPr>
              <w:rPr>
                <w:b w:val="0"/>
                <w:sz w:val="20"/>
                <w:szCs w:val="20"/>
              </w:rPr>
            </w:pPr>
            <w:r w:rsidRPr="00D83148">
              <w:rPr>
                <w:sz w:val="20"/>
                <w:szCs w:val="20"/>
              </w:rPr>
              <w:t>*</w:t>
            </w:r>
          </w:p>
        </w:tc>
      </w:tr>
      <w:tr w:rsidR="00D83148" w:rsidRPr="00C37A1D" w14:paraId="6FDA5F4D" w14:textId="77777777" w:rsidTr="009676E2">
        <w:trPr>
          <w:trHeight w:val="708"/>
        </w:trPr>
        <w:tc>
          <w:tcPr>
            <w:tcW w:w="1779" w:type="dxa"/>
          </w:tcPr>
          <w:p w14:paraId="3841AA9C" w14:textId="77777777" w:rsidR="00D83148" w:rsidRPr="00D83148" w:rsidRDefault="00D83148" w:rsidP="00D83148">
            <w:pPr>
              <w:rPr>
                <w:sz w:val="20"/>
                <w:szCs w:val="20"/>
              </w:rPr>
            </w:pPr>
            <w:r w:rsidRPr="00D83148">
              <w:rPr>
                <w:sz w:val="20"/>
                <w:szCs w:val="20"/>
              </w:rPr>
              <w:t>Secondary Pharmacology</w:t>
            </w:r>
          </w:p>
        </w:tc>
        <w:tc>
          <w:tcPr>
            <w:tcW w:w="1422" w:type="dxa"/>
          </w:tcPr>
          <w:p w14:paraId="4A3AF58B" w14:textId="77777777" w:rsidR="00D83148" w:rsidRPr="00D83148" w:rsidRDefault="00D83148" w:rsidP="00D83148">
            <w:pPr>
              <w:rPr>
                <w:sz w:val="20"/>
                <w:szCs w:val="20"/>
              </w:rPr>
            </w:pPr>
            <w:r w:rsidRPr="00D83148">
              <w:rPr>
                <w:sz w:val="20"/>
                <w:szCs w:val="20"/>
              </w:rPr>
              <w:t>Healthy subjects</w:t>
            </w:r>
          </w:p>
        </w:tc>
        <w:tc>
          <w:tcPr>
            <w:tcW w:w="1423" w:type="dxa"/>
          </w:tcPr>
          <w:p w14:paraId="52EAAB4A" w14:textId="77777777" w:rsidR="00D83148" w:rsidRPr="00D83148" w:rsidRDefault="00D83148" w:rsidP="00D83148">
            <w:pPr>
              <w:rPr>
                <w:sz w:val="20"/>
                <w:szCs w:val="20"/>
              </w:rPr>
            </w:pPr>
            <w:r w:rsidRPr="00D83148">
              <w:rPr>
                <w:bCs/>
                <w:color w:val="000000"/>
                <w:sz w:val="20"/>
                <w:szCs w:val="20"/>
              </w:rPr>
              <w:t>P010/1025</w:t>
            </w:r>
          </w:p>
        </w:tc>
        <w:tc>
          <w:tcPr>
            <w:tcW w:w="3619" w:type="dxa"/>
          </w:tcPr>
          <w:p w14:paraId="0FBA0EE7" w14:textId="2C71F73F" w:rsidR="00D83148" w:rsidRPr="00D83148" w:rsidRDefault="00D83148">
            <w:pPr>
              <w:rPr>
                <w:sz w:val="20"/>
                <w:szCs w:val="20"/>
              </w:rPr>
            </w:pPr>
            <w:r w:rsidRPr="00D83148">
              <w:rPr>
                <w:sz w:val="20"/>
                <w:szCs w:val="20"/>
              </w:rPr>
              <w:t>Effect of 100</w:t>
            </w:r>
            <w:r w:rsidR="00E87327">
              <w:rPr>
                <w:sz w:val="20"/>
                <w:szCs w:val="20"/>
              </w:rPr>
              <w:t xml:space="preserve"> </w:t>
            </w:r>
            <w:r w:rsidR="006D7D02">
              <w:rPr>
                <w:sz w:val="20"/>
                <w:szCs w:val="20"/>
              </w:rPr>
              <w:t>mg</w:t>
            </w:r>
            <w:r w:rsidRPr="00D83148">
              <w:rPr>
                <w:sz w:val="20"/>
                <w:szCs w:val="20"/>
              </w:rPr>
              <w:t xml:space="preserve"> ertugliflozin on QTc</w:t>
            </w:r>
          </w:p>
        </w:tc>
      </w:tr>
      <w:tr w:rsidR="00D83148" w:rsidRPr="00C37A1D" w14:paraId="2EFD9F9D" w14:textId="77777777" w:rsidTr="009676E2">
        <w:trPr>
          <w:trHeight w:val="708"/>
        </w:trPr>
        <w:tc>
          <w:tcPr>
            <w:tcW w:w="1779" w:type="dxa"/>
            <w:vMerge w:val="restart"/>
          </w:tcPr>
          <w:p w14:paraId="2786ED55" w14:textId="77777777" w:rsidR="00D83148" w:rsidRPr="00D83148" w:rsidRDefault="00D83148" w:rsidP="00D83148">
            <w:pPr>
              <w:rPr>
                <w:sz w:val="20"/>
                <w:szCs w:val="20"/>
              </w:rPr>
            </w:pPr>
            <w:r w:rsidRPr="00D83148">
              <w:rPr>
                <w:sz w:val="20"/>
                <w:szCs w:val="20"/>
              </w:rPr>
              <w:t xml:space="preserve">Dose/response in target </w:t>
            </w:r>
            <w:r w:rsidRPr="00D83148">
              <w:rPr>
                <w:sz w:val="20"/>
                <w:szCs w:val="20"/>
              </w:rPr>
              <w:lastRenderedPageBreak/>
              <w:t>population</w:t>
            </w:r>
          </w:p>
        </w:tc>
        <w:tc>
          <w:tcPr>
            <w:tcW w:w="1422" w:type="dxa"/>
            <w:vMerge w:val="restart"/>
          </w:tcPr>
          <w:p w14:paraId="7E4B9FFB" w14:textId="77777777" w:rsidR="00D83148" w:rsidRPr="00D83148" w:rsidRDefault="00D83148" w:rsidP="00D83148">
            <w:pPr>
              <w:rPr>
                <w:sz w:val="20"/>
                <w:szCs w:val="20"/>
              </w:rPr>
            </w:pPr>
            <w:r w:rsidRPr="00D83148">
              <w:rPr>
                <w:sz w:val="20"/>
                <w:szCs w:val="20"/>
              </w:rPr>
              <w:lastRenderedPageBreak/>
              <w:t xml:space="preserve">Patients with </w:t>
            </w:r>
            <w:r w:rsidRPr="00D83148">
              <w:rPr>
                <w:sz w:val="20"/>
                <w:szCs w:val="20"/>
              </w:rPr>
              <w:lastRenderedPageBreak/>
              <w:t>T2DM</w:t>
            </w:r>
          </w:p>
        </w:tc>
        <w:tc>
          <w:tcPr>
            <w:tcW w:w="1423" w:type="dxa"/>
          </w:tcPr>
          <w:p w14:paraId="364552AD" w14:textId="77777777" w:rsidR="00D83148" w:rsidRPr="00D83148" w:rsidRDefault="00D83148" w:rsidP="00D83148">
            <w:pPr>
              <w:rPr>
                <w:sz w:val="20"/>
                <w:szCs w:val="20"/>
              </w:rPr>
            </w:pPr>
            <w:r w:rsidRPr="00D83148">
              <w:rPr>
                <w:sz w:val="20"/>
                <w:szCs w:val="20"/>
              </w:rPr>
              <w:lastRenderedPageBreak/>
              <w:t>P042/1004</w:t>
            </w:r>
          </w:p>
        </w:tc>
        <w:tc>
          <w:tcPr>
            <w:tcW w:w="3619" w:type="dxa"/>
          </w:tcPr>
          <w:p w14:paraId="1C817F4E" w14:textId="77777777" w:rsidR="00D83148" w:rsidRPr="00D83148" w:rsidRDefault="00D83148" w:rsidP="00D83148">
            <w:pPr>
              <w:rPr>
                <w:sz w:val="20"/>
                <w:szCs w:val="20"/>
              </w:rPr>
            </w:pPr>
            <w:r w:rsidRPr="00D83148">
              <w:rPr>
                <w:sz w:val="20"/>
                <w:szCs w:val="20"/>
              </w:rPr>
              <w:t>Ertugliflozin dose/response in patients with T2DM</w:t>
            </w:r>
          </w:p>
        </w:tc>
      </w:tr>
      <w:tr w:rsidR="00D83148" w:rsidRPr="00C37A1D" w14:paraId="1AAB059A" w14:textId="77777777" w:rsidTr="009676E2">
        <w:trPr>
          <w:trHeight w:val="879"/>
        </w:trPr>
        <w:tc>
          <w:tcPr>
            <w:tcW w:w="1779" w:type="dxa"/>
            <w:vMerge/>
          </w:tcPr>
          <w:p w14:paraId="52E1206D" w14:textId="77777777" w:rsidR="00D83148" w:rsidRPr="00D83148" w:rsidRDefault="00D83148" w:rsidP="00D83148">
            <w:pPr>
              <w:rPr>
                <w:sz w:val="20"/>
                <w:szCs w:val="20"/>
              </w:rPr>
            </w:pPr>
          </w:p>
        </w:tc>
        <w:tc>
          <w:tcPr>
            <w:tcW w:w="1422" w:type="dxa"/>
            <w:vMerge/>
          </w:tcPr>
          <w:p w14:paraId="21A5DFFF" w14:textId="77777777" w:rsidR="00D83148" w:rsidRPr="00D83148" w:rsidRDefault="00D83148" w:rsidP="00D83148">
            <w:pPr>
              <w:rPr>
                <w:sz w:val="20"/>
                <w:szCs w:val="20"/>
              </w:rPr>
            </w:pPr>
          </w:p>
        </w:tc>
        <w:tc>
          <w:tcPr>
            <w:tcW w:w="1423" w:type="dxa"/>
          </w:tcPr>
          <w:p w14:paraId="738F10C7" w14:textId="77777777" w:rsidR="00D83148" w:rsidRPr="00D83148" w:rsidRDefault="00D83148" w:rsidP="00D83148">
            <w:pPr>
              <w:rPr>
                <w:sz w:val="20"/>
                <w:szCs w:val="20"/>
              </w:rPr>
            </w:pPr>
            <w:r w:rsidRPr="00D83148">
              <w:rPr>
                <w:bCs/>
                <w:color w:val="000000"/>
                <w:sz w:val="20"/>
                <w:szCs w:val="20"/>
              </w:rPr>
              <w:t>P016/1006</w:t>
            </w:r>
          </w:p>
        </w:tc>
        <w:tc>
          <w:tcPr>
            <w:tcW w:w="3619" w:type="dxa"/>
          </w:tcPr>
          <w:p w14:paraId="528385A6" w14:textId="77777777" w:rsidR="00D83148" w:rsidRPr="00D83148" w:rsidRDefault="00D83148" w:rsidP="00D83148">
            <w:pPr>
              <w:rPr>
                <w:sz w:val="20"/>
                <w:szCs w:val="20"/>
              </w:rPr>
            </w:pPr>
            <w:r w:rsidRPr="00D83148">
              <w:rPr>
                <w:rFonts w:eastAsia="TimesNewRoman"/>
                <w:sz w:val="20"/>
                <w:szCs w:val="20"/>
                <w:lang w:eastAsia="en-US"/>
              </w:rPr>
              <w:t>Dose-response of ertugliflozin QD in patients with T2DM on stable doses of metformin</w:t>
            </w:r>
          </w:p>
        </w:tc>
      </w:tr>
      <w:tr w:rsidR="00D83148" w:rsidRPr="00C37A1D" w14:paraId="347B1B42" w14:textId="77777777" w:rsidTr="009676E2">
        <w:trPr>
          <w:trHeight w:val="1204"/>
        </w:trPr>
        <w:tc>
          <w:tcPr>
            <w:tcW w:w="1779" w:type="dxa"/>
            <w:vMerge w:val="restart"/>
          </w:tcPr>
          <w:p w14:paraId="2E02A5AF" w14:textId="77777777" w:rsidR="00D83148" w:rsidRPr="00D83148" w:rsidRDefault="00D83148" w:rsidP="00D83148">
            <w:pPr>
              <w:rPr>
                <w:sz w:val="20"/>
                <w:szCs w:val="20"/>
              </w:rPr>
            </w:pPr>
            <w:r w:rsidRPr="00D83148">
              <w:rPr>
                <w:sz w:val="20"/>
                <w:szCs w:val="20"/>
              </w:rPr>
              <w:lastRenderedPageBreak/>
              <w:t>Population PD and dose-response analyses</w:t>
            </w:r>
          </w:p>
        </w:tc>
        <w:tc>
          <w:tcPr>
            <w:tcW w:w="1422" w:type="dxa"/>
            <w:vMerge w:val="restart"/>
          </w:tcPr>
          <w:p w14:paraId="369B0204" w14:textId="77777777" w:rsidR="00D83148" w:rsidRPr="00D83148" w:rsidRDefault="00D83148" w:rsidP="00D83148">
            <w:pPr>
              <w:rPr>
                <w:sz w:val="20"/>
                <w:szCs w:val="20"/>
              </w:rPr>
            </w:pPr>
            <w:r w:rsidRPr="00D83148">
              <w:rPr>
                <w:sz w:val="20"/>
                <w:szCs w:val="20"/>
              </w:rPr>
              <w:t>Patients with T2DM</w:t>
            </w:r>
          </w:p>
        </w:tc>
        <w:tc>
          <w:tcPr>
            <w:tcW w:w="1423" w:type="dxa"/>
          </w:tcPr>
          <w:p w14:paraId="73A92C51" w14:textId="77777777" w:rsidR="00D83148" w:rsidRPr="00D83148" w:rsidRDefault="00D83148" w:rsidP="00D83148">
            <w:pPr>
              <w:rPr>
                <w:sz w:val="20"/>
                <w:szCs w:val="20"/>
              </w:rPr>
            </w:pPr>
            <w:r w:rsidRPr="00D83148">
              <w:rPr>
                <w:rFonts w:eastAsiaTheme="minorHAnsi"/>
                <w:sz w:val="20"/>
                <w:szCs w:val="20"/>
                <w:lang w:eastAsia="en-US"/>
              </w:rPr>
              <w:t>PMAR-EQDD-B152c-DP4-444</w:t>
            </w:r>
          </w:p>
        </w:tc>
        <w:tc>
          <w:tcPr>
            <w:tcW w:w="3619" w:type="dxa"/>
          </w:tcPr>
          <w:p w14:paraId="3C16099A" w14:textId="6EB3BBB6" w:rsidR="00D83148" w:rsidRPr="00D83148" w:rsidRDefault="00D83148" w:rsidP="00D83148">
            <w:pPr>
              <w:rPr>
                <w:sz w:val="20"/>
                <w:szCs w:val="20"/>
              </w:rPr>
            </w:pPr>
            <w:r w:rsidRPr="00D83148">
              <w:rPr>
                <w:rFonts w:eastAsiaTheme="minorHAnsi"/>
                <w:sz w:val="20"/>
                <w:szCs w:val="20"/>
                <w:lang w:eastAsia="en-US"/>
              </w:rPr>
              <w:t xml:space="preserve">Model-based meta-analysis that attempts to quantify the relationship between urinary glucose excretion and </w:t>
            </w:r>
            <w:r w:rsidR="003F2DE3">
              <w:t>Hb</w:t>
            </w:r>
            <w:r w:rsidR="00A04B32">
              <w:t>A1c</w:t>
            </w:r>
          </w:p>
        </w:tc>
      </w:tr>
      <w:tr w:rsidR="00D83148" w:rsidRPr="00C37A1D" w14:paraId="1B2BEE5C" w14:textId="77777777" w:rsidTr="009676E2">
        <w:trPr>
          <w:trHeight w:val="142"/>
        </w:trPr>
        <w:tc>
          <w:tcPr>
            <w:tcW w:w="1779" w:type="dxa"/>
            <w:vMerge/>
          </w:tcPr>
          <w:p w14:paraId="71D1834C" w14:textId="77777777" w:rsidR="00D83148" w:rsidRPr="00D83148" w:rsidRDefault="00D83148" w:rsidP="00D83148">
            <w:pPr>
              <w:rPr>
                <w:sz w:val="20"/>
                <w:szCs w:val="20"/>
              </w:rPr>
            </w:pPr>
          </w:p>
        </w:tc>
        <w:tc>
          <w:tcPr>
            <w:tcW w:w="1422" w:type="dxa"/>
            <w:vMerge/>
          </w:tcPr>
          <w:p w14:paraId="0DA6F007" w14:textId="77777777" w:rsidR="00D83148" w:rsidRPr="00D83148" w:rsidRDefault="00D83148" w:rsidP="00D83148">
            <w:pPr>
              <w:rPr>
                <w:sz w:val="20"/>
                <w:szCs w:val="20"/>
              </w:rPr>
            </w:pPr>
          </w:p>
        </w:tc>
        <w:tc>
          <w:tcPr>
            <w:tcW w:w="1423" w:type="dxa"/>
          </w:tcPr>
          <w:p w14:paraId="5852E1EE" w14:textId="77777777" w:rsidR="00D83148" w:rsidRPr="00D83148" w:rsidRDefault="00D83148" w:rsidP="00D83148">
            <w:pPr>
              <w:rPr>
                <w:sz w:val="20"/>
                <w:szCs w:val="20"/>
              </w:rPr>
            </w:pPr>
            <w:r w:rsidRPr="00D83148">
              <w:rPr>
                <w:rFonts w:eastAsiaTheme="minorHAnsi"/>
                <w:sz w:val="20"/>
                <w:szCs w:val="20"/>
                <w:lang w:eastAsia="en-US"/>
              </w:rPr>
              <w:t>PMAR-EQDD-B152a-DP4-407</w:t>
            </w:r>
          </w:p>
        </w:tc>
        <w:tc>
          <w:tcPr>
            <w:tcW w:w="3619" w:type="dxa"/>
          </w:tcPr>
          <w:p w14:paraId="7EB259CC" w14:textId="77777777" w:rsidR="00D83148" w:rsidRPr="00D83148" w:rsidRDefault="00D83148" w:rsidP="00D83148">
            <w:pPr>
              <w:rPr>
                <w:sz w:val="20"/>
                <w:szCs w:val="20"/>
              </w:rPr>
            </w:pPr>
            <w:r w:rsidRPr="00D83148">
              <w:rPr>
                <w:rFonts w:eastAsiaTheme="minorHAnsi"/>
                <w:sz w:val="20"/>
                <w:szCs w:val="20"/>
                <w:lang w:eastAsia="en-US"/>
              </w:rPr>
              <w:t>Ertugliflozin population dose-response analysis in subjects with T2DM</w:t>
            </w:r>
          </w:p>
        </w:tc>
      </w:tr>
      <w:tr w:rsidR="00D83148" w:rsidRPr="00C37A1D" w14:paraId="676D42A4" w14:textId="77777777" w:rsidTr="009676E2">
        <w:trPr>
          <w:trHeight w:val="142"/>
        </w:trPr>
        <w:tc>
          <w:tcPr>
            <w:tcW w:w="1779" w:type="dxa"/>
            <w:vMerge/>
          </w:tcPr>
          <w:p w14:paraId="7F63EDA6" w14:textId="77777777" w:rsidR="00D83148" w:rsidRPr="00D83148" w:rsidRDefault="00D83148" w:rsidP="00D83148">
            <w:pPr>
              <w:rPr>
                <w:sz w:val="20"/>
                <w:szCs w:val="20"/>
              </w:rPr>
            </w:pPr>
          </w:p>
        </w:tc>
        <w:tc>
          <w:tcPr>
            <w:tcW w:w="1422" w:type="dxa"/>
            <w:vMerge/>
          </w:tcPr>
          <w:p w14:paraId="37A0FC48" w14:textId="77777777" w:rsidR="00D83148" w:rsidRPr="00D83148" w:rsidRDefault="00D83148" w:rsidP="00D83148">
            <w:pPr>
              <w:rPr>
                <w:sz w:val="20"/>
                <w:szCs w:val="20"/>
              </w:rPr>
            </w:pPr>
          </w:p>
        </w:tc>
        <w:tc>
          <w:tcPr>
            <w:tcW w:w="1423" w:type="dxa"/>
          </w:tcPr>
          <w:p w14:paraId="35FB1D1D" w14:textId="77777777" w:rsidR="00D83148" w:rsidRPr="00D83148" w:rsidRDefault="00D83148" w:rsidP="00D83148">
            <w:pPr>
              <w:rPr>
                <w:sz w:val="20"/>
                <w:szCs w:val="20"/>
              </w:rPr>
            </w:pPr>
            <w:r w:rsidRPr="00D83148">
              <w:rPr>
                <w:rFonts w:eastAsiaTheme="minorHAnsi"/>
                <w:sz w:val="20"/>
                <w:szCs w:val="20"/>
                <w:lang w:eastAsia="en-US"/>
              </w:rPr>
              <w:t>ASR-EQDD-B152a-DP3-253</w:t>
            </w:r>
          </w:p>
        </w:tc>
        <w:tc>
          <w:tcPr>
            <w:tcW w:w="3619" w:type="dxa"/>
          </w:tcPr>
          <w:p w14:paraId="7D98BBE5" w14:textId="77777777" w:rsidR="00D83148" w:rsidRPr="00D83148" w:rsidRDefault="00D83148" w:rsidP="00D83148">
            <w:pPr>
              <w:rPr>
                <w:sz w:val="20"/>
                <w:szCs w:val="20"/>
                <w:u w:val="single"/>
              </w:rPr>
            </w:pPr>
            <w:r w:rsidRPr="00D83148">
              <w:rPr>
                <w:sz w:val="20"/>
                <w:szCs w:val="20"/>
                <w:lang w:eastAsia="en-US"/>
              </w:rPr>
              <w:t>Characterisation of the relationship between UGE and ertugliflozin dose in subjects with T2DM</w:t>
            </w:r>
          </w:p>
        </w:tc>
      </w:tr>
    </w:tbl>
    <w:p w14:paraId="65A2708E" w14:textId="2B26F372" w:rsidR="0068452D" w:rsidRPr="0009659F" w:rsidRDefault="0068452D">
      <w:pPr>
        <w:pStyle w:val="TableDescription"/>
      </w:pPr>
      <w:r w:rsidRPr="0009659F">
        <w:t>* Indicates the primary PD aim of the study.</w:t>
      </w:r>
      <w:r w:rsidR="00731A2E" w:rsidRPr="0009659F">
        <w:t xml:space="preserve"> </w:t>
      </w:r>
      <w:r w:rsidRPr="0009659F">
        <w:t>§ Subjects who would be eligible to receive the drug if approved for the proposed indication.</w:t>
      </w:r>
    </w:p>
    <w:p w14:paraId="23C4F5C4" w14:textId="77777777" w:rsidR="004C4E10" w:rsidRDefault="00EE7154" w:rsidP="00731A2E">
      <w:pPr>
        <w:pStyle w:val="Heading5"/>
      </w:pPr>
      <w:r>
        <w:t>E</w:t>
      </w:r>
      <w:r w:rsidR="004C4E10">
        <w:t>valuator’s overall conclusions on pharmacodynamics</w:t>
      </w:r>
    </w:p>
    <w:p w14:paraId="5615358C" w14:textId="1442BCDA" w:rsidR="004C4E10" w:rsidRDefault="004C4E10" w:rsidP="004C4E10">
      <w:r>
        <w:t xml:space="preserve">Mode of action </w:t>
      </w:r>
      <w:r w:rsidR="00731A2E">
        <w:t>e</w:t>
      </w:r>
      <w:r>
        <w:t xml:space="preserve">rtugliflozin is an oral, selective inhibitor of SGLT2 that inhibits renal glucose reabsorption and results in increased UGE and reductions in plasma glucose and </w:t>
      </w:r>
      <w:r w:rsidR="003F2DE3">
        <w:t>Hb</w:t>
      </w:r>
      <w:r w:rsidR="00A04B32">
        <w:t>A1c</w:t>
      </w:r>
      <w:r>
        <w:t xml:space="preserve"> in subjects with T2DM.</w:t>
      </w:r>
    </w:p>
    <w:p w14:paraId="06B4116E" w14:textId="77777777" w:rsidR="004C4E10" w:rsidRDefault="004C4E10" w:rsidP="00731A2E">
      <w:pPr>
        <w:pStyle w:val="Heading6"/>
      </w:pPr>
      <w:r>
        <w:t>Primary PD</w:t>
      </w:r>
      <w:r w:rsidR="00731A2E">
        <w:t xml:space="preserve"> in h</w:t>
      </w:r>
      <w:r>
        <w:t>ealthy subjects</w:t>
      </w:r>
    </w:p>
    <w:p w14:paraId="450D6D12" w14:textId="31FCCE12" w:rsidR="004C4E10" w:rsidRDefault="004C4E10" w:rsidP="004C4E10">
      <w:r>
        <w:t xml:space="preserve">For healthy subjects in the fasted state, increases in </w:t>
      </w:r>
      <w:r w:rsidR="00731A2E">
        <w:t>UGE</w:t>
      </w:r>
      <w:r w:rsidR="00731A2E" w:rsidRPr="00731A2E">
        <w:rPr>
          <w:vertAlign w:val="subscript"/>
        </w:rPr>
        <w:t>0-24</w:t>
      </w:r>
      <w:r w:rsidR="00731A2E">
        <w:t xml:space="preserve"> </w:t>
      </w:r>
      <w:r>
        <w:t>were dose</w:t>
      </w:r>
      <w:r w:rsidR="00815048">
        <w:t xml:space="preserve"> </w:t>
      </w:r>
      <w:r>
        <w:t>dependent over the range of 0.5</w:t>
      </w:r>
      <w:r w:rsidR="00E87327">
        <w:t xml:space="preserve"> </w:t>
      </w:r>
      <w:r w:rsidR="006D7D02">
        <w:t>mg</w:t>
      </w:r>
      <w:r>
        <w:t xml:space="preserve"> to 30</w:t>
      </w:r>
      <w:r w:rsidR="00E87327">
        <w:t xml:space="preserve"> </w:t>
      </w:r>
      <w:r w:rsidR="006D7D02">
        <w:t>mg</w:t>
      </w:r>
      <w:r>
        <w:t xml:space="preserve">. At doses </w:t>
      </w:r>
      <w:r w:rsidR="00EB55BF">
        <w:t xml:space="preserve">≥ </w:t>
      </w:r>
      <w:r>
        <w:t>30</w:t>
      </w:r>
      <w:r w:rsidR="00E87327">
        <w:t xml:space="preserve"> </w:t>
      </w:r>
      <w:r w:rsidR="006D7D02">
        <w:t>mg</w:t>
      </w:r>
      <w:r>
        <w:t xml:space="preserve"> </w:t>
      </w:r>
      <w:r w:rsidR="00731A2E">
        <w:t>UGE</w:t>
      </w:r>
      <w:r w:rsidR="00731A2E" w:rsidRPr="00731A2E">
        <w:rPr>
          <w:vertAlign w:val="subscript"/>
        </w:rPr>
        <w:t>0-24</w:t>
      </w:r>
      <w:r>
        <w:t xml:space="preserve"> plateaued between 58 and 65 grams/day.</w:t>
      </w:r>
      <w:r w:rsidR="00B51DF2">
        <w:t xml:space="preserve"> </w:t>
      </w:r>
      <w:r>
        <w:t>Following multiple QD doses of 1</w:t>
      </w:r>
      <w:r w:rsidR="00E87327">
        <w:t xml:space="preserve"> </w:t>
      </w:r>
      <w:r w:rsidR="006D7D02">
        <w:t>mg</w:t>
      </w:r>
      <w:r>
        <w:t xml:space="preserve"> to 100</w:t>
      </w:r>
      <w:r w:rsidR="00E87327">
        <w:t xml:space="preserve"> </w:t>
      </w:r>
      <w:r w:rsidR="006D7D02">
        <w:t>mg</w:t>
      </w:r>
      <w:r>
        <w:t xml:space="preserve"> ertugliflozin in otherwise healthy overweight or obese subjects</w:t>
      </w:r>
      <w:r w:rsidR="00731A2E">
        <w:t xml:space="preserve"> the</w:t>
      </w:r>
      <w:r>
        <w:t xml:space="preserve"> UGE increased and renal glucose reabsorption decreased dose dependently.</w:t>
      </w:r>
    </w:p>
    <w:p w14:paraId="2F1E29A6" w14:textId="77777777" w:rsidR="004C4E10" w:rsidRDefault="004C4E10" w:rsidP="00731A2E">
      <w:pPr>
        <w:pStyle w:val="Heading6"/>
      </w:pPr>
      <w:r>
        <w:t>Primary PD in T2DM</w:t>
      </w:r>
    </w:p>
    <w:p w14:paraId="3330A48A" w14:textId="016D0DBE" w:rsidR="004C4E10" w:rsidRDefault="004C4E10" w:rsidP="004C4E10">
      <w:r>
        <w:t xml:space="preserve">Two </w:t>
      </w:r>
      <w:r w:rsidR="00B51DF2">
        <w:t>Phase II</w:t>
      </w:r>
      <w:r>
        <w:t xml:space="preserve"> studies (</w:t>
      </w:r>
      <w:r w:rsidR="009676E2">
        <w:t xml:space="preserve">Studies </w:t>
      </w:r>
      <w:r>
        <w:t xml:space="preserve">P016/1006 and P042/1004) involving over 500 T2DM patients provided the main data to enable the dose-response modelling which was used to determine the doses to be evaluated in the </w:t>
      </w:r>
      <w:r w:rsidR="00B51DF2">
        <w:t>Phase III</w:t>
      </w:r>
      <w:r>
        <w:t xml:space="preserve"> studies. However, the proposed ertugliflozin dose of 1</w:t>
      </w:r>
      <w:r w:rsidR="00731A2E">
        <w:t>5</w:t>
      </w:r>
      <w:r w:rsidR="00E87327">
        <w:t xml:space="preserve"> </w:t>
      </w:r>
      <w:r w:rsidR="006D7D02">
        <w:t>mg</w:t>
      </w:r>
      <w:r>
        <w:t xml:space="preserve"> </w:t>
      </w:r>
      <w:r w:rsidR="00731A2E">
        <w:t>QD</w:t>
      </w:r>
      <w:r>
        <w:t xml:space="preserve"> was not evaluated in either of these studies and the choice of the 15</w:t>
      </w:r>
      <w:r w:rsidR="00E87327">
        <w:t xml:space="preserve"> </w:t>
      </w:r>
      <w:r w:rsidR="006D7D02">
        <w:t>mg</w:t>
      </w:r>
      <w:r>
        <w:t xml:space="preserve"> dose appears to be arbitrary in the materials provided regarding the modelling studies.</w:t>
      </w:r>
      <w:r w:rsidR="00B51DF2">
        <w:t xml:space="preserve"> </w:t>
      </w:r>
      <w:r>
        <w:t>The sponsors have been asked to provide further justification regarding the choice of the 1</w:t>
      </w:r>
      <w:r w:rsidR="00731A2E">
        <w:t>5</w:t>
      </w:r>
      <w:r w:rsidR="00E87327">
        <w:t xml:space="preserve"> </w:t>
      </w:r>
      <w:r w:rsidR="006D7D02">
        <w:t>mg</w:t>
      </w:r>
      <w:r>
        <w:t xml:space="preserve"> dose for the pivotal studies.</w:t>
      </w:r>
    </w:p>
    <w:p w14:paraId="6C2516CD" w14:textId="77777777" w:rsidR="004C4E10" w:rsidRDefault="004C4E10" w:rsidP="00731A2E">
      <w:pPr>
        <w:pStyle w:val="Heading6"/>
      </w:pPr>
      <w:r>
        <w:t xml:space="preserve">PD </w:t>
      </w:r>
      <w:r w:rsidR="00731A2E">
        <w:t>m</w:t>
      </w:r>
      <w:r>
        <w:t>odelling and analyses</w:t>
      </w:r>
    </w:p>
    <w:p w14:paraId="65E89A0D" w14:textId="299073F6" w:rsidR="004C4E10" w:rsidRDefault="004C4E10" w:rsidP="004C4E10">
      <w:r>
        <w:t>For a typical patient with T2DM, MBMA predicted that following ertugliflozin doses of 2.5</w:t>
      </w:r>
      <w:r w:rsidR="00E87327">
        <w:t> </w:t>
      </w:r>
      <w:r w:rsidR="006D7D02">
        <w:t>mg</w:t>
      </w:r>
      <w:r>
        <w:t xml:space="preserve"> </w:t>
      </w:r>
      <w:r w:rsidR="00AD51CF">
        <w:t>BD</w:t>
      </w:r>
      <w:r>
        <w:t xml:space="preserve"> or 5</w:t>
      </w:r>
      <w:r w:rsidR="00E87327">
        <w:t xml:space="preserve"> </w:t>
      </w:r>
      <w:r w:rsidR="006D7D02">
        <w:t>mg</w:t>
      </w:r>
      <w:r>
        <w:t xml:space="preserve"> QD and 7.5</w:t>
      </w:r>
      <w:r w:rsidR="00E87327">
        <w:t xml:space="preserve"> </w:t>
      </w:r>
      <w:r w:rsidR="006D7D02">
        <w:t>mg</w:t>
      </w:r>
      <w:r>
        <w:t xml:space="preserve"> QID or 15</w:t>
      </w:r>
      <w:r w:rsidR="00E87327">
        <w:t xml:space="preserve"> </w:t>
      </w:r>
      <w:r w:rsidR="006D7D02">
        <w:t>mg</w:t>
      </w:r>
      <w:r>
        <w:t xml:space="preserve"> </w:t>
      </w:r>
      <w:r w:rsidR="00AD51CF">
        <w:t>BD</w:t>
      </w:r>
      <w:r>
        <w:t xml:space="preserve"> there was little difference in effect of ertugliflozin on </w:t>
      </w:r>
      <w:r w:rsidR="003F2DE3">
        <w:t>Hb</w:t>
      </w:r>
      <w:r w:rsidR="00A04B32">
        <w:t>A1c</w:t>
      </w:r>
      <w:r>
        <w:t>.</w:t>
      </w:r>
    </w:p>
    <w:p w14:paraId="470BD845" w14:textId="0B5F397F" w:rsidR="00CD4D93" w:rsidRDefault="00CD4D93" w:rsidP="00CD4D93">
      <w:r>
        <w:t>Population dose-response analysis predicted that in a typical patient with T2DM on a background of metformin, the placebo-adjusted c</w:t>
      </w:r>
      <w:r w:rsidRPr="004D575B">
        <w:rPr>
          <w:rFonts w:eastAsia="TimesNewRoman"/>
        </w:rPr>
        <w:t>hange from baseline</w:t>
      </w:r>
      <w:r>
        <w:t xml:space="preserve"> in Hb</w:t>
      </w:r>
      <w:r w:rsidR="00A04B32">
        <w:t>A1c</w:t>
      </w:r>
      <w:r>
        <w:t xml:space="preserve"> following 26 weeks of treatment with either 5 mg or 15 mg ertugliflozin were -0.674% (-0.805% to -0.565%) and -0.735% (-0.869% to -0.626%), respectively. Whereas, for a typical patient with Stage 3a </w:t>
      </w:r>
      <w:r w:rsidRPr="004D575B">
        <w:rPr>
          <w:rFonts w:eastAsia="TimesNewRoman"/>
        </w:rPr>
        <w:t>Chronic kidney disease</w:t>
      </w:r>
      <w:r>
        <w:t xml:space="preserve"> (CKD) the predicted mean placebo-adjusted c</w:t>
      </w:r>
      <w:r w:rsidRPr="006A0D66">
        <w:t xml:space="preserve">hange </w:t>
      </w:r>
      <w:r w:rsidRPr="006A0D66">
        <w:lastRenderedPageBreak/>
        <w:t>from baseline</w:t>
      </w:r>
      <w:r>
        <w:t xml:space="preserve"> Hb</w:t>
      </w:r>
      <w:r w:rsidR="00A04B32">
        <w:t>A1c</w:t>
      </w:r>
      <w:r>
        <w:t xml:space="preserve"> response for the 5 mg and 15 mg ertugliflozin doses were -0.458% (-0.603% to -0.339%) and -0.518% (-0.681% to -0.393%), respectively.</w:t>
      </w:r>
    </w:p>
    <w:p w14:paraId="4D0459B8" w14:textId="77777777" w:rsidR="00CD4D93" w:rsidRDefault="00CD4D93" w:rsidP="00CD4D93">
      <w:r>
        <w:t xml:space="preserve">Following 28 days of administration the predicted UGE (90% </w:t>
      </w:r>
      <w:r>
        <w:rPr>
          <w:rFonts w:eastAsia="TimesNewRoman"/>
        </w:rPr>
        <w:t>c</w:t>
      </w:r>
      <w:r w:rsidRPr="004D575B">
        <w:rPr>
          <w:rFonts w:eastAsia="TimesNewRoman"/>
        </w:rPr>
        <w:t>onfidence interval</w:t>
      </w:r>
      <w:r>
        <w:t xml:space="preserve"> (CI)) values for the 5 mg and 15 mg doses of ertugliflozin were 62.5 (54.9, 69.7( g/day and 68.9 (58.9, 78.7) g/day, respectively.</w:t>
      </w:r>
    </w:p>
    <w:p w14:paraId="516DB16A" w14:textId="6F627064" w:rsidR="004C4E10" w:rsidRDefault="004C4E10" w:rsidP="004C4E10">
      <w:r>
        <w:t xml:space="preserve">Rifampin co-administration induced a slight decrease in the ability of ertugliflozin to lower </w:t>
      </w:r>
      <w:r w:rsidR="006A0D66">
        <w:t>c</w:t>
      </w:r>
      <w:r w:rsidR="006A0D66" w:rsidRPr="006A0D66">
        <w:t>hange from baseline</w:t>
      </w:r>
      <w:r>
        <w:t xml:space="preserve"> </w:t>
      </w:r>
      <w:r w:rsidR="003F2DE3">
        <w:t>Hb</w:t>
      </w:r>
      <w:r w:rsidR="00A04B32">
        <w:t>A1c</w:t>
      </w:r>
      <w:r>
        <w:t>.</w:t>
      </w:r>
    </w:p>
    <w:p w14:paraId="783BFE2E" w14:textId="3C222D4E" w:rsidR="004C4E10" w:rsidRDefault="004C4E10" w:rsidP="004C4E10">
      <w:r>
        <w:t xml:space="preserve">In patients with T2DM, </w:t>
      </w:r>
      <w:r w:rsidR="00731A2E">
        <w:t>UGE</w:t>
      </w:r>
      <w:r w:rsidR="00731A2E" w:rsidRPr="00731A2E">
        <w:rPr>
          <w:vertAlign w:val="subscript"/>
        </w:rPr>
        <w:t>0-24</w:t>
      </w:r>
      <w:r w:rsidR="006D7D02">
        <w:t xml:space="preserve"> </w:t>
      </w:r>
      <w:r>
        <w:t>was dose dependent with 70.4 g excreted following the 2</w:t>
      </w:r>
      <w:r w:rsidR="00F01382">
        <w:t> </w:t>
      </w:r>
      <w:r w:rsidR="006D7D02">
        <w:t>mg</w:t>
      </w:r>
      <w:r>
        <w:t xml:space="preserve"> dose and 80.5 g following the 4</w:t>
      </w:r>
      <w:r w:rsidR="00F01382">
        <w:t xml:space="preserve"> </w:t>
      </w:r>
      <w:r w:rsidR="006D7D02">
        <w:t>mg</w:t>
      </w:r>
      <w:r>
        <w:t xml:space="preserve"> dose. By contrast, weighted mean plasma glucose over 24 h was similar following both the 2</w:t>
      </w:r>
      <w:r w:rsidR="00F01382">
        <w:t xml:space="preserve"> </w:t>
      </w:r>
      <w:r w:rsidR="006D7D02">
        <w:t>mg</w:t>
      </w:r>
      <w:r>
        <w:t xml:space="preserve"> (175.6</w:t>
      </w:r>
      <w:r w:rsidR="00F01382">
        <w:t xml:space="preserve"> </w:t>
      </w:r>
      <w:r w:rsidR="006D7D02">
        <w:t>mg</w:t>
      </w:r>
      <w:r>
        <w:t>/dL) and 4</w:t>
      </w:r>
      <w:r w:rsidR="00F01382">
        <w:t xml:space="preserve"> </w:t>
      </w:r>
      <w:r w:rsidR="006D7D02">
        <w:t>mg</w:t>
      </w:r>
      <w:r>
        <w:t xml:space="preserve"> (170.4</w:t>
      </w:r>
      <w:r w:rsidR="00F01382">
        <w:t xml:space="preserve"> </w:t>
      </w:r>
      <w:r w:rsidR="006D7D02">
        <w:t>mg</w:t>
      </w:r>
      <w:r>
        <w:t>/dL) doses.</w:t>
      </w:r>
    </w:p>
    <w:p w14:paraId="30932046" w14:textId="77777777" w:rsidR="004C4E10" w:rsidRDefault="004C4E10" w:rsidP="00731A2E">
      <w:pPr>
        <w:pStyle w:val="Heading6"/>
      </w:pPr>
      <w:r>
        <w:t xml:space="preserve">Secondary </w:t>
      </w:r>
      <w:r w:rsidR="00731A2E">
        <w:t>pharmacodynamic e</w:t>
      </w:r>
      <w:r>
        <w:t>ffects</w:t>
      </w:r>
    </w:p>
    <w:p w14:paraId="23EFA035" w14:textId="79F9A2E5" w:rsidR="00CD4D93" w:rsidRDefault="004C4E10" w:rsidP="004C4E10">
      <w:r w:rsidRPr="00731A2E">
        <w:rPr>
          <w:rStyle w:val="Heading7Char"/>
          <w:rFonts w:eastAsia="Cambria"/>
        </w:rPr>
        <w:t>Healthy subjects</w:t>
      </w:r>
    </w:p>
    <w:p w14:paraId="1749F71F" w14:textId="4A8D62C6" w:rsidR="004C4E10" w:rsidRDefault="004C4E10" w:rsidP="004C4E10">
      <w:r>
        <w:t>Unlike 400</w:t>
      </w:r>
      <w:r w:rsidR="00F01382">
        <w:t xml:space="preserve"> </w:t>
      </w:r>
      <w:r w:rsidR="006D7D02">
        <w:t>mg</w:t>
      </w:r>
      <w:r>
        <w:t xml:space="preserve"> moxifloxacin, 100</w:t>
      </w:r>
      <w:r w:rsidR="00F01382">
        <w:t xml:space="preserve"> </w:t>
      </w:r>
      <w:r w:rsidR="006D7D02">
        <w:t>mg</w:t>
      </w:r>
      <w:r>
        <w:t xml:space="preserve"> ertugliflozin had no effect on QTc interval in healthy subjects.</w:t>
      </w:r>
      <w:r w:rsidR="00B51DF2">
        <w:t xml:space="preserve"> </w:t>
      </w:r>
      <w:r>
        <w:t>Following multiple QD doses ranging from 1</w:t>
      </w:r>
      <w:r w:rsidR="00F01382">
        <w:t xml:space="preserve"> </w:t>
      </w:r>
      <w:r w:rsidR="006D7D02">
        <w:t>mg</w:t>
      </w:r>
      <w:r>
        <w:t xml:space="preserve"> to 100</w:t>
      </w:r>
      <w:r w:rsidR="00F01382">
        <w:t xml:space="preserve"> </w:t>
      </w:r>
      <w:r w:rsidR="006D7D02">
        <w:t>mg</w:t>
      </w:r>
      <w:r>
        <w:t xml:space="preserve"> to otherwise healthy overweight or obese subjects, ertugliflozin had no effect on serum sodium, potassium and calcium levels or magnesium and calcium excretion on either Day</w:t>
      </w:r>
      <w:r w:rsidR="00815048">
        <w:t> </w:t>
      </w:r>
      <w:r>
        <w:t>1 or Day 14 of treatment and no clear dose</w:t>
      </w:r>
      <w:r w:rsidR="00815048">
        <w:t xml:space="preserve"> </w:t>
      </w:r>
      <w:r>
        <w:t>related effect was identified for serum magnesium levels or iPTH AUC.</w:t>
      </w:r>
    </w:p>
    <w:p w14:paraId="2D133427" w14:textId="14D2F99A" w:rsidR="00CD4D93" w:rsidRDefault="004C4E10" w:rsidP="004C4E10">
      <w:r w:rsidRPr="00731A2E">
        <w:rPr>
          <w:rStyle w:val="Heading7Char"/>
          <w:rFonts w:eastAsia="Cambria"/>
        </w:rPr>
        <w:t>T2DM</w:t>
      </w:r>
    </w:p>
    <w:p w14:paraId="0B9A2400" w14:textId="11758CCE" w:rsidR="004C4E10" w:rsidRDefault="004C4E10" w:rsidP="004C4E10">
      <w:r>
        <w:t>Following co-administration of a range of oral doses of ertugliflozin and 12.5</w:t>
      </w:r>
      <w:r w:rsidR="00F01382">
        <w:t xml:space="preserve"> </w:t>
      </w:r>
      <w:r w:rsidR="006D7D02">
        <w:t>mg</w:t>
      </w:r>
      <w:r>
        <w:t xml:space="preserve"> QD </w:t>
      </w:r>
      <w:r w:rsidR="00CD4D93">
        <w:rPr>
          <w:rFonts w:eastAsiaTheme="minorHAnsi"/>
        </w:rPr>
        <w:t>h</w:t>
      </w:r>
      <w:r w:rsidR="00CD4D93" w:rsidRPr="004D575B">
        <w:rPr>
          <w:rFonts w:eastAsiaTheme="minorHAnsi"/>
        </w:rPr>
        <w:t>ydrochlorothiazide</w:t>
      </w:r>
      <w:r w:rsidR="00CD4D93">
        <w:t xml:space="preserve"> </w:t>
      </w:r>
      <w:r w:rsidR="006A0D66">
        <w:t>(</w:t>
      </w:r>
      <w:r>
        <w:t>HCTZ</w:t>
      </w:r>
      <w:r w:rsidR="006A0D66">
        <w:t>)</w:t>
      </w:r>
      <w:r>
        <w:t xml:space="preserve"> for 4 weeks in patients with T2DM, ertugliflozin had a mild diuretic effect. By contrast it had no effect on 24</w:t>
      </w:r>
      <w:r w:rsidR="00731A2E">
        <w:t xml:space="preserve"> </w:t>
      </w:r>
      <w:r>
        <w:t>h urinary aldosterone, urinary sodium or urinary potassium.</w:t>
      </w:r>
      <w:r w:rsidR="00B51DF2">
        <w:t xml:space="preserve"> </w:t>
      </w:r>
      <w:r>
        <w:t>In contrast to sitagliptin, ertugliflozin induced minor bone resorption, as indicated by increased levels of serum CTX1 and urinary NTX-1; however, these effects did not appear to be dose</w:t>
      </w:r>
      <w:r w:rsidR="00731A2E">
        <w:t xml:space="preserve"> </w:t>
      </w:r>
      <w:r>
        <w:t>dependent. By contrast, no effects on markers of bone formation were identified.</w:t>
      </w:r>
    </w:p>
    <w:p w14:paraId="3363CF45" w14:textId="65A7653E" w:rsidR="004C4E10" w:rsidRDefault="004C4E10" w:rsidP="004C4E10">
      <w:r>
        <w:t>Time course of PD effects:</w:t>
      </w:r>
      <w:r w:rsidR="00B51DF2">
        <w:t xml:space="preserve"> </w:t>
      </w:r>
      <w:r w:rsidR="00731A2E">
        <w:t>UGE</w:t>
      </w:r>
      <w:r w:rsidR="00731A2E" w:rsidRPr="00731A2E">
        <w:rPr>
          <w:vertAlign w:val="subscript"/>
        </w:rPr>
        <w:t>0-24</w:t>
      </w:r>
      <w:r>
        <w:t xml:space="preserve"> was similar following </w:t>
      </w:r>
      <w:r w:rsidR="00AD51CF">
        <w:t>BD</w:t>
      </w:r>
      <w:r>
        <w:t xml:space="preserve"> and QD doses of ertugliflozin, following the equivalent total daily dose, in healthy subjects and in subjects with T2DM.</w:t>
      </w:r>
    </w:p>
    <w:p w14:paraId="1713578C" w14:textId="77777777" w:rsidR="004C4E10" w:rsidRPr="00C65C63" w:rsidRDefault="004C4E10" w:rsidP="004C4E10">
      <w:r w:rsidRPr="00C65C63">
        <w:t xml:space="preserve">The </w:t>
      </w:r>
      <w:r w:rsidR="00731A2E" w:rsidRPr="00C65C63">
        <w:t>s</w:t>
      </w:r>
      <w:r w:rsidRPr="00C65C63">
        <w:t xml:space="preserve">ponsor states the following in regards to the selection of doses for the </w:t>
      </w:r>
      <w:r w:rsidR="00B51DF2" w:rsidRPr="00C65C63">
        <w:t>Phase III</w:t>
      </w:r>
      <w:r w:rsidRPr="00C65C63">
        <w:t xml:space="preserve"> studies:</w:t>
      </w:r>
    </w:p>
    <w:p w14:paraId="5C12424A" w14:textId="03A9177E" w:rsidR="004C4E10" w:rsidRPr="00C65C63" w:rsidRDefault="004C4E10" w:rsidP="00731A2E">
      <w:pPr>
        <w:ind w:left="720"/>
        <w:rPr>
          <w:i/>
        </w:rPr>
      </w:pPr>
      <w:r w:rsidRPr="00C65C63">
        <w:rPr>
          <w:i/>
        </w:rPr>
        <w:t>Since single oral doses as high as 300</w:t>
      </w:r>
      <w:r w:rsidR="00F01382">
        <w:rPr>
          <w:i/>
        </w:rPr>
        <w:t xml:space="preserve"> </w:t>
      </w:r>
      <w:r w:rsidR="006D7D02">
        <w:rPr>
          <w:i/>
        </w:rPr>
        <w:t>mg</w:t>
      </w:r>
      <w:r w:rsidRPr="00C65C63">
        <w:rPr>
          <w:i/>
        </w:rPr>
        <w:t>, multiple doses of 100</w:t>
      </w:r>
      <w:r w:rsidR="00F01382">
        <w:rPr>
          <w:i/>
        </w:rPr>
        <w:t xml:space="preserve"> </w:t>
      </w:r>
      <w:r w:rsidR="006D7D02">
        <w:rPr>
          <w:i/>
        </w:rPr>
        <w:t>mg</w:t>
      </w:r>
      <w:r w:rsidRPr="00C65C63">
        <w:rPr>
          <w:i/>
        </w:rPr>
        <w:t xml:space="preserve"> QD up to 14 days and 25</w:t>
      </w:r>
      <w:r w:rsidR="00F01382">
        <w:rPr>
          <w:i/>
        </w:rPr>
        <w:t xml:space="preserve"> </w:t>
      </w:r>
      <w:r w:rsidR="006D7D02">
        <w:rPr>
          <w:i/>
        </w:rPr>
        <w:t>mg</w:t>
      </w:r>
      <w:r w:rsidRPr="00C65C63">
        <w:rPr>
          <w:i/>
        </w:rPr>
        <w:t xml:space="preserve"> QD up to 12 weeks were associated with an acceptable safety profile in the </w:t>
      </w:r>
      <w:r w:rsidR="00B51DF2" w:rsidRPr="00C65C63">
        <w:rPr>
          <w:i/>
        </w:rPr>
        <w:t>Phase I</w:t>
      </w:r>
      <w:r w:rsidRPr="00C65C63">
        <w:rPr>
          <w:i/>
        </w:rPr>
        <w:t xml:space="preserve"> and </w:t>
      </w:r>
      <w:r w:rsidR="00B51DF2" w:rsidRPr="00C65C63">
        <w:rPr>
          <w:i/>
        </w:rPr>
        <w:t>Phase II</w:t>
      </w:r>
      <w:r w:rsidRPr="00C65C63">
        <w:rPr>
          <w:i/>
        </w:rPr>
        <w:t xml:space="preserve"> studies, the key drivers for </w:t>
      </w:r>
      <w:r w:rsidR="00B51DF2" w:rsidRPr="00C65C63">
        <w:rPr>
          <w:i/>
        </w:rPr>
        <w:t>Phase III</w:t>
      </w:r>
      <w:r w:rsidRPr="00C65C63">
        <w:rPr>
          <w:i/>
        </w:rPr>
        <w:t xml:space="preserve"> dose selection were the dose-response relationships for the change from baseline in </w:t>
      </w:r>
      <w:r w:rsidR="003F2DE3" w:rsidRPr="00C65C63">
        <w:t>Hb</w:t>
      </w:r>
      <w:r w:rsidR="00A04B32">
        <w:t>A1c</w:t>
      </w:r>
      <w:r w:rsidRPr="00C65C63">
        <w:rPr>
          <w:i/>
        </w:rPr>
        <w:t xml:space="preserve">, FPG, and body weight in T2DM subjects from the 12-week </w:t>
      </w:r>
      <w:r w:rsidR="00B51DF2" w:rsidRPr="00C65C63">
        <w:rPr>
          <w:i/>
        </w:rPr>
        <w:t>Phase II</w:t>
      </w:r>
      <w:r w:rsidRPr="00C65C63">
        <w:rPr>
          <w:i/>
        </w:rPr>
        <w:t xml:space="preserve"> dose-ranging study (Study P016/1006). The relationship between change from baseline in </w:t>
      </w:r>
      <w:r w:rsidR="003F2DE3" w:rsidRPr="00C65C63">
        <w:t>Hb</w:t>
      </w:r>
      <w:r w:rsidR="00A04B32">
        <w:t>A1c</w:t>
      </w:r>
      <w:r w:rsidRPr="00C65C63">
        <w:rPr>
          <w:i/>
        </w:rPr>
        <w:t xml:space="preserve"> or FPG or body weight at Week 12 </w:t>
      </w:r>
      <w:r w:rsidR="00E600D5">
        <w:rPr>
          <w:i/>
        </w:rPr>
        <w:t>versus</w:t>
      </w:r>
      <w:r w:rsidRPr="00C65C63">
        <w:rPr>
          <w:i/>
        </w:rPr>
        <w:t xml:space="preserve"> dose was described by a maximum effect (E</w:t>
      </w:r>
      <w:r w:rsidRPr="00CD4D93">
        <w:rPr>
          <w:i/>
          <w:vertAlign w:val="subscript"/>
        </w:rPr>
        <w:t>max</w:t>
      </w:r>
      <w:r w:rsidRPr="00C65C63">
        <w:rPr>
          <w:i/>
        </w:rPr>
        <w:t xml:space="preserve">) model that included dose as a continuous variable. </w:t>
      </w:r>
      <w:r w:rsidR="00B51DF2" w:rsidRPr="00C65C63">
        <w:rPr>
          <w:i/>
        </w:rPr>
        <w:t>Phase III</w:t>
      </w:r>
      <w:r w:rsidRPr="00C65C63">
        <w:rPr>
          <w:i/>
        </w:rPr>
        <w:t xml:space="preserve"> dose selection was also supported by dose-response</w:t>
      </w:r>
      <w:r w:rsidR="00A04B32">
        <w:rPr>
          <w:i/>
        </w:rPr>
        <w:t xml:space="preserve"> modelling of the PD marker, 24 </w:t>
      </w:r>
      <w:r w:rsidRPr="00C65C63">
        <w:rPr>
          <w:i/>
        </w:rPr>
        <w:t>hour UGE, in subjects with T2DM from the 4</w:t>
      </w:r>
      <w:r w:rsidR="00815048">
        <w:rPr>
          <w:i/>
        </w:rPr>
        <w:t xml:space="preserve"> </w:t>
      </w:r>
      <w:r w:rsidRPr="00C65C63">
        <w:rPr>
          <w:i/>
        </w:rPr>
        <w:t xml:space="preserve">week </w:t>
      </w:r>
      <w:r w:rsidR="00B51DF2" w:rsidRPr="00C65C63">
        <w:rPr>
          <w:i/>
        </w:rPr>
        <w:t>Phase II</w:t>
      </w:r>
      <w:r w:rsidRPr="00C65C63">
        <w:rPr>
          <w:i/>
        </w:rPr>
        <w:t xml:space="preserve"> Study P042/1004.</w:t>
      </w:r>
    </w:p>
    <w:p w14:paraId="0753EE22" w14:textId="77777777" w:rsidR="00CD4D93" w:rsidRDefault="00CD4D93" w:rsidP="00CD4D93">
      <w:r w:rsidRPr="00C65C63">
        <w:t>The two Phase II studies mentioned (</w:t>
      </w:r>
      <w:r>
        <w:t xml:space="preserve">Studies </w:t>
      </w:r>
      <w:r w:rsidRPr="00C65C63">
        <w:t>P016/1006 and P042/1004) examined the following doses of ertugliflozin: 1 mg, 5 mg, 10 mg and 25 mg. Therefore as neither of the dose ranging/dose response Phase II studies directly examined the 15 mg dose and its choice appears to be arbitrary in the materials provided regarding the modelling studies, it is unclear why the 15 mg dose was chosen for the Phase III and additional Phase I trials.</w:t>
      </w:r>
    </w:p>
    <w:p w14:paraId="07A3BDAE" w14:textId="77777777" w:rsidR="004C4E10" w:rsidRPr="00815048" w:rsidRDefault="00EE7154">
      <w:pPr>
        <w:pStyle w:val="Heading4"/>
      </w:pPr>
      <w:r w:rsidRPr="00815048">
        <w:lastRenderedPageBreak/>
        <w:t>Dosage selection for the pivotal studies</w:t>
      </w:r>
    </w:p>
    <w:p w14:paraId="2FB06739" w14:textId="77777777" w:rsidR="004C4E10" w:rsidRPr="00815048" w:rsidRDefault="004C4E10">
      <w:pPr>
        <w:pStyle w:val="Heading5"/>
      </w:pPr>
      <w:r w:rsidRPr="00815048">
        <w:t>Pharmacokinetic and pharmacodynamic</w:t>
      </w:r>
      <w:r w:rsidR="00347FCC" w:rsidRPr="00815048">
        <w:t xml:space="preserve"> </w:t>
      </w:r>
      <w:r w:rsidRPr="00815048">
        <w:t>dose finding studies</w:t>
      </w:r>
    </w:p>
    <w:p w14:paraId="4C1B1B0F" w14:textId="77777777" w:rsidR="00CD4D93" w:rsidRDefault="00CD4D93" w:rsidP="00CD4D93">
      <w:r>
        <w:t>Oral doses of ertugliflozin as high as 300 mg (single dose), 100 mg QD (up to 14 days), and 25 mg QD (up to 12 weeks) demonstrated appropriate safety and tolerability in the early Phase I and 2 studies. The selection of the 5 mg and 15 mg doses for the Phase III studies was also supported by the safety and tolerability profile for ertugliflozin in Phase I and II clinical studies up to 12 weeks in duration. When accounting for species differences in protein binding the highest Phase III dose of 15 mg QD represented an exposure approximately 12 fold (for C</w:t>
      </w:r>
      <w:r w:rsidRPr="00E700A6">
        <w:rPr>
          <w:vertAlign w:val="subscript"/>
        </w:rPr>
        <w:t>max</w:t>
      </w:r>
      <w:r>
        <w:t xml:space="preserve"> (maximum concentration)) and 11 fold (for area under curve over 24 hours (AUC</w:t>
      </w:r>
      <w:r w:rsidRPr="00896F03">
        <w:rPr>
          <w:vertAlign w:val="subscript"/>
        </w:rPr>
        <w:t>0-24</w:t>
      </w:r>
      <w:r>
        <w:t>)) lower than exposure at the no observed adverse effect level (NOAEL) in the 6 month toxicology study in the most sensitive species (rat).</w:t>
      </w:r>
    </w:p>
    <w:p w14:paraId="210C706B" w14:textId="77777777" w:rsidR="004C4E10" w:rsidRDefault="00B51DF2" w:rsidP="001606DA">
      <w:pPr>
        <w:pStyle w:val="Heading5"/>
      </w:pPr>
      <w:r>
        <w:t>Phase II</w:t>
      </w:r>
      <w:r w:rsidR="004C4E10">
        <w:t xml:space="preserve"> dose finding studies</w:t>
      </w:r>
    </w:p>
    <w:p w14:paraId="7541831F" w14:textId="342972DE" w:rsidR="004C4E10" w:rsidRDefault="004C4E10" w:rsidP="004C4E10">
      <w:r>
        <w:t xml:space="preserve">The </w:t>
      </w:r>
      <w:r w:rsidR="00B51DF2">
        <w:t>Phase II</w:t>
      </w:r>
      <w:r>
        <w:t xml:space="preserve"> </w:t>
      </w:r>
      <w:r w:rsidR="00CD4D93">
        <w:t>S</w:t>
      </w:r>
      <w:r>
        <w:t>tudy P016/1006 assessed dose-response following 12 weeks of treatment with ertugliflozin (1</w:t>
      </w:r>
      <w:r w:rsidR="00F01382">
        <w:t xml:space="preserve"> </w:t>
      </w:r>
      <w:r w:rsidR="006D7D02">
        <w:t>mg</w:t>
      </w:r>
      <w:r>
        <w:t>, 5</w:t>
      </w:r>
      <w:r w:rsidR="00F01382">
        <w:t xml:space="preserve"> </w:t>
      </w:r>
      <w:r w:rsidR="006D7D02">
        <w:t>mg</w:t>
      </w:r>
      <w:r>
        <w:t>, 10</w:t>
      </w:r>
      <w:r w:rsidR="00F01382">
        <w:t xml:space="preserve"> </w:t>
      </w:r>
      <w:r w:rsidR="006D7D02">
        <w:t>mg</w:t>
      </w:r>
      <w:r>
        <w:t xml:space="preserve"> and 25</w:t>
      </w:r>
      <w:r w:rsidR="00F01382">
        <w:t xml:space="preserve"> </w:t>
      </w:r>
      <w:r w:rsidR="006D7D02">
        <w:t>mg</w:t>
      </w:r>
      <w:r>
        <w:t xml:space="preserve"> </w:t>
      </w:r>
      <w:r w:rsidR="001606DA">
        <w:t>QD</w:t>
      </w:r>
      <w:r>
        <w:t>) and sitagliptin 10</w:t>
      </w:r>
      <w:r w:rsidR="0072297B">
        <w:t>0</w:t>
      </w:r>
      <w:r w:rsidR="00F01382">
        <w:t xml:space="preserve"> </w:t>
      </w:r>
      <w:r w:rsidR="006D7D02">
        <w:t>mg</w:t>
      </w:r>
      <w:r w:rsidR="001606DA">
        <w:t xml:space="preserve"> QD </w:t>
      </w:r>
      <w:r>
        <w:t>in 328 subjects with inadequately controlled T2DM who were receiving stable doses of metformin. Results from this study confirmed the minimally efficacious dose as 1</w:t>
      </w:r>
      <w:r w:rsidR="00F01382">
        <w:t xml:space="preserve"> </w:t>
      </w:r>
      <w:r w:rsidR="006D7D02">
        <w:t>mg</w:t>
      </w:r>
      <w:r>
        <w:t xml:space="preserve"> with the 2 highest doses (1</w:t>
      </w:r>
      <w:r w:rsidR="0072297B">
        <w:t>0</w:t>
      </w:r>
      <w:r w:rsidR="00F01382">
        <w:t xml:space="preserve"> </w:t>
      </w:r>
      <w:r w:rsidR="006D7D02">
        <w:t>mg</w:t>
      </w:r>
      <w:r>
        <w:t xml:space="preserve"> and 2</w:t>
      </w:r>
      <w:r w:rsidR="00731A2E">
        <w:t>5</w:t>
      </w:r>
      <w:r w:rsidR="00F01382">
        <w:t xml:space="preserve"> </w:t>
      </w:r>
      <w:r w:rsidR="006D7D02">
        <w:t>mg</w:t>
      </w:r>
      <w:r>
        <w:t>) offering little incremental increase in efficacy (</w:t>
      </w:r>
      <w:r w:rsidR="001606DA">
        <w:t>that is,</w:t>
      </w:r>
      <w:r>
        <w:t xml:space="preserve"> effect on </w:t>
      </w:r>
      <w:r w:rsidR="003F2DE3">
        <w:t>Hb</w:t>
      </w:r>
      <w:r w:rsidR="00A04B32">
        <w:t>A1c</w:t>
      </w:r>
      <w:r>
        <w:t xml:space="preserve">, </w:t>
      </w:r>
      <w:r w:rsidR="00C45B82" w:rsidRPr="004D575B">
        <w:rPr>
          <w:rFonts w:eastAsiaTheme="minorHAnsi"/>
        </w:rPr>
        <w:t>Fasting plasma glucose</w:t>
      </w:r>
      <w:r w:rsidR="00C45B82">
        <w:t xml:space="preserve"> (</w:t>
      </w:r>
      <w:r>
        <w:t>FPG</w:t>
      </w:r>
      <w:r w:rsidR="00C45B82">
        <w:t>)</w:t>
      </w:r>
      <w:r>
        <w:t xml:space="preserve"> and body weight) relative to the 5</w:t>
      </w:r>
      <w:r w:rsidR="00F01382">
        <w:t xml:space="preserve"> </w:t>
      </w:r>
      <w:r w:rsidR="006D7D02">
        <w:t>mg</w:t>
      </w:r>
      <w:r>
        <w:t xml:space="preserve"> once-daily dose. The efficacy observed with the 5</w:t>
      </w:r>
      <w:r w:rsidR="00F01382">
        <w:t xml:space="preserve"> </w:t>
      </w:r>
      <w:r w:rsidR="006D7D02">
        <w:t>mg</w:t>
      </w:r>
      <w:r>
        <w:t xml:space="preserve"> QD represents greater than </w:t>
      </w:r>
      <w:r w:rsidR="00D722B4">
        <w:t>effective dose in 80% of subjects (</w:t>
      </w:r>
      <w:r>
        <w:t>ED80</w:t>
      </w:r>
      <w:r w:rsidR="00D722B4">
        <w:t>)</w:t>
      </w:r>
      <w:r>
        <w:t xml:space="preserve"> for the endpoints of </w:t>
      </w:r>
      <w:r w:rsidR="003F2DE3">
        <w:t>Hb</w:t>
      </w:r>
      <w:r w:rsidR="00A04B32">
        <w:t>A1c</w:t>
      </w:r>
      <w:r>
        <w:t>, FPG and body weight. In addition to effect on glycaemic control and body weight, ertugliflozin was observed to result in a clinically meaningful decline in seated trough blood pressure. There was no overall dose</w:t>
      </w:r>
      <w:r w:rsidR="00815048">
        <w:t xml:space="preserve"> </w:t>
      </w:r>
      <w:r>
        <w:t xml:space="preserve">related increase in the frequency of </w:t>
      </w:r>
      <w:r w:rsidR="001606DA">
        <w:t>adverse events (</w:t>
      </w:r>
      <w:r>
        <w:t>AEs</w:t>
      </w:r>
      <w:r w:rsidR="001606DA">
        <w:t>)</w:t>
      </w:r>
      <w:r>
        <w:t xml:space="preserve"> across the 25</w:t>
      </w:r>
      <w:r w:rsidR="001606DA">
        <w:t xml:space="preserve"> </w:t>
      </w:r>
      <w:r>
        <w:t>fold range of doses evaluated (1</w:t>
      </w:r>
      <w:r w:rsidR="00F01382">
        <w:t xml:space="preserve"> </w:t>
      </w:r>
      <w:r w:rsidR="006D7D02">
        <w:t>mg</w:t>
      </w:r>
      <w:r>
        <w:t xml:space="preserve"> QD to 25</w:t>
      </w:r>
      <w:r w:rsidR="00F01382">
        <w:t xml:space="preserve"> </w:t>
      </w:r>
      <w:r w:rsidR="006D7D02">
        <w:t>mg</w:t>
      </w:r>
      <w:r>
        <w:t xml:space="preserve"> QD).</w:t>
      </w:r>
    </w:p>
    <w:p w14:paraId="6D503CB0" w14:textId="471E6233" w:rsidR="004C4E10" w:rsidRDefault="004C4E10" w:rsidP="004C4E10">
      <w:r>
        <w:t xml:space="preserve">Another </w:t>
      </w:r>
      <w:r w:rsidR="00B51DF2">
        <w:t>Phase II</w:t>
      </w:r>
      <w:r>
        <w:t xml:space="preserve"> </w:t>
      </w:r>
      <w:r w:rsidR="001606DA">
        <w:t>S</w:t>
      </w:r>
      <w:r>
        <w:t xml:space="preserve">tudy P042/1004 evaluated dose response (in terms of reduction in </w:t>
      </w:r>
      <w:r w:rsidR="001606DA">
        <w:t>systolic blood pressure (</w:t>
      </w:r>
      <w:r>
        <w:t>SBP</w:t>
      </w:r>
      <w:r w:rsidR="001606DA">
        <w:t>)</w:t>
      </w:r>
      <w:r>
        <w:t>, UGE and FPG) following 4 weeks treatment with ertugliflozin doses (1</w:t>
      </w:r>
      <w:r w:rsidR="00F01382">
        <w:t xml:space="preserve"> </w:t>
      </w:r>
      <w:r w:rsidR="006D7D02">
        <w:t>mg</w:t>
      </w:r>
      <w:r>
        <w:t>, 5</w:t>
      </w:r>
      <w:r w:rsidR="00F01382">
        <w:t xml:space="preserve"> </w:t>
      </w:r>
      <w:r w:rsidR="006D7D02">
        <w:t>mg</w:t>
      </w:r>
      <w:r>
        <w:t xml:space="preserve"> or 25</w:t>
      </w:r>
      <w:r w:rsidR="00F01382">
        <w:t xml:space="preserve"> </w:t>
      </w:r>
      <w:r w:rsidR="006D7D02">
        <w:t>mg</w:t>
      </w:r>
      <w:r>
        <w:t>) and HCTZ in 193 subjects with T2DM and inadequate glycaemic and blood pressure control. Consistent with the mechanism of ertugliflozin, there was a statistically significant increase in UGE</w:t>
      </w:r>
      <w:r w:rsidR="00D722B4" w:rsidRPr="00D722B4">
        <w:rPr>
          <w:vertAlign w:val="subscript"/>
        </w:rPr>
        <w:t>24h</w:t>
      </w:r>
      <w:r>
        <w:t xml:space="preserve"> and decrease in FPG at Week 4 for all 3 dose groups of ertugliflozin v</w:t>
      </w:r>
      <w:r w:rsidR="001606DA">
        <w:t>ersu</w:t>
      </w:r>
      <w:r>
        <w:t>s placebo although the 2</w:t>
      </w:r>
      <w:r w:rsidR="00731A2E">
        <w:t>5</w:t>
      </w:r>
      <w:r w:rsidR="00F01382">
        <w:t xml:space="preserve"> </w:t>
      </w:r>
      <w:r w:rsidR="006D7D02">
        <w:t>mg</w:t>
      </w:r>
      <w:r>
        <w:t xml:space="preserve"> dose did not lead to much greater increase in UGE or decrease in FPG compared to the </w:t>
      </w:r>
      <w:r w:rsidR="00731A2E">
        <w:t>5</w:t>
      </w:r>
      <w:r w:rsidR="00F01382">
        <w:t xml:space="preserve"> </w:t>
      </w:r>
      <w:r w:rsidR="006D7D02">
        <w:t>mg</w:t>
      </w:r>
      <w:r w:rsidR="001606DA">
        <w:t xml:space="preserve"> dose</w:t>
      </w:r>
      <w:r>
        <w:t xml:space="preserve">. These </w:t>
      </w:r>
      <w:r w:rsidR="00B51DF2">
        <w:t>Phase II</w:t>
      </w:r>
      <w:r>
        <w:t xml:space="preserve"> studies have been discussed in detail in </w:t>
      </w:r>
      <w:r w:rsidR="001606DA">
        <w:t>Attachment 2</w:t>
      </w:r>
      <w:r>
        <w:t xml:space="preserve">. The above two </w:t>
      </w:r>
      <w:r w:rsidR="00B51DF2">
        <w:t>Phase</w:t>
      </w:r>
      <w:r w:rsidR="00815048">
        <w:t> </w:t>
      </w:r>
      <w:r w:rsidR="00B51DF2">
        <w:t>II</w:t>
      </w:r>
      <w:r>
        <w:t xml:space="preserve"> studies provided the main data to enable the dose</w:t>
      </w:r>
      <w:r w:rsidR="001606DA">
        <w:t xml:space="preserve"> </w:t>
      </w:r>
      <w:r>
        <w:t xml:space="preserve">response modelling which was used to determine the dose selection for the pivotal </w:t>
      </w:r>
      <w:r w:rsidR="00B51DF2">
        <w:t>Phase III</w:t>
      </w:r>
      <w:r>
        <w:t xml:space="preserve"> studies.</w:t>
      </w:r>
    </w:p>
    <w:p w14:paraId="3A351284" w14:textId="32FC1D10" w:rsidR="004C4E10" w:rsidRDefault="004C4E10" w:rsidP="004C4E10">
      <w:r w:rsidRPr="00C65C63">
        <w:t>However, the proposed ertugliflozin dose of 1</w:t>
      </w:r>
      <w:r w:rsidR="00731A2E" w:rsidRPr="00C65C63">
        <w:t>5</w:t>
      </w:r>
      <w:r w:rsidR="00F01382">
        <w:t xml:space="preserve"> </w:t>
      </w:r>
      <w:r w:rsidR="006D7D02">
        <w:t>mg</w:t>
      </w:r>
      <w:r w:rsidR="001606DA" w:rsidRPr="00C65C63">
        <w:t xml:space="preserve"> QD </w:t>
      </w:r>
      <w:r w:rsidRPr="00C65C63">
        <w:t>was not evaluated in either of these studies and the choice of the 15</w:t>
      </w:r>
      <w:r w:rsidR="00F01382">
        <w:t xml:space="preserve"> </w:t>
      </w:r>
      <w:r w:rsidR="006D7D02">
        <w:t>mg</w:t>
      </w:r>
      <w:r w:rsidRPr="00C65C63">
        <w:t xml:space="preserve"> dose appears to be arbitrary in the materials provided regarding the modelling studies.</w:t>
      </w:r>
      <w:r w:rsidR="00B51DF2" w:rsidRPr="00C65C63">
        <w:t xml:space="preserve"> </w:t>
      </w:r>
      <w:r w:rsidRPr="00C65C63">
        <w:t>The sponsors have been asked to provide further justification regarding the choice of the 1</w:t>
      </w:r>
      <w:r w:rsidR="00731A2E" w:rsidRPr="00C65C63">
        <w:t>5</w:t>
      </w:r>
      <w:r w:rsidR="00F01382">
        <w:t xml:space="preserve"> </w:t>
      </w:r>
      <w:r w:rsidR="006D7D02">
        <w:t>mg</w:t>
      </w:r>
      <w:r w:rsidRPr="00C65C63">
        <w:t xml:space="preserve"> dose for the pivotal studies.</w:t>
      </w:r>
    </w:p>
    <w:p w14:paraId="21141F0E" w14:textId="77777777" w:rsidR="004C4E10" w:rsidRDefault="00B51DF2" w:rsidP="00D745EB">
      <w:pPr>
        <w:pStyle w:val="Heading5"/>
      </w:pPr>
      <w:r>
        <w:t>Phase III</w:t>
      </w:r>
      <w:r w:rsidR="004C4E10">
        <w:t xml:space="preserve"> pivotal studies investigating more than one dose regimen</w:t>
      </w:r>
    </w:p>
    <w:p w14:paraId="1BF83268" w14:textId="6F9E6E5B" w:rsidR="004C4E10" w:rsidRDefault="004C4E10" w:rsidP="004C4E10">
      <w:r>
        <w:t>Ertugliflozin doses of 5</w:t>
      </w:r>
      <w:r w:rsidR="00F01382">
        <w:t xml:space="preserve"> </w:t>
      </w:r>
      <w:r w:rsidR="006D7D02">
        <w:t>mg</w:t>
      </w:r>
      <w:r>
        <w:t xml:space="preserve"> and 15</w:t>
      </w:r>
      <w:r w:rsidR="00F01382">
        <w:t xml:space="preserve"> </w:t>
      </w:r>
      <w:r w:rsidR="006D7D02">
        <w:t>mg</w:t>
      </w:r>
      <w:r w:rsidR="001606DA">
        <w:t xml:space="preserve"> QD </w:t>
      </w:r>
      <w:r>
        <w:t xml:space="preserve">were evaluated in all seven </w:t>
      </w:r>
      <w:r w:rsidR="00B51DF2">
        <w:t>Phase III</w:t>
      </w:r>
      <w:r>
        <w:t xml:space="preserve"> studies. Both ertugliflozin 5</w:t>
      </w:r>
      <w:r w:rsidR="00F01382">
        <w:t xml:space="preserve"> </w:t>
      </w:r>
      <w:r w:rsidR="006D7D02">
        <w:t>mg</w:t>
      </w:r>
      <w:r>
        <w:t xml:space="preserve"> and 15</w:t>
      </w:r>
      <w:r w:rsidR="00F01382">
        <w:t xml:space="preserve"> </w:t>
      </w:r>
      <w:r w:rsidR="006D7D02">
        <w:t>mg</w:t>
      </w:r>
      <w:r>
        <w:t xml:space="preserve"> demonstrated clinical efficacy in the </w:t>
      </w:r>
      <w:r w:rsidR="00B51DF2">
        <w:t>Phase III</w:t>
      </w:r>
      <w:r>
        <w:t xml:space="preserve"> studies. The recommended starting dose is 5</w:t>
      </w:r>
      <w:r w:rsidR="00F01382">
        <w:t xml:space="preserve"> </w:t>
      </w:r>
      <w:r w:rsidR="006D7D02">
        <w:t>mg</w:t>
      </w:r>
      <w:r>
        <w:t xml:space="preserve"> and the 15</w:t>
      </w:r>
      <w:r w:rsidR="00F01382">
        <w:t xml:space="preserve"> </w:t>
      </w:r>
      <w:r w:rsidR="006D7D02">
        <w:t>mg</w:t>
      </w:r>
      <w:r>
        <w:t xml:space="preserve"> dose provides incremental glycaemic efficacy compared to the 5</w:t>
      </w:r>
      <w:r w:rsidR="00F01382">
        <w:t xml:space="preserve"> </w:t>
      </w:r>
      <w:r w:rsidR="006D7D02">
        <w:t>mg</w:t>
      </w:r>
      <w:r>
        <w:t xml:space="preserve"> dose. Although the studies were not powered for or designed to detect between</w:t>
      </w:r>
      <w:r w:rsidR="001606DA">
        <w:t xml:space="preserve"> </w:t>
      </w:r>
      <w:r>
        <w:t xml:space="preserve">dose differences, the effects on </w:t>
      </w:r>
      <w:r w:rsidR="003F2DE3">
        <w:t>Hb</w:t>
      </w:r>
      <w:r w:rsidR="00A04B32">
        <w:t>A1c</w:t>
      </w:r>
      <w:r>
        <w:t>, FPG, and 2</w:t>
      </w:r>
      <w:r w:rsidR="001606DA">
        <w:t xml:space="preserve"> </w:t>
      </w:r>
      <w:r>
        <w:t xml:space="preserve">h </w:t>
      </w:r>
      <w:r w:rsidR="003E0A2F" w:rsidRPr="004D575B">
        <w:rPr>
          <w:rFonts w:eastAsiaTheme="minorHAnsi"/>
        </w:rPr>
        <w:t>Post-prandial glucose</w:t>
      </w:r>
      <w:r w:rsidR="003E0A2F">
        <w:t xml:space="preserve"> (</w:t>
      </w:r>
      <w:r>
        <w:t>PPG</w:t>
      </w:r>
      <w:r w:rsidR="003E0A2F">
        <w:t>)</w:t>
      </w:r>
      <w:r>
        <w:t xml:space="preserve"> were generally greater for 15</w:t>
      </w:r>
      <w:r w:rsidR="00F01382">
        <w:t xml:space="preserve"> </w:t>
      </w:r>
      <w:r w:rsidR="006D7D02">
        <w:t>mg</w:t>
      </w:r>
      <w:r>
        <w:t xml:space="preserve"> v</w:t>
      </w:r>
      <w:r w:rsidR="00D745EB">
        <w:t>ersu</w:t>
      </w:r>
      <w:r>
        <w:t>s 5</w:t>
      </w:r>
      <w:r w:rsidR="00F01382">
        <w:t xml:space="preserve"> </w:t>
      </w:r>
      <w:r w:rsidR="006D7D02">
        <w:t>mg</w:t>
      </w:r>
      <w:r>
        <w:t xml:space="preserve"> ertugliflozin across the </w:t>
      </w:r>
      <w:r w:rsidR="00B51DF2">
        <w:t>Phase III</w:t>
      </w:r>
      <w:r>
        <w:t xml:space="preserve"> studies.</w:t>
      </w:r>
    </w:p>
    <w:p w14:paraId="1BB27CDA" w14:textId="77777777" w:rsidR="004C4E10" w:rsidRDefault="004C4E10" w:rsidP="00D745EB">
      <w:pPr>
        <w:pStyle w:val="Heading5"/>
      </w:pPr>
      <w:r>
        <w:t>Evaluator’s conclusions on dose finding for the pivotal studies</w:t>
      </w:r>
    </w:p>
    <w:p w14:paraId="296C6C19" w14:textId="1120D8AA" w:rsidR="004C4E10" w:rsidRDefault="004C4E10" w:rsidP="004C4E10">
      <w:r w:rsidRPr="00C65C63">
        <w:t xml:space="preserve">The doses of ertugliflozin evaluated in the </w:t>
      </w:r>
      <w:r w:rsidR="00B51DF2" w:rsidRPr="00C65C63">
        <w:t>Phase III</w:t>
      </w:r>
      <w:r w:rsidRPr="00C65C63">
        <w:t xml:space="preserve"> clinical studies were 5</w:t>
      </w:r>
      <w:r w:rsidR="00F01382">
        <w:t xml:space="preserve"> </w:t>
      </w:r>
      <w:r w:rsidR="006D7D02">
        <w:t>mg</w:t>
      </w:r>
      <w:r w:rsidRPr="00C65C63">
        <w:t xml:space="preserve"> and 15</w:t>
      </w:r>
      <w:r w:rsidR="00F01382">
        <w:t xml:space="preserve"> </w:t>
      </w:r>
      <w:r w:rsidR="006D7D02">
        <w:t>mg</w:t>
      </w:r>
      <w:r w:rsidRPr="00C65C63">
        <w:t xml:space="preserve"> once daily (</w:t>
      </w:r>
      <w:r w:rsidR="00D745EB" w:rsidRPr="00C65C63">
        <w:t>QD</w:t>
      </w:r>
      <w:r w:rsidRPr="00C65C63">
        <w:t>). Since oral doses of ertugliflozin as high as 300</w:t>
      </w:r>
      <w:r w:rsidR="00F01382">
        <w:t xml:space="preserve"> </w:t>
      </w:r>
      <w:r w:rsidR="006D7D02">
        <w:t>mg</w:t>
      </w:r>
      <w:r w:rsidRPr="00C65C63">
        <w:t xml:space="preserve"> (single dose), 100</w:t>
      </w:r>
      <w:r w:rsidR="00F01382">
        <w:t xml:space="preserve"> </w:t>
      </w:r>
      <w:r w:rsidR="006D7D02">
        <w:t>mg</w:t>
      </w:r>
      <w:r w:rsidR="00D745EB" w:rsidRPr="00C65C63">
        <w:t xml:space="preserve"> </w:t>
      </w:r>
      <w:r w:rsidR="00D745EB" w:rsidRPr="00C65C63">
        <w:lastRenderedPageBreak/>
        <w:t xml:space="preserve">QD </w:t>
      </w:r>
      <w:r w:rsidRPr="00C65C63">
        <w:t>(up to 14 days) and 25</w:t>
      </w:r>
      <w:r w:rsidR="00F01382">
        <w:t xml:space="preserve"> </w:t>
      </w:r>
      <w:r w:rsidR="006D7D02">
        <w:t>mg</w:t>
      </w:r>
      <w:r w:rsidR="00D745EB" w:rsidRPr="00C65C63">
        <w:t xml:space="preserve"> QD </w:t>
      </w:r>
      <w:r w:rsidRPr="00C65C63">
        <w:t xml:space="preserve">(up to 12 weeks) were safe and well tolerated in </w:t>
      </w:r>
      <w:r w:rsidR="00B51DF2" w:rsidRPr="00C65C63">
        <w:t>Phase</w:t>
      </w:r>
      <w:r w:rsidR="00815048">
        <w:t> </w:t>
      </w:r>
      <w:r w:rsidR="00B51DF2" w:rsidRPr="00C65C63">
        <w:t>I</w:t>
      </w:r>
      <w:r w:rsidRPr="00C65C63">
        <w:t>/</w:t>
      </w:r>
      <w:r w:rsidR="00D745EB" w:rsidRPr="00C65C63">
        <w:t>II</w:t>
      </w:r>
      <w:r w:rsidRPr="00C65C63">
        <w:t xml:space="preserve"> studies, dose selection was based on dose</w:t>
      </w:r>
      <w:r w:rsidR="00D745EB" w:rsidRPr="00C65C63">
        <w:t xml:space="preserve"> </w:t>
      </w:r>
      <w:r w:rsidRPr="00C65C63">
        <w:t>response modelling of efficacy endpoints (</w:t>
      </w:r>
      <w:r w:rsidR="003F2DE3" w:rsidRPr="00C65C63">
        <w:t>Hb</w:t>
      </w:r>
      <w:r w:rsidR="00A04B32">
        <w:t>A1c</w:t>
      </w:r>
      <w:r w:rsidRPr="00C65C63">
        <w:t>, FPG, body weight) from Study P016/B1521006 (12</w:t>
      </w:r>
      <w:r w:rsidR="00D745EB" w:rsidRPr="00C65C63">
        <w:t xml:space="preserve"> </w:t>
      </w:r>
      <w:r w:rsidRPr="00C65C63">
        <w:t xml:space="preserve">week </w:t>
      </w:r>
      <w:r w:rsidR="00B51DF2" w:rsidRPr="00C65C63">
        <w:t>Phase II</w:t>
      </w:r>
      <w:r w:rsidRPr="00C65C63">
        <w:t xml:space="preserve"> dose</w:t>
      </w:r>
      <w:r w:rsidR="00D745EB" w:rsidRPr="00C65C63">
        <w:t xml:space="preserve"> </w:t>
      </w:r>
      <w:r w:rsidRPr="00C65C63">
        <w:t>ranging study) as well as UGE</w:t>
      </w:r>
      <w:r w:rsidR="00D722B4" w:rsidRPr="00C65C63">
        <w:rPr>
          <w:vertAlign w:val="subscript"/>
        </w:rPr>
        <w:t>24h</w:t>
      </w:r>
      <w:r w:rsidRPr="00C65C63">
        <w:t xml:space="preserve"> (mechanism biomarker) in T2DM subjects from Study</w:t>
      </w:r>
      <w:r w:rsidR="00CD4D93">
        <w:t> </w:t>
      </w:r>
      <w:r w:rsidRPr="00C65C63">
        <w:t>P042/B1521004 (4</w:t>
      </w:r>
      <w:r w:rsidR="00D745EB" w:rsidRPr="00C65C63">
        <w:t xml:space="preserve"> </w:t>
      </w:r>
      <w:r w:rsidRPr="00C65C63">
        <w:t xml:space="preserve">week </w:t>
      </w:r>
      <w:r w:rsidR="00B51DF2" w:rsidRPr="00C65C63">
        <w:t>Phase II</w:t>
      </w:r>
      <w:r w:rsidRPr="00C65C63">
        <w:t xml:space="preserve"> dose-ranging study). The sponsors have stated that for these endpoints, the 5</w:t>
      </w:r>
      <w:r w:rsidR="00F01382">
        <w:t xml:space="preserve"> </w:t>
      </w:r>
      <w:r w:rsidR="006D7D02">
        <w:t>mg</w:t>
      </w:r>
      <w:r w:rsidRPr="00C65C63">
        <w:t xml:space="preserve"> and 15</w:t>
      </w:r>
      <w:r w:rsidR="00F01382">
        <w:t xml:space="preserve"> </w:t>
      </w:r>
      <w:r w:rsidR="006D7D02">
        <w:t>mg</w:t>
      </w:r>
      <w:r w:rsidRPr="00C65C63">
        <w:t xml:space="preserve"> doses consistently elicited a response that was </w:t>
      </w:r>
      <w:r w:rsidR="00AD51CF">
        <w:t>&gt;</w:t>
      </w:r>
      <w:r w:rsidR="00815048">
        <w:t> </w:t>
      </w:r>
      <w:r w:rsidRPr="00C65C63">
        <w:t xml:space="preserve">80% and </w:t>
      </w:r>
      <w:r w:rsidR="00AD51CF">
        <w:t xml:space="preserve">&gt; </w:t>
      </w:r>
      <w:r w:rsidRPr="00C65C63">
        <w:t xml:space="preserve">90% of the maximum response, respectively. However, it is not clear how the results summarising the </w:t>
      </w:r>
      <w:r w:rsidR="00D745EB" w:rsidRPr="00C65C63">
        <w:t>‘</w:t>
      </w:r>
      <w:r w:rsidRPr="00C65C63">
        <w:rPr>
          <w:i/>
        </w:rPr>
        <w:t>Estimated percent maximum response for various endpoints</w:t>
      </w:r>
      <w:r w:rsidR="00D745EB" w:rsidRPr="00C65C63">
        <w:rPr>
          <w:i/>
        </w:rPr>
        <w:t>’</w:t>
      </w:r>
      <w:r w:rsidRPr="00C65C63">
        <w:t xml:space="preserve"> were calculated. Furthermore, it is important to note that neither of the </w:t>
      </w:r>
      <w:r w:rsidR="00B51DF2" w:rsidRPr="00C65C63">
        <w:t>Phase II</w:t>
      </w:r>
      <w:r w:rsidRPr="00C65C63">
        <w:t xml:space="preserve"> studies evaluated the proposed 1</w:t>
      </w:r>
      <w:r w:rsidR="00731A2E" w:rsidRPr="00C65C63">
        <w:t>5</w:t>
      </w:r>
      <w:r w:rsidR="00F01382">
        <w:t xml:space="preserve"> </w:t>
      </w:r>
      <w:r w:rsidR="006D7D02">
        <w:t>mg</w:t>
      </w:r>
      <w:r w:rsidR="001606DA" w:rsidRPr="00C65C63">
        <w:t xml:space="preserve"> QD </w:t>
      </w:r>
      <w:r w:rsidRPr="00C65C63">
        <w:t>dose of ertugliflozin and the sponsors have been asked to provide further clarification regarding choice of the 1</w:t>
      </w:r>
      <w:r w:rsidR="00731A2E" w:rsidRPr="00C65C63">
        <w:t>5</w:t>
      </w:r>
      <w:r w:rsidR="00F01382">
        <w:t xml:space="preserve"> </w:t>
      </w:r>
      <w:r w:rsidR="006D7D02">
        <w:t>mg</w:t>
      </w:r>
      <w:r w:rsidR="001606DA" w:rsidRPr="00C65C63">
        <w:t xml:space="preserve"> QD </w:t>
      </w:r>
      <w:r w:rsidRPr="00C65C63">
        <w:t xml:space="preserve">dose for the pivotal </w:t>
      </w:r>
      <w:r w:rsidR="00B51DF2" w:rsidRPr="00C65C63">
        <w:t>Phase III</w:t>
      </w:r>
      <w:r w:rsidRPr="00C65C63">
        <w:t xml:space="preserve"> studies.</w:t>
      </w:r>
    </w:p>
    <w:p w14:paraId="3F7BB7B3" w14:textId="77777777" w:rsidR="00EE7154" w:rsidRDefault="004C4E10" w:rsidP="00D745EB">
      <w:pPr>
        <w:pStyle w:val="Heading4"/>
      </w:pPr>
      <w:r>
        <w:t>Efficacy</w:t>
      </w:r>
    </w:p>
    <w:p w14:paraId="084325D9" w14:textId="77777777" w:rsidR="004C4E10" w:rsidRDefault="004C4E10" w:rsidP="00D745EB">
      <w:pPr>
        <w:pStyle w:val="Heading5"/>
      </w:pPr>
      <w:r>
        <w:t>Studies providing evaluable efficacy data</w:t>
      </w:r>
    </w:p>
    <w:p w14:paraId="130FA4D1" w14:textId="0359043E" w:rsidR="004C4E10" w:rsidRDefault="004C4E10" w:rsidP="004C4E10">
      <w:r>
        <w:t xml:space="preserve">The </w:t>
      </w:r>
      <w:r w:rsidR="00B51DF2">
        <w:t>Phase III</w:t>
      </w:r>
      <w:r>
        <w:t xml:space="preserve"> program included 7 pivotal studies to support the efficacy of ertugliflozin as monotherapy and combination therapy. All </w:t>
      </w:r>
      <w:r w:rsidR="00B51DF2">
        <w:t>Phase III</w:t>
      </w:r>
      <w:r>
        <w:t xml:space="preserve"> studies evaluated 2 doses of ertuglifloz</w:t>
      </w:r>
      <w:r w:rsidR="00D745EB">
        <w:t>in (15</w:t>
      </w:r>
      <w:r w:rsidR="00F01382">
        <w:t xml:space="preserve"> </w:t>
      </w:r>
      <w:r w:rsidR="006D7D02">
        <w:t>mg</w:t>
      </w:r>
      <w:r w:rsidR="00D745EB">
        <w:t xml:space="preserve"> and 5</w:t>
      </w:r>
      <w:r w:rsidR="00F01382">
        <w:t xml:space="preserve"> </w:t>
      </w:r>
      <w:r w:rsidR="006D7D02">
        <w:t>mg</w:t>
      </w:r>
      <w:r w:rsidR="00D745EB">
        <w:t xml:space="preserve"> </w:t>
      </w:r>
      <w:r w:rsidR="00F01382">
        <w:t>QD</w:t>
      </w:r>
      <w:r w:rsidR="00D745EB">
        <w:t>)</w:t>
      </w:r>
      <w:r>
        <w:t>.</w:t>
      </w:r>
    </w:p>
    <w:p w14:paraId="5A329521" w14:textId="77777777" w:rsidR="004C4E10" w:rsidRPr="00D745EB" w:rsidRDefault="00A80F43" w:rsidP="00D745EB">
      <w:pPr>
        <w:pStyle w:val="Heading5"/>
      </w:pPr>
      <w:r>
        <w:t>Monotherapy</w:t>
      </w:r>
    </w:p>
    <w:p w14:paraId="618FFD76" w14:textId="09544A29" w:rsidR="004C4E10" w:rsidRDefault="00D745EB" w:rsidP="0068452D">
      <w:pPr>
        <w:pStyle w:val="ListBullet"/>
      </w:pPr>
      <w:r>
        <w:t xml:space="preserve">Study </w:t>
      </w:r>
      <w:r w:rsidR="004C4E10">
        <w:t xml:space="preserve">P003/1022: A </w:t>
      </w:r>
      <w:r w:rsidR="00B51DF2">
        <w:t>Phase III</w:t>
      </w:r>
      <w:r w:rsidR="004C4E10">
        <w:t xml:space="preserve">, </w:t>
      </w:r>
      <w:r w:rsidR="00815048">
        <w:t xml:space="preserve">randomised, double blind, placebo controlled, 26 week multicentre study with a 26 week extension to evaluate the efficacy and safety of ertugliflozin monotherapy in the treatment of subjects </w:t>
      </w:r>
      <w:r w:rsidR="004C4E10">
        <w:t xml:space="preserve">with T2DM </w:t>
      </w:r>
      <w:r w:rsidR="00815048">
        <w:t>and inadequate glycaemic control despite diet and exercise</w:t>
      </w:r>
      <w:r w:rsidR="004C4E10">
        <w:t>.</w:t>
      </w:r>
    </w:p>
    <w:p w14:paraId="6BFB75FA" w14:textId="77777777" w:rsidR="004C4E10" w:rsidRDefault="004C4E10" w:rsidP="0068452D">
      <w:pPr>
        <w:pStyle w:val="ListBullet"/>
      </w:pPr>
      <w:r>
        <w:t>Combination with other AHAs</w:t>
      </w:r>
    </w:p>
    <w:p w14:paraId="28E9D70E" w14:textId="77777777" w:rsidR="004C4E10" w:rsidRDefault="00A80F43" w:rsidP="00A80F43">
      <w:pPr>
        <w:pStyle w:val="Heading5"/>
      </w:pPr>
      <w:r>
        <w:t>Add-on to metformin</w:t>
      </w:r>
    </w:p>
    <w:p w14:paraId="2DEC08D5" w14:textId="00F05EE5" w:rsidR="004C4E10" w:rsidRDefault="00D745EB" w:rsidP="0068452D">
      <w:pPr>
        <w:pStyle w:val="ListBullet"/>
      </w:pPr>
      <w:r>
        <w:t xml:space="preserve">Study </w:t>
      </w:r>
      <w:r w:rsidR="004C4E10">
        <w:t>P007/1017:</w:t>
      </w:r>
      <w:r w:rsidR="00B51DF2">
        <w:t xml:space="preserve"> </w:t>
      </w:r>
      <w:r w:rsidR="004C4E10">
        <w:t xml:space="preserve">A </w:t>
      </w:r>
      <w:r w:rsidR="00B51DF2">
        <w:t>Phase III</w:t>
      </w:r>
      <w:r w:rsidR="004C4E10">
        <w:t xml:space="preserve">, </w:t>
      </w:r>
      <w:r w:rsidR="00815048">
        <w:t>randomised, double blind, placebo controlled, 26 week multicentre study with a 78 week extension to evaluate the efficacy and safety of ertugliflozin in subjects wi</w:t>
      </w:r>
      <w:r w:rsidR="004C4E10">
        <w:t xml:space="preserve">th T2DM </w:t>
      </w:r>
      <w:r w:rsidR="00815048">
        <w:t>and inadequate glycaemic control on metformin monotherapy</w:t>
      </w:r>
      <w:r w:rsidR="004C4E10">
        <w:t>.</w:t>
      </w:r>
    </w:p>
    <w:p w14:paraId="531B9790" w14:textId="4974507B" w:rsidR="004C4E10" w:rsidRDefault="00D745EB" w:rsidP="0068452D">
      <w:pPr>
        <w:pStyle w:val="ListBullet"/>
      </w:pPr>
      <w:r>
        <w:t xml:space="preserve">Study </w:t>
      </w:r>
      <w:r w:rsidR="004C4E10">
        <w:t xml:space="preserve">P002/1013: A Phase III, </w:t>
      </w:r>
      <w:r w:rsidR="00815048">
        <w:t xml:space="preserve">multicentre, randomised, double blind, </w:t>
      </w:r>
      <w:proofErr w:type="gramStart"/>
      <w:r w:rsidR="00815048">
        <w:t>active</w:t>
      </w:r>
      <w:proofErr w:type="gramEnd"/>
      <w:r w:rsidR="00815048">
        <w:t xml:space="preserve"> comparator controlled clinical trial to study the safety and efficacy of the addition of ertugliflozin</w:t>
      </w:r>
      <w:r w:rsidR="004C4E10">
        <w:t xml:space="preserve"> (MK-8835/PF-04971729) </w:t>
      </w:r>
      <w:r w:rsidR="00815048">
        <w:t>compared with the addition of glimepiride in subjects w</w:t>
      </w:r>
      <w:r w:rsidR="004C4E10">
        <w:t xml:space="preserve">ith T2DM </w:t>
      </w:r>
      <w:r w:rsidR="00815048">
        <w:t>who have inadequate glycaemic control on metformin</w:t>
      </w:r>
      <w:r w:rsidR="004C4E10">
        <w:t>.</w:t>
      </w:r>
    </w:p>
    <w:p w14:paraId="64925464" w14:textId="029CA663" w:rsidR="004C4E10" w:rsidRDefault="00D745EB" w:rsidP="0068452D">
      <w:pPr>
        <w:pStyle w:val="ListBullet"/>
      </w:pPr>
      <w:r>
        <w:t xml:space="preserve">Study </w:t>
      </w:r>
      <w:r w:rsidR="004C4E10">
        <w:t xml:space="preserve">P005/1019: A Phase III, </w:t>
      </w:r>
      <w:r w:rsidR="00815048">
        <w:t xml:space="preserve">randomised, double-blind, multicentre study to evaluate the efficacy and safety of the combination of ertugliflozin </w:t>
      </w:r>
      <w:r w:rsidR="004C4E10">
        <w:t xml:space="preserve">(MK- 8835/PF-04971729) with </w:t>
      </w:r>
      <w:r w:rsidR="00815048">
        <w:t xml:space="preserve">sitagliptin compared with ertugliflozin alone and sitagliptin alone, in the treatment of subjects with </w:t>
      </w:r>
      <w:r w:rsidR="004C4E10">
        <w:t xml:space="preserve">T2DM </w:t>
      </w:r>
      <w:r w:rsidR="00815048">
        <w:t>with inadequate glycaemic control on metformin monotherapy.</w:t>
      </w:r>
    </w:p>
    <w:p w14:paraId="5CBC5B71" w14:textId="77777777" w:rsidR="004C4E10" w:rsidRDefault="004C4E10" w:rsidP="00A80F43">
      <w:pPr>
        <w:pStyle w:val="Heading5"/>
      </w:pPr>
      <w:r>
        <w:t>Add-on to metf</w:t>
      </w:r>
      <w:r w:rsidR="00A80F43">
        <w:t>ormin plus sitagliptin</w:t>
      </w:r>
    </w:p>
    <w:p w14:paraId="410CD318" w14:textId="2275DB7A" w:rsidR="004C4E10" w:rsidRDefault="00D745EB" w:rsidP="0068452D">
      <w:pPr>
        <w:pStyle w:val="ListBullet"/>
      </w:pPr>
      <w:r>
        <w:t xml:space="preserve">Study </w:t>
      </w:r>
      <w:r w:rsidR="004C4E10">
        <w:t xml:space="preserve">P006/1015: Phase III, </w:t>
      </w:r>
      <w:r w:rsidR="00815048">
        <w:t>multicentre, randomised, double blind, placebo controlled, parallel group clinical trial to evaluate the safety and efficacy of ertugliflozin</w:t>
      </w:r>
      <w:r w:rsidR="004C4E10">
        <w:t xml:space="preserve"> (MK- 8835/PF-04971729) in the </w:t>
      </w:r>
      <w:r w:rsidR="00815048">
        <w:t xml:space="preserve">treatment of subjects </w:t>
      </w:r>
      <w:r w:rsidR="004C4E10">
        <w:t xml:space="preserve">with T2DM </w:t>
      </w:r>
      <w:r w:rsidR="00815048">
        <w:t>who have inadequate glycaemic control on metformin and sitagliptin</w:t>
      </w:r>
      <w:r w:rsidR="004C4E10">
        <w:t>.</w:t>
      </w:r>
    </w:p>
    <w:p w14:paraId="240B1FC7" w14:textId="0E4057C7" w:rsidR="004C4E10" w:rsidRDefault="004C4E10" w:rsidP="0068452D">
      <w:pPr>
        <w:pStyle w:val="ListBullet"/>
      </w:pPr>
      <w:r>
        <w:t>Co-administration with sitagliptin in subjects on diet and exercise alone</w:t>
      </w:r>
      <w:r w:rsidR="00D745EB">
        <w:t>.</w:t>
      </w:r>
    </w:p>
    <w:p w14:paraId="59CEE9E3" w14:textId="55741FA5" w:rsidR="004C4E10" w:rsidRDefault="00D745EB" w:rsidP="0068452D">
      <w:pPr>
        <w:pStyle w:val="ListBullet"/>
      </w:pPr>
      <w:r>
        <w:t xml:space="preserve">Study </w:t>
      </w:r>
      <w:r w:rsidR="004C4E10">
        <w:t xml:space="preserve">P017/1047: A Phase III, </w:t>
      </w:r>
      <w:r w:rsidR="00815048">
        <w:t>randomised, double blind, placebo controlled, parallel group, multicentre clinical trial to evaluate the efficacy and safety of the initial combination of ertuglifl</w:t>
      </w:r>
      <w:r w:rsidR="004C4E10">
        <w:t xml:space="preserve">ozin (MK-8835/PF-04971729) </w:t>
      </w:r>
      <w:r w:rsidR="00815048">
        <w:t xml:space="preserve">with sitagliptin in the </w:t>
      </w:r>
      <w:r w:rsidR="00815048">
        <w:lastRenderedPageBreak/>
        <w:t>treatment of subjects wit</w:t>
      </w:r>
      <w:r w:rsidR="004C4E10">
        <w:t xml:space="preserve">h T2DM </w:t>
      </w:r>
      <w:r w:rsidR="00815048">
        <w:t>with inadequate glycaemic control on diet and exercise.</w:t>
      </w:r>
    </w:p>
    <w:p w14:paraId="71EF8613" w14:textId="77777777" w:rsidR="004C4E10" w:rsidRDefault="00A80F43" w:rsidP="00A80F43">
      <w:pPr>
        <w:pStyle w:val="Heading5"/>
      </w:pPr>
      <w:r>
        <w:t>Studies in special populations</w:t>
      </w:r>
    </w:p>
    <w:p w14:paraId="0CF7743A" w14:textId="47F21468" w:rsidR="004C4E10" w:rsidRDefault="00D745EB" w:rsidP="0068452D">
      <w:pPr>
        <w:pStyle w:val="ListBullet"/>
      </w:pPr>
      <w:r>
        <w:t xml:space="preserve">Study </w:t>
      </w:r>
      <w:r w:rsidR="004C4E10">
        <w:t xml:space="preserve">P001/1016: A Phase III, </w:t>
      </w:r>
      <w:r w:rsidR="00815048">
        <w:t xml:space="preserve">multicentre, randomised, double blind, </w:t>
      </w:r>
      <w:proofErr w:type="gramStart"/>
      <w:r w:rsidR="00815048">
        <w:t>placebo</w:t>
      </w:r>
      <w:proofErr w:type="gramEnd"/>
      <w:r w:rsidR="00815048">
        <w:t xml:space="preserve"> controlled clinical trial to evaluate the efficacy and safety of ertugliflozin </w:t>
      </w:r>
      <w:r w:rsidR="004C4E10">
        <w:t xml:space="preserve">(MK-8835/PF-04971729) in </w:t>
      </w:r>
      <w:r w:rsidR="00815048">
        <w:t xml:space="preserve">subjects </w:t>
      </w:r>
      <w:r w:rsidR="004C4E10">
        <w:t xml:space="preserve">with T2DM with Stage 3 </w:t>
      </w:r>
      <w:r w:rsidR="00815048">
        <w:t>chronic kidney disease who have inadequate glycaemic control on background anti-hyperglycaemic therapy</w:t>
      </w:r>
      <w:r w:rsidR="004C4E10">
        <w:t>.</w:t>
      </w:r>
    </w:p>
    <w:p w14:paraId="0C328926" w14:textId="77777777" w:rsidR="004C4E10" w:rsidRDefault="004C4E10" w:rsidP="00A82B6F">
      <w:pPr>
        <w:pStyle w:val="Heading5"/>
      </w:pPr>
      <w:r>
        <w:t>Evaluator’s conclusions on clinical efficacy</w:t>
      </w:r>
    </w:p>
    <w:p w14:paraId="09C43380" w14:textId="2D05B3FF" w:rsidR="004C4E10" w:rsidRDefault="004C4E10" w:rsidP="004C4E10">
      <w:r>
        <w:t xml:space="preserve">The clinical development program supporting the above proposed indication was planned, conducted and analysed in accordance with the US </w:t>
      </w:r>
      <w:r w:rsidR="00A82B6F">
        <w:t>and EU</w:t>
      </w:r>
      <w:r>
        <w:t xml:space="preserve"> regulatory guidance documents that were in effect at the time that the </w:t>
      </w:r>
      <w:r w:rsidR="00B51DF2">
        <w:t>Phase III</w:t>
      </w:r>
      <w:r>
        <w:t xml:space="preserve"> program was initiated. The study design, efficacy endpoints complied with the TGA adopted EMA guidelines for the development of medications for treatment of T2DM.</w:t>
      </w:r>
    </w:p>
    <w:p w14:paraId="46F86DEC" w14:textId="41B1EA08" w:rsidR="004C4E10" w:rsidRDefault="004C4E10" w:rsidP="004C4E10">
      <w:r>
        <w:t>A total of 4863 subjects were randomly assigned to study medication: 3413 subjects were randomly assigned to receive ertugliflozin (co-administered with sitagliptin in Studies P005/1019 and P017/1047), 766 subjects were randomly assigned to receive placebo, and 684 subjects were randomly assigned to receive active comparators (sitagliptin, glimepiride). With the exception of the moderate renal impairment study (Study</w:t>
      </w:r>
      <w:r w:rsidR="00815048">
        <w:t> </w:t>
      </w:r>
      <w:r>
        <w:t xml:space="preserve">P001/1016), the mean age of the subjects was similar across the </w:t>
      </w:r>
      <w:r w:rsidR="00B51DF2">
        <w:t>Phase III</w:t>
      </w:r>
      <w:r>
        <w:t xml:space="preserve"> studies, ranging from 55.1 to 59.1 years</w:t>
      </w:r>
      <w:r w:rsidR="003E0A2F">
        <w:t xml:space="preserve"> and</w:t>
      </w:r>
      <w:r>
        <w:t xml:space="preserve"> the mean </w:t>
      </w:r>
      <w:r w:rsidR="006A0D66">
        <w:t>b</w:t>
      </w:r>
      <w:r w:rsidR="006A0D66" w:rsidRPr="004D575B">
        <w:t>ody mass index</w:t>
      </w:r>
      <w:r w:rsidR="006A0D66">
        <w:t xml:space="preserve"> (</w:t>
      </w:r>
      <w:r>
        <w:t>BMI</w:t>
      </w:r>
      <w:r w:rsidR="006A0D66">
        <w:t>)</w:t>
      </w:r>
      <w:r>
        <w:t xml:space="preserve"> was similar across all studies, ranging from 30.8 to 33.0 kg/m</w:t>
      </w:r>
      <w:r w:rsidRPr="00A82B6F">
        <w:rPr>
          <w:vertAlign w:val="superscript"/>
        </w:rPr>
        <w:t>2</w:t>
      </w:r>
      <w:r>
        <w:t xml:space="preserve">. The mean baseline </w:t>
      </w:r>
      <w:r w:rsidR="003F2DE3">
        <w:t>Hb</w:t>
      </w:r>
      <w:r w:rsidR="00A04B32">
        <w:t>A1c</w:t>
      </w:r>
      <w:r>
        <w:t xml:space="preserve"> ranged from 7.8% to 8.9% and mean FPG ranged from 8.8 </w:t>
      </w:r>
      <w:proofErr w:type="gramStart"/>
      <w:r>
        <w:t>to 11.0</w:t>
      </w:r>
      <w:r w:rsidR="00815048">
        <w:t xml:space="preserve"> </w:t>
      </w:r>
      <w:r>
        <w:t>mmol/L in these studies</w:t>
      </w:r>
      <w:proofErr w:type="gramEnd"/>
      <w:r>
        <w:t xml:space="preserve">. The subjects in the co-administration of ertugliflozin and sitagliptin study (Study P017/1047) had the highest baseline </w:t>
      </w:r>
      <w:r w:rsidR="003F2DE3">
        <w:t>Hb</w:t>
      </w:r>
      <w:r w:rsidR="00A04B32">
        <w:t>A1c</w:t>
      </w:r>
      <w:r>
        <w:t xml:space="preserve"> and FPG. With the exception of Study P001/1016, the mean baseline </w:t>
      </w:r>
      <w:r w:rsidR="006A0D66">
        <w:t>e</w:t>
      </w:r>
      <w:r w:rsidR="006A0D66" w:rsidRPr="004D575B">
        <w:t>stimated glomerular filtration rate</w:t>
      </w:r>
      <w:r w:rsidR="006A0D66">
        <w:t xml:space="preserve"> (</w:t>
      </w:r>
      <w:r>
        <w:t>eGFR</w:t>
      </w:r>
      <w:r w:rsidR="006A0D66">
        <w:t>)</w:t>
      </w:r>
      <w:r>
        <w:t xml:space="preserve"> was similar across the </w:t>
      </w:r>
      <w:r w:rsidR="00B51DF2">
        <w:t>Phase III</w:t>
      </w:r>
      <w:r>
        <w:t xml:space="preserve"> studies, ranging from 87.2 to 92.4 mL/min/1.73 m</w:t>
      </w:r>
      <w:r w:rsidRPr="00A82B6F">
        <w:rPr>
          <w:vertAlign w:val="superscript"/>
        </w:rPr>
        <w:t>2</w:t>
      </w:r>
      <w:r>
        <w:t xml:space="preserve">. The mean duration of T2DM ranged from 5.0 years in Study P003/1022 to 14.2 years in Study P001/1016. The proportion of subjects with microvascular complications was lowest in Study P003/1022 compared to the other studies; while the proportion of subjects with microvascular complications was highest in Study P001/1016. With the exception of Study P001/1016, the AHA usage at randomisation varied from none to 2 agents (metformin and sitagliptin) depending on the study design. Across the </w:t>
      </w:r>
      <w:r w:rsidR="00B51DF2">
        <w:t>Phase III</w:t>
      </w:r>
      <w:r>
        <w:t xml:space="preserve"> studies, a high proportion of subjects were receiving concomitant hypertension medication (ranging from 47.8% to 94.0%) and anti-dyslipidaemia medication (ranging from 32.0% to 77.5%). The proportion of subjects with a history of CV disease was lowest in Study P003/1022 compared to the other studies; while the proportion of subjects with a history of CV disease was highest in Study P001/1016. Overall, patients evaluated in the 7 </w:t>
      </w:r>
      <w:r w:rsidR="00B51DF2">
        <w:t>Phase III</w:t>
      </w:r>
      <w:r>
        <w:t xml:space="preserve"> studies were representative of the target population for ertugliflozin monotherapy and combination therapy.</w:t>
      </w:r>
    </w:p>
    <w:p w14:paraId="439DC7F5" w14:textId="50F66EE4" w:rsidR="004C4E10" w:rsidRDefault="004C4E10" w:rsidP="00A82B6F">
      <w:pPr>
        <w:pStyle w:val="Heading6"/>
      </w:pPr>
      <w:r>
        <w:t>Ertugliflozin (</w:t>
      </w:r>
      <w:r w:rsidR="00731A2E">
        <w:t>5</w:t>
      </w:r>
      <w:r w:rsidR="00F01382">
        <w:t xml:space="preserve"> </w:t>
      </w:r>
      <w:r w:rsidR="006D7D02">
        <w:t>mg</w:t>
      </w:r>
      <w:r>
        <w:t xml:space="preserve"> and 1</w:t>
      </w:r>
      <w:r w:rsidR="00731A2E">
        <w:t>5</w:t>
      </w:r>
      <w:r w:rsidR="00F01382">
        <w:t xml:space="preserve"> </w:t>
      </w:r>
      <w:r w:rsidR="006D7D02">
        <w:t>mg</w:t>
      </w:r>
      <w:r>
        <w:t xml:space="preserve"> </w:t>
      </w:r>
      <w:r w:rsidR="00A82B6F">
        <w:t>QD</w:t>
      </w:r>
      <w:r>
        <w:t>) as ‘monotherapy when metformin is considered ina</w:t>
      </w:r>
      <w:r w:rsidR="00A80F43">
        <w:t>ppropriate due to intolerance’</w:t>
      </w:r>
    </w:p>
    <w:p w14:paraId="170CD7F3" w14:textId="186B506B" w:rsidR="004C4E10" w:rsidRDefault="004C4E10" w:rsidP="004C4E10">
      <w:r>
        <w:t>Evidence to support use of ertugliflozin as monotherapy was provided by the well</w:t>
      </w:r>
      <w:r w:rsidR="00815048">
        <w:t xml:space="preserve"> </w:t>
      </w:r>
      <w:r>
        <w:t xml:space="preserve">conducted pivotal </w:t>
      </w:r>
      <w:r w:rsidR="00B51DF2">
        <w:t>Phase III</w:t>
      </w:r>
      <w:r>
        <w:t xml:space="preserve"> placebo</w:t>
      </w:r>
      <w:r w:rsidR="00A82B6F">
        <w:t xml:space="preserve"> controlled S</w:t>
      </w:r>
      <w:r>
        <w:t xml:space="preserve">tudy P003/1022 in </w:t>
      </w:r>
      <w:r w:rsidR="005E3DCE">
        <w:t xml:space="preserve">461 </w:t>
      </w:r>
      <w:r>
        <w:t>adult T2DM patients who had inadequate glycaemic control on diet and exercise.</w:t>
      </w:r>
    </w:p>
    <w:p w14:paraId="62C545DD" w14:textId="07CC7A97" w:rsidR="004C4E10" w:rsidRDefault="0068452D" w:rsidP="0068452D">
      <w:pPr>
        <w:pStyle w:val="ListBullet"/>
      </w:pPr>
      <w:r>
        <w:t>E</w:t>
      </w:r>
      <w:r w:rsidR="004C4E10">
        <w:t>rtugliflozin 5</w:t>
      </w:r>
      <w:r w:rsidR="00F01382">
        <w:t xml:space="preserve"> </w:t>
      </w:r>
      <w:r w:rsidR="006D7D02">
        <w:t>mg</w:t>
      </w:r>
      <w:r w:rsidR="004C4E10">
        <w:t xml:space="preserve"> and 15</w:t>
      </w:r>
      <w:r w:rsidR="00F01382">
        <w:t xml:space="preserve"> </w:t>
      </w:r>
      <w:r w:rsidR="006D7D02">
        <w:t>mg</w:t>
      </w:r>
      <w:r w:rsidR="004C4E10">
        <w:t xml:space="preserve"> once daily provided statistically significant and clinically relevant improvements in glycaemic control (</w:t>
      </w:r>
      <w:r w:rsidR="003F2DE3">
        <w:t>Hb</w:t>
      </w:r>
      <w:r w:rsidR="00A04B32">
        <w:t>A1c</w:t>
      </w:r>
      <w:r w:rsidR="004C4E10">
        <w:t xml:space="preserve">, FPG and proportion of subjects with </w:t>
      </w:r>
      <w:r w:rsidR="003F2DE3">
        <w:t>Hb</w:t>
      </w:r>
      <w:r w:rsidR="00A04B32">
        <w:t>A1c</w:t>
      </w:r>
      <w:r w:rsidR="004C4E10">
        <w:t xml:space="preserve"> &lt;</w:t>
      </w:r>
      <w:r w:rsidR="00815048">
        <w:t xml:space="preserve"> </w:t>
      </w:r>
      <w:r w:rsidR="004C4E10">
        <w:t xml:space="preserve">7%) and body weight at </w:t>
      </w:r>
      <w:r w:rsidR="00A82B6F">
        <w:t>W</w:t>
      </w:r>
      <w:r w:rsidR="004C4E10">
        <w:t>eek 26 compared with placebo.</w:t>
      </w:r>
    </w:p>
    <w:p w14:paraId="45161F27" w14:textId="382B4AD1" w:rsidR="004C4E10" w:rsidRDefault="004C4E10" w:rsidP="0068452D">
      <w:pPr>
        <w:pStyle w:val="ListBullet"/>
      </w:pPr>
      <w:r>
        <w:t>These results represent the initial data of ertugliflozin treatment in T2DM subjects who were not receiving any other background anti</w:t>
      </w:r>
      <w:r w:rsidR="00815048">
        <w:t>-</w:t>
      </w:r>
      <w:r>
        <w:t xml:space="preserve">hyperglycaemic medication and demonstrate robust </w:t>
      </w:r>
      <w:r w:rsidR="003F2DE3">
        <w:t>Hb</w:t>
      </w:r>
      <w:r w:rsidR="00A04B32">
        <w:t>A1c</w:t>
      </w:r>
      <w:r>
        <w:t xml:space="preserve"> lowering in this treatment setting.</w:t>
      </w:r>
    </w:p>
    <w:p w14:paraId="7CB5FC46" w14:textId="4F92BA3A" w:rsidR="004C4E10" w:rsidRDefault="004C4E10" w:rsidP="0068452D">
      <w:pPr>
        <w:pStyle w:val="ListBullet"/>
      </w:pPr>
      <w:r>
        <w:lastRenderedPageBreak/>
        <w:t>While the study was not powered to formally compare efficacy of the 2 doses, the 15</w:t>
      </w:r>
      <w:r w:rsidR="00F01382">
        <w:t> </w:t>
      </w:r>
      <w:r w:rsidR="006D7D02">
        <w:t>mg</w:t>
      </w:r>
      <w:r>
        <w:t xml:space="preserve"> dose of ertugliflozin provided a numerically greater reduction of </w:t>
      </w:r>
      <w:r w:rsidR="003F2DE3">
        <w:t>Hb</w:t>
      </w:r>
      <w:r w:rsidR="00A04B32">
        <w:t>A1c</w:t>
      </w:r>
      <w:r>
        <w:t>, FPG and body weight relative to the 5</w:t>
      </w:r>
      <w:r w:rsidR="00F01382">
        <w:t xml:space="preserve"> </w:t>
      </w:r>
      <w:r w:rsidR="006D7D02">
        <w:t>mg</w:t>
      </w:r>
      <w:r>
        <w:t xml:space="preserve"> dose.</w:t>
      </w:r>
    </w:p>
    <w:p w14:paraId="6C9BF2DA" w14:textId="2D808B63" w:rsidR="004C4E10" w:rsidRDefault="004C4E10" w:rsidP="00A82B6F">
      <w:pPr>
        <w:pStyle w:val="Heading6"/>
      </w:pPr>
      <w:r>
        <w:t>Ertugliflozin (</w:t>
      </w:r>
      <w:r w:rsidR="00731A2E">
        <w:t>5</w:t>
      </w:r>
      <w:r w:rsidR="00F01382">
        <w:t xml:space="preserve"> </w:t>
      </w:r>
      <w:r w:rsidR="006D7D02">
        <w:t>mg</w:t>
      </w:r>
      <w:r>
        <w:t xml:space="preserve"> and 1</w:t>
      </w:r>
      <w:r w:rsidR="00731A2E">
        <w:t>5</w:t>
      </w:r>
      <w:r w:rsidR="00F01382">
        <w:t xml:space="preserve"> </w:t>
      </w:r>
      <w:r w:rsidR="006D7D02">
        <w:t>mg</w:t>
      </w:r>
      <w:r>
        <w:t xml:space="preserve"> </w:t>
      </w:r>
      <w:r w:rsidR="00A82B6F">
        <w:t>QD</w:t>
      </w:r>
      <w:r>
        <w:t>) in combination with other AHAs</w:t>
      </w:r>
    </w:p>
    <w:p w14:paraId="35C084EA" w14:textId="77777777" w:rsidR="004C4E10" w:rsidRDefault="004C4E10" w:rsidP="00A80F43">
      <w:pPr>
        <w:pStyle w:val="Heading6"/>
      </w:pPr>
      <w:r>
        <w:t xml:space="preserve">Second line </w:t>
      </w:r>
      <w:r w:rsidR="00A80F43">
        <w:t>therapy as add-on to metformin</w:t>
      </w:r>
    </w:p>
    <w:p w14:paraId="35B7D841" w14:textId="74B4E97D" w:rsidR="004C4E10" w:rsidRDefault="004C4E10" w:rsidP="004C4E10">
      <w:r>
        <w:t xml:space="preserve">The pivotal </w:t>
      </w:r>
      <w:r w:rsidR="00B51DF2">
        <w:t>Phase III</w:t>
      </w:r>
      <w:r>
        <w:t xml:space="preserve"> </w:t>
      </w:r>
      <w:r w:rsidR="00A82B6F">
        <w:t>S</w:t>
      </w:r>
      <w:r>
        <w:t>tudy 007/1017 provided evidence of efficacy of the addition of ertugliflozin (5</w:t>
      </w:r>
      <w:r w:rsidR="00F01382">
        <w:t xml:space="preserve"> </w:t>
      </w:r>
      <w:r w:rsidR="006D7D02">
        <w:t>mg</w:t>
      </w:r>
      <w:r>
        <w:t xml:space="preserve"> and 15</w:t>
      </w:r>
      <w:r w:rsidR="00F01382">
        <w:t xml:space="preserve"> </w:t>
      </w:r>
      <w:r w:rsidR="006D7D02">
        <w:t>mg</w:t>
      </w:r>
      <w:r>
        <w:t xml:space="preserve">) over placebo in treatment of 621 subjects with T2DM and inadequate glycaemic control on metformin monotherapy at a dose </w:t>
      </w:r>
      <w:r w:rsidR="00EB55BF">
        <w:t xml:space="preserve">≥ </w:t>
      </w:r>
      <w:r>
        <w:t>1500</w:t>
      </w:r>
      <w:r w:rsidR="00F01382">
        <w:t xml:space="preserve"> </w:t>
      </w:r>
      <w:r w:rsidR="006D7D02">
        <w:t>mg</w:t>
      </w:r>
      <w:r>
        <w:t>/day.</w:t>
      </w:r>
    </w:p>
    <w:p w14:paraId="68F007E2" w14:textId="4E989357" w:rsidR="004C4E10" w:rsidRDefault="004C4E10" w:rsidP="00A80F43">
      <w:pPr>
        <w:pStyle w:val="ListBullet"/>
      </w:pPr>
      <w:r>
        <w:t>Both ertugliflozin 1</w:t>
      </w:r>
      <w:r w:rsidR="00731A2E">
        <w:t>5</w:t>
      </w:r>
      <w:r w:rsidR="00F01382">
        <w:t xml:space="preserve"> </w:t>
      </w:r>
      <w:r w:rsidR="006D7D02">
        <w:t>mg</w:t>
      </w:r>
      <w:r>
        <w:t xml:space="preserve"> and </w:t>
      </w:r>
      <w:r w:rsidR="00731A2E">
        <w:t>5</w:t>
      </w:r>
      <w:r w:rsidR="00F01382">
        <w:t xml:space="preserve"> </w:t>
      </w:r>
      <w:r w:rsidR="006D7D02">
        <w:t>mg</w:t>
      </w:r>
      <w:r>
        <w:t xml:space="preserve"> produced robust, statistically and clinically significant greater reductions from baseline to </w:t>
      </w:r>
      <w:r w:rsidR="00A82B6F">
        <w:t>W</w:t>
      </w:r>
      <w:r>
        <w:t xml:space="preserve">eek 26 in </w:t>
      </w:r>
      <w:r w:rsidR="003F2DE3">
        <w:t>Hb</w:t>
      </w:r>
      <w:r w:rsidR="00A04B32">
        <w:t>A1c</w:t>
      </w:r>
      <w:r>
        <w:t xml:space="preserve"> compared with placebo. Other measures of glycaemia also showed significant improvements with ertugliflozin, including reducing FPG and increasing the proportion of subjects reaching an </w:t>
      </w:r>
      <w:r w:rsidR="003F2DE3">
        <w:t>Hb</w:t>
      </w:r>
      <w:r w:rsidR="00A04B32">
        <w:t>A1c</w:t>
      </w:r>
      <w:r>
        <w:t xml:space="preserve"> &lt;</w:t>
      </w:r>
      <w:r w:rsidR="00815048">
        <w:t xml:space="preserve"> </w:t>
      </w:r>
      <w:r>
        <w:t>7%.</w:t>
      </w:r>
    </w:p>
    <w:p w14:paraId="5B6B53DF" w14:textId="05110E6A" w:rsidR="00A82B6F" w:rsidRDefault="004C4E10" w:rsidP="00A80F43">
      <w:pPr>
        <w:pStyle w:val="ListBullet"/>
      </w:pPr>
      <w:r>
        <w:t>Ertugliflozin 5</w:t>
      </w:r>
      <w:r w:rsidR="00F01382">
        <w:t xml:space="preserve"> </w:t>
      </w:r>
      <w:r w:rsidR="006D7D02">
        <w:t>mg</w:t>
      </w:r>
      <w:r>
        <w:t xml:space="preserve"> and 15</w:t>
      </w:r>
      <w:r w:rsidR="00F01382">
        <w:t xml:space="preserve"> </w:t>
      </w:r>
      <w:r w:rsidR="006D7D02">
        <w:t>mg</w:t>
      </w:r>
      <w:r>
        <w:t xml:space="preserve"> treatment also produced significantly greater reductions in body weight and systolic and diastolic blood pressure.</w:t>
      </w:r>
    </w:p>
    <w:p w14:paraId="3F7D8BFF" w14:textId="540ABFD3" w:rsidR="004C4E10" w:rsidRDefault="004C4E10" w:rsidP="00A80F43">
      <w:pPr>
        <w:pStyle w:val="ListBullet"/>
      </w:pPr>
      <w:r>
        <w:t>Although study was not designed to compare the two doses of ertugliflozin, the 1</w:t>
      </w:r>
      <w:r w:rsidR="00731A2E">
        <w:t>5</w:t>
      </w:r>
      <w:r w:rsidR="00F01382">
        <w:t xml:space="preserve"> </w:t>
      </w:r>
      <w:r w:rsidR="006D7D02">
        <w:t>mg</w:t>
      </w:r>
      <w:r>
        <w:t xml:space="preserve"> dose showed greater improvements in </w:t>
      </w:r>
      <w:r w:rsidR="003F2DE3">
        <w:t>Hb</w:t>
      </w:r>
      <w:r w:rsidR="00A04B32">
        <w:t>A1c</w:t>
      </w:r>
      <w:r>
        <w:t xml:space="preserve">, FPG and proportion of </w:t>
      </w:r>
      <w:proofErr w:type="gramStart"/>
      <w:r>
        <w:t>subjects</w:t>
      </w:r>
      <w:proofErr w:type="gramEnd"/>
      <w:r>
        <w:t xml:space="preserve"> with</w:t>
      </w:r>
      <w:r w:rsidR="003F2DE3">
        <w:t>Hb</w:t>
      </w:r>
      <w:r w:rsidR="00A04B32">
        <w:t>A1c</w:t>
      </w:r>
      <w:r>
        <w:t xml:space="preserve"> &lt;</w:t>
      </w:r>
      <w:r w:rsidR="00815048">
        <w:t xml:space="preserve"> </w:t>
      </w:r>
      <w:r>
        <w:t>7% compared with the 5</w:t>
      </w:r>
      <w:r w:rsidR="006D7D02">
        <w:t xml:space="preserve"> mg</w:t>
      </w:r>
      <w:r>
        <w:t xml:space="preserve"> dose.</w:t>
      </w:r>
    </w:p>
    <w:p w14:paraId="4E708463" w14:textId="4AE47893" w:rsidR="004C4E10" w:rsidRDefault="004C4E10" w:rsidP="00A80F43">
      <w:pPr>
        <w:pStyle w:val="ListBullet"/>
      </w:pPr>
      <w:r>
        <w:t>The multicentre, randomised, double</w:t>
      </w:r>
      <w:r w:rsidR="00815048">
        <w:t xml:space="preserve"> </w:t>
      </w:r>
      <w:r>
        <w:t>blind, active-controlled, parallel</w:t>
      </w:r>
      <w:r w:rsidR="00815048">
        <w:t xml:space="preserve"> </w:t>
      </w:r>
      <w:r>
        <w:t xml:space="preserve">group clinical </w:t>
      </w:r>
      <w:r w:rsidR="00A82B6F">
        <w:t>S</w:t>
      </w:r>
      <w:r>
        <w:t>tudy P002/1013 compared the efficacy and safety of ertugliflozin to glimepiride (median dose of 3</w:t>
      </w:r>
      <w:r w:rsidR="00F01382">
        <w:t xml:space="preserve"> </w:t>
      </w:r>
      <w:r w:rsidR="006D7D02">
        <w:t>mg</w:t>
      </w:r>
      <w:r>
        <w:t>) in 1</w:t>
      </w:r>
      <w:r w:rsidR="00815048">
        <w:t>,</w:t>
      </w:r>
      <w:r>
        <w:t>326 subjects with T2DM and inadequate glycaemic control on a stable dose of metformin monotherapy (</w:t>
      </w:r>
      <w:r w:rsidR="00EB55BF">
        <w:t xml:space="preserve">≥ </w:t>
      </w:r>
      <w:r>
        <w:t>1500</w:t>
      </w:r>
      <w:r w:rsidR="00F01382">
        <w:t xml:space="preserve"> </w:t>
      </w:r>
      <w:r w:rsidR="006D7D02">
        <w:t>mg</w:t>
      </w:r>
      <w:r>
        <w:t>/day).</w:t>
      </w:r>
    </w:p>
    <w:p w14:paraId="4D93A022" w14:textId="503C76C2" w:rsidR="004C4E10" w:rsidRDefault="004C4E10" w:rsidP="00A80F43">
      <w:pPr>
        <w:pStyle w:val="ListBullet"/>
      </w:pPr>
      <w:r>
        <w:t>Ertugliflozin 15</w:t>
      </w:r>
      <w:r w:rsidR="00F01382">
        <w:t xml:space="preserve"> </w:t>
      </w:r>
      <w:r w:rsidR="006D7D02">
        <w:t>mg</w:t>
      </w:r>
      <w:r>
        <w:t xml:space="preserve"> met the pre-specified criteria for non-inferiority to glimepiride (where the mean glimepiride dose was 3.0</w:t>
      </w:r>
      <w:r w:rsidR="00F01382">
        <w:t xml:space="preserve"> </w:t>
      </w:r>
      <w:r w:rsidR="006D7D02">
        <w:t>mg</w:t>
      </w:r>
      <w:r>
        <w:t xml:space="preserve"> daily) for </w:t>
      </w:r>
      <w:r w:rsidR="003F2DE3">
        <w:t>Hb</w:t>
      </w:r>
      <w:r w:rsidR="00A04B32">
        <w:t>A1c</w:t>
      </w:r>
      <w:r>
        <w:t xml:space="preserve"> reduction at 52 weeks of treatment. A clinically meaningful reduction from baseline in </w:t>
      </w:r>
      <w:r w:rsidR="003F2DE3">
        <w:t>Hb</w:t>
      </w:r>
      <w:r w:rsidR="00A04B32">
        <w:t>A1c</w:t>
      </w:r>
      <w:r>
        <w:t xml:space="preserve"> at Week 52 was observed with the 5</w:t>
      </w:r>
      <w:r w:rsidR="00F01382">
        <w:t xml:space="preserve"> </w:t>
      </w:r>
      <w:r w:rsidR="006D7D02">
        <w:t>mg</w:t>
      </w:r>
      <w:r>
        <w:t xml:space="preserve"> dose of ertugliflozin; however, this did not meet the non-inferiority requirements relative to glimepiride.</w:t>
      </w:r>
    </w:p>
    <w:p w14:paraId="33730DD9" w14:textId="0D85EBD5" w:rsidR="004C4E10" w:rsidRDefault="004C4E10" w:rsidP="00A80F43">
      <w:pPr>
        <w:pStyle w:val="ListBullet"/>
      </w:pPr>
      <w:r>
        <w:t xml:space="preserve">The </w:t>
      </w:r>
      <w:r w:rsidR="003F2DE3">
        <w:t>Hb</w:t>
      </w:r>
      <w:r w:rsidR="00A04B32">
        <w:t>A1c</w:t>
      </w:r>
      <w:r>
        <w:t xml:space="preserve"> reductions observed in both ertugliflozin groups were evident by Week 6 and glycaemic efficacy was durable through Week 52. Although the Week 52 </w:t>
      </w:r>
      <w:r w:rsidR="003F2DE3">
        <w:t>Hb</w:t>
      </w:r>
      <w:r w:rsidR="00A04B32">
        <w:t>A1c</w:t>
      </w:r>
      <w:r>
        <w:t xml:space="preserve"> reductions in the ertugliflozin groups were numerically smaller relative to glimepiride, FPG was numerically lower with both ertugliflozin doses compared with glimepiride at Week 52.</w:t>
      </w:r>
    </w:p>
    <w:p w14:paraId="5FE6FAF9" w14:textId="0EC851A4" w:rsidR="004C4E10" w:rsidRDefault="004C4E10" w:rsidP="00A80F43">
      <w:pPr>
        <w:pStyle w:val="ListBullet"/>
      </w:pPr>
      <w:r>
        <w:t>Ertugliflozin (</w:t>
      </w:r>
      <w:r w:rsidR="00731A2E">
        <w:t>5</w:t>
      </w:r>
      <w:r w:rsidR="00F01382">
        <w:t xml:space="preserve"> </w:t>
      </w:r>
      <w:r w:rsidR="006D7D02">
        <w:t>mg</w:t>
      </w:r>
      <w:r>
        <w:t xml:space="preserve"> and 1</w:t>
      </w:r>
      <w:r w:rsidR="00731A2E">
        <w:t>5</w:t>
      </w:r>
      <w:r w:rsidR="00F01382">
        <w:t xml:space="preserve"> </w:t>
      </w:r>
      <w:r w:rsidR="006D7D02">
        <w:t>mg</w:t>
      </w:r>
      <w:r>
        <w:t>) also led to greater reductions in body weight and SBP compared to glimepiride; bodyweight for 1</w:t>
      </w:r>
      <w:r w:rsidR="00731A2E">
        <w:t>5</w:t>
      </w:r>
      <w:r w:rsidR="00F01382">
        <w:t xml:space="preserve"> </w:t>
      </w:r>
      <w:r w:rsidR="006D7D02">
        <w:t>mg</w:t>
      </w:r>
      <w:r>
        <w:t xml:space="preserve"> was formally tested and test was successful.</w:t>
      </w:r>
    </w:p>
    <w:p w14:paraId="3B3704B0" w14:textId="39F5F15B" w:rsidR="004C4E10" w:rsidRDefault="004C4E10" w:rsidP="0000448F">
      <w:pPr>
        <w:pStyle w:val="ListBullet"/>
      </w:pPr>
      <w:r>
        <w:t xml:space="preserve">The </w:t>
      </w:r>
      <w:r w:rsidR="0000448F" w:rsidRPr="0000448F">
        <w:t xml:space="preserve">coefficient of durability </w:t>
      </w:r>
      <w:r w:rsidR="0000448F">
        <w:t>(</w:t>
      </w:r>
      <w:r>
        <w:t>COD</w:t>
      </w:r>
      <w:r w:rsidR="0000448F">
        <w:t>)</w:t>
      </w:r>
      <w:r>
        <w:t xml:space="preserve"> (of the </w:t>
      </w:r>
      <w:r w:rsidR="003F2DE3">
        <w:t>Hb</w:t>
      </w:r>
      <w:r w:rsidR="00A04B32">
        <w:t>A1c</w:t>
      </w:r>
      <w:r>
        <w:t xml:space="preserve"> response between Week 26 and Week 52) was used to assess durability of treatment with ertugliflozin after reaching peak efficacy; the COD was numerically higher in the glimepiride group compared with the ertugliflozin 5</w:t>
      </w:r>
      <w:r w:rsidR="00F01382">
        <w:t xml:space="preserve"> </w:t>
      </w:r>
      <w:r w:rsidR="006D7D02">
        <w:t>mg</w:t>
      </w:r>
      <w:r w:rsidR="00B51DF2">
        <w:t xml:space="preserve"> </w:t>
      </w:r>
      <w:r>
        <w:t>and 1</w:t>
      </w:r>
      <w:r w:rsidR="00731A2E">
        <w:t>5</w:t>
      </w:r>
      <w:r w:rsidR="00F01382">
        <w:t xml:space="preserve"> </w:t>
      </w:r>
      <w:r w:rsidR="006D7D02">
        <w:t>mg</w:t>
      </w:r>
      <w:r>
        <w:t xml:space="preserve"> groups indicating there was a more rapid loss of </w:t>
      </w:r>
      <w:r w:rsidR="003F2DE3">
        <w:t>Hb</w:t>
      </w:r>
      <w:r w:rsidR="00A04B32">
        <w:t>A1c</w:t>
      </w:r>
      <w:r>
        <w:t xml:space="preserve"> response in the glimepiride group than in the ertugliflozin groups after Week 26</w:t>
      </w:r>
      <w:r w:rsidR="00287DF7">
        <w:t>.</w:t>
      </w:r>
    </w:p>
    <w:p w14:paraId="48BBB2CC" w14:textId="2F892256" w:rsidR="004C4E10" w:rsidRDefault="004C4E10" w:rsidP="004C4E10">
      <w:r>
        <w:t>Study P017/1047 was a randomised, double</w:t>
      </w:r>
      <w:r w:rsidR="00815048">
        <w:t xml:space="preserve"> </w:t>
      </w:r>
      <w:r>
        <w:t>blind, placebo</w:t>
      </w:r>
      <w:r w:rsidR="00815048">
        <w:t xml:space="preserve"> </w:t>
      </w:r>
      <w:r>
        <w:t xml:space="preserve">controlled pivotal </w:t>
      </w:r>
      <w:r w:rsidR="00B51DF2">
        <w:t>Phase III</w:t>
      </w:r>
      <w:r>
        <w:t xml:space="preserve"> study to evaluate initial combination therapy with ertugliflozin and sitagliptin in 293</w:t>
      </w:r>
      <w:r w:rsidR="006D33F2">
        <w:t> </w:t>
      </w:r>
      <w:r>
        <w:t>subjects with T2DM and inadequate glycaemic control on diet and exercise</w:t>
      </w:r>
      <w:r w:rsidR="00287DF7">
        <w:t>.</w:t>
      </w:r>
    </w:p>
    <w:p w14:paraId="63C7144C" w14:textId="08F6E730" w:rsidR="004C4E10" w:rsidRDefault="004C4E10" w:rsidP="003E0A2F">
      <w:pPr>
        <w:pStyle w:val="ListBullet"/>
      </w:pPr>
      <w:r>
        <w:t>Treatment with the initial combination of ertugliflozin (5</w:t>
      </w:r>
      <w:r w:rsidR="00F01382">
        <w:t xml:space="preserve"> </w:t>
      </w:r>
      <w:r w:rsidR="006D7D02">
        <w:t>mg</w:t>
      </w:r>
      <w:r w:rsidR="00D745EB">
        <w:t xml:space="preserve"> QD </w:t>
      </w:r>
      <w:r>
        <w:t>or 15</w:t>
      </w:r>
      <w:r w:rsidR="00F01382">
        <w:t xml:space="preserve"> </w:t>
      </w:r>
      <w:r w:rsidR="006D7D02">
        <w:t>mg</w:t>
      </w:r>
      <w:r>
        <w:t xml:space="preserve"> </w:t>
      </w:r>
      <w:r w:rsidR="00287DF7">
        <w:t>QD</w:t>
      </w:r>
      <w:r>
        <w:t>) and sitagliptin 100</w:t>
      </w:r>
      <w:r w:rsidR="00F01382">
        <w:t xml:space="preserve"> </w:t>
      </w:r>
      <w:r w:rsidR="006D7D02">
        <w:t>mg</w:t>
      </w:r>
      <w:r w:rsidR="00D745EB">
        <w:t xml:space="preserve"> QD </w:t>
      </w:r>
      <w:r>
        <w:t xml:space="preserve">for 26 weeks provided clinically meaningful reductions from </w:t>
      </w:r>
      <w:r>
        <w:lastRenderedPageBreak/>
        <w:t xml:space="preserve">baseline in </w:t>
      </w:r>
      <w:r w:rsidR="003F2DE3">
        <w:t>Hb</w:t>
      </w:r>
      <w:r w:rsidR="00A04B32">
        <w:t>A1c</w:t>
      </w:r>
      <w:r>
        <w:t>, FPG, and 2</w:t>
      </w:r>
      <w:r w:rsidR="00287DF7">
        <w:t xml:space="preserve"> h</w:t>
      </w:r>
      <w:r>
        <w:t xml:space="preserve"> </w:t>
      </w:r>
      <w:r w:rsidR="003E0A2F" w:rsidRPr="003E0A2F">
        <w:t>post-</w:t>
      </w:r>
      <w:r w:rsidR="00D4619B">
        <w:t>prandial</w:t>
      </w:r>
      <w:r w:rsidR="00D4619B" w:rsidRPr="003E0A2F">
        <w:t xml:space="preserve"> </w:t>
      </w:r>
      <w:r w:rsidR="003E0A2F" w:rsidRPr="003E0A2F">
        <w:t xml:space="preserve">glucose </w:t>
      </w:r>
      <w:r w:rsidR="003E0A2F">
        <w:t>(</w:t>
      </w:r>
      <w:r w:rsidR="00D4619B">
        <w:t>PPG</w:t>
      </w:r>
      <w:r w:rsidR="003E0A2F">
        <w:t>)</w:t>
      </w:r>
      <w:r>
        <w:t xml:space="preserve"> and resulted in greater proportion of subjects with </w:t>
      </w:r>
      <w:r w:rsidR="003F2DE3">
        <w:t>Hb</w:t>
      </w:r>
      <w:r w:rsidR="00A04B32">
        <w:t>A1c</w:t>
      </w:r>
      <w:r>
        <w:t xml:space="preserve"> </w:t>
      </w:r>
      <w:r w:rsidRPr="00D4619B">
        <w:t>&lt;</w:t>
      </w:r>
      <w:r w:rsidR="00A04B32">
        <w:t xml:space="preserve"> </w:t>
      </w:r>
      <w:r w:rsidRPr="00D4619B">
        <w:t>7</w:t>
      </w:r>
      <w:r>
        <w:t>% relative to placebo.</w:t>
      </w:r>
    </w:p>
    <w:p w14:paraId="67629FCB" w14:textId="77777777" w:rsidR="004C4E10" w:rsidRDefault="004C4E10" w:rsidP="00A80F43">
      <w:pPr>
        <w:pStyle w:val="ListBullet"/>
      </w:pPr>
      <w:r>
        <w:t>The initial ertugliflozin+sitagliptin combination therapy also led to significant reduction in body weight and sitting SBP relative to placebo.</w:t>
      </w:r>
    </w:p>
    <w:p w14:paraId="4D991612" w14:textId="1E48A977" w:rsidR="004C4E10" w:rsidRDefault="004C4E10" w:rsidP="008F114F">
      <w:pPr>
        <w:pStyle w:val="ListBullet"/>
      </w:pPr>
      <w:r>
        <w:t>Although this study was not designed to formally compare the 5</w:t>
      </w:r>
      <w:r w:rsidR="00F01382">
        <w:t xml:space="preserve"> </w:t>
      </w:r>
      <w:r w:rsidR="006D7D02">
        <w:t>mg</w:t>
      </w:r>
      <w:r>
        <w:t xml:space="preserve"> and 15</w:t>
      </w:r>
      <w:r w:rsidR="00F01382">
        <w:t xml:space="preserve"> </w:t>
      </w:r>
      <w:r w:rsidR="006D7D02">
        <w:t>mg</w:t>
      </w:r>
      <w:r>
        <w:t xml:space="preserve"> ertugliflozin doses, there were numerically greater reductions in </w:t>
      </w:r>
      <w:r w:rsidR="003F2DE3">
        <w:t>Hb</w:t>
      </w:r>
      <w:r w:rsidR="00A04B32">
        <w:t>A1c</w:t>
      </w:r>
      <w:r>
        <w:t>, FPG, 2</w:t>
      </w:r>
      <w:r w:rsidR="00287DF7">
        <w:t xml:space="preserve"> h</w:t>
      </w:r>
      <w:r>
        <w:t xml:space="preserve"> PMG, body weight and sitting SBP with the </w:t>
      </w:r>
      <w:r w:rsidR="008F114F">
        <w:t>e</w:t>
      </w:r>
      <w:r w:rsidR="008F114F" w:rsidRPr="008F114F">
        <w:t>rtugliflozin</w:t>
      </w:r>
      <w:r w:rsidR="008F114F">
        <w:t xml:space="preserve"> 15</w:t>
      </w:r>
      <w:r w:rsidR="00F01382">
        <w:t xml:space="preserve"> </w:t>
      </w:r>
      <w:r w:rsidR="006D7D02">
        <w:t>mg</w:t>
      </w:r>
      <w:r w:rsidR="008F114F">
        <w:t xml:space="preserve"> (</w:t>
      </w:r>
      <w:r>
        <w:t>E15</w:t>
      </w:r>
      <w:r w:rsidR="008F114F">
        <w:t>)</w:t>
      </w:r>
      <w:r>
        <w:t>/</w:t>
      </w:r>
      <w:r w:rsidR="008F114F">
        <w:t>sitagliptin 100</w:t>
      </w:r>
      <w:r w:rsidR="00F01382">
        <w:t xml:space="preserve"> </w:t>
      </w:r>
      <w:r w:rsidR="006D7D02">
        <w:t>mg</w:t>
      </w:r>
      <w:r w:rsidR="008F114F">
        <w:t xml:space="preserve"> (</w:t>
      </w:r>
      <w:r>
        <w:t>S100</w:t>
      </w:r>
      <w:r w:rsidR="008F114F">
        <w:t>)</w:t>
      </w:r>
      <w:r>
        <w:t xml:space="preserve"> combination relative to the </w:t>
      </w:r>
      <w:r w:rsidR="008F114F">
        <w:t>e</w:t>
      </w:r>
      <w:r w:rsidR="008F114F" w:rsidRPr="008F114F">
        <w:t>rtugliflozin</w:t>
      </w:r>
      <w:r w:rsidR="008F114F">
        <w:t xml:space="preserve"> 5</w:t>
      </w:r>
      <w:r w:rsidR="00F01382">
        <w:t xml:space="preserve"> </w:t>
      </w:r>
      <w:r w:rsidR="006D7D02">
        <w:t>mg</w:t>
      </w:r>
      <w:r w:rsidR="008F114F">
        <w:t xml:space="preserve"> (</w:t>
      </w:r>
      <w:r>
        <w:t>E5</w:t>
      </w:r>
      <w:r w:rsidR="008F114F">
        <w:t>)</w:t>
      </w:r>
      <w:r>
        <w:t>/S100 combination.</w:t>
      </w:r>
    </w:p>
    <w:p w14:paraId="5E6D7FB3" w14:textId="77777777" w:rsidR="00D4619B" w:rsidRDefault="00D4619B" w:rsidP="00D4619B">
      <w:pPr>
        <w:pStyle w:val="Heading6"/>
      </w:pPr>
      <w:r>
        <w:t>Ertugliflozin (5 mg and 15 mg QD) in combination with other AHAs: third line of therapy</w:t>
      </w:r>
    </w:p>
    <w:p w14:paraId="1DBF7CF8" w14:textId="735D177B" w:rsidR="004C4E10" w:rsidRDefault="004C4E10" w:rsidP="004C4E10">
      <w:r>
        <w:t>The randomised, double</w:t>
      </w:r>
      <w:r w:rsidR="00815048">
        <w:t xml:space="preserve"> </w:t>
      </w:r>
      <w:r>
        <w:t>blind, placebo</w:t>
      </w:r>
      <w:r w:rsidR="00815048">
        <w:t xml:space="preserve"> </w:t>
      </w:r>
      <w:r>
        <w:t xml:space="preserve">controlled pivotal </w:t>
      </w:r>
      <w:r w:rsidR="00B51DF2">
        <w:t>Phase III</w:t>
      </w:r>
      <w:r>
        <w:t xml:space="preserve"> </w:t>
      </w:r>
      <w:r w:rsidR="00287DF7">
        <w:t>S</w:t>
      </w:r>
      <w:r>
        <w:t>tudy P006/1015 evaluated the efficacy and safety of the addition of ertugliflozin (5</w:t>
      </w:r>
      <w:r w:rsidR="00F01382">
        <w:t xml:space="preserve"> </w:t>
      </w:r>
      <w:r w:rsidR="006D7D02">
        <w:t>mg</w:t>
      </w:r>
      <w:r>
        <w:t xml:space="preserve"> and 15</w:t>
      </w:r>
      <w:r w:rsidR="00F01382">
        <w:t xml:space="preserve"> </w:t>
      </w:r>
      <w:r w:rsidR="006D7D02">
        <w:t>mg</w:t>
      </w:r>
      <w:r w:rsidR="00287DF7">
        <w:t xml:space="preserve"> QD</w:t>
      </w:r>
      <w:r>
        <w:t xml:space="preserve">) compared with the addition of placebo to combination therapy with metformin </w:t>
      </w:r>
      <w:r w:rsidR="00EB55BF">
        <w:t>≥</w:t>
      </w:r>
      <w:r w:rsidR="00815048">
        <w:t> </w:t>
      </w:r>
      <w:r>
        <w:t>1500</w:t>
      </w:r>
      <w:r w:rsidR="00F01382">
        <w:t> </w:t>
      </w:r>
      <w:r w:rsidR="006D7D02">
        <w:t>mg</w:t>
      </w:r>
      <w:r>
        <w:t>/day and sitagliptin 100</w:t>
      </w:r>
      <w:r w:rsidR="00F01382">
        <w:t xml:space="preserve"> </w:t>
      </w:r>
      <w:r w:rsidR="006D7D02">
        <w:t>mg</w:t>
      </w:r>
      <w:r w:rsidR="00D745EB">
        <w:t xml:space="preserve"> QD </w:t>
      </w:r>
      <w:r>
        <w:t>in 463 subjects with T2DM and inadequate glycaemic control.</w:t>
      </w:r>
    </w:p>
    <w:p w14:paraId="5629FB07" w14:textId="61DDBE70" w:rsidR="004C4E10" w:rsidRDefault="004C4E10" w:rsidP="00A80F43">
      <w:pPr>
        <w:pStyle w:val="ListBullet"/>
      </w:pPr>
      <w:r>
        <w:t>The addition of ertugliflozin (5</w:t>
      </w:r>
      <w:r w:rsidR="00F01382">
        <w:t xml:space="preserve"> </w:t>
      </w:r>
      <w:r w:rsidR="006D7D02">
        <w:t>mg</w:t>
      </w:r>
      <w:r>
        <w:t xml:space="preserve"> and 15</w:t>
      </w:r>
      <w:r w:rsidR="00F01382">
        <w:t xml:space="preserve"> </w:t>
      </w:r>
      <w:r w:rsidR="006D7D02">
        <w:t>mg</w:t>
      </w:r>
      <w:r>
        <w:t xml:space="preserve"> </w:t>
      </w:r>
      <w:r w:rsidR="00287DF7">
        <w:t>QD</w:t>
      </w:r>
      <w:r>
        <w:t>) to metformin and sitagliptin provided a significant improvements in glycaemic endpoints at week 26 (</w:t>
      </w:r>
      <w:r w:rsidR="003F2DE3">
        <w:t>Hb</w:t>
      </w:r>
      <w:r w:rsidR="00A04B32">
        <w:t>A1c</w:t>
      </w:r>
      <w:r>
        <w:t xml:space="preserve">, FPG and proportion of subjects with </w:t>
      </w:r>
      <w:r w:rsidR="003F2DE3">
        <w:t>Hb</w:t>
      </w:r>
      <w:r w:rsidR="00A04B32">
        <w:t>A1c</w:t>
      </w:r>
      <w:r>
        <w:t xml:space="preserve"> &lt;</w:t>
      </w:r>
      <w:r w:rsidR="00815048">
        <w:t xml:space="preserve"> </w:t>
      </w:r>
      <w:r>
        <w:t>7.0%) compared with the placebo group.</w:t>
      </w:r>
    </w:p>
    <w:p w14:paraId="23901994" w14:textId="62341DC9" w:rsidR="004C4E10" w:rsidRDefault="00287DF7" w:rsidP="00A80F43">
      <w:pPr>
        <w:pStyle w:val="ListBullet"/>
      </w:pPr>
      <w:r>
        <w:t>T</w:t>
      </w:r>
      <w:r w:rsidR="004C4E10">
        <w:t>he addition of ertugliflozin (5</w:t>
      </w:r>
      <w:r w:rsidR="00F01382">
        <w:t xml:space="preserve"> </w:t>
      </w:r>
      <w:r w:rsidR="006D7D02">
        <w:t>mg</w:t>
      </w:r>
      <w:r w:rsidR="004C4E10">
        <w:t xml:space="preserve"> and 15</w:t>
      </w:r>
      <w:r w:rsidR="00F01382">
        <w:t xml:space="preserve"> </w:t>
      </w:r>
      <w:r w:rsidR="006D7D02">
        <w:t>mg</w:t>
      </w:r>
      <w:r w:rsidR="004C4E10">
        <w:t xml:space="preserve"> </w:t>
      </w:r>
      <w:r>
        <w:t>QD</w:t>
      </w:r>
      <w:r w:rsidR="004C4E10">
        <w:t>) provided significantly greater reductions from baseline in body weight and SBP at Week 26 compared with the addition of placebo.</w:t>
      </w:r>
    </w:p>
    <w:p w14:paraId="6A321B07" w14:textId="7BC44A3A" w:rsidR="004C4E10" w:rsidRDefault="004C4E10" w:rsidP="004C4E10">
      <w:r>
        <w:t>The randomised, double</w:t>
      </w:r>
      <w:r w:rsidR="00815048">
        <w:t xml:space="preserve"> </w:t>
      </w:r>
      <w:r>
        <w:t>blind, parallel</w:t>
      </w:r>
      <w:r w:rsidR="00815048">
        <w:t xml:space="preserve"> </w:t>
      </w:r>
      <w:r>
        <w:t xml:space="preserve">group, factorial pivotal </w:t>
      </w:r>
      <w:r w:rsidR="00B51DF2">
        <w:t>Phase III</w:t>
      </w:r>
      <w:r>
        <w:t xml:space="preserve"> </w:t>
      </w:r>
      <w:r w:rsidR="00D4619B">
        <w:t>S</w:t>
      </w:r>
      <w:r>
        <w:t>tudy P005/1019 evaluated the efficacy and safety of the co-administration of ertugliflozin (5</w:t>
      </w:r>
      <w:r w:rsidR="00F01382">
        <w:t xml:space="preserve"> </w:t>
      </w:r>
      <w:r w:rsidR="006D7D02">
        <w:t>mg</w:t>
      </w:r>
      <w:r w:rsidR="00D745EB">
        <w:t xml:space="preserve"> QD </w:t>
      </w:r>
      <w:r>
        <w:t>and 15</w:t>
      </w:r>
      <w:r w:rsidR="00F01382">
        <w:t> </w:t>
      </w:r>
      <w:r w:rsidR="006D7D02">
        <w:t>mg</w:t>
      </w:r>
      <w:r>
        <w:t xml:space="preserve"> </w:t>
      </w:r>
      <w:r w:rsidR="00287DF7">
        <w:t>QD</w:t>
      </w:r>
      <w:r>
        <w:t>) with sitagliptin 100</w:t>
      </w:r>
      <w:r w:rsidR="00F01382">
        <w:t xml:space="preserve"> </w:t>
      </w:r>
      <w:r w:rsidR="006D7D02">
        <w:t>mg</w:t>
      </w:r>
      <w:r w:rsidR="00D745EB">
        <w:t xml:space="preserve"> QD </w:t>
      </w:r>
      <w:r>
        <w:t>compared with the individual treatments alone at corresponding dose strengths, in 1233 subjects with T2DM and inadequate glycaemic control on metformin monotherapy (median dose of 200</w:t>
      </w:r>
      <w:r w:rsidR="0072297B">
        <w:t>0</w:t>
      </w:r>
      <w:r w:rsidR="00F01382">
        <w:t xml:space="preserve"> </w:t>
      </w:r>
      <w:r w:rsidR="006D7D02">
        <w:t>mg</w:t>
      </w:r>
      <w:r>
        <w:t>/day).</w:t>
      </w:r>
    </w:p>
    <w:p w14:paraId="1F43DAB3" w14:textId="77777777" w:rsidR="004C4E10" w:rsidRDefault="00A80F43" w:rsidP="00A80F43">
      <w:pPr>
        <w:pStyle w:val="ListBullet"/>
      </w:pPr>
      <w:r>
        <w:t>T</w:t>
      </w:r>
      <w:r w:rsidR="004C4E10">
        <w:t xml:space="preserve">he </w:t>
      </w:r>
      <w:r w:rsidR="003E0A2F">
        <w:t>l</w:t>
      </w:r>
      <w:r w:rsidR="003E0A2F" w:rsidRPr="004D575B">
        <w:rPr>
          <w:rFonts w:eastAsiaTheme="minorHAnsi"/>
        </w:rPr>
        <w:t>east-squares</w:t>
      </w:r>
      <w:r w:rsidR="003E0A2F">
        <w:t xml:space="preserve"> (</w:t>
      </w:r>
      <w:r w:rsidR="004C4E10">
        <w:t>LS</w:t>
      </w:r>
      <w:r w:rsidR="003E0A2F">
        <w:t>)</w:t>
      </w:r>
      <w:r w:rsidR="004C4E10">
        <w:t xml:space="preserve"> mean reductions at Week 26 were robust, clinically meaningful and significantly greater in both combination groups (E15/S100 and E5/S100) relative to the individual component treatment groups at corresponding dose strengths.</w:t>
      </w:r>
    </w:p>
    <w:p w14:paraId="0929C1DF" w14:textId="2E1C7D7E" w:rsidR="004C4E10" w:rsidRDefault="004C4E10" w:rsidP="00A80F43">
      <w:pPr>
        <w:pStyle w:val="ListBullet"/>
      </w:pPr>
      <w:r>
        <w:t>About 50% of the subjects</w:t>
      </w:r>
      <w:r w:rsidR="00B51DF2">
        <w:t xml:space="preserve"> </w:t>
      </w:r>
      <w:r>
        <w:t>achieved glycaemic goal (</w:t>
      </w:r>
      <w:r w:rsidR="003F2DE3">
        <w:t>Hb</w:t>
      </w:r>
      <w:r w:rsidR="00A04B32">
        <w:t>A1c</w:t>
      </w:r>
      <w:r>
        <w:t xml:space="preserve"> &lt;</w:t>
      </w:r>
      <w:r w:rsidR="00815048">
        <w:t xml:space="preserve"> </w:t>
      </w:r>
      <w:r>
        <w:t>7%) with combination treatment, relative to treatment with the individual components (about 26</w:t>
      </w:r>
      <w:r w:rsidR="00815048">
        <w:t xml:space="preserve"> to </w:t>
      </w:r>
      <w:r>
        <w:t>33%).</w:t>
      </w:r>
    </w:p>
    <w:p w14:paraId="21FF4E5F" w14:textId="789CCEFC" w:rsidR="004C4E10" w:rsidRDefault="004C4E10" w:rsidP="00E2144F">
      <w:pPr>
        <w:pStyle w:val="ListBullet"/>
      </w:pPr>
      <w:r>
        <w:t>Marked reductions in FPG were also observed in all treatment groups, with significantly greater reductions in the combination groups relative to the individual component treatment groups at corresponding dose strengths. The LS mean reductions from baseline in 2</w:t>
      </w:r>
      <w:r w:rsidR="00287DF7">
        <w:t xml:space="preserve"> h</w:t>
      </w:r>
      <w:r>
        <w:t xml:space="preserve"> PPG (assessed in a subset of subjects who participated in a </w:t>
      </w:r>
      <w:r w:rsidR="00E2144F" w:rsidRPr="00E2144F">
        <w:t>mixed-meal tolerance tests (MMTT)</w:t>
      </w:r>
      <w:r>
        <w:t>) at Week 26 were similar across the treatment groups, except for the E15/S100 group, where larger reductions were observed relative to the individual component treatments at corresponding dose strengths.</w:t>
      </w:r>
    </w:p>
    <w:p w14:paraId="5A6E5B7E" w14:textId="32BD9CD3" w:rsidR="004C4E10" w:rsidRDefault="00A80F43" w:rsidP="00A80F43">
      <w:pPr>
        <w:pStyle w:val="ListBullet"/>
      </w:pPr>
      <w:r>
        <w:t>T</w:t>
      </w:r>
      <w:r w:rsidR="004C4E10">
        <w:t>he number of subjects who required glycaemic rescue therapy was lower in the combination therapy groups with no subjects in the E15/S100 requiring rescue therapy.</w:t>
      </w:r>
    </w:p>
    <w:p w14:paraId="56B8C777" w14:textId="2F36071F" w:rsidR="004C4E10" w:rsidRDefault="00A80F43" w:rsidP="00A80F43">
      <w:pPr>
        <w:pStyle w:val="ListBullet"/>
      </w:pPr>
      <w:r>
        <w:t>R</w:t>
      </w:r>
      <w:r w:rsidR="004C4E10">
        <w:t>eductions in body weight and sitting SBP were observed in the 4 ertugliflozin</w:t>
      </w:r>
      <w:r w:rsidR="00C968D9">
        <w:t xml:space="preserve"> </w:t>
      </w:r>
      <w:r w:rsidR="004C4E10">
        <w:t>treated groups.</w:t>
      </w:r>
    </w:p>
    <w:p w14:paraId="09C90024" w14:textId="2BC3C4D2" w:rsidR="004C4E10" w:rsidRDefault="004C4E10" w:rsidP="00A80F43">
      <w:pPr>
        <w:pStyle w:val="ListBullet"/>
      </w:pPr>
      <w:r>
        <w:t xml:space="preserve">No meaningful difference was observed between the 2 co-administration groups (E15/S100 and E5/S100) for </w:t>
      </w:r>
      <w:r w:rsidR="003F2DE3">
        <w:t>Hb</w:t>
      </w:r>
      <w:r w:rsidR="00A04B32">
        <w:t>A1c</w:t>
      </w:r>
      <w:r w:rsidR="00C968D9">
        <w:t xml:space="preserve"> </w:t>
      </w:r>
      <w:r>
        <w:t>related endpoints,</w:t>
      </w:r>
      <w:r w:rsidR="00B51DF2">
        <w:t xml:space="preserve"> </w:t>
      </w:r>
      <w:r>
        <w:t>although there was a trend toward better efficacy for E15/S100 relative to E5/S100 for FPG and 2</w:t>
      </w:r>
      <w:r w:rsidR="00C968D9">
        <w:t xml:space="preserve"> h</w:t>
      </w:r>
      <w:r>
        <w:t xml:space="preserve"> PPG. </w:t>
      </w:r>
      <w:r>
        <w:lastRenderedPageBreak/>
        <w:t>However, interpretation was limited as this study was not powered to detect differences between the 2 combination groups.</w:t>
      </w:r>
    </w:p>
    <w:p w14:paraId="7F172BBB" w14:textId="77777777" w:rsidR="004C4E10" w:rsidRDefault="004C4E10" w:rsidP="00C968D9">
      <w:pPr>
        <w:pStyle w:val="Heading6"/>
      </w:pPr>
      <w:r>
        <w:t>Efficacy in special populations</w:t>
      </w:r>
    </w:p>
    <w:p w14:paraId="36F5B027" w14:textId="37F0627C" w:rsidR="004C4E10" w:rsidRDefault="004C4E10" w:rsidP="004C4E10">
      <w:r>
        <w:t>In the moderate renal impairment study (</w:t>
      </w:r>
      <w:r w:rsidR="00D4619B">
        <w:t xml:space="preserve">Study </w:t>
      </w:r>
      <w:r>
        <w:t>P001/1016) involving 468 T2DM patients, the within</w:t>
      </w:r>
      <w:r w:rsidR="00815048">
        <w:t xml:space="preserve"> </w:t>
      </w:r>
      <w:r>
        <w:t xml:space="preserve">group change from baseline in </w:t>
      </w:r>
      <w:r w:rsidR="003F2DE3">
        <w:t>Hb</w:t>
      </w:r>
      <w:r w:rsidR="00A04B32">
        <w:t>A1c</w:t>
      </w:r>
      <w:r>
        <w:t xml:space="preserve"> in the ertugliflozin groups was smaller than in other studies, as expected. However, interpretation was confounded by the placebo effect (due to use of metformin) and a post</w:t>
      </w:r>
      <w:r w:rsidR="00C968D9">
        <w:t xml:space="preserve"> </w:t>
      </w:r>
      <w:r>
        <w:t>hoc analysis excluding subjects who had a positive metformin assay result showed that ertugliflozin 15</w:t>
      </w:r>
      <w:r w:rsidR="00F01382">
        <w:t xml:space="preserve"> </w:t>
      </w:r>
      <w:r w:rsidR="006D7D02">
        <w:t>mg</w:t>
      </w:r>
      <w:r>
        <w:t xml:space="preserve"> provides greater reductions in </w:t>
      </w:r>
      <w:r w:rsidR="003F2DE3">
        <w:t>Hb</w:t>
      </w:r>
      <w:r w:rsidR="00A04B32">
        <w:t>A1c</w:t>
      </w:r>
      <w:r>
        <w:t xml:space="preserve"> than placebo (based on the nominal 95% CI) in subjects with Stage 3 CKD (overall cohort). Very similar results were observed in subjects with Stage 3A CKD. However, there were no significant differences between treatment groups for change from baseline in body weight, FPG, sitting SBP and proportion of subjects with </w:t>
      </w:r>
      <w:r w:rsidR="003F2DE3">
        <w:t>Hb</w:t>
      </w:r>
      <w:r w:rsidR="00A04B32">
        <w:t>A1c</w:t>
      </w:r>
      <w:r>
        <w:t xml:space="preserve"> &lt;</w:t>
      </w:r>
      <w:r w:rsidR="00815048">
        <w:t xml:space="preserve"> </w:t>
      </w:r>
      <w:r>
        <w:t>7% and no post</w:t>
      </w:r>
      <w:r w:rsidR="00C968D9">
        <w:t xml:space="preserve"> </w:t>
      </w:r>
      <w:r>
        <w:t xml:space="preserve">hoc analysis was done for these parameters. Unlike in the Overall Cohort and Stage 3A CKD stratum, there was no early or sustained separation of the ertugliflozin and placebo groups excluding data from subjects with a positive metformin assay in the Stage 3B CKD stratum had little impact on </w:t>
      </w:r>
      <w:r w:rsidR="003F2DE3">
        <w:t>Hb</w:t>
      </w:r>
      <w:r w:rsidR="00A04B32">
        <w:t>A1c</w:t>
      </w:r>
      <w:r>
        <w:t xml:space="preserve"> reductions with no notable differences in any treatment group.</w:t>
      </w:r>
    </w:p>
    <w:p w14:paraId="0A738E61" w14:textId="6D7948F0" w:rsidR="004C4E10" w:rsidRDefault="004C4E10" w:rsidP="004C4E10">
      <w:r>
        <w:t xml:space="preserve">Subgroup analyses showed that following treatment with ertugliflozin, the improvements in </w:t>
      </w:r>
      <w:r w:rsidR="003F2DE3">
        <w:t>Hb</w:t>
      </w:r>
      <w:r w:rsidR="00A04B32">
        <w:t>A1c</w:t>
      </w:r>
      <w:r>
        <w:t xml:space="preserve"> was generally similar across subgroups defined by age, sex, race, geographic region, baseline BMI and duration of T2DM. However, ertugliflozin was associated with greater reductions in </w:t>
      </w:r>
      <w:r w:rsidR="003F2DE3">
        <w:t>Hb</w:t>
      </w:r>
      <w:r w:rsidR="00A04B32">
        <w:t>A1c</w:t>
      </w:r>
      <w:r>
        <w:t xml:space="preserve"> in subgroups with higher baseline </w:t>
      </w:r>
      <w:r w:rsidR="003F2DE3">
        <w:t>Hb</w:t>
      </w:r>
      <w:r w:rsidR="00A04B32">
        <w:t>A1c</w:t>
      </w:r>
      <w:r>
        <w:t xml:space="preserve"> values (</w:t>
      </w:r>
      <w:r w:rsidR="00AD51CF">
        <w:t xml:space="preserve">&gt; </w:t>
      </w:r>
      <w:r>
        <w:t>8% compared to &lt;</w:t>
      </w:r>
      <w:r w:rsidR="00C968D9">
        <w:t> </w:t>
      </w:r>
      <w:r>
        <w:t>8%) and also higher eGFR values (patients with normal or mild renal impairment compared to those with moderate renal impairment).</w:t>
      </w:r>
    </w:p>
    <w:p w14:paraId="0E29DA49" w14:textId="77777777" w:rsidR="004C4E10" w:rsidRDefault="004C4E10" w:rsidP="00C968D9">
      <w:pPr>
        <w:pStyle w:val="Heading6"/>
      </w:pPr>
      <w:r>
        <w:t>Limitations of efficacy data</w:t>
      </w:r>
    </w:p>
    <w:p w14:paraId="76A7DB16" w14:textId="77777777" w:rsidR="004C4E10" w:rsidRDefault="004C4E10" w:rsidP="006A0D66">
      <w:pPr>
        <w:pStyle w:val="ListBullet"/>
      </w:pPr>
      <w:r>
        <w:t>Although proposed indication states that ertugliflozin (as an adjunct to diet and exercise) can be used in combination with other anti</w:t>
      </w:r>
      <w:r w:rsidR="00C968D9">
        <w:t>-</w:t>
      </w:r>
      <w:r>
        <w:t xml:space="preserve">hyperglycaemic agents, it has only been evaluated in combination with metformin and DPP-4 inhibitor (sitagliptin). Efficacy and safety of ertugliflozin in combination with </w:t>
      </w:r>
      <w:r w:rsidR="00F14099">
        <w:t>sulphonylureas</w:t>
      </w:r>
      <w:r>
        <w:t xml:space="preserve"> or insulin therapy has not been evaluated in randomised, double</w:t>
      </w:r>
      <w:r w:rsidR="00C968D9">
        <w:t xml:space="preserve"> </w:t>
      </w:r>
      <w:r>
        <w:t xml:space="preserve">blind, controlled studies as was </w:t>
      </w:r>
      <w:r w:rsidRPr="00C65C63">
        <w:t>done for other SGLT2 inhibitors which ha</w:t>
      </w:r>
      <w:r w:rsidR="00C968D9" w:rsidRPr="00C65C63">
        <w:t>ve been approved in Australia. I</w:t>
      </w:r>
      <w:r w:rsidRPr="00C65C63">
        <w:t xml:space="preserve">t is important to note that although ertugliflozin was studied in combination with other AHAs including insulin and </w:t>
      </w:r>
      <w:r w:rsidR="006A0D66" w:rsidRPr="00C65C63">
        <w:t>sulfonylureas (</w:t>
      </w:r>
      <w:r w:rsidRPr="00C65C63">
        <w:t>S</w:t>
      </w:r>
      <w:r w:rsidR="006A0D66" w:rsidRPr="00C65C63">
        <w:t>U</w:t>
      </w:r>
      <w:r w:rsidRPr="00C65C63">
        <w:t>s</w:t>
      </w:r>
      <w:r w:rsidR="006A0D66" w:rsidRPr="00C65C63">
        <w:t>)</w:t>
      </w:r>
      <w:r w:rsidRPr="00C65C63">
        <w:t xml:space="preserve"> in T2DM patients with moderate renal impairment, the results from this study cannot be used to support use of ertugliflozin in combination with insulin and SUs.</w:t>
      </w:r>
      <w:r w:rsidR="00B51DF2">
        <w:t xml:space="preserve"> </w:t>
      </w:r>
      <w:r>
        <w:t>Furthermore, efficacy/ safety of ertugliflozin in combination with other anti</w:t>
      </w:r>
      <w:r w:rsidR="00C968D9">
        <w:t>-</w:t>
      </w:r>
      <w:r>
        <w:t>hyperglycaemic treatments such as acarbose, thiazolidinediones and glucagon</w:t>
      </w:r>
      <w:r w:rsidR="00C968D9">
        <w:t xml:space="preserve"> </w:t>
      </w:r>
      <w:r>
        <w:t>likepeptide-1 (GLP-1) analogues ha</w:t>
      </w:r>
      <w:r w:rsidR="00C968D9">
        <w:t>ve</w:t>
      </w:r>
      <w:r>
        <w:t xml:space="preserve"> not been evaluated.</w:t>
      </w:r>
    </w:p>
    <w:p w14:paraId="208CE084" w14:textId="77777777" w:rsidR="004C4E10" w:rsidRPr="00C65C63" w:rsidRDefault="004C4E10" w:rsidP="0068452D">
      <w:pPr>
        <w:pStyle w:val="ListBullet"/>
      </w:pPr>
      <w:r w:rsidRPr="00C65C63">
        <w:t xml:space="preserve">This submission only included results from Phase A (up to 26 weeks in all </w:t>
      </w:r>
      <w:r w:rsidR="00B51DF2" w:rsidRPr="00C65C63">
        <w:t>Phase III</w:t>
      </w:r>
      <w:r w:rsidRPr="00C65C63">
        <w:t xml:space="preserve"> studies except </w:t>
      </w:r>
      <w:r w:rsidR="00C968D9" w:rsidRPr="00C65C63">
        <w:t>S</w:t>
      </w:r>
      <w:r w:rsidRPr="00C65C63">
        <w:t xml:space="preserve">tudy P002/1013 (Phase A was at 52 weeks for this study which compared ertugliflozin with glimepiride in T2DM patients with inadequate glycaemic control on metformin therapy). Hence long term maintenance of efficacy of ertugliflozin in the proposed indications will require confirmation and data from the ongoing Phase B of all 7 </w:t>
      </w:r>
      <w:r w:rsidR="00B51DF2" w:rsidRPr="00C65C63">
        <w:t>Phase III</w:t>
      </w:r>
      <w:r w:rsidRPr="00C65C63">
        <w:t xml:space="preserve"> studies should help to address this. The sponsors are required to submit these data for evaluation as soon as it is available.</w:t>
      </w:r>
    </w:p>
    <w:p w14:paraId="578DF5A7" w14:textId="77777777" w:rsidR="004C4E10" w:rsidRDefault="004C4E10" w:rsidP="0068452D">
      <w:pPr>
        <w:pStyle w:val="ListBullet"/>
      </w:pPr>
      <w:r>
        <w:t>Ertugliflozin produced significant reduction in body weight across all studies. However, effect on ertugliflozin on body composition (waist circumference, body fat) was not evaluated in any of the studies.</w:t>
      </w:r>
    </w:p>
    <w:p w14:paraId="7C15EF5E" w14:textId="77777777" w:rsidR="00C968D9" w:rsidRPr="00815048" w:rsidRDefault="00C968D9">
      <w:pPr>
        <w:pStyle w:val="Heading4"/>
      </w:pPr>
      <w:r w:rsidRPr="00815048">
        <w:lastRenderedPageBreak/>
        <w:t>Safety</w:t>
      </w:r>
    </w:p>
    <w:p w14:paraId="708CD1F8" w14:textId="77777777" w:rsidR="00C968D9" w:rsidRPr="00815048" w:rsidRDefault="00C968D9">
      <w:pPr>
        <w:pStyle w:val="Heading5"/>
      </w:pPr>
      <w:bookmarkStart w:id="100" w:name="_Toc504038170"/>
      <w:r w:rsidRPr="00815048">
        <w:t>Studies providing evaluable safety data</w:t>
      </w:r>
      <w:bookmarkEnd w:id="100"/>
    </w:p>
    <w:p w14:paraId="65601BCA" w14:textId="507EAFBC" w:rsidR="00E35B5E" w:rsidRDefault="00C968D9" w:rsidP="00E35B5E">
      <w:pPr>
        <w:autoSpaceDE w:val="0"/>
        <w:autoSpaceDN w:val="0"/>
        <w:adjustRightInd w:val="0"/>
        <w:spacing w:before="0" w:line="240" w:lineRule="auto"/>
        <w:rPr>
          <w:rFonts w:asciiTheme="minorHAnsi" w:eastAsia="TimesNewRoman" w:hAnsiTheme="minorHAnsi" w:cs="TimesNewRoman"/>
        </w:rPr>
      </w:pPr>
      <w:r w:rsidRPr="007B4492">
        <w:rPr>
          <w:rFonts w:asciiTheme="minorHAnsi" w:hAnsiTheme="minorHAnsi"/>
          <w:lang w:eastAsia="ja-JP"/>
        </w:rPr>
        <w:t xml:space="preserve">Safety was evaluated in </w:t>
      </w:r>
      <w:r>
        <w:rPr>
          <w:rFonts w:asciiTheme="minorHAnsi" w:hAnsiTheme="minorHAnsi"/>
          <w:lang w:eastAsia="ja-JP"/>
        </w:rPr>
        <w:t>29</w:t>
      </w:r>
      <w:r w:rsidRPr="007B4492">
        <w:rPr>
          <w:rFonts w:asciiTheme="minorHAnsi" w:hAnsiTheme="minorHAnsi"/>
          <w:lang w:eastAsia="ja-JP"/>
        </w:rPr>
        <w:t xml:space="preserve"> Phase </w:t>
      </w:r>
      <w:r>
        <w:rPr>
          <w:rFonts w:asciiTheme="minorHAnsi" w:hAnsiTheme="minorHAnsi"/>
          <w:lang w:eastAsia="ja-JP"/>
        </w:rPr>
        <w:t>I,</w:t>
      </w:r>
      <w:r w:rsidR="009416FB">
        <w:rPr>
          <w:rFonts w:asciiTheme="minorHAnsi" w:hAnsiTheme="minorHAnsi"/>
          <w:lang w:eastAsia="ja-JP"/>
        </w:rPr>
        <w:t xml:space="preserve"> </w:t>
      </w:r>
      <w:r>
        <w:rPr>
          <w:rFonts w:asciiTheme="minorHAnsi" w:hAnsiTheme="minorHAnsi"/>
          <w:lang w:eastAsia="ja-JP"/>
        </w:rPr>
        <w:t xml:space="preserve">2 Phase II </w:t>
      </w:r>
      <w:r w:rsidRPr="007B4492">
        <w:rPr>
          <w:rFonts w:asciiTheme="minorHAnsi" w:hAnsiTheme="minorHAnsi"/>
          <w:lang w:eastAsia="ja-JP"/>
        </w:rPr>
        <w:t>and</w:t>
      </w:r>
      <w:r>
        <w:rPr>
          <w:rFonts w:asciiTheme="minorHAnsi" w:hAnsiTheme="minorHAnsi"/>
          <w:lang w:eastAsia="ja-JP"/>
        </w:rPr>
        <w:t xml:space="preserve"> 7 Phase III</w:t>
      </w:r>
      <w:r w:rsidRPr="007B4492">
        <w:rPr>
          <w:rFonts w:asciiTheme="minorHAnsi" w:hAnsiTheme="minorHAnsi"/>
          <w:lang w:eastAsia="ja-JP"/>
        </w:rPr>
        <w:t xml:space="preserve"> clinical studies, including exposure to ertugliflozin in 4418 </w:t>
      </w:r>
      <w:r w:rsidRPr="00EA4031">
        <w:rPr>
          <w:rFonts w:asciiTheme="minorHAnsi" w:hAnsiTheme="minorHAnsi"/>
          <w:lang w:eastAsia="ja-JP"/>
        </w:rPr>
        <w:t xml:space="preserve">subjects. </w:t>
      </w:r>
      <w:r w:rsidRPr="00EA4031">
        <w:rPr>
          <w:rFonts w:asciiTheme="minorHAnsi" w:eastAsia="TimesNewRoman" w:hAnsiTheme="minorHAnsi" w:cs="TimesNewRoman"/>
        </w:rPr>
        <w:t xml:space="preserve">In addition, two Phase </w:t>
      </w:r>
      <w:r w:rsidR="00E35B5E">
        <w:rPr>
          <w:rFonts w:asciiTheme="minorHAnsi" w:eastAsia="TimesNewRoman" w:hAnsiTheme="minorHAnsi" w:cs="TimesNewRoman"/>
        </w:rPr>
        <w:t>III</w:t>
      </w:r>
      <w:r w:rsidRPr="00EA4031">
        <w:rPr>
          <w:rFonts w:asciiTheme="minorHAnsi" w:eastAsia="TimesNewRoman" w:hAnsiTheme="minorHAnsi" w:cs="TimesNewRoman"/>
        </w:rPr>
        <w:t xml:space="preserve"> studies, a cardiovascular (CV)</w:t>
      </w:r>
      <w:r>
        <w:rPr>
          <w:rFonts w:asciiTheme="minorHAnsi" w:eastAsia="TimesNewRoman" w:hAnsiTheme="minorHAnsi" w:cs="TimesNewRoman"/>
        </w:rPr>
        <w:t xml:space="preserve"> </w:t>
      </w:r>
      <w:r w:rsidRPr="00EA4031">
        <w:rPr>
          <w:rFonts w:asciiTheme="minorHAnsi" w:eastAsia="TimesNewRoman" w:hAnsiTheme="minorHAnsi" w:cs="TimesNewRoman"/>
        </w:rPr>
        <w:t>outco</w:t>
      </w:r>
      <w:r>
        <w:rPr>
          <w:rFonts w:asciiTheme="minorHAnsi" w:eastAsia="TimesNewRoman" w:hAnsiTheme="minorHAnsi" w:cs="TimesNewRoman"/>
        </w:rPr>
        <w:t>mes trial (</w:t>
      </w:r>
      <w:r w:rsidRPr="00EA4031">
        <w:rPr>
          <w:rFonts w:asciiTheme="minorHAnsi" w:eastAsia="TimesNewRoman" w:hAnsiTheme="minorHAnsi" w:cs="TimesNewRoman"/>
        </w:rPr>
        <w:t>Study P004/1021</w:t>
      </w:r>
      <w:r>
        <w:rPr>
          <w:rFonts w:asciiTheme="minorHAnsi" w:eastAsia="TimesNewRoman" w:hAnsiTheme="minorHAnsi" w:cs="TimesNewRoman"/>
        </w:rPr>
        <w:t>)</w:t>
      </w:r>
      <w:r w:rsidRPr="00EA4031">
        <w:rPr>
          <w:rFonts w:asciiTheme="minorHAnsi" w:eastAsia="TimesNewRoman" w:hAnsiTheme="minorHAnsi" w:cs="TimesNewRoman"/>
        </w:rPr>
        <w:t xml:space="preserve"> and, a 26</w:t>
      </w:r>
      <w:r w:rsidR="00E35B5E">
        <w:rPr>
          <w:rFonts w:asciiTheme="minorHAnsi" w:eastAsia="TimesNewRoman" w:hAnsiTheme="minorHAnsi" w:cs="TimesNewRoman"/>
        </w:rPr>
        <w:t xml:space="preserve"> </w:t>
      </w:r>
      <w:r w:rsidRPr="00EA4031">
        <w:rPr>
          <w:rFonts w:asciiTheme="minorHAnsi" w:eastAsia="TimesNewRoman" w:hAnsiTheme="minorHAnsi" w:cs="TimesNewRoman"/>
        </w:rPr>
        <w:t xml:space="preserve">week Phase </w:t>
      </w:r>
      <w:r w:rsidR="00E35B5E">
        <w:rPr>
          <w:rFonts w:asciiTheme="minorHAnsi" w:eastAsia="TimesNewRoman" w:hAnsiTheme="minorHAnsi" w:cs="TimesNewRoman"/>
        </w:rPr>
        <w:t>III</w:t>
      </w:r>
      <w:r w:rsidRPr="00EA4031">
        <w:rPr>
          <w:rFonts w:asciiTheme="minorHAnsi" w:eastAsia="TimesNewRoman" w:hAnsiTheme="minorHAnsi" w:cs="TimesNewRoman"/>
        </w:rPr>
        <w:t xml:space="preserve"> Asia Pacific regional study </w:t>
      </w:r>
      <w:r>
        <w:rPr>
          <w:rFonts w:asciiTheme="minorHAnsi" w:eastAsia="TimesNewRoman" w:hAnsiTheme="minorHAnsi" w:cs="TimesNewRoman"/>
        </w:rPr>
        <w:t>(</w:t>
      </w:r>
      <w:r w:rsidR="00D4619B">
        <w:rPr>
          <w:rFonts w:asciiTheme="minorHAnsi" w:eastAsia="TimesNewRoman" w:hAnsiTheme="minorHAnsi" w:cs="TimesNewRoman"/>
        </w:rPr>
        <w:t xml:space="preserve">Study </w:t>
      </w:r>
      <w:r w:rsidRPr="00EA4031">
        <w:rPr>
          <w:rFonts w:asciiTheme="minorHAnsi" w:eastAsia="TimesNewRoman" w:hAnsiTheme="minorHAnsi" w:cs="TimesNewRoman"/>
        </w:rPr>
        <w:t>P012/1045</w:t>
      </w:r>
      <w:r>
        <w:rPr>
          <w:rFonts w:asciiTheme="minorHAnsi" w:eastAsia="TimesNewRoman" w:hAnsiTheme="minorHAnsi" w:cs="TimesNewRoman"/>
        </w:rPr>
        <w:t xml:space="preserve">) </w:t>
      </w:r>
      <w:r w:rsidRPr="00EA4031">
        <w:rPr>
          <w:rFonts w:asciiTheme="minorHAnsi" w:eastAsia="TimesNewRoman" w:hAnsiTheme="minorHAnsi" w:cs="TimesNewRoman"/>
        </w:rPr>
        <w:t>are still</w:t>
      </w:r>
      <w:r>
        <w:rPr>
          <w:rFonts w:asciiTheme="minorHAnsi" w:eastAsia="TimesNewRoman" w:hAnsiTheme="minorHAnsi" w:cs="TimesNewRoman"/>
        </w:rPr>
        <w:t xml:space="preserve"> </w:t>
      </w:r>
      <w:r w:rsidRPr="00EA4031">
        <w:rPr>
          <w:rFonts w:asciiTheme="minorHAnsi" w:eastAsia="TimesNewRoman" w:hAnsiTheme="minorHAnsi" w:cs="TimesNewRoman"/>
        </w:rPr>
        <w:t>recruiting at the time of this submission</w:t>
      </w:r>
      <w:r>
        <w:rPr>
          <w:rFonts w:asciiTheme="minorHAnsi" w:eastAsia="TimesNewRoman" w:hAnsiTheme="minorHAnsi" w:cs="TimesNewRoman"/>
        </w:rPr>
        <w:t xml:space="preserve"> with no further information pre</w:t>
      </w:r>
      <w:bookmarkStart w:id="101" w:name="_Toc504038171"/>
      <w:r w:rsidR="00E35B5E">
        <w:rPr>
          <w:rFonts w:asciiTheme="minorHAnsi" w:eastAsia="TimesNewRoman" w:hAnsiTheme="minorHAnsi" w:cs="TimesNewRoman"/>
        </w:rPr>
        <w:t>sented in the submitted dossier. For further details of these studies see Attachment 2.</w:t>
      </w:r>
    </w:p>
    <w:bookmarkEnd w:id="101"/>
    <w:p w14:paraId="33170899" w14:textId="77777777" w:rsidR="004C4E10" w:rsidRDefault="004C4E10" w:rsidP="004C4E10">
      <w:pPr>
        <w:pStyle w:val="Heading4"/>
      </w:pPr>
      <w:r>
        <w:t>Patient exposure</w:t>
      </w:r>
    </w:p>
    <w:p w14:paraId="15B1A4DC" w14:textId="6CCED520" w:rsidR="004C4E10" w:rsidRDefault="004C4E10" w:rsidP="004C4E10">
      <w:r>
        <w:t>Overall 6</w:t>
      </w:r>
      <w:r w:rsidR="00815048">
        <w:t>,</w:t>
      </w:r>
      <w:r>
        <w:t xml:space="preserve">068 subjects were treated across the </w:t>
      </w:r>
      <w:r w:rsidR="00B51DF2">
        <w:t>Phase I</w:t>
      </w:r>
      <w:r>
        <w:t xml:space="preserve"> to </w:t>
      </w:r>
      <w:r w:rsidR="00B51DF2">
        <w:t>Phase III</w:t>
      </w:r>
      <w:r>
        <w:t xml:space="preserve"> studies of which 4</w:t>
      </w:r>
      <w:r w:rsidR="00815048">
        <w:t>,</w:t>
      </w:r>
      <w:r>
        <w:t>418 were exposed to ertugliflozin.</w:t>
      </w:r>
    </w:p>
    <w:p w14:paraId="5B0E4624" w14:textId="133541F2" w:rsidR="00E35B5E" w:rsidRDefault="004C4E10" w:rsidP="004C4E10">
      <w:r>
        <w:t>In the</w:t>
      </w:r>
      <w:r w:rsidR="00E35B5E">
        <w:t xml:space="preserve"> placebo p</w:t>
      </w:r>
      <w:r>
        <w:t>ool 1</w:t>
      </w:r>
      <w:r w:rsidR="00815048">
        <w:t>,</w:t>
      </w:r>
      <w:r>
        <w:t>544 subjects were randomised and received at least 1 dose of study medication in the 3 studies The mean observation period on study medication through 26</w:t>
      </w:r>
      <w:r w:rsidR="00815048">
        <w:t> </w:t>
      </w:r>
      <w:r>
        <w:t>weeks was not notably different in the ertugliflozin 5</w:t>
      </w:r>
      <w:r w:rsidR="00F01382">
        <w:t xml:space="preserve"> </w:t>
      </w:r>
      <w:r w:rsidR="006D7D02">
        <w:t>mg</w:t>
      </w:r>
      <w:r>
        <w:t xml:space="preserve"> and 15</w:t>
      </w:r>
      <w:r w:rsidR="00F01382">
        <w:t xml:space="preserve"> </w:t>
      </w:r>
      <w:r w:rsidR="006D7D02">
        <w:t>mg</w:t>
      </w:r>
      <w:r>
        <w:t xml:space="preserve"> groups (174.8 and 172.6 days, respectively) relative to the placebo group (170.2 days).</w:t>
      </w:r>
    </w:p>
    <w:p w14:paraId="4DA5B216" w14:textId="18424725" w:rsidR="00E35B5E" w:rsidRDefault="004C4E10" w:rsidP="004C4E10">
      <w:r>
        <w:t>Treatment compliance was similar and high across groups in the</w:t>
      </w:r>
      <w:r w:rsidR="00E35B5E">
        <w:t xml:space="preserve"> placebo p</w:t>
      </w:r>
      <w:r>
        <w:t xml:space="preserve">ool and majority of subjects in all groups (99.0%) reported taking </w:t>
      </w:r>
      <w:r w:rsidR="00AD51CF">
        <w:t xml:space="preserve">&gt; </w:t>
      </w:r>
      <w:r>
        <w:t>75% of study medication. The proportions of subjects who discontinued study medication were not notably different in the ertugliflozin 5</w:t>
      </w:r>
      <w:r w:rsidR="00F01382">
        <w:t xml:space="preserve"> </w:t>
      </w:r>
      <w:r w:rsidR="006D7D02">
        <w:t>mg</w:t>
      </w:r>
      <w:r>
        <w:t xml:space="preserve"> and 15</w:t>
      </w:r>
      <w:r w:rsidR="00F01382">
        <w:t xml:space="preserve"> </w:t>
      </w:r>
      <w:r w:rsidR="006D7D02">
        <w:t>mg</w:t>
      </w:r>
      <w:r>
        <w:t xml:space="preserve"> groups and the all ertugliflozin group relative to the placebo group. The most common reasons for discontinuation from study medication in the total group were discontinuation due to an AE and withdrawal by subject. Of the 1</w:t>
      </w:r>
      <w:r w:rsidR="00815048">
        <w:t>,</w:t>
      </w:r>
      <w:r>
        <w:t xml:space="preserve">545 randomised subjects, 94.2% completed Phase </w:t>
      </w:r>
      <w:proofErr w:type="gramStart"/>
      <w:r>
        <w:t>A</w:t>
      </w:r>
      <w:proofErr w:type="gramEnd"/>
      <w:r>
        <w:t xml:space="preserve"> while on study medication or after premature discontinuation of study medication. The proportion of subjects who completed Phase A was similar across the treatment groups with withdrawal by subject and lost to follow-up being most common reasons for study discontinuation.</w:t>
      </w:r>
    </w:p>
    <w:p w14:paraId="68ADDC1E" w14:textId="3016D5B3" w:rsidR="004C4E10" w:rsidRDefault="004C4E10" w:rsidP="004C4E10">
      <w:r>
        <w:t>Baseline demographic and anthropometric characteristics were similar between groups. The mean age, BMI and eGFR was 57.3 years, 31.5 kg/m</w:t>
      </w:r>
      <w:r w:rsidRPr="003A5F83">
        <w:rPr>
          <w:vertAlign w:val="superscript"/>
        </w:rPr>
        <w:t>2</w:t>
      </w:r>
      <w:r w:rsidRPr="00815048">
        <w:t xml:space="preserve"> </w:t>
      </w:r>
      <w:r>
        <w:t>and 88.9 mL/min/</w:t>
      </w:r>
      <w:r w:rsidR="00D518E2">
        <w:t>1.73 m</w:t>
      </w:r>
      <w:r w:rsidR="00D518E2" w:rsidRPr="00D518E2">
        <w:rPr>
          <w:vertAlign w:val="superscript"/>
        </w:rPr>
        <w:t>2</w:t>
      </w:r>
      <w:r>
        <w:t>, respectively. The majority of subjects in the</w:t>
      </w:r>
      <w:r w:rsidR="00E35B5E">
        <w:t xml:space="preserve"> placebo p</w:t>
      </w:r>
      <w:r>
        <w:t>ool were White (73.4%); 15.1% were Asian, and 6.6% were Black or African American. There were slightly more males (52.6%) than females (47.4%). The mean duration of T2DM for subjects in the</w:t>
      </w:r>
      <w:r w:rsidR="00E35B5E">
        <w:t xml:space="preserve"> </w:t>
      </w:r>
      <w:r w:rsidR="005C38A4">
        <w:t>placebo pool</w:t>
      </w:r>
      <w:r>
        <w:t xml:space="preserve"> was 7.5 years</w:t>
      </w:r>
      <w:r w:rsidR="00E35B5E">
        <w:t>.</w:t>
      </w:r>
      <w:r>
        <w:t xml:space="preserve"> Baseline </w:t>
      </w:r>
      <w:r w:rsidR="003F2DE3">
        <w:t>Hb</w:t>
      </w:r>
      <w:r w:rsidR="00A04B32">
        <w:t>A1c</w:t>
      </w:r>
      <w:r>
        <w:t xml:space="preserve"> and FPG were similar between groups, with a mean baseline </w:t>
      </w:r>
      <w:r w:rsidR="003F2DE3">
        <w:t>Hb</w:t>
      </w:r>
      <w:r w:rsidR="00A04B32">
        <w:t>A1c</w:t>
      </w:r>
      <w:r>
        <w:t xml:space="preserve"> of 8.1% and mean FPG of (9.6 mmol/L) across all groups. Diabetic microvascular complications were included in the medical history of 19.4% of all subjects. Most subjects (70.2%) were on an AHA at the time of randomisation, reflecting the use of background AHA therapy in the designs of 2 of the 3 studies in the</w:t>
      </w:r>
      <w:r w:rsidR="00E35B5E">
        <w:t xml:space="preserve"> placebo p</w:t>
      </w:r>
      <w:r>
        <w:t>ool, with the most common AHA therapy being metformin (70.1%), followed by DPP-4 inhibitors (29.9%). More subjects were on only 1 AHA therapy at the time of randomisation (40.3%), while 30.1% were on 2 AHA therapies. The proportion of subjects with a history of CV disease was similar between groups in the overall pooled population, 10.6% had a history of coronary artery disease, 2.1% had a history of peripheral vascular disease, 1.4% had a history of heart failure and 2.8% had a history of cerebrovascular disease. The proportion of subjects with a history of hypertension was high (68.1% of all subjects) and was similar between groups; the proportion of subjects with a history of hyperlipidaemia was also high (65.3%) and similar between groups.</w:t>
      </w:r>
    </w:p>
    <w:p w14:paraId="70E25AD7" w14:textId="581712F1" w:rsidR="005F6C9D" w:rsidRDefault="004C4E10" w:rsidP="004C4E10">
      <w:r>
        <w:t xml:space="preserve">The Broad Pool includes data through completion of Study P017/1047 and includes Phase </w:t>
      </w:r>
      <w:proofErr w:type="gramStart"/>
      <w:r>
        <w:t>A</w:t>
      </w:r>
      <w:proofErr w:type="gramEnd"/>
      <w:r>
        <w:t xml:space="preserve"> data and Phase B data up to the </w:t>
      </w:r>
      <w:r w:rsidR="003E0A2F" w:rsidRPr="004D575B">
        <w:rPr>
          <w:rFonts w:eastAsiaTheme="minorHAnsi"/>
        </w:rPr>
        <w:t>longitudinal data analysis</w:t>
      </w:r>
      <w:r w:rsidR="003E0A2F">
        <w:t xml:space="preserve"> (</w:t>
      </w:r>
      <w:r>
        <w:t>LDA</w:t>
      </w:r>
      <w:r w:rsidR="003E0A2F">
        <w:t>)</w:t>
      </w:r>
      <w:r>
        <w:t xml:space="preserve"> date for the other 6 studies. In the Broad Pool, 4</w:t>
      </w:r>
      <w:r w:rsidR="00815048">
        <w:t>,</w:t>
      </w:r>
      <w:r>
        <w:t>859 subjects were randomised and received at least 1 dose of study medication in the 7 studies. Of the 3</w:t>
      </w:r>
      <w:r w:rsidR="00815048">
        <w:t>,</w:t>
      </w:r>
      <w:r>
        <w:t>409 subjects who received at least 1 dose of ertugliflozin (5 or 15</w:t>
      </w:r>
      <w:r w:rsidR="00F01382">
        <w:t xml:space="preserve"> </w:t>
      </w:r>
      <w:r w:rsidR="006D7D02">
        <w:t>mg</w:t>
      </w:r>
      <w:r>
        <w:t>), 3</w:t>
      </w:r>
      <w:r w:rsidR="00815048">
        <w:t>,</w:t>
      </w:r>
      <w:r>
        <w:t>128, 2</w:t>
      </w:r>
      <w:r w:rsidR="00815048">
        <w:t>,</w:t>
      </w:r>
      <w:r>
        <w:t xml:space="preserve">575 and 371 subjects received treatment with any dose </w:t>
      </w:r>
      <w:r>
        <w:lastRenderedPageBreak/>
        <w:t>of ertugliflozin for at least 25 weeks, 50 weeks, and 76 weeks, respectively. The mean duration of treatment with ertugliflozin was 355.7 days. A total of 1</w:t>
      </w:r>
      <w:r w:rsidR="00815048">
        <w:t>,</w:t>
      </w:r>
      <w:r>
        <w:t xml:space="preserve">450 subjects were randomised to the non-ertugliflozin group and 867 of these subjects received treatment for at least 50 weeks, with a mean duration of 354.9 days. Treatment compliance was similar and high across groups in the Broad Pool. The majority of subjects in all groups (98.8%) reported taking </w:t>
      </w:r>
      <w:r w:rsidR="00AD51CF">
        <w:t xml:space="preserve">&gt; </w:t>
      </w:r>
      <w:r>
        <w:t>75% of study medication. More subjects were randomised and treated in the ertugliflozin 5</w:t>
      </w:r>
      <w:r w:rsidR="00F01382">
        <w:t xml:space="preserve"> </w:t>
      </w:r>
      <w:r w:rsidR="006D7D02">
        <w:t>mg</w:t>
      </w:r>
      <w:r>
        <w:t xml:space="preserve"> and 15</w:t>
      </w:r>
      <w:r w:rsidR="00F01382">
        <w:t xml:space="preserve"> </w:t>
      </w:r>
      <w:r w:rsidR="006D7D02">
        <w:t>mg</w:t>
      </w:r>
      <w:r>
        <w:t xml:space="preserve"> groups relative to the non-ertugliflozin group. Of the 4864 randomised subjects, 48.1% of subjects completed the study; most studies were ongoing in Phase B at the time of the data cut-off. The proportion of subjects who completed the study was numerically higher in the ertugliflozin 5</w:t>
      </w:r>
      <w:r w:rsidR="00F01382">
        <w:t xml:space="preserve"> </w:t>
      </w:r>
      <w:r w:rsidR="006D7D02">
        <w:t>mg</w:t>
      </w:r>
      <w:r>
        <w:t xml:space="preserve"> and 15</w:t>
      </w:r>
      <w:r w:rsidR="00F01382">
        <w:t xml:space="preserve"> </w:t>
      </w:r>
      <w:r w:rsidR="006D7D02">
        <w:t>mg</w:t>
      </w:r>
      <w:r>
        <w:t xml:space="preserve"> groups relative to the non-ertugliflozin group. The proportion of subjects who discontinued study medication was not notably different in the ertugliflozin 5</w:t>
      </w:r>
      <w:r w:rsidR="00F01382">
        <w:t xml:space="preserve"> </w:t>
      </w:r>
      <w:r w:rsidR="006D7D02">
        <w:t>mg</w:t>
      </w:r>
      <w:r>
        <w:t xml:space="preserve"> and 15</w:t>
      </w:r>
      <w:r w:rsidR="00F01382">
        <w:t xml:space="preserve"> </w:t>
      </w:r>
      <w:r w:rsidR="006D7D02">
        <w:t>mg</w:t>
      </w:r>
      <w:r>
        <w:t xml:space="preserve"> groups and the all ertugliflozin group relative to the non-ertugliflozin group. The most common reasons for discontinuation from study medication in all groups were withdrawal by subject, lost to follow-up, hyperglycaemia and discontinuation due to an AE with no notable differences between the groups.</w:t>
      </w:r>
    </w:p>
    <w:p w14:paraId="36C3D22F" w14:textId="58A3AAA1" w:rsidR="004C4E10" w:rsidRDefault="004C4E10" w:rsidP="004C4E10">
      <w:r>
        <w:t xml:space="preserve">In the Broad pool, the mean age was 57.8 years, 25.8% of subjects were </w:t>
      </w:r>
      <w:r w:rsidR="00AD51CF">
        <w:t xml:space="preserve">&gt; </w:t>
      </w:r>
      <w:r>
        <w:t xml:space="preserve">65 years, and 4.5% were </w:t>
      </w:r>
      <w:r w:rsidR="00AD51CF">
        <w:t xml:space="preserve">&gt; </w:t>
      </w:r>
      <w:r>
        <w:t>75 years of age. The mean BMI and eGFR was 31.7 kg/m</w:t>
      </w:r>
      <w:r w:rsidRPr="005F6C9D">
        <w:rPr>
          <w:vertAlign w:val="superscript"/>
        </w:rPr>
        <w:t>2</w:t>
      </w:r>
      <w:r w:rsidR="00B51DF2">
        <w:t xml:space="preserve"> </w:t>
      </w:r>
      <w:r>
        <w:t>and 85.3</w:t>
      </w:r>
      <w:r w:rsidR="00815048">
        <w:t> </w:t>
      </w:r>
      <w:r>
        <w:t>mL/min/</w:t>
      </w:r>
      <w:r w:rsidR="00D518E2">
        <w:t>1.73 m</w:t>
      </w:r>
      <w:r w:rsidR="00D518E2" w:rsidRPr="00D518E2">
        <w:rPr>
          <w:vertAlign w:val="superscript"/>
        </w:rPr>
        <w:t>2</w:t>
      </w:r>
      <w:r>
        <w:t xml:space="preserve"> respectively; 47.0% had an eGFR in the range of 60 to &lt;</w:t>
      </w:r>
      <w:r w:rsidR="00815048">
        <w:t> </w:t>
      </w:r>
      <w:r>
        <w:t>90</w:t>
      </w:r>
      <w:r w:rsidR="00815048">
        <w:t> </w:t>
      </w:r>
      <w:r>
        <w:t>mL/min/</w:t>
      </w:r>
      <w:r w:rsidR="00D518E2">
        <w:t>1.73 m</w:t>
      </w:r>
      <w:r w:rsidR="00D518E2" w:rsidRPr="00D518E2">
        <w:rPr>
          <w:vertAlign w:val="superscript"/>
        </w:rPr>
        <w:t>2</w:t>
      </w:r>
      <w:r>
        <w:t xml:space="preserve"> and 41.2% of subjects had an eGFR </w:t>
      </w:r>
      <w:r w:rsidR="00AD51CF">
        <w:t xml:space="preserve">&gt; </w:t>
      </w:r>
      <w:r>
        <w:t>90 mL/min/</w:t>
      </w:r>
      <w:r w:rsidR="00D518E2">
        <w:t>1.73 m</w:t>
      </w:r>
      <w:r w:rsidR="00D518E2" w:rsidRPr="00D518E2">
        <w:rPr>
          <w:vertAlign w:val="superscript"/>
        </w:rPr>
        <w:t>2</w:t>
      </w:r>
      <w:r>
        <w:t xml:space="preserve">). </w:t>
      </w:r>
      <w:r w:rsidR="005F6C9D">
        <w:t>The m</w:t>
      </w:r>
      <w:r>
        <w:t>ajority of subjects were White (76.8%), 13.3% were Asian, and 5.0% were Black or African American; there were slightly more males (51.8%) than females (48.2%). The mean duration of T2DM for subjects Broad Pool was 7.9 years and numerically higher</w:t>
      </w:r>
      <w:r w:rsidR="00B51DF2">
        <w:t xml:space="preserve"> </w:t>
      </w:r>
      <w:r>
        <w:t>proportion of sub</w:t>
      </w:r>
      <w:r w:rsidR="00F14099">
        <w:t xml:space="preserve">jects (38.8%) had T2DM duration of </w:t>
      </w:r>
      <w:r>
        <w:t>&lt;</w:t>
      </w:r>
      <w:r w:rsidR="005F6C9D">
        <w:t> </w:t>
      </w:r>
      <w:r>
        <w:t xml:space="preserve">5 years, relative to those with </w:t>
      </w:r>
      <w:r w:rsidR="00F14099">
        <w:t>duration</w:t>
      </w:r>
      <w:r>
        <w:t xml:space="preserve"> of T2DM from 5 to &lt;</w:t>
      </w:r>
      <w:r w:rsidR="005F6C9D">
        <w:t> </w:t>
      </w:r>
      <w:r>
        <w:t xml:space="preserve">10 years (31.2%), or </w:t>
      </w:r>
      <w:r w:rsidR="00AD51CF">
        <w:t xml:space="preserve">&gt; </w:t>
      </w:r>
      <w:r>
        <w:t xml:space="preserve">10 years (30.0%). Baseline </w:t>
      </w:r>
      <w:r w:rsidR="003F2DE3">
        <w:t>Hb</w:t>
      </w:r>
      <w:r w:rsidR="00A04B32">
        <w:t>A1c</w:t>
      </w:r>
      <w:r>
        <w:t xml:space="preserve"> and FPG were similar between groups, the mean baseline </w:t>
      </w:r>
      <w:r w:rsidR="003F2DE3">
        <w:t>Hb</w:t>
      </w:r>
      <w:r w:rsidR="00A04B32">
        <w:t>A1c</w:t>
      </w:r>
      <w:r>
        <w:t xml:space="preserve"> was 8.2% and the mean FPG was 171.4</w:t>
      </w:r>
      <w:r w:rsidR="00F01382">
        <w:t xml:space="preserve"> </w:t>
      </w:r>
      <w:r w:rsidR="006D7D02">
        <w:t>mg</w:t>
      </w:r>
      <w:r>
        <w:t xml:space="preserve">/dL </w:t>
      </w:r>
      <w:proofErr w:type="gramStart"/>
      <w:r>
        <w:t>(9.5 mmol/L)</w:t>
      </w:r>
      <w:proofErr w:type="gramEnd"/>
      <w:r>
        <w:t xml:space="preserve"> across all groups. Diabetic microvascular complications were included in the medical history of 26.6% of all subjects. Most subjects (83.9%) were on an AHA at the time of randomisation, with the most common AHA therapy being metformin (74.9%), followed by DPP-4 inhibitors (10.9%), insulin (5.5%) and sulfonylurea (4.3%). Most subjects were on 1 AHA therapy at the time of randomisation (71.7%), while 12.0% were on 2 AHA therapies. The proportion of subjects with a history of CV disease was similar between groups; in the overall pooled population, 14.3% had a history of coronary artery disease, 3.3% had a history of peripheral vascular disease, 4.0% had a history of heart failure, and 4.8% had a history of cerebrovascular disease. The proportion of subjects with a history of hypertension was high (69.7%) and similar between groups. Similarly, the proportion of subjects with a history of hyperlipidaemia was high (62.1%) and similar between groups.</w:t>
      </w:r>
    </w:p>
    <w:p w14:paraId="11631418" w14:textId="2B1A5604" w:rsidR="004C4E10" w:rsidRDefault="004C4E10" w:rsidP="004C4E10">
      <w:r>
        <w:t>The exposure to proposed doses of ertugliflozin (</w:t>
      </w:r>
      <w:r w:rsidR="00731A2E">
        <w:t>5</w:t>
      </w:r>
      <w:r w:rsidR="00F01382">
        <w:t xml:space="preserve"> </w:t>
      </w:r>
      <w:r w:rsidR="006D7D02">
        <w:t>mg</w:t>
      </w:r>
      <w:r>
        <w:t xml:space="preserve"> and 1</w:t>
      </w:r>
      <w:r w:rsidR="00731A2E">
        <w:t>5</w:t>
      </w:r>
      <w:r w:rsidR="00F01382">
        <w:t xml:space="preserve"> </w:t>
      </w:r>
      <w:r w:rsidR="006D7D02">
        <w:t>mg</w:t>
      </w:r>
      <w:r>
        <w:t xml:space="preserve"> </w:t>
      </w:r>
      <w:r w:rsidR="00F14099">
        <w:t>QD</w:t>
      </w:r>
      <w:r>
        <w:t>) was adequate to evaluate safety for proposed indication. Evaluation of long</w:t>
      </w:r>
      <w:r w:rsidR="005F6C9D">
        <w:t xml:space="preserve"> </w:t>
      </w:r>
      <w:r>
        <w:t xml:space="preserve">term safety beyond 6 months was limited as data from Phase B durations ranging from 52 to 104 weeks) of the </w:t>
      </w:r>
      <w:r w:rsidR="00B51DF2">
        <w:t>Phase III</w:t>
      </w:r>
      <w:r>
        <w:t xml:space="preserve"> studies was not provided in this submission.</w:t>
      </w:r>
    </w:p>
    <w:p w14:paraId="210686FB" w14:textId="77777777" w:rsidR="004C4E10" w:rsidRDefault="004C4E10" w:rsidP="003A5F83">
      <w:pPr>
        <w:pStyle w:val="Heading4"/>
      </w:pPr>
      <w:r>
        <w:t>Evaluator’s overall conclusions on clinical safety</w:t>
      </w:r>
    </w:p>
    <w:p w14:paraId="12750FBF" w14:textId="62A4DC3F" w:rsidR="004C4E10" w:rsidRDefault="004C4E10" w:rsidP="004C4E10">
      <w:r>
        <w:t xml:space="preserve">The safety and tolerability of ertugliflozin was evaluated in a large clinical development program comprised of subjects who are representative of the spectrum of patients with T2DM, including a wide array of background therapies including diet and exercise alone, sitagliptin, metformin, sulfonylureas and insulin. However, it is important to note that the only study which evaluated </w:t>
      </w:r>
      <w:r w:rsidRPr="00C65C63">
        <w:t xml:space="preserve">ertugliflozin in combination with </w:t>
      </w:r>
      <w:r w:rsidR="003A5F83" w:rsidRPr="00C65C63">
        <w:t xml:space="preserve">insulin and </w:t>
      </w:r>
      <w:r w:rsidR="003A5F83">
        <w:t>sulfonylureas</w:t>
      </w:r>
      <w:r w:rsidR="003A5F83" w:rsidRPr="00C65C63">
        <w:t xml:space="preserve"> was the study in T2DM patients with moderate renal impairment.</w:t>
      </w:r>
    </w:p>
    <w:p w14:paraId="2FE9CD95" w14:textId="77777777" w:rsidR="004C4E10" w:rsidRDefault="004C4E10" w:rsidP="004C4E10">
      <w:r>
        <w:lastRenderedPageBreak/>
        <w:t xml:space="preserve">The evaluation of safety primarily focused on 2 pooled datasets from the </w:t>
      </w:r>
      <w:r w:rsidR="00B51DF2">
        <w:t>Phase III</w:t>
      </w:r>
      <w:r w:rsidR="005F6C9D">
        <w:t xml:space="preserve"> development program. The p</w:t>
      </w:r>
      <w:r>
        <w:t>lacebo</w:t>
      </w:r>
      <w:r w:rsidR="005F6C9D">
        <w:t xml:space="preserve"> </w:t>
      </w:r>
      <w:r>
        <w:t xml:space="preserve">controlled </w:t>
      </w:r>
      <w:r w:rsidR="005F6C9D">
        <w:t>p</w:t>
      </w:r>
      <w:r>
        <w:t xml:space="preserve">ool contains the safety data to Week 26 from 3 similarly designed </w:t>
      </w:r>
      <w:r w:rsidR="00B51DF2">
        <w:t>Phase III</w:t>
      </w:r>
      <w:r>
        <w:t xml:space="preserve"> studies with a placebo comparator. The Broad Pool contains the data from 7 </w:t>
      </w:r>
      <w:r w:rsidR="00B51DF2">
        <w:t>Phase III</w:t>
      </w:r>
      <w:r>
        <w:t xml:space="preserve"> studies, including those in the</w:t>
      </w:r>
      <w:r w:rsidR="00E35B5E">
        <w:t xml:space="preserve"> placebo </w:t>
      </w:r>
      <w:r w:rsidR="005F6C9D">
        <w:t>p</w:t>
      </w:r>
      <w:r>
        <w:t>ool, studies with active comparators and a study in subjects with moderate renal impairment. In addition, the Broad pool includes data beyond Week 26 in the 6 studies with a total duration greater than 26 weeks. As such, this pool is suited for examination of lower incidence AEs. The non-ertugliflozin group in this pool contains subjects taking placebo (including some who switched to metformin or glimepiride after Week 26) and subjects in active comparator groups (glimepiride or sitagliptin).</w:t>
      </w:r>
    </w:p>
    <w:p w14:paraId="378093A3" w14:textId="5B8C4ED1" w:rsidR="004C4E10" w:rsidRDefault="004C4E10" w:rsidP="004C4E10">
      <w:r>
        <w:t>Comprehensive evaluation of safety and tolerability was performed in 6</w:t>
      </w:r>
      <w:r w:rsidR="00815048">
        <w:t>,</w:t>
      </w:r>
      <w:r>
        <w:t xml:space="preserve">068 subjects in </w:t>
      </w:r>
      <w:r w:rsidR="00B51DF2">
        <w:t>Phase I</w:t>
      </w:r>
      <w:r>
        <w:t xml:space="preserve">, </w:t>
      </w:r>
      <w:r w:rsidR="005F6C9D">
        <w:t>II</w:t>
      </w:r>
      <w:r>
        <w:t xml:space="preserve"> and </w:t>
      </w:r>
      <w:r w:rsidR="005F6C9D">
        <w:t>III</w:t>
      </w:r>
      <w:r>
        <w:t xml:space="preserve"> studies and 4</w:t>
      </w:r>
      <w:r w:rsidR="00815048">
        <w:t>,</w:t>
      </w:r>
      <w:r>
        <w:t>418 subjects were exposed to ertugliflozin.</w:t>
      </w:r>
    </w:p>
    <w:p w14:paraId="5AACAB21" w14:textId="0762F594" w:rsidR="004C4E10" w:rsidRDefault="004C4E10" w:rsidP="004C4E10">
      <w:r>
        <w:t>In the</w:t>
      </w:r>
      <w:r w:rsidR="00E35B5E">
        <w:t xml:space="preserve"> placebo </w:t>
      </w:r>
      <w:r w:rsidR="005F6C9D">
        <w:t>p</w:t>
      </w:r>
      <w:r>
        <w:t>ool, the incidence of subjects with AEs was similar in the ertugliflozin 5</w:t>
      </w:r>
      <w:r w:rsidR="00F01382">
        <w:t xml:space="preserve"> </w:t>
      </w:r>
      <w:r w:rsidR="006D7D02">
        <w:t>mg</w:t>
      </w:r>
      <w:r>
        <w:t xml:space="preserve"> and 15</w:t>
      </w:r>
      <w:r w:rsidR="00F01382">
        <w:t xml:space="preserve"> </w:t>
      </w:r>
      <w:r w:rsidR="006D7D02">
        <w:t>mg</w:t>
      </w:r>
      <w:r>
        <w:t xml:space="preserve"> groups and placebo group (45.5%, 50.4% and 51.1%, respectively). The only AE occurring in </w:t>
      </w:r>
      <w:r w:rsidR="00AD51CF">
        <w:t xml:space="preserve">&gt; </w:t>
      </w:r>
      <w:r>
        <w:t>2% of subjects and at a higher incidence (</w:t>
      </w:r>
      <w:r w:rsidR="005F6C9D">
        <w:t xml:space="preserve">that is, </w:t>
      </w:r>
      <w:r>
        <w:t>95% CI for the difference</w:t>
      </w:r>
      <w:r w:rsidR="00B51DF2">
        <w:t xml:space="preserve"> </w:t>
      </w:r>
      <w:r>
        <w:t>excluded 0) in the ertugliflozin 5</w:t>
      </w:r>
      <w:r w:rsidR="00F01382">
        <w:t xml:space="preserve"> </w:t>
      </w:r>
      <w:r w:rsidR="006D7D02">
        <w:t>mg</w:t>
      </w:r>
      <w:r>
        <w:t xml:space="preserve"> and 15</w:t>
      </w:r>
      <w:r w:rsidR="00F01382">
        <w:t xml:space="preserve"> </w:t>
      </w:r>
      <w:r w:rsidR="006D7D02">
        <w:t>mg</w:t>
      </w:r>
      <w:r>
        <w:t xml:space="preserve"> groups compared to the placebo group was vulvovaginal mycotic infection (2.7%, 2.7% and 0.6%, respectively). The findings in the Broad Pool were generally consistent with those in the</w:t>
      </w:r>
      <w:r w:rsidR="00E35B5E">
        <w:t xml:space="preserve"> placebo </w:t>
      </w:r>
      <w:r>
        <w:t>pool.</w:t>
      </w:r>
    </w:p>
    <w:p w14:paraId="2D2E05CE" w14:textId="5032E5F2" w:rsidR="004C4E10" w:rsidRDefault="004C4E10" w:rsidP="004C4E10">
      <w:r>
        <w:t>There were no deaths in the</w:t>
      </w:r>
      <w:r w:rsidR="00E35B5E">
        <w:t xml:space="preserve"> placebo </w:t>
      </w:r>
      <w:r w:rsidR="005F6C9D">
        <w:t>p</w:t>
      </w:r>
      <w:r>
        <w:t>ool. The incidence of deaths in the Broad Pool (on treatment analysis with 14 day censoring window) was low in all groups and slightly numerically higher in the ertugliflozin groups relative to the non-ertugliflozin group: 10 (0.6%) subjects in the ertugliflozin 5</w:t>
      </w:r>
      <w:r w:rsidR="00F01382">
        <w:t xml:space="preserve"> </w:t>
      </w:r>
      <w:r w:rsidR="006D7D02">
        <w:t>mg</w:t>
      </w:r>
      <w:r>
        <w:t xml:space="preserve"> group, 8 (0.5%) subjects in the ertugliflozin 15</w:t>
      </w:r>
      <w:r w:rsidR="00F01382">
        <w:t> </w:t>
      </w:r>
      <w:r w:rsidR="006D7D02">
        <w:t>mg</w:t>
      </w:r>
      <w:r>
        <w:t xml:space="preserve"> group, and 3 (0.2%) subjects in the non-ertugliflozin group. The incidence of death was similarly low when examined including events beyond the 14</w:t>
      </w:r>
      <w:r w:rsidR="005F6C9D">
        <w:t xml:space="preserve"> </w:t>
      </w:r>
      <w:r>
        <w:t>day censoring window (the All Post-Randomisation Follow-up Period): 11 (0.6%) subjects in the ertugliflozin 5</w:t>
      </w:r>
      <w:r w:rsidR="00F01382">
        <w:t> </w:t>
      </w:r>
      <w:r w:rsidR="006D7D02">
        <w:t>mg</w:t>
      </w:r>
      <w:r>
        <w:t xml:space="preserve"> group, 9 (0.5%) subjects in the ertugliflozin 15</w:t>
      </w:r>
      <w:r w:rsidR="00F01382">
        <w:t xml:space="preserve"> </w:t>
      </w:r>
      <w:r w:rsidR="006D7D02">
        <w:t>mg</w:t>
      </w:r>
      <w:r>
        <w:t xml:space="preserve"> group and 6 (0.4%) subjects in the non</w:t>
      </w:r>
      <w:r w:rsidR="005F6C9D">
        <w:noBreakHyphen/>
      </w:r>
      <w:r>
        <w:t>ertugliflozin group; the most commonly reported fatal events in all groups were related to cardiovascular death.</w:t>
      </w:r>
    </w:p>
    <w:p w14:paraId="59A16A21" w14:textId="4BAC6335" w:rsidR="004C4E10" w:rsidRDefault="004C4E10" w:rsidP="004C4E10">
      <w:r>
        <w:t xml:space="preserve">The EMA draft reflection paper on assessment of CV risk of medicinal products for the treatment of </w:t>
      </w:r>
      <w:r w:rsidRPr="00C65C63">
        <w:t xml:space="preserve">CV and metabolic diseases was released during the conduct of the ertugliflozin </w:t>
      </w:r>
      <w:r w:rsidR="00B51DF2" w:rsidRPr="00C65C63">
        <w:t>Phase III</w:t>
      </w:r>
      <w:r w:rsidRPr="00C65C63">
        <w:t xml:space="preserve"> program. The sponsor has initiated a CV outcome (CVOT) study to evaluate CV risk of ertugliflozin (</w:t>
      </w:r>
      <w:r w:rsidR="003A5F83">
        <w:t xml:space="preserve">Study </w:t>
      </w:r>
      <w:r w:rsidRPr="00C65C63">
        <w:t>P004/1021) but this study will remain blinded until its completion according to agreement with the FDA and the EMA.</w:t>
      </w:r>
      <w:r>
        <w:t xml:space="preserve"> Neither the detailed results of the CV meta-analysis report nor any other results from the CVOT study have been included in this submission. The CVOT study is estimated to complete in 2019 with the exact timing dependent on the accrual of CV events.</w:t>
      </w:r>
    </w:p>
    <w:p w14:paraId="207159F8" w14:textId="2305329D" w:rsidR="004C4E10" w:rsidRDefault="004C4E10" w:rsidP="004C4E10">
      <w:r>
        <w:t>In the</w:t>
      </w:r>
      <w:r w:rsidR="00E35B5E">
        <w:t xml:space="preserve"> placebo </w:t>
      </w:r>
      <w:r w:rsidR="00D518E2">
        <w:t>p</w:t>
      </w:r>
      <w:r>
        <w:t xml:space="preserve">ool, the incidence of non-fatal </w:t>
      </w:r>
      <w:r w:rsidR="00D518E2">
        <w:t>serious AEs (</w:t>
      </w:r>
      <w:r>
        <w:t>SAEs</w:t>
      </w:r>
      <w:r w:rsidR="00D518E2">
        <w:t>)</w:t>
      </w:r>
      <w:r>
        <w:t xml:space="preserve"> was low and not notably different in the ertugliflozin 5</w:t>
      </w:r>
      <w:r w:rsidR="00F01382">
        <w:t xml:space="preserve"> </w:t>
      </w:r>
      <w:r w:rsidR="006D7D02">
        <w:t>mg</w:t>
      </w:r>
      <w:r>
        <w:t xml:space="preserve"> and 15</w:t>
      </w:r>
      <w:r w:rsidR="00F01382">
        <w:t xml:space="preserve"> </w:t>
      </w:r>
      <w:r w:rsidR="006D7D02">
        <w:t>mg</w:t>
      </w:r>
      <w:r>
        <w:t xml:space="preserve"> groups relative to the placebo group (3.3%, 2.4% and 2.9%, respectively). Similarly, in the Broad Pool, the incidence of non-fatal SAEs was similar in the ertugliflozin 5</w:t>
      </w:r>
      <w:r w:rsidR="00F01382">
        <w:t xml:space="preserve"> </w:t>
      </w:r>
      <w:r w:rsidR="006D7D02">
        <w:t>mg</w:t>
      </w:r>
      <w:r>
        <w:t xml:space="preserve"> and 15</w:t>
      </w:r>
      <w:r w:rsidR="00F01382">
        <w:t xml:space="preserve"> </w:t>
      </w:r>
      <w:r w:rsidR="006D7D02">
        <w:t>mg</w:t>
      </w:r>
      <w:r>
        <w:t xml:space="preserve"> groups and non-ertugliflozin group (6.0%, 5.6% and 5.3%, respectively). There was no discernible pattern with regard to the type of SAEs.</w:t>
      </w:r>
    </w:p>
    <w:p w14:paraId="37953ABD" w14:textId="092AE1A8" w:rsidR="004C4E10" w:rsidRDefault="004C4E10" w:rsidP="004C4E10">
      <w:r>
        <w:t>The incidence of AEs leading to discontinuation of study medication was low and not notably different in ertugliflozin</w:t>
      </w:r>
      <w:r w:rsidR="00D518E2">
        <w:t xml:space="preserve"> </w:t>
      </w:r>
      <w:r>
        <w:t>treated subjects compared to comparator</w:t>
      </w:r>
      <w:r w:rsidR="00D518E2">
        <w:t xml:space="preserve"> </w:t>
      </w:r>
      <w:r>
        <w:t>treated subjects in both the</w:t>
      </w:r>
      <w:r w:rsidR="00E35B5E">
        <w:t xml:space="preserve"> placebo </w:t>
      </w:r>
      <w:r w:rsidR="00D518E2">
        <w:t>p</w:t>
      </w:r>
      <w:r>
        <w:t>ool</w:t>
      </w:r>
      <w:r w:rsidR="00B51DF2">
        <w:t xml:space="preserve"> </w:t>
      </w:r>
      <w:r>
        <w:t xml:space="preserve">(2.3%, 1.4% and 1.7% in ertugliflozin </w:t>
      </w:r>
      <w:r w:rsidR="00731A2E">
        <w:t>5</w:t>
      </w:r>
      <w:r w:rsidR="00F01382">
        <w:t xml:space="preserve"> </w:t>
      </w:r>
      <w:r w:rsidR="006D7D02">
        <w:t>mg</w:t>
      </w:r>
      <w:r>
        <w:t>, 1</w:t>
      </w:r>
      <w:r w:rsidR="00731A2E">
        <w:t>5</w:t>
      </w:r>
      <w:r w:rsidR="00F01382">
        <w:t xml:space="preserve"> </w:t>
      </w:r>
      <w:r w:rsidR="006D7D02">
        <w:t>mg</w:t>
      </w:r>
      <w:r>
        <w:t xml:space="preserve"> and placebo groups, respectively) and Broad Pool (4.1%, 4.4% and 4.1% in the ertugliflozin </w:t>
      </w:r>
      <w:r w:rsidR="00731A2E">
        <w:t>5</w:t>
      </w:r>
      <w:r w:rsidR="00F01382">
        <w:t xml:space="preserve"> </w:t>
      </w:r>
      <w:r w:rsidR="006D7D02">
        <w:t>mg</w:t>
      </w:r>
      <w:r>
        <w:t>, 1</w:t>
      </w:r>
      <w:r w:rsidR="00731A2E">
        <w:t>5</w:t>
      </w:r>
      <w:r w:rsidR="00F01382">
        <w:t> </w:t>
      </w:r>
      <w:r w:rsidR="006D7D02">
        <w:t>mg</w:t>
      </w:r>
      <w:r>
        <w:t xml:space="preserve"> and non-ertugliflozin groups, respectively).</w:t>
      </w:r>
    </w:p>
    <w:p w14:paraId="72FB2E9D" w14:textId="4D1FAAB2" w:rsidR="004C4E10" w:rsidRDefault="004C4E10" w:rsidP="004C4E10">
      <w:r>
        <w:t>Among the potential or established SGLT2 class</w:t>
      </w:r>
      <w:r w:rsidR="00D518E2">
        <w:t xml:space="preserve"> </w:t>
      </w:r>
      <w:r>
        <w:t xml:space="preserve">related safety topics, ertugliflozin treatment was associated with an increased incidence of AEs for osmotic diuresis; volume depletion in subjects with moderate renal impairment, the elderly and those using </w:t>
      </w:r>
      <w:r>
        <w:lastRenderedPageBreak/>
        <w:t>diuretics. In the general population, small transient reductions in eGFR were observed that generally resolved by Week 26. In subjects with moderate renal impairment, the reductions in eGFR were slightly greater (approximately 1 mL/min/</w:t>
      </w:r>
      <w:r w:rsidR="00D518E2">
        <w:t>1.73 m</w:t>
      </w:r>
      <w:r w:rsidR="00D518E2" w:rsidRPr="00D518E2">
        <w:rPr>
          <w:vertAlign w:val="superscript"/>
        </w:rPr>
        <w:t>2</w:t>
      </w:r>
      <w:r>
        <w:t>) compared to the general population and there was not a complete return to baseline at Week 26. The moderate renal impairment study is continuing to Week 52 and will measure eGFR 2</w:t>
      </w:r>
      <w:r w:rsidR="00815048">
        <w:t> </w:t>
      </w:r>
      <w:r>
        <w:t>weeks following discontinuation of study medication. The risk of renal related AEs was increased with ertugliflozin treatment in subjects with moderate renal impairment.</w:t>
      </w:r>
    </w:p>
    <w:p w14:paraId="29382197" w14:textId="77777777" w:rsidR="004C4E10" w:rsidRDefault="004C4E10" w:rsidP="004C4E10">
      <w:r>
        <w:t>An increased incidence of genital mycotic infections was observed in both women and men treated with ertugliflozin relative to comparator. However, there were very few serious or complicated events and these AEs were rarely associated with discontinuation of study medication.</w:t>
      </w:r>
    </w:p>
    <w:p w14:paraId="696D6E8D" w14:textId="663EBF45" w:rsidR="004C4E10" w:rsidRDefault="004C4E10" w:rsidP="004C4E10">
      <w:r w:rsidRPr="00C65C63">
        <w:t>Ketoacidosis was confirmed as certain or possible in 3 ertugliflozin subjects compared to none in the non-ertugliflozin group. Patients treated with ertugliflozin who present with signs and symptoms consistent with severe metabolic acidosis should be promptly assessed for ketoacidosis regardless of presenting blood glucose levels as ketoacidosis associated with SGLT2 inhibitors may be present even if blood glucose levels are &lt;</w:t>
      </w:r>
      <w:r w:rsidR="00D722B4" w:rsidRPr="00C65C63">
        <w:t> </w:t>
      </w:r>
      <w:r w:rsidRPr="00C65C63">
        <w:t>250</w:t>
      </w:r>
      <w:r w:rsidR="009802FE">
        <w:t> </w:t>
      </w:r>
      <w:r w:rsidR="006D7D02">
        <w:t>mg</w:t>
      </w:r>
      <w:r w:rsidRPr="00C65C63">
        <w:t xml:space="preserve">/dL </w:t>
      </w:r>
      <w:proofErr w:type="gramStart"/>
      <w:r w:rsidRPr="00C65C63">
        <w:t>(14 mmol/L)</w:t>
      </w:r>
      <w:proofErr w:type="gramEnd"/>
      <w:r w:rsidRPr="00C65C63">
        <w:t>.</w:t>
      </w:r>
    </w:p>
    <w:p w14:paraId="2637091E" w14:textId="77777777" w:rsidR="004C4E10" w:rsidRDefault="004C4E10" w:rsidP="004C4E10">
      <w:r>
        <w:t>A small dose</w:t>
      </w:r>
      <w:r w:rsidR="00D518E2">
        <w:t xml:space="preserve"> </w:t>
      </w:r>
      <w:r>
        <w:t xml:space="preserve">related increase in </w:t>
      </w:r>
      <w:r w:rsidR="00E2144F" w:rsidRPr="004D575B">
        <w:rPr>
          <w:rFonts w:eastAsiaTheme="minorHAnsi"/>
        </w:rPr>
        <w:t>Low-density lipoprotein-cholesterol</w:t>
      </w:r>
      <w:r w:rsidR="00E2144F">
        <w:t xml:space="preserve"> (</w:t>
      </w:r>
      <w:r>
        <w:t>LDL-C</w:t>
      </w:r>
      <w:r w:rsidR="00E2144F">
        <w:t>)</w:t>
      </w:r>
      <w:r>
        <w:t xml:space="preserve"> was observed following ertugliflozin treatment. Although the sponsors have stated that an assessment of CV safety based on a pre-specified cardiovascular meta-analysis (CVMA) demonstrated that ertugliflozin is not associated with an unacceptable increase in CV risk at the time of regulatory submission in accordance with FDA recommendations for T2DM drug development</w:t>
      </w:r>
      <w:r w:rsidR="00D518E2">
        <w:t>;</w:t>
      </w:r>
      <w:r>
        <w:t xml:space="preserve"> this requires confirmation.</w:t>
      </w:r>
    </w:p>
    <w:p w14:paraId="28657AF9" w14:textId="6EB1251F" w:rsidR="004C4E10" w:rsidRDefault="004C4E10" w:rsidP="004C4E10">
      <w:r>
        <w:t>Ertugliflozin treatment was associated with an increased risk of non-traumatic lower limb amputations; 8 of the 10 amp</w:t>
      </w:r>
      <w:r w:rsidR="00D518E2">
        <w:t>utations reported in the Broad P</w:t>
      </w:r>
      <w:r>
        <w:t>ool were in the ertugliflozin 1</w:t>
      </w:r>
      <w:r w:rsidR="00731A2E">
        <w:t>5</w:t>
      </w:r>
      <w:r w:rsidR="009802FE">
        <w:t xml:space="preserve"> </w:t>
      </w:r>
      <w:r w:rsidR="006D7D02">
        <w:t>mg</w:t>
      </w:r>
      <w:r>
        <w:t xml:space="preserve"> group (1 subject each in the ertugliflozin </w:t>
      </w:r>
      <w:r w:rsidR="00731A2E">
        <w:t>5</w:t>
      </w:r>
      <w:r w:rsidR="009802FE">
        <w:t xml:space="preserve"> </w:t>
      </w:r>
      <w:r w:rsidR="006D7D02">
        <w:t>mg</w:t>
      </w:r>
      <w:r>
        <w:t xml:space="preserve"> and non-ertugliflozin groups). Overall, 12 subjects reported non-traumatic limb amputation and peripheral revascularisation in the Broad </w:t>
      </w:r>
      <w:r w:rsidR="00D518E2">
        <w:t>P</w:t>
      </w:r>
      <w:r>
        <w:t>ool. However, interpretation of association between ertugliflozin treatment and amputations/ peripheral revascularisation was confounded by fact that all 12 subjects had baseline risk factors for amputation (</w:t>
      </w:r>
      <w:r w:rsidR="00D83148">
        <w:t>for example</w:t>
      </w:r>
      <w:r>
        <w:t>, peripheral neuropathy, peripheral artery disease) or peripheral revascularisation (</w:t>
      </w:r>
      <w:r w:rsidR="00D83148">
        <w:t>for example,</w:t>
      </w:r>
      <w:r>
        <w:t xml:space="preserve"> hypertension and hyperlipidaemia).</w:t>
      </w:r>
    </w:p>
    <w:p w14:paraId="582B6957" w14:textId="77777777" w:rsidR="004C4E10" w:rsidRDefault="004C4E10" w:rsidP="004C4E10">
      <w:r>
        <w:t xml:space="preserve">Ertugliflozin treatment was not associated with increased risk for urinary tract infection or parameters related to bone safety/fracture. A large </w:t>
      </w:r>
      <w:r w:rsidR="00B51DF2">
        <w:t>Phase III</w:t>
      </w:r>
      <w:r>
        <w:t xml:space="preserve"> study (P007/1017) did not demonstrate a meaningful reduction in BMD at any anatomical region (lumbar spine, femoral neck, total hip or distal forearm). Moreover, no imbalance of fractures was observed in the overall ertugliflozin program or in the large dedicated study of subjects with moderate renal impairment.</w:t>
      </w:r>
    </w:p>
    <w:p w14:paraId="14750201" w14:textId="1CEA198A" w:rsidR="004C4E10" w:rsidRDefault="004C4E10" w:rsidP="004C4E10">
      <w:r>
        <w:t>Treatment with ertugliflozin did not result in a clinically meaningful increase in the risk of hypoglycaemia. Proportions of subjects with documented and severe hypoglycaemia were low across all groups. The incidence of hypoglycaemia may be increased when ertugliflozin is used in combination with insulin and/or insulin secretagogues. Approximately 90% of subjects in the moderate renal impairment study (</w:t>
      </w:r>
      <w:r w:rsidR="003A5F83">
        <w:t>Study </w:t>
      </w:r>
      <w:r>
        <w:t xml:space="preserve">P001/1016) used insulin and/or sulfonylurea as background therapy. As such, the incidence of hypoglycaemia in this study was higher relative to the other </w:t>
      </w:r>
      <w:r w:rsidR="00B51DF2">
        <w:t>Phase III</w:t>
      </w:r>
      <w:r>
        <w:t xml:space="preserve"> studies, yet was similar across the treatment groups.</w:t>
      </w:r>
    </w:p>
    <w:p w14:paraId="67DA9A35" w14:textId="77777777" w:rsidR="004C4E10" w:rsidRDefault="004C4E10" w:rsidP="004C4E10">
      <w:r>
        <w:t>There was no evidence for increased risk of pancreatitis, hepatic injury, hypersensitivity, or venous thromboembolic events with ertugliflozin use. The overall incidence of malignancies was low in all groups but was more frequent in the ertugliflozin groups relative to the non-ertugliflozin group. Eleven out of 31 ertugliflozin</w:t>
      </w:r>
      <w:r w:rsidR="00D518E2">
        <w:t xml:space="preserve"> </w:t>
      </w:r>
      <w:r>
        <w:t xml:space="preserve">treated subjects with </w:t>
      </w:r>
      <w:r>
        <w:lastRenderedPageBreak/>
        <w:t>a malignancy had the malignancy detected within the first 6 months of randomisation, with several events diagnosed within 1 month following randomisation. There were no specific types of malignancies for which there was any notable imbalance. The more frequent occurrence of events in ertugliflozin</w:t>
      </w:r>
      <w:r w:rsidR="00D518E2">
        <w:t xml:space="preserve"> </w:t>
      </w:r>
      <w:r>
        <w:t>treated subjects reflected a wide range of unrelated types of neoplasm, both solid and haematological, with no notable temporal pattern of onset.</w:t>
      </w:r>
    </w:p>
    <w:p w14:paraId="485AC5C9" w14:textId="6715B033" w:rsidR="004C4E10" w:rsidRDefault="004C4E10" w:rsidP="004C4E10">
      <w:r>
        <w:t>Regarding laboratory parameters, small increases in haemoglobin and phosphate relative to placebo was observed in the ertugliflozin 5</w:t>
      </w:r>
      <w:r w:rsidR="009802FE">
        <w:t xml:space="preserve"> </w:t>
      </w:r>
      <w:r w:rsidR="006D7D02">
        <w:t>mg</w:t>
      </w:r>
      <w:r>
        <w:t xml:space="preserve"> and 15</w:t>
      </w:r>
      <w:r w:rsidR="009802FE">
        <w:t xml:space="preserve"> </w:t>
      </w:r>
      <w:r w:rsidR="006D7D02">
        <w:t>mg</w:t>
      </w:r>
      <w:r>
        <w:t xml:space="preserve"> groups. In both the Broad Pool and in subjects with moderate renal impairment, there was no evidence of an increased risk for hyperkal</w:t>
      </w:r>
      <w:r w:rsidR="00F14099">
        <w:t>a</w:t>
      </w:r>
      <w:r>
        <w:t xml:space="preserve">emia either in the evaluation of mean changes in potassium over time or by the </w:t>
      </w:r>
      <w:r w:rsidR="00815048">
        <w:rPr>
          <w:rFonts w:eastAsiaTheme="minorHAnsi"/>
        </w:rPr>
        <w:t>p</w:t>
      </w:r>
      <w:r w:rsidR="00C45B82" w:rsidRPr="004D575B">
        <w:rPr>
          <w:rFonts w:eastAsiaTheme="minorHAnsi"/>
        </w:rPr>
        <w:t>re-defined limit of change</w:t>
      </w:r>
      <w:r w:rsidR="00C45B82">
        <w:t xml:space="preserve"> (</w:t>
      </w:r>
      <w:r>
        <w:t>PDLC</w:t>
      </w:r>
      <w:r w:rsidR="00C45B82">
        <w:t>)</w:t>
      </w:r>
      <w:r>
        <w:t xml:space="preserve"> analyses.</w:t>
      </w:r>
    </w:p>
    <w:p w14:paraId="5D628463" w14:textId="77777777" w:rsidR="004C4E10" w:rsidRDefault="004C4E10" w:rsidP="004C4E10">
      <w:pPr>
        <w:pStyle w:val="Heading5"/>
      </w:pPr>
      <w:r>
        <w:t>Limitations</w:t>
      </w:r>
    </w:p>
    <w:p w14:paraId="277DB809" w14:textId="77777777" w:rsidR="004C4E10" w:rsidRDefault="004C4E10" w:rsidP="004C4E10">
      <w:pPr>
        <w:pStyle w:val="ListBullet"/>
      </w:pPr>
      <w:r>
        <w:t>Although the proposed indication mentions that ertugliflozin can be administered with other AHAs, it is a limitation of this submission that the safety of administration of ertugliflozin with insulin and SUs was only evaluated in a study in T2DM patients with moderate renal impairment. Furthermore, safety of ertugliflozin in combination with other less commonly used AHAs such as GLP-1 analogues, acarbose and pioglitazone has not been evaluated.</w:t>
      </w:r>
    </w:p>
    <w:p w14:paraId="1D0A0498" w14:textId="12F9A35F" w:rsidR="004C4E10" w:rsidRPr="00C65C63" w:rsidRDefault="004C4E10" w:rsidP="004C4E10">
      <w:pPr>
        <w:pStyle w:val="ListBullet"/>
      </w:pPr>
      <w:r>
        <w:t xml:space="preserve">The CV safety data (from 7 </w:t>
      </w:r>
      <w:r w:rsidR="00B51DF2">
        <w:t>Phase III</w:t>
      </w:r>
      <w:r>
        <w:t xml:space="preserve"> studies in nearly 5,000 subjects)</w:t>
      </w:r>
      <w:r w:rsidR="00B51DF2">
        <w:t xml:space="preserve"> </w:t>
      </w:r>
      <w:r>
        <w:t>were based on preferred terms from investigator AE reporting and do not reflect the results of adjudication which remain firewalled.</w:t>
      </w:r>
      <w:r w:rsidR="00B51DF2">
        <w:t xml:space="preserve"> </w:t>
      </w:r>
      <w:r w:rsidRPr="00C65C63">
        <w:t xml:space="preserve">A </w:t>
      </w:r>
      <w:r w:rsidR="001F3F23" w:rsidRPr="00C65C63">
        <w:t>CV</w:t>
      </w:r>
      <w:r w:rsidR="001F3F23">
        <w:t xml:space="preserve"> meta-analysis of adjudicated</w:t>
      </w:r>
      <w:r w:rsidRPr="00C65C63">
        <w:t xml:space="preserve">, confirmed CV events from the </w:t>
      </w:r>
      <w:r w:rsidR="00B51DF2" w:rsidRPr="00C65C63">
        <w:t>Phase II/III</w:t>
      </w:r>
      <w:r w:rsidRPr="00C65C63">
        <w:t xml:space="preserve"> studies and from the CV outcome</w:t>
      </w:r>
      <w:r w:rsidR="001F3F23">
        <w:t xml:space="preserve"> </w:t>
      </w:r>
      <w:r w:rsidRPr="00C65C63">
        <w:t>study (</w:t>
      </w:r>
      <w:r w:rsidR="001F3F23">
        <w:t>Study </w:t>
      </w:r>
      <w:r w:rsidRPr="00C65C63">
        <w:t>P004/1021) which is ongoing was not included in the dossier.</w:t>
      </w:r>
    </w:p>
    <w:p w14:paraId="245EEE19" w14:textId="77777777" w:rsidR="00524E43" w:rsidRPr="00524E43" w:rsidRDefault="00524E43" w:rsidP="00524E43">
      <w:pPr>
        <w:pStyle w:val="Heading4"/>
      </w:pPr>
      <w:r>
        <w:t>Steglatro benefit-risk assessment</w:t>
      </w:r>
    </w:p>
    <w:p w14:paraId="68E0F55E" w14:textId="77777777" w:rsidR="004C4E10" w:rsidRDefault="004C4E10" w:rsidP="00524E43">
      <w:pPr>
        <w:pStyle w:val="Heading5"/>
      </w:pPr>
      <w:r>
        <w:t>Second round assessment of benefits</w:t>
      </w:r>
    </w:p>
    <w:p w14:paraId="19321182" w14:textId="52CC819A" w:rsidR="004C4E10" w:rsidRDefault="004C4E10" w:rsidP="004C4E10">
      <w:r>
        <w:t xml:space="preserve">After consideration of the responses to clinical questions, the benefits of ertugliflozin in the proposed usage are unchanged from those identified in </w:t>
      </w:r>
      <w:r w:rsidR="002D0CA2">
        <w:t>the first round as follows</w:t>
      </w:r>
      <w:r w:rsidR="001F3F23" w:rsidRPr="001F3F23">
        <w:t xml:space="preserve"> </w:t>
      </w:r>
      <w:r w:rsidR="001F3F23">
        <w:t>in the Table below.</w:t>
      </w:r>
    </w:p>
    <w:p w14:paraId="30D67375" w14:textId="77777777" w:rsidR="002D0CA2" w:rsidRDefault="002D0CA2" w:rsidP="002D0CA2">
      <w:pPr>
        <w:pStyle w:val="TableTitle"/>
      </w:pPr>
      <w:r>
        <w:t xml:space="preserve">Table </w:t>
      </w:r>
      <w:r w:rsidR="00E55ACA">
        <w:t>20</w:t>
      </w:r>
      <w:r>
        <w:t>: First round assessment of benefits</w:t>
      </w:r>
    </w:p>
    <w:tbl>
      <w:tblPr>
        <w:tblStyle w:val="TableGrid"/>
        <w:tblW w:w="0" w:type="auto"/>
        <w:tblInd w:w="108" w:type="dxa"/>
        <w:tblLook w:val="04A0" w:firstRow="1" w:lastRow="0" w:firstColumn="1" w:lastColumn="0" w:noHBand="0" w:noVBand="1"/>
      </w:tblPr>
      <w:tblGrid>
        <w:gridCol w:w="4420"/>
        <w:gridCol w:w="4192"/>
      </w:tblGrid>
      <w:tr w:rsidR="002D0CA2" w:rsidRPr="002D0CA2" w14:paraId="6C53908A" w14:textId="77777777" w:rsidTr="0091712B">
        <w:trPr>
          <w:cantSplit/>
          <w:tblHeader/>
        </w:trPr>
        <w:tc>
          <w:tcPr>
            <w:tcW w:w="8612" w:type="dxa"/>
            <w:gridSpan w:val="2"/>
            <w:shd w:val="clear" w:color="auto" w:fill="006DA7" w:themeFill="accent3"/>
          </w:tcPr>
          <w:p w14:paraId="2E181111" w14:textId="77777777" w:rsidR="002D0CA2" w:rsidRPr="002D0CA2" w:rsidRDefault="002D0CA2" w:rsidP="002D0CA2">
            <w:pPr>
              <w:rPr>
                <w:b/>
                <w:color w:val="FFFFFF" w:themeColor="background1"/>
                <w:sz w:val="20"/>
                <w:szCs w:val="20"/>
              </w:rPr>
            </w:pPr>
            <w:r w:rsidRPr="002D0CA2">
              <w:rPr>
                <w:b/>
                <w:color w:val="FFFFFF" w:themeColor="background1"/>
                <w:sz w:val="20"/>
                <w:szCs w:val="20"/>
              </w:rPr>
              <w:t>Indication</w:t>
            </w:r>
          </w:p>
        </w:tc>
      </w:tr>
      <w:tr w:rsidR="002D0CA2" w:rsidRPr="002D0CA2" w14:paraId="2E22C3DC" w14:textId="77777777" w:rsidTr="0091712B">
        <w:trPr>
          <w:cantSplit/>
          <w:tblHeader/>
        </w:trPr>
        <w:tc>
          <w:tcPr>
            <w:tcW w:w="4420" w:type="dxa"/>
            <w:shd w:val="clear" w:color="auto" w:fill="00517D" w:themeFill="accent3" w:themeFillShade="BF"/>
          </w:tcPr>
          <w:p w14:paraId="5CDCF664" w14:textId="77777777" w:rsidR="002D0CA2" w:rsidRPr="002D0CA2" w:rsidRDefault="002D0CA2" w:rsidP="002D0CA2">
            <w:pPr>
              <w:rPr>
                <w:b/>
                <w:sz w:val="20"/>
                <w:szCs w:val="20"/>
              </w:rPr>
            </w:pPr>
            <w:r w:rsidRPr="002D0CA2">
              <w:rPr>
                <w:b/>
                <w:color w:val="FFFFFF" w:themeColor="background1"/>
                <w:sz w:val="20"/>
                <w:szCs w:val="20"/>
              </w:rPr>
              <w:t>Benefits</w:t>
            </w:r>
          </w:p>
        </w:tc>
        <w:tc>
          <w:tcPr>
            <w:tcW w:w="4192" w:type="dxa"/>
            <w:shd w:val="clear" w:color="auto" w:fill="00517D" w:themeFill="accent3" w:themeFillShade="BF"/>
          </w:tcPr>
          <w:p w14:paraId="23E548B3" w14:textId="77777777" w:rsidR="002D0CA2" w:rsidRPr="002D0CA2" w:rsidRDefault="002D0CA2" w:rsidP="002D0CA2">
            <w:pPr>
              <w:rPr>
                <w:b/>
                <w:color w:val="FFFFFF" w:themeColor="background1"/>
                <w:sz w:val="20"/>
                <w:szCs w:val="20"/>
              </w:rPr>
            </w:pPr>
            <w:r w:rsidRPr="002D0CA2">
              <w:rPr>
                <w:b/>
                <w:color w:val="FFFFFF" w:themeColor="background1"/>
                <w:sz w:val="20"/>
                <w:szCs w:val="20"/>
              </w:rPr>
              <w:t>Strengths and Uncertainties</w:t>
            </w:r>
          </w:p>
        </w:tc>
      </w:tr>
      <w:tr w:rsidR="002D0CA2" w:rsidRPr="002D0CA2" w14:paraId="6177B5E8" w14:textId="77777777" w:rsidTr="0091712B">
        <w:tc>
          <w:tcPr>
            <w:tcW w:w="4420" w:type="dxa"/>
          </w:tcPr>
          <w:p w14:paraId="06C097AE" w14:textId="09FE0135" w:rsidR="002D0CA2" w:rsidRPr="002D0CA2" w:rsidRDefault="002D0CA2">
            <w:pPr>
              <w:rPr>
                <w:sz w:val="20"/>
                <w:szCs w:val="20"/>
              </w:rPr>
            </w:pPr>
            <w:r w:rsidRPr="002D0CA2">
              <w:rPr>
                <w:sz w:val="20"/>
                <w:szCs w:val="20"/>
              </w:rPr>
              <w:t xml:space="preserve">Evidence to support use as monotherapy provided by pivotal Phase </w:t>
            </w:r>
            <w:r>
              <w:rPr>
                <w:sz w:val="20"/>
                <w:szCs w:val="20"/>
              </w:rPr>
              <w:t>III</w:t>
            </w:r>
            <w:r w:rsidRPr="002D0CA2">
              <w:rPr>
                <w:sz w:val="20"/>
                <w:szCs w:val="20"/>
              </w:rPr>
              <w:t xml:space="preserve"> placebo-controlled </w:t>
            </w:r>
            <w:r>
              <w:rPr>
                <w:sz w:val="20"/>
                <w:szCs w:val="20"/>
              </w:rPr>
              <w:t>S</w:t>
            </w:r>
            <w:r w:rsidRPr="002D0CA2">
              <w:rPr>
                <w:rFonts w:eastAsia="TimesNewRoman"/>
                <w:color w:val="000000"/>
                <w:sz w:val="20"/>
                <w:szCs w:val="20"/>
              </w:rPr>
              <w:t xml:space="preserve">tudy P003/1022 in </w:t>
            </w:r>
            <w:r w:rsidR="005E3DCE" w:rsidRPr="002D0CA2">
              <w:rPr>
                <w:rFonts w:eastAsia="TimesNewRoman"/>
                <w:color w:val="000000"/>
                <w:sz w:val="20"/>
                <w:szCs w:val="20"/>
              </w:rPr>
              <w:t>46</w:t>
            </w:r>
            <w:r w:rsidR="005E3DCE">
              <w:rPr>
                <w:rFonts w:eastAsia="TimesNewRoman"/>
                <w:color w:val="000000"/>
                <w:sz w:val="20"/>
                <w:szCs w:val="20"/>
              </w:rPr>
              <w:t>1</w:t>
            </w:r>
            <w:r w:rsidR="005E3DCE" w:rsidRPr="002D0CA2">
              <w:rPr>
                <w:rFonts w:eastAsia="TimesNewRoman"/>
                <w:color w:val="000000"/>
                <w:sz w:val="20"/>
                <w:szCs w:val="20"/>
              </w:rPr>
              <w:t xml:space="preserve"> </w:t>
            </w:r>
            <w:r w:rsidRPr="002D0CA2">
              <w:rPr>
                <w:rFonts w:eastAsiaTheme="minorHAnsi"/>
                <w:sz w:val="20"/>
                <w:szCs w:val="20"/>
              </w:rPr>
              <w:t>adult T2DM patients who had inadequate glycaemic control on diet and exercise. Ertugliflozin 5</w:t>
            </w:r>
            <w:r w:rsidR="009802FE">
              <w:rPr>
                <w:rFonts w:eastAsiaTheme="minorHAnsi"/>
                <w:sz w:val="20"/>
                <w:szCs w:val="20"/>
              </w:rPr>
              <w:t xml:space="preserve"> </w:t>
            </w:r>
            <w:r w:rsidR="006D7D02">
              <w:rPr>
                <w:rFonts w:eastAsiaTheme="minorHAnsi"/>
                <w:sz w:val="20"/>
                <w:szCs w:val="20"/>
              </w:rPr>
              <w:t>mg</w:t>
            </w:r>
            <w:r w:rsidRPr="002D0CA2">
              <w:rPr>
                <w:rFonts w:eastAsiaTheme="minorHAnsi"/>
                <w:sz w:val="20"/>
                <w:szCs w:val="20"/>
              </w:rPr>
              <w:t xml:space="preserve"> and 15</w:t>
            </w:r>
            <w:r w:rsidR="009802FE">
              <w:rPr>
                <w:rFonts w:eastAsiaTheme="minorHAnsi"/>
                <w:sz w:val="20"/>
                <w:szCs w:val="20"/>
              </w:rPr>
              <w:t xml:space="preserve"> </w:t>
            </w:r>
            <w:r w:rsidR="006D7D02">
              <w:rPr>
                <w:rFonts w:eastAsiaTheme="minorHAnsi"/>
                <w:sz w:val="20"/>
                <w:szCs w:val="20"/>
              </w:rPr>
              <w:t>mg</w:t>
            </w:r>
            <w:r w:rsidRPr="002D0CA2">
              <w:rPr>
                <w:rFonts w:eastAsiaTheme="minorHAnsi"/>
                <w:sz w:val="20"/>
                <w:szCs w:val="20"/>
              </w:rPr>
              <w:t xml:space="preserve"> once daily provided statistically significant and clinically relevant improvements in glycaemic control (</w:t>
            </w:r>
            <w:r w:rsidR="003F2DE3">
              <w:t>Hb</w:t>
            </w:r>
            <w:r w:rsidR="00A04B32">
              <w:t>A1c</w:t>
            </w:r>
            <w:r w:rsidRPr="002D0CA2">
              <w:rPr>
                <w:rFonts w:eastAsiaTheme="minorHAnsi"/>
                <w:sz w:val="20"/>
                <w:szCs w:val="20"/>
              </w:rPr>
              <w:t xml:space="preserve">, FPG and proportion of subjects with </w:t>
            </w:r>
            <w:r w:rsidR="003F2DE3">
              <w:t>Hb</w:t>
            </w:r>
            <w:r w:rsidR="00A04B32">
              <w:t>A1c</w:t>
            </w:r>
            <w:r w:rsidRPr="002D0CA2">
              <w:rPr>
                <w:rFonts w:eastAsiaTheme="minorHAnsi"/>
                <w:sz w:val="20"/>
                <w:szCs w:val="20"/>
              </w:rPr>
              <w:t xml:space="preserve"> &lt;7%) and body weight at </w:t>
            </w:r>
            <w:r>
              <w:rPr>
                <w:rFonts w:eastAsiaTheme="minorHAnsi"/>
                <w:sz w:val="20"/>
                <w:szCs w:val="20"/>
              </w:rPr>
              <w:t>W</w:t>
            </w:r>
            <w:r w:rsidRPr="002D0CA2">
              <w:rPr>
                <w:rFonts w:eastAsiaTheme="minorHAnsi"/>
                <w:sz w:val="20"/>
                <w:szCs w:val="20"/>
              </w:rPr>
              <w:t>eek 26 compared with placebo.</w:t>
            </w:r>
          </w:p>
        </w:tc>
        <w:tc>
          <w:tcPr>
            <w:tcW w:w="4192" w:type="dxa"/>
          </w:tcPr>
          <w:p w14:paraId="2587B000" w14:textId="0C958BC5" w:rsidR="002D0CA2" w:rsidRPr="002D0CA2" w:rsidRDefault="002D0CA2" w:rsidP="002D0CA2">
            <w:pPr>
              <w:rPr>
                <w:sz w:val="20"/>
                <w:szCs w:val="20"/>
              </w:rPr>
            </w:pPr>
            <w:r w:rsidRPr="002D0CA2">
              <w:rPr>
                <w:sz w:val="20"/>
                <w:szCs w:val="20"/>
              </w:rPr>
              <w:t>Only data up to 26 weeks submitted. Phase B results (</w:t>
            </w:r>
            <w:r>
              <w:rPr>
                <w:sz w:val="20"/>
                <w:szCs w:val="20"/>
              </w:rPr>
              <w:t>W</w:t>
            </w:r>
            <w:r w:rsidRPr="002D0CA2">
              <w:rPr>
                <w:sz w:val="20"/>
                <w:szCs w:val="20"/>
              </w:rPr>
              <w:t>eek</w:t>
            </w:r>
            <w:r>
              <w:rPr>
                <w:sz w:val="20"/>
                <w:szCs w:val="20"/>
              </w:rPr>
              <w:t>s</w:t>
            </w:r>
            <w:r w:rsidRPr="002D0CA2">
              <w:rPr>
                <w:sz w:val="20"/>
                <w:szCs w:val="20"/>
              </w:rPr>
              <w:t xml:space="preserve"> 26</w:t>
            </w:r>
            <w:r w:rsidR="00815048">
              <w:rPr>
                <w:sz w:val="20"/>
                <w:szCs w:val="20"/>
              </w:rPr>
              <w:t xml:space="preserve"> to </w:t>
            </w:r>
            <w:r w:rsidRPr="002D0CA2">
              <w:rPr>
                <w:sz w:val="20"/>
                <w:szCs w:val="20"/>
              </w:rPr>
              <w:t xml:space="preserve">52) to be provided when available to ascertain long term efficacy of </w:t>
            </w:r>
            <w:r w:rsidR="001F3F23">
              <w:rPr>
                <w:sz w:val="20"/>
                <w:szCs w:val="20"/>
              </w:rPr>
              <w:t>e</w:t>
            </w:r>
            <w:r w:rsidRPr="002D0CA2">
              <w:rPr>
                <w:sz w:val="20"/>
                <w:szCs w:val="20"/>
              </w:rPr>
              <w:t>rtugliflozin as monotherapy in treatment of T2DM.</w:t>
            </w:r>
          </w:p>
        </w:tc>
      </w:tr>
      <w:tr w:rsidR="002D0CA2" w:rsidRPr="002D0CA2" w14:paraId="551A3D74" w14:textId="77777777" w:rsidTr="0091712B">
        <w:tc>
          <w:tcPr>
            <w:tcW w:w="4420" w:type="dxa"/>
          </w:tcPr>
          <w:p w14:paraId="488A712E" w14:textId="72FEC896" w:rsidR="002D0CA2" w:rsidRPr="002D0CA2" w:rsidRDefault="002D0CA2" w:rsidP="002D0CA2">
            <w:pPr>
              <w:rPr>
                <w:rFonts w:eastAsia="TimesNewRoman"/>
                <w:sz w:val="20"/>
                <w:szCs w:val="20"/>
              </w:rPr>
            </w:pPr>
            <w:r w:rsidRPr="002D0CA2">
              <w:rPr>
                <w:rFonts w:eastAsia="TimesNewRoman"/>
                <w:sz w:val="20"/>
                <w:szCs w:val="20"/>
              </w:rPr>
              <w:t>Evidence to support use of ertugliflozin (as adjunct to diet and exercise) with other anti</w:t>
            </w:r>
            <w:r w:rsidR="00815048">
              <w:rPr>
                <w:rFonts w:eastAsia="TimesNewRoman"/>
                <w:sz w:val="20"/>
                <w:szCs w:val="20"/>
              </w:rPr>
              <w:t>-</w:t>
            </w:r>
            <w:r w:rsidRPr="002D0CA2">
              <w:rPr>
                <w:rFonts w:eastAsia="TimesNewRoman"/>
                <w:sz w:val="20"/>
                <w:szCs w:val="20"/>
              </w:rPr>
              <w:t>hyperglycaemic agents</w:t>
            </w:r>
            <w:r w:rsidR="00815048">
              <w:rPr>
                <w:rFonts w:eastAsia="TimesNewRoman"/>
                <w:sz w:val="20"/>
                <w:szCs w:val="20"/>
              </w:rPr>
              <w:t>;</w:t>
            </w:r>
            <w:r w:rsidRPr="002D0CA2">
              <w:rPr>
                <w:rFonts w:eastAsia="TimesNewRoman"/>
                <w:sz w:val="20"/>
                <w:szCs w:val="20"/>
              </w:rPr>
              <w:t xml:space="preserve"> mainly metformin and DPP-4 inhibitors (sitagliptin).</w:t>
            </w:r>
          </w:p>
          <w:p w14:paraId="0224BAC5" w14:textId="787CFB12" w:rsidR="002D0CA2" w:rsidRPr="002D0CA2" w:rsidRDefault="002D0CA2">
            <w:pPr>
              <w:rPr>
                <w:rFonts w:eastAsia="TimesNewRoman"/>
                <w:sz w:val="20"/>
                <w:szCs w:val="20"/>
              </w:rPr>
            </w:pPr>
            <w:r w:rsidRPr="002D0CA2">
              <w:rPr>
                <w:rFonts w:eastAsia="TimesNewRoman"/>
                <w:sz w:val="20"/>
                <w:szCs w:val="20"/>
              </w:rPr>
              <w:lastRenderedPageBreak/>
              <w:t>Ertugliflozin 15</w:t>
            </w:r>
            <w:r w:rsidR="009802FE">
              <w:rPr>
                <w:rFonts w:eastAsia="TimesNewRoman"/>
                <w:sz w:val="20"/>
                <w:szCs w:val="20"/>
              </w:rPr>
              <w:t xml:space="preserve"> </w:t>
            </w:r>
            <w:r w:rsidR="006D7D02">
              <w:rPr>
                <w:rFonts w:eastAsia="TimesNewRoman"/>
                <w:sz w:val="20"/>
                <w:szCs w:val="20"/>
              </w:rPr>
              <w:t>mg</w:t>
            </w:r>
            <w:r w:rsidRPr="002D0CA2">
              <w:rPr>
                <w:rFonts w:eastAsia="TimesNewRoman"/>
                <w:sz w:val="20"/>
                <w:szCs w:val="20"/>
              </w:rPr>
              <w:t xml:space="preserve"> and 5</w:t>
            </w:r>
            <w:r w:rsidR="009802FE">
              <w:rPr>
                <w:rFonts w:eastAsia="TimesNewRoman"/>
                <w:sz w:val="20"/>
                <w:szCs w:val="20"/>
              </w:rPr>
              <w:t xml:space="preserve"> </w:t>
            </w:r>
            <w:r w:rsidR="006D7D02">
              <w:rPr>
                <w:rFonts w:eastAsia="TimesNewRoman"/>
                <w:sz w:val="20"/>
                <w:szCs w:val="20"/>
              </w:rPr>
              <w:t>mg</w:t>
            </w:r>
            <w:r w:rsidRPr="002D0CA2">
              <w:rPr>
                <w:rFonts w:eastAsia="TimesNewRoman"/>
                <w:sz w:val="20"/>
                <w:szCs w:val="20"/>
              </w:rPr>
              <w:t>, as add-on to metformin (alone or in combination with sitagliptin) provides clinically meaningful improvements in glycaemic control (</w:t>
            </w:r>
            <w:r w:rsidR="003F2DE3">
              <w:t>Hb</w:t>
            </w:r>
            <w:r w:rsidR="00A04B32">
              <w:t>A1c</w:t>
            </w:r>
            <w:r w:rsidRPr="002D0CA2">
              <w:rPr>
                <w:rFonts w:eastAsia="TimesNewRoman"/>
                <w:sz w:val="20"/>
                <w:szCs w:val="20"/>
              </w:rPr>
              <w:t xml:space="preserve">, proportion of subjects with </w:t>
            </w:r>
            <w:r w:rsidR="003F2DE3">
              <w:t>Hb</w:t>
            </w:r>
            <w:r w:rsidR="00A04B32">
              <w:t>A1c</w:t>
            </w:r>
            <w:r w:rsidRPr="002D0CA2">
              <w:rPr>
                <w:rFonts w:eastAsia="TimesNewRoman"/>
                <w:sz w:val="20"/>
                <w:szCs w:val="20"/>
              </w:rPr>
              <w:t xml:space="preserve"> &lt;</w:t>
            </w:r>
            <w:r w:rsidR="00815048">
              <w:rPr>
                <w:rFonts w:eastAsia="TimesNewRoman"/>
                <w:sz w:val="20"/>
                <w:szCs w:val="20"/>
              </w:rPr>
              <w:t xml:space="preserve"> </w:t>
            </w:r>
            <w:r w:rsidRPr="002D0CA2">
              <w:rPr>
                <w:rFonts w:eastAsia="TimesNewRoman"/>
                <w:sz w:val="20"/>
                <w:szCs w:val="20"/>
              </w:rPr>
              <w:t>7.0%, FPG, 2</w:t>
            </w:r>
            <w:r w:rsidR="00815048">
              <w:rPr>
                <w:rFonts w:eastAsia="TimesNewRoman"/>
                <w:sz w:val="20"/>
                <w:szCs w:val="20"/>
              </w:rPr>
              <w:t> </w:t>
            </w:r>
            <w:r w:rsidRPr="002D0CA2">
              <w:rPr>
                <w:rFonts w:eastAsia="TimesNewRoman"/>
                <w:sz w:val="20"/>
                <w:szCs w:val="20"/>
              </w:rPr>
              <w:t>h PPG), as well as body weight reduction and SBP reduction in subjects with T2DM.</w:t>
            </w:r>
          </w:p>
        </w:tc>
        <w:tc>
          <w:tcPr>
            <w:tcW w:w="4192" w:type="dxa"/>
          </w:tcPr>
          <w:p w14:paraId="5095D013" w14:textId="6E456B8C" w:rsidR="002D0CA2" w:rsidRPr="002D0CA2" w:rsidRDefault="002D0CA2" w:rsidP="002D0CA2">
            <w:pPr>
              <w:rPr>
                <w:sz w:val="20"/>
                <w:szCs w:val="20"/>
              </w:rPr>
            </w:pPr>
            <w:r w:rsidRPr="002D0CA2">
              <w:rPr>
                <w:sz w:val="20"/>
                <w:szCs w:val="20"/>
              </w:rPr>
              <w:lastRenderedPageBreak/>
              <w:t>Ertugliflozin in combination with sulphonylurea, insulin and GLP-</w:t>
            </w:r>
            <w:r w:rsidR="000A5476">
              <w:rPr>
                <w:sz w:val="20"/>
                <w:szCs w:val="20"/>
              </w:rPr>
              <w:t>1</w:t>
            </w:r>
            <w:r w:rsidRPr="002D0CA2">
              <w:rPr>
                <w:sz w:val="20"/>
                <w:szCs w:val="20"/>
              </w:rPr>
              <w:t xml:space="preserve"> analogues was not evaluated.</w:t>
            </w:r>
          </w:p>
          <w:p w14:paraId="1E5C46F1" w14:textId="77777777" w:rsidR="002D0CA2" w:rsidRPr="002D0CA2" w:rsidRDefault="002D0CA2" w:rsidP="002D0CA2">
            <w:pPr>
              <w:rPr>
                <w:sz w:val="20"/>
                <w:szCs w:val="20"/>
              </w:rPr>
            </w:pPr>
            <w:r w:rsidRPr="002D0CA2">
              <w:rPr>
                <w:sz w:val="20"/>
                <w:szCs w:val="20"/>
              </w:rPr>
              <w:t xml:space="preserve">Results of long term maintenance of efficacy of </w:t>
            </w:r>
            <w:r w:rsidRPr="002D0CA2">
              <w:rPr>
                <w:sz w:val="20"/>
                <w:szCs w:val="20"/>
              </w:rPr>
              <w:lastRenderedPageBreak/>
              <w:t>ertugliflozin in combination with other AHAs was not provided in this submission although data from the ongoing Phase B of the pivotal studies should help to address this.</w:t>
            </w:r>
          </w:p>
        </w:tc>
      </w:tr>
      <w:tr w:rsidR="002D0CA2" w:rsidRPr="002D0CA2" w14:paraId="1A4FF574" w14:textId="77777777" w:rsidTr="0091712B">
        <w:tc>
          <w:tcPr>
            <w:tcW w:w="4420" w:type="dxa"/>
          </w:tcPr>
          <w:p w14:paraId="6AB463EE" w14:textId="66E19CFA" w:rsidR="002D0CA2" w:rsidRPr="002D0CA2" w:rsidRDefault="002D0CA2" w:rsidP="002D0CA2">
            <w:pPr>
              <w:rPr>
                <w:rFonts w:eastAsia="TimesNewRoman"/>
                <w:sz w:val="20"/>
                <w:szCs w:val="20"/>
              </w:rPr>
            </w:pPr>
            <w:r w:rsidRPr="002D0CA2">
              <w:rPr>
                <w:rFonts w:eastAsia="TimesNewRoman"/>
                <w:sz w:val="20"/>
                <w:szCs w:val="20"/>
              </w:rPr>
              <w:lastRenderedPageBreak/>
              <w:t>Ertugliflozin 15</w:t>
            </w:r>
            <w:r w:rsidR="009802FE">
              <w:rPr>
                <w:rFonts w:eastAsia="TimesNewRoman"/>
                <w:sz w:val="20"/>
                <w:szCs w:val="20"/>
              </w:rPr>
              <w:t xml:space="preserve"> </w:t>
            </w:r>
            <w:r w:rsidR="006D7D02">
              <w:rPr>
                <w:rFonts w:eastAsia="TimesNewRoman"/>
                <w:sz w:val="20"/>
                <w:szCs w:val="20"/>
              </w:rPr>
              <w:t>mg</w:t>
            </w:r>
            <w:r w:rsidRPr="002D0CA2">
              <w:rPr>
                <w:rFonts w:eastAsia="TimesNewRoman"/>
                <w:sz w:val="20"/>
                <w:szCs w:val="20"/>
              </w:rPr>
              <w:t xml:space="preserve"> plus metformin provides non-inferior </w:t>
            </w:r>
            <w:r w:rsidR="003F2DE3">
              <w:t>Hb</w:t>
            </w:r>
            <w:r w:rsidR="00A04B32">
              <w:t>A1c</w:t>
            </w:r>
            <w:r w:rsidRPr="002D0CA2">
              <w:rPr>
                <w:rFonts w:eastAsia="TimesNewRoman"/>
                <w:sz w:val="20"/>
                <w:szCs w:val="20"/>
              </w:rPr>
              <w:t xml:space="preserve"> reduction compared to glimepiride plus metformin.</w:t>
            </w:r>
          </w:p>
          <w:p w14:paraId="256A84AB" w14:textId="185F51C5" w:rsidR="002D0CA2" w:rsidRPr="002D0CA2" w:rsidRDefault="002D0CA2" w:rsidP="002D0CA2">
            <w:pPr>
              <w:rPr>
                <w:rFonts w:eastAsia="TimesNewRoman"/>
                <w:sz w:val="20"/>
                <w:szCs w:val="20"/>
              </w:rPr>
            </w:pPr>
            <w:r w:rsidRPr="002D0CA2">
              <w:rPr>
                <w:sz w:val="20"/>
                <w:szCs w:val="20"/>
              </w:rPr>
              <w:t>Ertugliflozin 5</w:t>
            </w:r>
            <w:r w:rsidR="006D7D02">
              <w:rPr>
                <w:sz w:val="20"/>
                <w:szCs w:val="20"/>
              </w:rPr>
              <w:t xml:space="preserve"> mg</w:t>
            </w:r>
            <w:r w:rsidRPr="002D0CA2">
              <w:rPr>
                <w:sz w:val="20"/>
                <w:szCs w:val="20"/>
              </w:rPr>
              <w:t xml:space="preserve"> and 15</w:t>
            </w:r>
            <w:r w:rsidR="006D7D02">
              <w:rPr>
                <w:sz w:val="20"/>
                <w:szCs w:val="20"/>
              </w:rPr>
              <w:t xml:space="preserve"> mg</w:t>
            </w:r>
            <w:r w:rsidRPr="002D0CA2">
              <w:rPr>
                <w:sz w:val="20"/>
                <w:szCs w:val="20"/>
              </w:rPr>
              <w:t xml:space="preserve"> </w:t>
            </w:r>
            <w:r w:rsidR="001F3F23">
              <w:rPr>
                <w:sz w:val="20"/>
                <w:szCs w:val="20"/>
              </w:rPr>
              <w:t xml:space="preserve">once daily </w:t>
            </w:r>
            <w:r w:rsidRPr="002D0CA2">
              <w:rPr>
                <w:sz w:val="20"/>
                <w:szCs w:val="20"/>
              </w:rPr>
              <w:t>was associated with greater reduction in FPG, body weight and SBP compared with glimepiride.</w:t>
            </w:r>
          </w:p>
          <w:p w14:paraId="02705A7C" w14:textId="77777777" w:rsidR="002D0CA2" w:rsidRPr="002D0CA2" w:rsidRDefault="002D0CA2" w:rsidP="002D0CA2">
            <w:pPr>
              <w:rPr>
                <w:rFonts w:eastAsia="TimesNewRoman"/>
                <w:sz w:val="20"/>
                <w:szCs w:val="20"/>
              </w:rPr>
            </w:pPr>
            <w:r w:rsidRPr="002D0CA2">
              <w:rPr>
                <w:rFonts w:eastAsia="TimesNewRoman"/>
                <w:sz w:val="20"/>
                <w:szCs w:val="20"/>
              </w:rPr>
              <w:t xml:space="preserve">Significantly lower incidence of hypoglycaemia with ertugliflozin compared with glimepiride. </w:t>
            </w:r>
          </w:p>
        </w:tc>
        <w:tc>
          <w:tcPr>
            <w:tcW w:w="4192" w:type="dxa"/>
          </w:tcPr>
          <w:p w14:paraId="2B4BE9AA" w14:textId="204383F6" w:rsidR="002D0CA2" w:rsidRPr="00C65C63" w:rsidRDefault="002D0CA2" w:rsidP="002D0CA2">
            <w:pPr>
              <w:rPr>
                <w:sz w:val="20"/>
                <w:szCs w:val="20"/>
              </w:rPr>
            </w:pPr>
            <w:r w:rsidRPr="00C65C63">
              <w:rPr>
                <w:sz w:val="20"/>
                <w:szCs w:val="20"/>
              </w:rPr>
              <w:t>Non-inferiority of ertugliflozin 5</w:t>
            </w:r>
            <w:r w:rsidR="006D7D02">
              <w:rPr>
                <w:sz w:val="20"/>
                <w:szCs w:val="20"/>
              </w:rPr>
              <w:t xml:space="preserve"> mg</w:t>
            </w:r>
            <w:r w:rsidRPr="00C65C63">
              <w:rPr>
                <w:sz w:val="20"/>
                <w:szCs w:val="20"/>
              </w:rPr>
              <w:t xml:space="preserve"> and glimepiride was not established. Although these differences were not tested formally since prior hypothesis in the ordered sequence were not met.</w:t>
            </w:r>
          </w:p>
        </w:tc>
      </w:tr>
      <w:tr w:rsidR="002D0CA2" w:rsidRPr="002D0CA2" w14:paraId="19FB7282" w14:textId="77777777" w:rsidTr="0091712B">
        <w:tc>
          <w:tcPr>
            <w:tcW w:w="4420" w:type="dxa"/>
          </w:tcPr>
          <w:p w14:paraId="088833B1" w14:textId="77777777" w:rsidR="002D0CA2" w:rsidRPr="002D0CA2" w:rsidRDefault="002D0CA2" w:rsidP="002D0CA2">
            <w:pPr>
              <w:rPr>
                <w:sz w:val="20"/>
                <w:szCs w:val="20"/>
              </w:rPr>
            </w:pPr>
            <w:r w:rsidRPr="002D0CA2">
              <w:rPr>
                <w:rFonts w:eastAsia="TimesNewRoman,Bold"/>
                <w:sz w:val="20"/>
                <w:szCs w:val="20"/>
              </w:rPr>
              <w:t>Simple once daily oral dosing.</w:t>
            </w:r>
          </w:p>
        </w:tc>
        <w:tc>
          <w:tcPr>
            <w:tcW w:w="4192" w:type="dxa"/>
          </w:tcPr>
          <w:p w14:paraId="6C33CAE4" w14:textId="77777777" w:rsidR="002D0CA2" w:rsidRPr="002D0CA2" w:rsidRDefault="002D0CA2" w:rsidP="002D0CA2">
            <w:pPr>
              <w:rPr>
                <w:sz w:val="20"/>
                <w:szCs w:val="20"/>
              </w:rPr>
            </w:pPr>
          </w:p>
        </w:tc>
      </w:tr>
      <w:tr w:rsidR="002D0CA2" w:rsidRPr="002D0CA2" w14:paraId="5A9CBEDE" w14:textId="77777777" w:rsidTr="0091712B">
        <w:tc>
          <w:tcPr>
            <w:tcW w:w="4420" w:type="dxa"/>
          </w:tcPr>
          <w:p w14:paraId="5E64AB6F" w14:textId="592A4237" w:rsidR="002D0CA2" w:rsidRPr="002D0CA2" w:rsidRDefault="002D0CA2" w:rsidP="002D0CA2">
            <w:pPr>
              <w:rPr>
                <w:rFonts w:eastAsia="TimesNewRoman,Bold"/>
                <w:sz w:val="20"/>
                <w:szCs w:val="20"/>
              </w:rPr>
            </w:pPr>
            <w:r w:rsidRPr="002D0CA2">
              <w:rPr>
                <w:rFonts w:eastAsia="TimesNewRoman,Bold"/>
                <w:sz w:val="20"/>
                <w:szCs w:val="20"/>
              </w:rPr>
              <w:t>Insulin independent mechanism of action</w:t>
            </w:r>
            <w:r w:rsidR="00815048">
              <w:rPr>
                <w:rFonts w:eastAsia="TimesNewRoman,Bold"/>
                <w:sz w:val="20"/>
                <w:szCs w:val="20"/>
              </w:rPr>
              <w:t>.</w:t>
            </w:r>
          </w:p>
        </w:tc>
        <w:tc>
          <w:tcPr>
            <w:tcW w:w="4192" w:type="dxa"/>
          </w:tcPr>
          <w:p w14:paraId="5711A2BB" w14:textId="77777777" w:rsidR="002D0CA2" w:rsidRPr="002D0CA2" w:rsidRDefault="002D0CA2" w:rsidP="002D0CA2">
            <w:pPr>
              <w:rPr>
                <w:sz w:val="20"/>
                <w:szCs w:val="20"/>
              </w:rPr>
            </w:pPr>
            <w:r w:rsidRPr="002D0CA2">
              <w:rPr>
                <w:sz w:val="20"/>
                <w:szCs w:val="20"/>
              </w:rPr>
              <w:t>Efficacy of ertugliflozin is dependent on renal function.</w:t>
            </w:r>
          </w:p>
        </w:tc>
      </w:tr>
      <w:tr w:rsidR="002D0CA2" w:rsidRPr="002D0CA2" w14:paraId="52D6DA41" w14:textId="77777777" w:rsidTr="0091712B">
        <w:tc>
          <w:tcPr>
            <w:tcW w:w="4420" w:type="dxa"/>
          </w:tcPr>
          <w:p w14:paraId="4A5329CF" w14:textId="03170A32" w:rsidR="002D0CA2" w:rsidRPr="002D0CA2" w:rsidRDefault="002D0CA2">
            <w:pPr>
              <w:rPr>
                <w:rFonts w:eastAsia="TimesNewRoman,Bold"/>
                <w:sz w:val="20"/>
                <w:szCs w:val="20"/>
              </w:rPr>
            </w:pPr>
            <w:r w:rsidRPr="002D0CA2">
              <w:rPr>
                <w:rFonts w:eastAsia="TimesNewRoman,Bold"/>
                <w:sz w:val="20"/>
                <w:szCs w:val="20"/>
              </w:rPr>
              <w:t>Overall, ertugliflozin 5</w:t>
            </w:r>
            <w:r w:rsidR="006D7D02">
              <w:rPr>
                <w:rFonts w:eastAsia="TimesNewRoman,Bold"/>
                <w:sz w:val="20"/>
                <w:szCs w:val="20"/>
              </w:rPr>
              <w:t xml:space="preserve"> mg</w:t>
            </w:r>
            <w:r w:rsidRPr="002D0CA2">
              <w:rPr>
                <w:rFonts w:eastAsia="TimesNewRoman,Bold"/>
                <w:sz w:val="20"/>
                <w:szCs w:val="20"/>
              </w:rPr>
              <w:t xml:space="preserve"> and 15</w:t>
            </w:r>
            <w:r w:rsidR="006D7D02">
              <w:rPr>
                <w:rFonts w:eastAsia="TimesNewRoman,Bold"/>
                <w:sz w:val="20"/>
                <w:szCs w:val="20"/>
              </w:rPr>
              <w:t xml:space="preserve"> mg</w:t>
            </w:r>
            <w:r w:rsidRPr="002D0CA2">
              <w:rPr>
                <w:rFonts w:eastAsia="TimesNewRoman,Bold"/>
                <w:sz w:val="20"/>
                <w:szCs w:val="20"/>
              </w:rPr>
              <w:t xml:space="preserve"> </w:t>
            </w:r>
            <w:r w:rsidR="00815048">
              <w:rPr>
                <w:rFonts w:eastAsia="TimesNewRoman,Bold"/>
                <w:sz w:val="20"/>
                <w:szCs w:val="20"/>
              </w:rPr>
              <w:t>QD</w:t>
            </w:r>
            <w:r w:rsidR="00815048" w:rsidRPr="002D0CA2">
              <w:rPr>
                <w:rFonts w:eastAsia="TimesNewRoman,Bold"/>
                <w:sz w:val="20"/>
                <w:szCs w:val="20"/>
              </w:rPr>
              <w:t xml:space="preserve"> </w:t>
            </w:r>
            <w:r w:rsidRPr="002D0CA2">
              <w:rPr>
                <w:rFonts w:eastAsia="TimesNewRoman,Bold"/>
                <w:sz w:val="20"/>
                <w:szCs w:val="20"/>
              </w:rPr>
              <w:t xml:space="preserve">was safe and well tolerated </w:t>
            </w:r>
          </w:p>
        </w:tc>
        <w:tc>
          <w:tcPr>
            <w:tcW w:w="4192" w:type="dxa"/>
          </w:tcPr>
          <w:p w14:paraId="7377B7E6" w14:textId="25EEDFEE" w:rsidR="002D0CA2" w:rsidRPr="002D0CA2" w:rsidRDefault="002D0CA2" w:rsidP="002D0CA2">
            <w:pPr>
              <w:rPr>
                <w:sz w:val="20"/>
                <w:szCs w:val="20"/>
              </w:rPr>
            </w:pPr>
            <w:r w:rsidRPr="002D0CA2">
              <w:rPr>
                <w:sz w:val="20"/>
                <w:szCs w:val="20"/>
              </w:rPr>
              <w:t>Dose</w:t>
            </w:r>
            <w:r>
              <w:rPr>
                <w:sz w:val="20"/>
                <w:szCs w:val="20"/>
              </w:rPr>
              <w:t xml:space="preserve"> </w:t>
            </w:r>
            <w:r w:rsidRPr="002D0CA2">
              <w:rPr>
                <w:sz w:val="20"/>
                <w:szCs w:val="20"/>
              </w:rPr>
              <w:t>dependent increase in incidence of genital mycotic infections and elevated LDL-C.</w:t>
            </w:r>
          </w:p>
        </w:tc>
      </w:tr>
    </w:tbl>
    <w:p w14:paraId="177FD871" w14:textId="77777777" w:rsidR="004C4E10" w:rsidRDefault="004C4E10" w:rsidP="00524E43">
      <w:pPr>
        <w:pStyle w:val="Heading5"/>
      </w:pPr>
      <w:r>
        <w:t>Second round assessment of risks</w:t>
      </w:r>
    </w:p>
    <w:p w14:paraId="1E9F1EF3" w14:textId="77777777" w:rsidR="004C4E10" w:rsidRDefault="004C4E10" w:rsidP="004C4E10">
      <w:r>
        <w:t>After consideration of the responses to clinical questions, the risks of ertugliflozin in the proposed usage are</w:t>
      </w:r>
      <w:r w:rsidR="006E5867">
        <w:t xml:space="preserve"> as follows</w:t>
      </w:r>
      <w:r>
        <w:t>:</w:t>
      </w:r>
    </w:p>
    <w:p w14:paraId="59731715" w14:textId="77777777" w:rsidR="006E5867" w:rsidRDefault="006E5867" w:rsidP="006E5867">
      <w:pPr>
        <w:pStyle w:val="TableTitle"/>
      </w:pPr>
      <w:r>
        <w:t xml:space="preserve">Table </w:t>
      </w:r>
      <w:r w:rsidR="00E55ACA">
        <w:t>21</w:t>
      </w:r>
      <w:r>
        <w:t>: Second round assessment of benefits</w:t>
      </w:r>
    </w:p>
    <w:tbl>
      <w:tblPr>
        <w:tblStyle w:val="TableGrid"/>
        <w:tblW w:w="0" w:type="auto"/>
        <w:tblInd w:w="108" w:type="dxa"/>
        <w:tblLook w:val="04A0" w:firstRow="1" w:lastRow="0" w:firstColumn="1" w:lastColumn="0" w:noHBand="0" w:noVBand="1"/>
      </w:tblPr>
      <w:tblGrid>
        <w:gridCol w:w="4289"/>
        <w:gridCol w:w="4323"/>
      </w:tblGrid>
      <w:tr w:rsidR="006E5867" w:rsidRPr="006E5867" w14:paraId="6756EAAE" w14:textId="77777777" w:rsidTr="006E5867">
        <w:trPr>
          <w:cantSplit/>
          <w:tblHeader/>
        </w:trPr>
        <w:tc>
          <w:tcPr>
            <w:tcW w:w="4395" w:type="dxa"/>
            <w:shd w:val="clear" w:color="auto" w:fill="006DA7" w:themeFill="accent3"/>
          </w:tcPr>
          <w:p w14:paraId="2F49736C" w14:textId="77777777" w:rsidR="006E5867" w:rsidRPr="006E5867" w:rsidRDefault="006E5867" w:rsidP="006E5867">
            <w:pPr>
              <w:rPr>
                <w:b/>
                <w:color w:val="FFFFFF" w:themeColor="background1"/>
                <w:sz w:val="20"/>
                <w:szCs w:val="20"/>
              </w:rPr>
            </w:pPr>
            <w:r w:rsidRPr="006E5867">
              <w:rPr>
                <w:b/>
                <w:color w:val="FFFFFF" w:themeColor="background1"/>
                <w:sz w:val="20"/>
                <w:szCs w:val="20"/>
              </w:rPr>
              <w:t>Risks</w:t>
            </w:r>
          </w:p>
        </w:tc>
        <w:tc>
          <w:tcPr>
            <w:tcW w:w="4394" w:type="dxa"/>
            <w:shd w:val="clear" w:color="auto" w:fill="006DA7" w:themeFill="accent3"/>
          </w:tcPr>
          <w:p w14:paraId="2FDDB434" w14:textId="77777777" w:rsidR="006E5867" w:rsidRPr="006E5867" w:rsidRDefault="006E5867" w:rsidP="006E5867">
            <w:pPr>
              <w:rPr>
                <w:b/>
                <w:color w:val="FFFFFF" w:themeColor="background1"/>
                <w:sz w:val="20"/>
                <w:szCs w:val="20"/>
              </w:rPr>
            </w:pPr>
            <w:r w:rsidRPr="006E5867">
              <w:rPr>
                <w:b/>
                <w:color w:val="FFFFFF" w:themeColor="background1"/>
                <w:sz w:val="20"/>
                <w:szCs w:val="20"/>
              </w:rPr>
              <w:t>Strengths and Uncertainties</w:t>
            </w:r>
          </w:p>
        </w:tc>
      </w:tr>
      <w:tr w:rsidR="006E5867" w:rsidRPr="00D71688" w14:paraId="2549DDF2" w14:textId="77777777" w:rsidTr="00E8309C">
        <w:tc>
          <w:tcPr>
            <w:tcW w:w="4395" w:type="dxa"/>
          </w:tcPr>
          <w:p w14:paraId="0C761378" w14:textId="5811770B" w:rsidR="006E5867" w:rsidRPr="006E5867" w:rsidRDefault="006E5867" w:rsidP="006E5867">
            <w:pPr>
              <w:rPr>
                <w:sz w:val="20"/>
                <w:szCs w:val="20"/>
              </w:rPr>
            </w:pPr>
            <w:r w:rsidRPr="006E5867">
              <w:rPr>
                <w:sz w:val="20"/>
                <w:szCs w:val="20"/>
              </w:rPr>
              <w:t>Incidence of deaths was low, but numerically higher in ertugliflozin groups.</w:t>
            </w:r>
          </w:p>
        </w:tc>
        <w:tc>
          <w:tcPr>
            <w:tcW w:w="4394" w:type="dxa"/>
          </w:tcPr>
          <w:p w14:paraId="28D5988B" w14:textId="32615EBD" w:rsidR="006E5867" w:rsidRPr="006E5867" w:rsidRDefault="006E5867" w:rsidP="006E5867">
            <w:pPr>
              <w:rPr>
                <w:sz w:val="20"/>
                <w:szCs w:val="20"/>
              </w:rPr>
            </w:pPr>
            <w:r w:rsidRPr="006E5867">
              <w:rPr>
                <w:sz w:val="20"/>
                <w:szCs w:val="20"/>
              </w:rPr>
              <w:t>Deaths occurred in 10 (0.6%), 8 (0.5%) and 3</w:t>
            </w:r>
            <w:r w:rsidR="00815048">
              <w:rPr>
                <w:sz w:val="20"/>
                <w:szCs w:val="20"/>
              </w:rPr>
              <w:t> </w:t>
            </w:r>
            <w:r w:rsidRPr="006E5867">
              <w:rPr>
                <w:sz w:val="20"/>
                <w:szCs w:val="20"/>
              </w:rPr>
              <w:t>(0.2%) of subjects in ertugliflozin 5</w:t>
            </w:r>
            <w:r w:rsidR="006D7D02">
              <w:rPr>
                <w:sz w:val="20"/>
                <w:szCs w:val="20"/>
              </w:rPr>
              <w:t xml:space="preserve"> mg</w:t>
            </w:r>
            <w:r w:rsidRPr="006E5867">
              <w:rPr>
                <w:sz w:val="20"/>
                <w:szCs w:val="20"/>
              </w:rPr>
              <w:t>, 15</w:t>
            </w:r>
            <w:r w:rsidR="006D7D02">
              <w:rPr>
                <w:sz w:val="20"/>
                <w:szCs w:val="20"/>
              </w:rPr>
              <w:t xml:space="preserve"> mg</w:t>
            </w:r>
            <w:r w:rsidRPr="006E5867">
              <w:rPr>
                <w:sz w:val="20"/>
                <w:szCs w:val="20"/>
              </w:rPr>
              <w:t xml:space="preserve"> and non-ertugliflozin groups, respectively; majority of fatal events were related to CV deaths.</w:t>
            </w:r>
          </w:p>
        </w:tc>
      </w:tr>
      <w:tr w:rsidR="006E5867" w:rsidRPr="009018F4" w14:paraId="3C10D492" w14:textId="77777777" w:rsidTr="00E8309C">
        <w:tc>
          <w:tcPr>
            <w:tcW w:w="4395" w:type="dxa"/>
          </w:tcPr>
          <w:p w14:paraId="1DD45167" w14:textId="03612AA6" w:rsidR="006E5867" w:rsidRPr="00C65C63" w:rsidRDefault="006E5867" w:rsidP="006E5867">
            <w:pPr>
              <w:rPr>
                <w:rFonts w:eastAsia="TimesNewRoman"/>
                <w:sz w:val="20"/>
                <w:szCs w:val="20"/>
              </w:rPr>
            </w:pPr>
            <w:r w:rsidRPr="00C65C63">
              <w:rPr>
                <w:rFonts w:eastAsia="TimesNewRoman"/>
                <w:color w:val="000000"/>
                <w:sz w:val="20"/>
                <w:szCs w:val="20"/>
              </w:rPr>
              <w:t>The CV safety data (from 7 Phase III studies in nearly 5,000 subjects) included in the original submission and the 4 month SUR (provided in the sponsor’s response to the TGA’s request for further information) were based on preferred terms from investigator AE reporting and do not reflect the results of adjudi</w:t>
            </w:r>
            <w:r w:rsidR="004A4114">
              <w:rPr>
                <w:rFonts w:eastAsia="TimesNewRoman"/>
                <w:color w:val="000000"/>
                <w:sz w:val="20"/>
                <w:szCs w:val="20"/>
              </w:rPr>
              <w:t>cation which remain firewalled.</w:t>
            </w:r>
          </w:p>
        </w:tc>
        <w:tc>
          <w:tcPr>
            <w:tcW w:w="4394" w:type="dxa"/>
          </w:tcPr>
          <w:p w14:paraId="754390A4" w14:textId="5C7C52DF" w:rsidR="006E5867" w:rsidRPr="00C65C63" w:rsidRDefault="006E5867">
            <w:pPr>
              <w:rPr>
                <w:sz w:val="20"/>
                <w:szCs w:val="20"/>
              </w:rPr>
            </w:pPr>
            <w:r w:rsidRPr="00C65C63">
              <w:rPr>
                <w:rFonts w:eastAsia="TimesNewRoman"/>
                <w:color w:val="000000"/>
                <w:sz w:val="20"/>
                <w:szCs w:val="20"/>
              </w:rPr>
              <w:t xml:space="preserve">The sponsor also conducted a CVMA of adjudicated, confirmed CV events from the Phase </w:t>
            </w:r>
            <w:r w:rsidR="00815048">
              <w:rPr>
                <w:rFonts w:eastAsia="TimesNewRoman"/>
                <w:color w:val="000000"/>
                <w:sz w:val="20"/>
                <w:szCs w:val="20"/>
              </w:rPr>
              <w:t>II/III</w:t>
            </w:r>
            <w:r w:rsidRPr="00C65C63">
              <w:rPr>
                <w:rFonts w:eastAsia="TimesNewRoman"/>
                <w:color w:val="000000"/>
                <w:sz w:val="20"/>
                <w:szCs w:val="20"/>
              </w:rPr>
              <w:t xml:space="preserve"> studies in the submission and</w:t>
            </w:r>
            <w:r w:rsidRPr="00C65C63">
              <w:rPr>
                <w:rFonts w:eastAsia="TimesNewRoman"/>
                <w:sz w:val="20"/>
                <w:szCs w:val="20"/>
              </w:rPr>
              <w:t xml:space="preserve"> from the CV outcome study (P004/1021) which is ongoing and not included in the dossier. Access to the CVMA data including Study P004/1021 data and results is governed by a Data Access Plan and limited to a small firewalled team as was agreed with US FDA and discussed with the CHMP before submission to the E</w:t>
            </w:r>
            <w:r w:rsidR="00F11E99" w:rsidRPr="00C65C63">
              <w:rPr>
                <w:rFonts w:eastAsia="TimesNewRoman"/>
                <w:sz w:val="20"/>
                <w:szCs w:val="20"/>
              </w:rPr>
              <w:t>MA</w:t>
            </w:r>
            <w:r w:rsidRPr="00C65C63">
              <w:rPr>
                <w:rFonts w:eastAsia="TimesNewRoman"/>
                <w:sz w:val="20"/>
                <w:szCs w:val="20"/>
              </w:rPr>
              <w:t>.</w:t>
            </w:r>
          </w:p>
        </w:tc>
      </w:tr>
      <w:tr w:rsidR="006E5867" w:rsidRPr="00D71688" w14:paraId="34CA5559" w14:textId="77777777" w:rsidTr="00E8309C">
        <w:tc>
          <w:tcPr>
            <w:tcW w:w="4395" w:type="dxa"/>
          </w:tcPr>
          <w:p w14:paraId="6CB7BB94" w14:textId="460C83E8" w:rsidR="006E5867" w:rsidRPr="006E5867" w:rsidRDefault="006E5867">
            <w:pPr>
              <w:rPr>
                <w:rFonts w:eastAsia="TimesNewRoman"/>
                <w:sz w:val="20"/>
                <w:szCs w:val="20"/>
              </w:rPr>
            </w:pPr>
            <w:r w:rsidRPr="006E5867">
              <w:rPr>
                <w:rFonts w:eastAsia="TimesNewRoman"/>
                <w:sz w:val="20"/>
                <w:szCs w:val="20"/>
              </w:rPr>
              <w:t xml:space="preserve">Increased risk of lower limb amputations; of </w:t>
            </w:r>
            <w:r w:rsidRPr="006E5867">
              <w:rPr>
                <w:rFonts w:eastAsia="TimesNewRoman"/>
                <w:sz w:val="20"/>
                <w:szCs w:val="20"/>
              </w:rPr>
              <w:lastRenderedPageBreak/>
              <w:t xml:space="preserve">the 10 reported amputations in the Broad </w:t>
            </w:r>
            <w:r w:rsidR="00F11E99">
              <w:rPr>
                <w:rFonts w:eastAsia="TimesNewRoman"/>
                <w:sz w:val="20"/>
                <w:szCs w:val="20"/>
              </w:rPr>
              <w:t>P</w:t>
            </w:r>
            <w:r w:rsidRPr="006E5867">
              <w:rPr>
                <w:rFonts w:eastAsia="TimesNewRoman"/>
                <w:sz w:val="20"/>
                <w:szCs w:val="20"/>
              </w:rPr>
              <w:t>ool with highest incidence in the ertugliflozin 15</w:t>
            </w:r>
            <w:r w:rsidR="009802FE">
              <w:rPr>
                <w:rFonts w:eastAsia="TimesNewRoman"/>
                <w:sz w:val="20"/>
                <w:szCs w:val="20"/>
              </w:rPr>
              <w:t> </w:t>
            </w:r>
            <w:r w:rsidR="006D7D02">
              <w:rPr>
                <w:rFonts w:eastAsia="TimesNewRoman"/>
                <w:sz w:val="20"/>
                <w:szCs w:val="20"/>
              </w:rPr>
              <w:t>mg</w:t>
            </w:r>
            <w:r w:rsidRPr="006E5867">
              <w:rPr>
                <w:rFonts w:eastAsia="TimesNewRoman"/>
                <w:sz w:val="20"/>
                <w:szCs w:val="20"/>
              </w:rPr>
              <w:t xml:space="preserve"> group; 8 subjects in the ertugliflozin 15</w:t>
            </w:r>
            <w:r w:rsidR="009802FE">
              <w:rPr>
                <w:rFonts w:eastAsia="TimesNewRoman"/>
                <w:sz w:val="20"/>
                <w:szCs w:val="20"/>
              </w:rPr>
              <w:t> </w:t>
            </w:r>
            <w:r w:rsidR="006D7D02">
              <w:rPr>
                <w:rFonts w:eastAsia="TimesNewRoman"/>
                <w:sz w:val="20"/>
                <w:szCs w:val="20"/>
              </w:rPr>
              <w:t>mg</w:t>
            </w:r>
            <w:r w:rsidRPr="006E5867">
              <w:rPr>
                <w:rFonts w:eastAsia="TimesNewRoman"/>
                <w:sz w:val="20"/>
                <w:szCs w:val="20"/>
              </w:rPr>
              <w:t xml:space="preserve"> group and 1 subject each in the ertugliflozin and non</w:t>
            </w:r>
            <w:r w:rsidR="00F11E99">
              <w:rPr>
                <w:rFonts w:eastAsia="TimesNewRoman"/>
                <w:sz w:val="20"/>
                <w:szCs w:val="20"/>
              </w:rPr>
              <w:t xml:space="preserve"> </w:t>
            </w:r>
            <w:r w:rsidRPr="006E5867">
              <w:rPr>
                <w:rFonts w:eastAsia="TimesNewRoman"/>
                <w:sz w:val="20"/>
                <w:szCs w:val="20"/>
              </w:rPr>
              <w:t>ertugliflozin groups. This is especially important in light of current findings of increased risk of lower limb amputations associated with another SGLT2 inhibitor canagliflozin.</w:t>
            </w:r>
          </w:p>
        </w:tc>
        <w:tc>
          <w:tcPr>
            <w:tcW w:w="4394" w:type="dxa"/>
          </w:tcPr>
          <w:p w14:paraId="5FA41519" w14:textId="1BD0B2C8" w:rsidR="006E5867" w:rsidRPr="006E5867" w:rsidRDefault="006E5867" w:rsidP="00F11E99">
            <w:pPr>
              <w:rPr>
                <w:sz w:val="20"/>
                <w:szCs w:val="20"/>
              </w:rPr>
            </w:pPr>
            <w:r w:rsidRPr="006E5867">
              <w:rPr>
                <w:sz w:val="20"/>
                <w:szCs w:val="20"/>
              </w:rPr>
              <w:lastRenderedPageBreak/>
              <w:t xml:space="preserve">12 subjects with non-traumatic limb </w:t>
            </w:r>
            <w:r w:rsidRPr="006E5867">
              <w:rPr>
                <w:sz w:val="20"/>
                <w:szCs w:val="20"/>
              </w:rPr>
              <w:lastRenderedPageBreak/>
              <w:t xml:space="preserve">amputation and peripheral revascularisation reported in the Broad </w:t>
            </w:r>
            <w:r w:rsidR="00F11E99">
              <w:rPr>
                <w:sz w:val="20"/>
                <w:szCs w:val="20"/>
              </w:rPr>
              <w:t>P</w:t>
            </w:r>
            <w:r w:rsidRPr="006E5867">
              <w:rPr>
                <w:sz w:val="20"/>
                <w:szCs w:val="20"/>
              </w:rPr>
              <w:t>ool; all 12 subjects had baseline risk factors for amputation (</w:t>
            </w:r>
            <w:r w:rsidR="00F11E99">
              <w:rPr>
                <w:sz w:val="20"/>
                <w:szCs w:val="20"/>
              </w:rPr>
              <w:t>for example,</w:t>
            </w:r>
            <w:r w:rsidRPr="006E5867">
              <w:rPr>
                <w:sz w:val="20"/>
                <w:szCs w:val="20"/>
              </w:rPr>
              <w:t xml:space="preserve"> peripheral neuropathy, peripheral artery disease) or peripheral revascularisation (</w:t>
            </w:r>
            <w:r w:rsidR="00F11E99">
              <w:rPr>
                <w:sz w:val="20"/>
                <w:szCs w:val="20"/>
              </w:rPr>
              <w:t>for example,</w:t>
            </w:r>
            <w:r w:rsidRPr="006E5867">
              <w:rPr>
                <w:sz w:val="20"/>
                <w:szCs w:val="20"/>
              </w:rPr>
              <w:t xml:space="preserve"> hypertension and hyperlipidaemia).</w:t>
            </w:r>
          </w:p>
        </w:tc>
      </w:tr>
      <w:tr w:rsidR="006E5867" w:rsidRPr="001C2709" w14:paraId="5FFF676C" w14:textId="77777777" w:rsidTr="00E8309C">
        <w:tc>
          <w:tcPr>
            <w:tcW w:w="4395" w:type="dxa"/>
          </w:tcPr>
          <w:p w14:paraId="5138F512" w14:textId="77777777" w:rsidR="006E5867" w:rsidRPr="006E5867" w:rsidRDefault="006E5867" w:rsidP="00F11E99">
            <w:pPr>
              <w:rPr>
                <w:rFonts w:eastAsia="TimesNewRoman"/>
                <w:sz w:val="20"/>
                <w:szCs w:val="20"/>
              </w:rPr>
            </w:pPr>
            <w:r w:rsidRPr="006E5867">
              <w:rPr>
                <w:sz w:val="20"/>
                <w:szCs w:val="20"/>
              </w:rPr>
              <w:lastRenderedPageBreak/>
              <w:t>Reduction in eGFR observed following ertugliflozin treatment with greater reduction in patients with moderate renal impairment. Incidence of renal</w:t>
            </w:r>
            <w:r w:rsidR="00F11E99">
              <w:rPr>
                <w:sz w:val="20"/>
                <w:szCs w:val="20"/>
              </w:rPr>
              <w:t xml:space="preserve"> </w:t>
            </w:r>
            <w:r w:rsidRPr="006E5867">
              <w:rPr>
                <w:sz w:val="20"/>
                <w:szCs w:val="20"/>
              </w:rPr>
              <w:t>related AEs also higher.</w:t>
            </w:r>
          </w:p>
        </w:tc>
        <w:tc>
          <w:tcPr>
            <w:tcW w:w="4394" w:type="dxa"/>
          </w:tcPr>
          <w:p w14:paraId="111EA728" w14:textId="77777777" w:rsidR="006E5867" w:rsidRPr="006E5867" w:rsidRDefault="006E5867" w:rsidP="006E5867">
            <w:pPr>
              <w:rPr>
                <w:sz w:val="20"/>
                <w:szCs w:val="20"/>
              </w:rPr>
            </w:pPr>
          </w:p>
        </w:tc>
      </w:tr>
      <w:tr w:rsidR="006E5867" w:rsidRPr="001C2709" w14:paraId="41E928D3" w14:textId="77777777" w:rsidTr="00E8309C">
        <w:tc>
          <w:tcPr>
            <w:tcW w:w="4395" w:type="dxa"/>
          </w:tcPr>
          <w:p w14:paraId="642F756C" w14:textId="0B345BED" w:rsidR="006E5867" w:rsidRPr="006E5867" w:rsidRDefault="006E5867" w:rsidP="00F11E99">
            <w:pPr>
              <w:rPr>
                <w:rFonts w:eastAsia="TimesNewRoman"/>
                <w:sz w:val="20"/>
                <w:szCs w:val="20"/>
              </w:rPr>
            </w:pPr>
            <w:r w:rsidRPr="006E5867">
              <w:rPr>
                <w:rFonts w:eastAsia="TimesNewRoman"/>
                <w:sz w:val="20"/>
                <w:szCs w:val="20"/>
              </w:rPr>
              <w:t>The incidence of volume depletion events was numerically higher in both ertugliflozin groups relative to the non</w:t>
            </w:r>
            <w:r w:rsidR="00F11E99">
              <w:rPr>
                <w:rFonts w:eastAsia="TimesNewRoman"/>
                <w:sz w:val="20"/>
                <w:szCs w:val="20"/>
              </w:rPr>
              <w:t xml:space="preserve"> </w:t>
            </w:r>
            <w:r w:rsidRPr="006E5867">
              <w:rPr>
                <w:rFonts w:eastAsia="TimesNewRoman"/>
                <w:sz w:val="20"/>
                <w:szCs w:val="20"/>
              </w:rPr>
              <w:t xml:space="preserve">ertugliflozin group especially among subjects aged </w:t>
            </w:r>
            <w:r w:rsidR="00AD51CF">
              <w:rPr>
                <w:rFonts w:eastAsia="TimesNewRoman"/>
                <w:sz w:val="20"/>
                <w:szCs w:val="20"/>
              </w:rPr>
              <w:t xml:space="preserve">&gt; </w:t>
            </w:r>
            <w:r w:rsidRPr="006E5867">
              <w:rPr>
                <w:rFonts w:eastAsia="TimesNewRoman"/>
                <w:sz w:val="20"/>
                <w:szCs w:val="20"/>
              </w:rPr>
              <w:t>65 years, with renal impairment and those on diuretics.</w:t>
            </w:r>
          </w:p>
        </w:tc>
        <w:tc>
          <w:tcPr>
            <w:tcW w:w="4394" w:type="dxa"/>
          </w:tcPr>
          <w:p w14:paraId="0BB88C40" w14:textId="1D31E071" w:rsidR="006E5867" w:rsidRPr="006E5867" w:rsidRDefault="006E5867">
            <w:pPr>
              <w:rPr>
                <w:sz w:val="20"/>
                <w:szCs w:val="20"/>
              </w:rPr>
            </w:pPr>
            <w:r w:rsidRPr="006E5867">
              <w:rPr>
                <w:sz w:val="20"/>
                <w:szCs w:val="20"/>
              </w:rPr>
              <w:t xml:space="preserve">Incidence of volume depletion AEs in subgroup of subjects aged </w:t>
            </w:r>
            <w:r w:rsidR="00AD51CF">
              <w:rPr>
                <w:sz w:val="20"/>
                <w:szCs w:val="20"/>
              </w:rPr>
              <w:t xml:space="preserve">&gt; </w:t>
            </w:r>
            <w:r w:rsidRPr="006E5867">
              <w:rPr>
                <w:sz w:val="20"/>
                <w:szCs w:val="20"/>
              </w:rPr>
              <w:t>65 years was 2.2%, 2.6% and 1.1% in the ertugliflozin 5</w:t>
            </w:r>
            <w:r w:rsidR="009802FE">
              <w:rPr>
                <w:sz w:val="20"/>
                <w:szCs w:val="20"/>
              </w:rPr>
              <w:t xml:space="preserve"> </w:t>
            </w:r>
            <w:r w:rsidR="006D7D02">
              <w:rPr>
                <w:sz w:val="20"/>
                <w:szCs w:val="20"/>
              </w:rPr>
              <w:t>mg</w:t>
            </w:r>
            <w:r w:rsidRPr="006E5867">
              <w:rPr>
                <w:sz w:val="20"/>
                <w:szCs w:val="20"/>
              </w:rPr>
              <w:t>, 15</w:t>
            </w:r>
            <w:r w:rsidR="009802FE">
              <w:rPr>
                <w:sz w:val="20"/>
                <w:szCs w:val="20"/>
              </w:rPr>
              <w:t xml:space="preserve"> </w:t>
            </w:r>
            <w:r w:rsidR="006D7D02">
              <w:rPr>
                <w:sz w:val="20"/>
                <w:szCs w:val="20"/>
              </w:rPr>
              <w:t>mg</w:t>
            </w:r>
            <w:r w:rsidRPr="006E5867">
              <w:rPr>
                <w:sz w:val="20"/>
                <w:szCs w:val="20"/>
              </w:rPr>
              <w:t xml:space="preserve"> and non</w:t>
            </w:r>
            <w:r w:rsidR="00F11E99">
              <w:rPr>
                <w:sz w:val="20"/>
                <w:szCs w:val="20"/>
              </w:rPr>
              <w:t xml:space="preserve"> </w:t>
            </w:r>
            <w:r w:rsidRPr="006E5867">
              <w:rPr>
                <w:sz w:val="20"/>
                <w:szCs w:val="20"/>
              </w:rPr>
              <w:t>ertugliflozin groups, respectively.</w:t>
            </w:r>
          </w:p>
        </w:tc>
      </w:tr>
      <w:tr w:rsidR="006E5867" w:rsidRPr="00B8394D" w14:paraId="45A312E9" w14:textId="77777777" w:rsidTr="00E8309C">
        <w:tc>
          <w:tcPr>
            <w:tcW w:w="4395" w:type="dxa"/>
          </w:tcPr>
          <w:p w14:paraId="28CFFB9F" w14:textId="77777777" w:rsidR="006E5867" w:rsidRPr="006E5867" w:rsidRDefault="006E5867" w:rsidP="00F11E99">
            <w:pPr>
              <w:rPr>
                <w:i/>
                <w:sz w:val="20"/>
                <w:szCs w:val="20"/>
              </w:rPr>
            </w:pPr>
            <w:r w:rsidRPr="006E5867">
              <w:rPr>
                <w:rFonts w:eastAsia="TimesNewRoman"/>
                <w:sz w:val="20"/>
                <w:szCs w:val="20"/>
              </w:rPr>
              <w:t>The incidence of genital mycotic infections was higher in the ertugliflozin groups than in the non</w:t>
            </w:r>
            <w:r w:rsidR="00F11E99">
              <w:rPr>
                <w:rFonts w:eastAsia="TimesNewRoman"/>
                <w:sz w:val="20"/>
                <w:szCs w:val="20"/>
              </w:rPr>
              <w:t xml:space="preserve"> </w:t>
            </w:r>
            <w:r w:rsidRPr="006E5867">
              <w:rPr>
                <w:rFonts w:eastAsia="TimesNewRoman"/>
                <w:sz w:val="20"/>
                <w:szCs w:val="20"/>
              </w:rPr>
              <w:t>ertugliflozin groups in both men and women. In female subjects, there was a modest dose</w:t>
            </w:r>
            <w:r w:rsidR="00F11E99">
              <w:rPr>
                <w:rFonts w:eastAsia="TimesNewRoman"/>
                <w:sz w:val="20"/>
                <w:szCs w:val="20"/>
              </w:rPr>
              <w:t xml:space="preserve"> </w:t>
            </w:r>
            <w:r w:rsidRPr="006E5867">
              <w:rPr>
                <w:rFonts w:eastAsia="TimesNewRoman"/>
                <w:sz w:val="20"/>
                <w:szCs w:val="20"/>
              </w:rPr>
              <w:t>relationship.</w:t>
            </w:r>
          </w:p>
        </w:tc>
        <w:tc>
          <w:tcPr>
            <w:tcW w:w="4394" w:type="dxa"/>
          </w:tcPr>
          <w:p w14:paraId="4DF4DBDA" w14:textId="1D7C0BAC" w:rsidR="006E5867" w:rsidRPr="006E5867" w:rsidRDefault="006E5867" w:rsidP="006E5867">
            <w:pPr>
              <w:rPr>
                <w:sz w:val="20"/>
                <w:szCs w:val="20"/>
              </w:rPr>
            </w:pPr>
            <w:r w:rsidRPr="006E5867">
              <w:rPr>
                <w:sz w:val="20"/>
                <w:szCs w:val="20"/>
              </w:rPr>
              <w:t>Incidence of complicated infections was low (&lt;</w:t>
            </w:r>
            <w:r w:rsidR="00815048">
              <w:rPr>
                <w:sz w:val="20"/>
                <w:szCs w:val="20"/>
              </w:rPr>
              <w:t> </w:t>
            </w:r>
            <w:r w:rsidRPr="006E5867">
              <w:rPr>
                <w:sz w:val="20"/>
                <w:szCs w:val="20"/>
              </w:rPr>
              <w:t>1%) but still higher in the ertugliflozin groups.</w:t>
            </w:r>
          </w:p>
        </w:tc>
      </w:tr>
      <w:tr w:rsidR="006E5867" w:rsidRPr="006266B1" w14:paraId="57F5F4BC" w14:textId="77777777" w:rsidTr="00E8309C">
        <w:tc>
          <w:tcPr>
            <w:tcW w:w="4395" w:type="dxa"/>
          </w:tcPr>
          <w:p w14:paraId="1C1950E2" w14:textId="77777777" w:rsidR="006E5867" w:rsidRPr="006E5867" w:rsidRDefault="006E5867" w:rsidP="006E5867">
            <w:pPr>
              <w:rPr>
                <w:sz w:val="20"/>
                <w:szCs w:val="20"/>
              </w:rPr>
            </w:pPr>
            <w:r w:rsidRPr="006E5867">
              <w:rPr>
                <w:sz w:val="20"/>
                <w:szCs w:val="20"/>
              </w:rPr>
              <w:t>Lack of evaluation of efficacy/ safety of ertugliflozin in combination with insulin, SUs and GLP-1 analogues.</w:t>
            </w:r>
          </w:p>
        </w:tc>
        <w:tc>
          <w:tcPr>
            <w:tcW w:w="4394" w:type="dxa"/>
          </w:tcPr>
          <w:p w14:paraId="1240B895" w14:textId="77777777" w:rsidR="006E5867" w:rsidRPr="006E5867" w:rsidRDefault="006E5867" w:rsidP="006E5867">
            <w:pPr>
              <w:rPr>
                <w:sz w:val="20"/>
                <w:szCs w:val="20"/>
              </w:rPr>
            </w:pPr>
          </w:p>
        </w:tc>
      </w:tr>
      <w:tr w:rsidR="006E5867" w:rsidRPr="009018F4" w14:paraId="577D0ACE" w14:textId="77777777" w:rsidTr="00E8309C">
        <w:tc>
          <w:tcPr>
            <w:tcW w:w="4395" w:type="dxa"/>
          </w:tcPr>
          <w:p w14:paraId="11BAAA84" w14:textId="4735F8F9" w:rsidR="006E5867" w:rsidRPr="006E5867" w:rsidRDefault="006E5867">
            <w:pPr>
              <w:rPr>
                <w:rFonts w:eastAsia="TimesNewRoman"/>
                <w:sz w:val="20"/>
                <w:szCs w:val="20"/>
              </w:rPr>
            </w:pPr>
            <w:r w:rsidRPr="006E5867">
              <w:rPr>
                <w:rFonts w:eastAsia="TimesNewRoman"/>
                <w:sz w:val="20"/>
                <w:szCs w:val="20"/>
              </w:rPr>
              <w:t xml:space="preserve">None of the Phase </w:t>
            </w:r>
            <w:r w:rsidR="00F11E99">
              <w:rPr>
                <w:rFonts w:eastAsia="TimesNewRoman"/>
                <w:sz w:val="20"/>
                <w:szCs w:val="20"/>
              </w:rPr>
              <w:t>II</w:t>
            </w:r>
            <w:r w:rsidRPr="006E5867">
              <w:rPr>
                <w:rFonts w:eastAsia="TimesNewRoman"/>
                <w:sz w:val="20"/>
                <w:szCs w:val="20"/>
              </w:rPr>
              <w:t xml:space="preserve"> dose ranging studies evaluated the proposed 15</w:t>
            </w:r>
            <w:r w:rsidR="009802FE">
              <w:rPr>
                <w:rFonts w:eastAsia="TimesNewRoman"/>
                <w:sz w:val="20"/>
                <w:szCs w:val="20"/>
              </w:rPr>
              <w:t xml:space="preserve"> </w:t>
            </w:r>
            <w:r w:rsidR="006D7D02">
              <w:rPr>
                <w:rFonts w:eastAsia="TimesNewRoman"/>
                <w:sz w:val="20"/>
                <w:szCs w:val="20"/>
              </w:rPr>
              <w:t>mg</w:t>
            </w:r>
            <w:r w:rsidRPr="006E5867">
              <w:rPr>
                <w:rFonts w:eastAsia="TimesNewRoman"/>
                <w:sz w:val="20"/>
                <w:szCs w:val="20"/>
              </w:rPr>
              <w:t xml:space="preserve"> dose of ertugliflozin.</w:t>
            </w:r>
          </w:p>
        </w:tc>
        <w:tc>
          <w:tcPr>
            <w:tcW w:w="4394" w:type="dxa"/>
          </w:tcPr>
          <w:p w14:paraId="412C31BE" w14:textId="3425FCD2" w:rsidR="006E5867" w:rsidRPr="006E5867" w:rsidRDefault="00F11E99">
            <w:pPr>
              <w:rPr>
                <w:sz w:val="20"/>
                <w:szCs w:val="20"/>
              </w:rPr>
            </w:pPr>
            <w:r>
              <w:rPr>
                <w:sz w:val="20"/>
                <w:szCs w:val="20"/>
              </w:rPr>
              <w:t>Data from the 2 Phase II</w:t>
            </w:r>
            <w:r w:rsidR="006E5867" w:rsidRPr="006E5867">
              <w:rPr>
                <w:sz w:val="20"/>
                <w:szCs w:val="20"/>
              </w:rPr>
              <w:t xml:space="preserve"> dose</w:t>
            </w:r>
            <w:r>
              <w:rPr>
                <w:sz w:val="20"/>
                <w:szCs w:val="20"/>
              </w:rPr>
              <w:t xml:space="preserve"> </w:t>
            </w:r>
            <w:r w:rsidR="006E5867" w:rsidRPr="006E5867">
              <w:rPr>
                <w:sz w:val="20"/>
                <w:szCs w:val="20"/>
              </w:rPr>
              <w:t>ranging studies was used for the model</w:t>
            </w:r>
            <w:r>
              <w:rPr>
                <w:sz w:val="20"/>
                <w:szCs w:val="20"/>
              </w:rPr>
              <w:t xml:space="preserve"> </w:t>
            </w:r>
            <w:r w:rsidR="006E5867" w:rsidRPr="006E5867">
              <w:rPr>
                <w:sz w:val="20"/>
                <w:szCs w:val="20"/>
              </w:rPr>
              <w:t>based analysis which suggested that a 15</w:t>
            </w:r>
            <w:r w:rsidR="009802FE">
              <w:rPr>
                <w:sz w:val="20"/>
                <w:szCs w:val="20"/>
              </w:rPr>
              <w:t xml:space="preserve"> </w:t>
            </w:r>
            <w:r w:rsidR="006D7D02">
              <w:rPr>
                <w:sz w:val="20"/>
                <w:szCs w:val="20"/>
              </w:rPr>
              <w:t>mg</w:t>
            </w:r>
            <w:r w:rsidR="006E5867" w:rsidRPr="006E5867">
              <w:rPr>
                <w:sz w:val="20"/>
                <w:szCs w:val="20"/>
              </w:rPr>
              <w:t xml:space="preserve"> dose would </w:t>
            </w:r>
            <w:r w:rsidR="006E5867" w:rsidRPr="006E5867">
              <w:rPr>
                <w:rFonts w:eastAsia="TimesNewRoman"/>
                <w:color w:val="000000"/>
                <w:sz w:val="20"/>
                <w:szCs w:val="20"/>
              </w:rPr>
              <w:t xml:space="preserve">provide additional </w:t>
            </w:r>
            <w:r w:rsidR="003F2DE3">
              <w:t>Hb</w:t>
            </w:r>
            <w:r w:rsidR="00A04B32">
              <w:t>A1c</w:t>
            </w:r>
            <w:r w:rsidR="006E5867" w:rsidRPr="006E5867">
              <w:rPr>
                <w:rFonts w:eastAsia="TimesNewRoman"/>
                <w:color w:val="000000"/>
                <w:sz w:val="20"/>
                <w:szCs w:val="20"/>
              </w:rPr>
              <w:t xml:space="preserve"> lowering relative to 5</w:t>
            </w:r>
            <w:r w:rsidR="009802FE">
              <w:rPr>
                <w:rFonts w:eastAsia="TimesNewRoman"/>
                <w:color w:val="000000"/>
                <w:sz w:val="20"/>
                <w:szCs w:val="20"/>
              </w:rPr>
              <w:t xml:space="preserve"> </w:t>
            </w:r>
            <w:r w:rsidR="006D7D02">
              <w:rPr>
                <w:rFonts w:eastAsia="TimesNewRoman"/>
                <w:color w:val="000000"/>
                <w:sz w:val="20"/>
                <w:szCs w:val="20"/>
              </w:rPr>
              <w:t>mg</w:t>
            </w:r>
            <w:r w:rsidR="006E5867" w:rsidRPr="006E5867">
              <w:rPr>
                <w:rFonts w:eastAsia="TimesNewRoman"/>
                <w:color w:val="000000"/>
                <w:sz w:val="20"/>
                <w:szCs w:val="20"/>
              </w:rPr>
              <w:t>, and that no further efficacy was to be expected from the 25</w:t>
            </w:r>
            <w:r w:rsidR="009802FE">
              <w:rPr>
                <w:rFonts w:eastAsia="TimesNewRoman"/>
                <w:color w:val="000000"/>
                <w:sz w:val="20"/>
                <w:szCs w:val="20"/>
              </w:rPr>
              <w:t xml:space="preserve"> </w:t>
            </w:r>
            <w:r w:rsidR="006D7D02">
              <w:rPr>
                <w:rFonts w:eastAsia="TimesNewRoman"/>
                <w:color w:val="000000"/>
                <w:sz w:val="20"/>
                <w:szCs w:val="20"/>
              </w:rPr>
              <w:t>mg</w:t>
            </w:r>
            <w:r w:rsidR="006E5867" w:rsidRPr="006E5867">
              <w:rPr>
                <w:rFonts w:eastAsia="TimesNewRoman"/>
                <w:color w:val="000000"/>
                <w:sz w:val="20"/>
                <w:szCs w:val="20"/>
              </w:rPr>
              <w:t xml:space="preserve"> dose</w:t>
            </w:r>
            <w:r w:rsidR="00815048">
              <w:rPr>
                <w:rFonts w:eastAsia="TimesNewRoman"/>
                <w:color w:val="000000"/>
                <w:sz w:val="20"/>
                <w:szCs w:val="20"/>
              </w:rPr>
              <w:t>.</w:t>
            </w:r>
          </w:p>
        </w:tc>
      </w:tr>
      <w:tr w:rsidR="006E5867" w:rsidRPr="00B8394D" w14:paraId="4CE679F0" w14:textId="77777777" w:rsidTr="00E8309C">
        <w:tc>
          <w:tcPr>
            <w:tcW w:w="4395" w:type="dxa"/>
          </w:tcPr>
          <w:p w14:paraId="7314774B" w14:textId="07291250" w:rsidR="006E5867" w:rsidRPr="006E5867" w:rsidRDefault="006E5867" w:rsidP="006E5867">
            <w:pPr>
              <w:rPr>
                <w:sz w:val="20"/>
                <w:szCs w:val="20"/>
              </w:rPr>
            </w:pPr>
            <w:r w:rsidRPr="006E5867">
              <w:rPr>
                <w:sz w:val="20"/>
                <w:szCs w:val="20"/>
              </w:rPr>
              <w:t>Lack of evidence to support long term maintenance of efficacy of ertugliflozin beyond 26 weeks with exception of one study (P002/1013) comparing ertugliflozin with glimepiride in patients with inadequate glycaemic control on metformin monotherapy which provided data up to 52 weeks</w:t>
            </w:r>
            <w:r w:rsidR="00815048">
              <w:rPr>
                <w:sz w:val="20"/>
                <w:szCs w:val="20"/>
              </w:rPr>
              <w:t>.</w:t>
            </w:r>
          </w:p>
        </w:tc>
        <w:tc>
          <w:tcPr>
            <w:tcW w:w="4394" w:type="dxa"/>
          </w:tcPr>
          <w:p w14:paraId="73317F1D" w14:textId="5A86E3F5" w:rsidR="006E5867" w:rsidRPr="006E5867" w:rsidRDefault="006E5867" w:rsidP="006E5867">
            <w:pPr>
              <w:rPr>
                <w:sz w:val="20"/>
                <w:szCs w:val="20"/>
              </w:rPr>
            </w:pPr>
            <w:r w:rsidRPr="006E5867">
              <w:rPr>
                <w:sz w:val="20"/>
                <w:szCs w:val="20"/>
              </w:rPr>
              <w:t>Phase B of most of the studies (except the initial combination therapy study (P017/1047)</w:t>
            </w:r>
            <w:r w:rsidR="00F11E99">
              <w:rPr>
                <w:sz w:val="20"/>
                <w:szCs w:val="20"/>
              </w:rPr>
              <w:t xml:space="preserve"> </w:t>
            </w:r>
            <w:r w:rsidRPr="006E5867">
              <w:rPr>
                <w:sz w:val="20"/>
                <w:szCs w:val="20"/>
              </w:rPr>
              <w:t>with ertugliflozin+sitalgliptin) should provide data on long term efficacy and these results should be made available for evaluation in order to confirm long term maintenance of efficacy in proposed indication.</w:t>
            </w:r>
          </w:p>
        </w:tc>
      </w:tr>
    </w:tbl>
    <w:p w14:paraId="40E0D683" w14:textId="77777777" w:rsidR="004C4E10" w:rsidRDefault="004C4E10" w:rsidP="00524E43">
      <w:pPr>
        <w:pStyle w:val="Heading5"/>
      </w:pPr>
      <w:r>
        <w:t>Second round assessment of benefit-risk balance</w:t>
      </w:r>
    </w:p>
    <w:p w14:paraId="0C922FC4" w14:textId="77777777" w:rsidR="004C4E10" w:rsidRDefault="004C4E10" w:rsidP="004C4E10">
      <w:r>
        <w:t>The benefit-risk balance of ertugliflozin (</w:t>
      </w:r>
      <w:r w:rsidR="00F11E99">
        <w:t>Steglatro</w:t>
      </w:r>
      <w:r>
        <w:t>), given the proposed usage is favourable.</w:t>
      </w:r>
    </w:p>
    <w:p w14:paraId="5F3F3350" w14:textId="77777777" w:rsidR="004C4E10" w:rsidRDefault="004C4E10" w:rsidP="004C4E10">
      <w:r>
        <w:t>All the clinical questions raised in the first round report have been addressed satisfactorily. Furthermore, all changes recommended by the evaluators to the draft PI in the first round report have been incorporated.</w:t>
      </w:r>
    </w:p>
    <w:p w14:paraId="16A07E59" w14:textId="77777777" w:rsidR="004C4E10" w:rsidRPr="002048D4" w:rsidRDefault="004C4E10" w:rsidP="00524E43">
      <w:pPr>
        <w:pStyle w:val="Heading5"/>
      </w:pPr>
      <w:r>
        <w:lastRenderedPageBreak/>
        <w:t>Second round recommendation regarding authorisation</w:t>
      </w:r>
    </w:p>
    <w:p w14:paraId="261BE098" w14:textId="77777777" w:rsidR="004C4E10" w:rsidRDefault="004C4E10" w:rsidP="004C4E10">
      <w:r>
        <w:t>Approval of ertugliflozin (</w:t>
      </w:r>
      <w:r w:rsidR="00F11E99">
        <w:t>Steglatro</w:t>
      </w:r>
      <w:r>
        <w:t>) is recommended for the following indication:</w:t>
      </w:r>
    </w:p>
    <w:p w14:paraId="1683ECE8" w14:textId="77777777" w:rsidR="004C4E10" w:rsidRPr="00F11E99" w:rsidRDefault="00F11E99" w:rsidP="00F11E99">
      <w:pPr>
        <w:ind w:left="360"/>
        <w:rPr>
          <w:i/>
        </w:rPr>
      </w:pPr>
      <w:r w:rsidRPr="00F11E99">
        <w:rPr>
          <w:i/>
        </w:rPr>
        <w:t xml:space="preserve">Steglatro </w:t>
      </w:r>
      <w:r w:rsidR="004C4E10" w:rsidRPr="00F11E99">
        <w:rPr>
          <w:i/>
        </w:rPr>
        <w:t>(ertugliflozin) is indicated as an adjunct to diet and exercise to improve glycaemic control in adults with type 2 diabetes mellitus as:</w:t>
      </w:r>
    </w:p>
    <w:p w14:paraId="5E2430E8" w14:textId="77777777" w:rsidR="004C4E10" w:rsidRPr="00F11E99" w:rsidRDefault="004C4E10" w:rsidP="00F11E99">
      <w:pPr>
        <w:pStyle w:val="ListBullet"/>
        <w:ind w:left="720"/>
        <w:rPr>
          <w:i/>
        </w:rPr>
      </w:pPr>
      <w:r w:rsidRPr="00F11E99">
        <w:rPr>
          <w:i/>
        </w:rPr>
        <w:t>Monotherapy when metformin is considered inappropriate due to intolerance</w:t>
      </w:r>
      <w:r w:rsidR="00F14099">
        <w:rPr>
          <w:i/>
        </w:rPr>
        <w:t xml:space="preserve"> or</w:t>
      </w:r>
    </w:p>
    <w:p w14:paraId="2D753010" w14:textId="77777777" w:rsidR="004C4E10" w:rsidRPr="00F11E99" w:rsidRDefault="00F14099" w:rsidP="00F11E99">
      <w:pPr>
        <w:pStyle w:val="ListBullet"/>
        <w:ind w:left="720"/>
        <w:rPr>
          <w:i/>
        </w:rPr>
      </w:pPr>
      <w:r>
        <w:rPr>
          <w:i/>
        </w:rPr>
        <w:t>I</w:t>
      </w:r>
      <w:r w:rsidR="004C4E10" w:rsidRPr="00F11E99">
        <w:rPr>
          <w:i/>
        </w:rPr>
        <w:t xml:space="preserve">n combination with other antihyperglycaemic drugs (see </w:t>
      </w:r>
      <w:r w:rsidR="00F11E99" w:rsidRPr="00F11E99">
        <w:rPr>
          <w:i/>
        </w:rPr>
        <w:t xml:space="preserve">Clinical Trials </w:t>
      </w:r>
      <w:r w:rsidR="004C4E10" w:rsidRPr="00F11E99">
        <w:rPr>
          <w:i/>
        </w:rPr>
        <w:t xml:space="preserve">and </w:t>
      </w:r>
      <w:r w:rsidR="00F11E99" w:rsidRPr="00F11E99">
        <w:rPr>
          <w:i/>
        </w:rPr>
        <w:t xml:space="preserve">Precautions </w:t>
      </w:r>
      <w:r w:rsidR="004C4E10" w:rsidRPr="00F11E99">
        <w:rPr>
          <w:i/>
        </w:rPr>
        <w:t>for available data on different</w:t>
      </w:r>
      <w:r w:rsidR="0068452D" w:rsidRPr="00F11E99">
        <w:rPr>
          <w:i/>
        </w:rPr>
        <w:t xml:space="preserve"> add-on combination therapies).</w:t>
      </w:r>
    </w:p>
    <w:p w14:paraId="03C1B25A" w14:textId="77777777" w:rsidR="004C4E10" w:rsidRPr="00C65C63" w:rsidRDefault="004C4E10" w:rsidP="004C4E10">
      <w:r w:rsidRPr="00C65C63">
        <w:t>Approval for the above indication is subject to the following:</w:t>
      </w:r>
    </w:p>
    <w:p w14:paraId="38E3E6AF" w14:textId="77777777" w:rsidR="004C4E10" w:rsidRPr="00C65C63" w:rsidRDefault="004C4E10" w:rsidP="0068452D">
      <w:pPr>
        <w:pStyle w:val="ListBullet"/>
      </w:pPr>
      <w:r w:rsidRPr="00C65C63">
        <w:t xml:space="preserve">Results from the ongoing Phase B of all 7 </w:t>
      </w:r>
      <w:r w:rsidR="00B51DF2" w:rsidRPr="00C65C63">
        <w:t>Phase III</w:t>
      </w:r>
      <w:r w:rsidRPr="00C65C63">
        <w:t xml:space="preserve"> studies should be submitted to enable assessment of long-term efficacy and safety of ertugliflozin.</w:t>
      </w:r>
    </w:p>
    <w:p w14:paraId="1A15A610" w14:textId="77777777" w:rsidR="004C4E10" w:rsidRPr="00C65C63" w:rsidRDefault="004C4E10" w:rsidP="0068452D">
      <w:pPr>
        <w:pStyle w:val="ListBullet"/>
      </w:pPr>
      <w:r w:rsidRPr="00C65C63">
        <w:t xml:space="preserve">Submission of results of the CVMA of adjudicated, confirmed CV events from the </w:t>
      </w:r>
      <w:r w:rsidR="00B51DF2" w:rsidRPr="00C65C63">
        <w:t>Phase II/III</w:t>
      </w:r>
      <w:r w:rsidRPr="00C65C63">
        <w:t xml:space="preserve"> studies and from the ongoing CV outcome study (P004/1021) upon completion.</w:t>
      </w:r>
    </w:p>
    <w:p w14:paraId="4B906929" w14:textId="77777777" w:rsidR="002048D4" w:rsidRDefault="002048D4" w:rsidP="0068452D">
      <w:pPr>
        <w:pStyle w:val="Heading3"/>
      </w:pPr>
      <w:bookmarkStart w:id="102" w:name="_Toc4405830"/>
      <w:bookmarkEnd w:id="96"/>
      <w:r>
        <w:t>Steglujan</w:t>
      </w:r>
      <w:bookmarkEnd w:id="102"/>
    </w:p>
    <w:p w14:paraId="7E1F3051" w14:textId="77777777" w:rsidR="009722A0" w:rsidRPr="000F0157" w:rsidRDefault="009722A0" w:rsidP="009722A0">
      <w:pPr>
        <w:pStyle w:val="Heading4"/>
      </w:pPr>
      <w:bookmarkStart w:id="103" w:name="_Toc504036090"/>
      <w:r w:rsidRPr="000F0157">
        <w:t>Clinical rationale</w:t>
      </w:r>
      <w:bookmarkEnd w:id="103"/>
    </w:p>
    <w:p w14:paraId="0D8D9F3F" w14:textId="03E40693" w:rsidR="00347FCC" w:rsidRPr="00347FCC" w:rsidRDefault="00347FCC" w:rsidP="001F3F23">
      <w:r w:rsidRPr="00347FCC">
        <w:t>For a summary of e</w:t>
      </w:r>
      <w:r w:rsidR="009722A0" w:rsidRPr="00347FCC">
        <w:t xml:space="preserve">rtugliflozin </w:t>
      </w:r>
      <w:r w:rsidRPr="00347FCC">
        <w:t>please see Clinical findings Steglatro and Product background above.</w:t>
      </w:r>
    </w:p>
    <w:p w14:paraId="0D22E51E" w14:textId="7D242553" w:rsidR="009722A0" w:rsidRPr="00805E6B" w:rsidRDefault="009722A0" w:rsidP="001F3F23">
      <w:pPr>
        <w:rPr>
          <w:lang w:eastAsia="ja-JP"/>
        </w:rPr>
      </w:pPr>
      <w:r w:rsidRPr="00347FCC">
        <w:t>Sitagliptin is an inhibitor of DPP-4, an enzyme that degrades the incretin hormones GLP-1 and glucose</w:t>
      </w:r>
      <w:r w:rsidR="00815048">
        <w:t xml:space="preserve"> </w:t>
      </w:r>
      <w:r w:rsidRPr="00347FCC">
        <w:t xml:space="preserve">dependent insulinotropic polypeptide (GIP). Concentrations of the active intact hormones are increased by sitagliptin, thereby increasing and prolonging the action of these hormones. Incretin hormones including GLP-1 and GIP are released by the intestine throughout the day, and levels are increased in response to a meal. These hormones are rapidly inactivated by DPP-4. The incretins are part of an endogenous system involved in the physiologic regulation of glucose homeostasis. When blood glucose concentrations are normal or elevated, GLP-1 and GIP increase insulin synthesis and release from pancreatic </w:t>
      </w:r>
      <w:r w:rsidR="00FF334A" w:rsidRPr="00347FCC">
        <w:t>beta</w:t>
      </w:r>
      <w:r w:rsidRPr="00347FCC">
        <w:t xml:space="preserve">-cells by intracellular signalling pathways involving cyclic adenosine monophosphate (cAMP). GLP-1 also lowers glucagon secretion from pancreatic </w:t>
      </w:r>
      <w:r w:rsidR="00FF334A" w:rsidRPr="00347FCC">
        <w:t>beta</w:t>
      </w:r>
      <w:r w:rsidRPr="00347FCC">
        <w:t>-cells, leading to reduced hepatic glucose production. By increasing and prolonging active incretin levels, sitagliptin increases insulin release and decreases glucagon levels in the circulation in a glucose</w:t>
      </w:r>
      <w:r w:rsidR="00FF334A" w:rsidRPr="00347FCC">
        <w:t xml:space="preserve"> </w:t>
      </w:r>
      <w:r w:rsidRPr="00347FCC">
        <w:t>dependent manner. Sitagliptin demonstrates selectivity for DPP-4 and does not inhibit DPP-8 or DPP-9 activity in vitro at concentrations approximating those from therapeutic doses.</w:t>
      </w:r>
    </w:p>
    <w:p w14:paraId="0EBC7057" w14:textId="77777777" w:rsidR="009722A0" w:rsidRDefault="009722A0" w:rsidP="001F3F23">
      <w:r w:rsidRPr="00CF52BB">
        <w:t>The ertugliflozin/sitagliptin FDC combines 2 AHAs with complementary mechanisms of</w:t>
      </w:r>
      <w:r>
        <w:t xml:space="preserve"> </w:t>
      </w:r>
      <w:r w:rsidRPr="00CF52BB">
        <w:t xml:space="preserve">action to improve </w:t>
      </w:r>
      <w:r>
        <w:t>glycaemic</w:t>
      </w:r>
      <w:r w:rsidRPr="00CF52BB">
        <w:t xml:space="preserve"> control in patients with T2DM. Because of the complementary</w:t>
      </w:r>
      <w:r>
        <w:t xml:space="preserve"> </w:t>
      </w:r>
      <w:r w:rsidRPr="00CF52BB">
        <w:t>mechanisms of actions of ertugliflozin and sitagliptin it is expected that the combination of</w:t>
      </w:r>
      <w:r>
        <w:t xml:space="preserve"> </w:t>
      </w:r>
      <w:r w:rsidRPr="00CF52BB">
        <w:t xml:space="preserve">ertugliflozin and sitagliptin will provide additional </w:t>
      </w:r>
      <w:r>
        <w:t>glycaemic</w:t>
      </w:r>
      <w:r w:rsidRPr="00CF52BB">
        <w:t xml:space="preserve"> improvement without increasing</w:t>
      </w:r>
      <w:r>
        <w:t xml:space="preserve"> </w:t>
      </w:r>
      <w:r w:rsidRPr="00CF52BB">
        <w:t>risk of hypoglycaemia, while maintaining the beneficial effects on body weight and SBP from</w:t>
      </w:r>
      <w:r>
        <w:t xml:space="preserve"> </w:t>
      </w:r>
      <w:r w:rsidRPr="00CF52BB">
        <w:t>SGLT2 inhibition.</w:t>
      </w:r>
    </w:p>
    <w:p w14:paraId="6E2E752C" w14:textId="77777777" w:rsidR="009722A0" w:rsidRPr="000F0157" w:rsidRDefault="009722A0" w:rsidP="009722A0">
      <w:pPr>
        <w:pStyle w:val="Heading4"/>
      </w:pPr>
      <w:bookmarkStart w:id="104" w:name="_Toc504036102"/>
      <w:r w:rsidRPr="000F0157">
        <w:t>Scope of the clinical dossier</w:t>
      </w:r>
      <w:bookmarkEnd w:id="104"/>
    </w:p>
    <w:p w14:paraId="07520256" w14:textId="77777777" w:rsidR="009722A0" w:rsidRPr="009722A0" w:rsidRDefault="009722A0" w:rsidP="009722A0">
      <w:pPr>
        <w:pStyle w:val="Heading5"/>
      </w:pPr>
      <w:r w:rsidRPr="009722A0">
        <w:t xml:space="preserve">Clinical </w:t>
      </w:r>
      <w:r w:rsidR="00FF334A">
        <w:t>p</w:t>
      </w:r>
      <w:r w:rsidRPr="009722A0">
        <w:t>harmacology</w:t>
      </w:r>
    </w:p>
    <w:p w14:paraId="70305F8D" w14:textId="77777777" w:rsidR="009722A0" w:rsidRDefault="009722A0" w:rsidP="009722A0">
      <w:pPr>
        <w:rPr>
          <w:lang w:eastAsia="ja-JP"/>
        </w:rPr>
      </w:pPr>
      <w:r>
        <w:rPr>
          <w:lang w:eastAsia="ja-JP"/>
        </w:rPr>
        <w:t xml:space="preserve">The current submission comprises five new </w:t>
      </w:r>
      <w:r w:rsidR="00B51DF2">
        <w:rPr>
          <w:lang w:eastAsia="ja-JP"/>
        </w:rPr>
        <w:t>Phase I</w:t>
      </w:r>
      <w:r>
        <w:rPr>
          <w:lang w:eastAsia="ja-JP"/>
        </w:rPr>
        <w:t xml:space="preserve"> PK studies, none of which include PD data. Four of the studies examine the BE between the various strengths of the FDC proposed for marketing and the corresponding free combination. In addition, a single study examined the effect of a high-fat/high-calorie breakfast on the PKs of the active </w:t>
      </w:r>
      <w:r>
        <w:rPr>
          <w:lang w:eastAsia="ja-JP"/>
        </w:rPr>
        <w:lastRenderedPageBreak/>
        <w:t>components of the FDC tablets. No new popPK or modelling studies were undertaken as part of the present submission.</w:t>
      </w:r>
    </w:p>
    <w:p w14:paraId="0ACE9AEA" w14:textId="77777777" w:rsidR="009722A0" w:rsidRDefault="009722A0" w:rsidP="009722A0">
      <w:pPr>
        <w:pStyle w:val="Heading5"/>
        <w:rPr>
          <w:rFonts w:eastAsiaTheme="minorHAnsi"/>
        </w:rPr>
      </w:pPr>
      <w:r w:rsidRPr="004F6501">
        <w:rPr>
          <w:rFonts w:eastAsiaTheme="minorHAnsi"/>
        </w:rPr>
        <w:t>Efficacy and safety</w:t>
      </w:r>
    </w:p>
    <w:p w14:paraId="3319ABB2" w14:textId="6EB8CF5F" w:rsidR="009722A0" w:rsidRDefault="009722A0" w:rsidP="001F3F23">
      <w:r w:rsidRPr="004F6501">
        <w:t xml:space="preserve">Three of the seven </w:t>
      </w:r>
      <w:r w:rsidR="00B51DF2">
        <w:t>Phase III</w:t>
      </w:r>
      <w:r w:rsidRPr="004F6501">
        <w:t xml:space="preserve"> studies (submitted for the ertugliflozin submission) were conducted in support of the ertugliflozin/sitagliptin</w:t>
      </w:r>
      <w:r>
        <w:t xml:space="preserve"> </w:t>
      </w:r>
      <w:r w:rsidRPr="004F6501">
        <w:t>submission</w:t>
      </w:r>
      <w:r w:rsidR="00FF334A">
        <w:t>;</w:t>
      </w:r>
      <w:r w:rsidRPr="004F6501">
        <w:t xml:space="preserve"> including 1 active</w:t>
      </w:r>
      <w:r w:rsidR="00FF334A">
        <w:t xml:space="preserve"> </w:t>
      </w:r>
      <w:r w:rsidRPr="004F6501">
        <w:t>controlled factorial study (Study P005/1019) and</w:t>
      </w:r>
      <w:r>
        <w:t xml:space="preserve"> </w:t>
      </w:r>
      <w:r w:rsidRPr="004F6501">
        <w:t>2 placebo</w:t>
      </w:r>
      <w:r w:rsidR="00FF334A">
        <w:t xml:space="preserve"> </w:t>
      </w:r>
      <w:r w:rsidRPr="004F6501">
        <w:t>controlled studies (Study</w:t>
      </w:r>
      <w:r w:rsidR="00815048">
        <w:t> </w:t>
      </w:r>
      <w:r w:rsidRPr="004F6501">
        <w:t>P006/1015 and Study P017/1047), that evaluated the</w:t>
      </w:r>
      <w:r>
        <w:t xml:space="preserve"> </w:t>
      </w:r>
      <w:r w:rsidRPr="004F6501">
        <w:t>safety and efficacy of ertugliflozin in combination with sitagliptin in adult subjects with</w:t>
      </w:r>
      <w:r>
        <w:t xml:space="preserve"> </w:t>
      </w:r>
      <w:r w:rsidRPr="004F6501">
        <w:t>T2DM.</w:t>
      </w:r>
    </w:p>
    <w:p w14:paraId="7ADC9757" w14:textId="42F850D8" w:rsidR="009722A0" w:rsidRDefault="009722A0" w:rsidP="001F3F23">
      <w:pPr>
        <w:rPr>
          <w:rFonts w:cs="ArialMT"/>
        </w:rPr>
      </w:pPr>
      <w:r>
        <w:t>D</w:t>
      </w:r>
      <w:r w:rsidRPr="004F6501">
        <w:t>ata from the 3 individual studies were not</w:t>
      </w:r>
      <w:r>
        <w:t xml:space="preserve"> </w:t>
      </w:r>
      <w:r w:rsidRPr="004F6501">
        <w:t>pooled for analysis</w:t>
      </w:r>
      <w:r>
        <w:rPr>
          <w:rFonts w:cs="ArialMT"/>
        </w:rPr>
        <w:t xml:space="preserve"> due to </w:t>
      </w:r>
      <w:r w:rsidRPr="004F6501">
        <w:t>differences in study designs</w:t>
      </w:r>
      <w:r w:rsidR="00815048">
        <w:rPr>
          <w:rFonts w:cs="ArialMT"/>
        </w:rPr>
        <w:t>.</w:t>
      </w:r>
    </w:p>
    <w:p w14:paraId="7BA6CFF9" w14:textId="77777777" w:rsidR="009722A0" w:rsidRPr="004F6501" w:rsidRDefault="009722A0" w:rsidP="001F3F23">
      <w:pPr>
        <w:rPr>
          <w:rFonts w:asciiTheme="minorHAnsi" w:hAnsiTheme="minorHAnsi" w:cs="Calibri"/>
        </w:rPr>
      </w:pPr>
      <w:r w:rsidRPr="004F6501">
        <w:rPr>
          <w:rFonts w:asciiTheme="minorHAnsi" w:eastAsiaTheme="minorHAnsi" w:hAnsiTheme="minorHAnsi"/>
        </w:rPr>
        <w:t xml:space="preserve">No </w:t>
      </w:r>
      <w:r w:rsidR="00B51DF2">
        <w:rPr>
          <w:rFonts w:asciiTheme="minorHAnsi" w:eastAsiaTheme="minorHAnsi" w:hAnsiTheme="minorHAnsi"/>
        </w:rPr>
        <w:t>Phase II</w:t>
      </w:r>
      <w:r w:rsidRPr="004F6501">
        <w:rPr>
          <w:rFonts w:asciiTheme="minorHAnsi" w:eastAsiaTheme="minorHAnsi" w:hAnsiTheme="minorHAnsi"/>
        </w:rPr>
        <w:t xml:space="preserve"> studies of ertugliflozin in combination with sitagliptin were</w:t>
      </w:r>
      <w:r>
        <w:rPr>
          <w:rFonts w:asciiTheme="minorHAnsi" w:eastAsiaTheme="minorHAnsi" w:hAnsiTheme="minorHAnsi"/>
        </w:rPr>
        <w:t xml:space="preserve"> </w:t>
      </w:r>
      <w:r w:rsidRPr="004F6501">
        <w:rPr>
          <w:rFonts w:asciiTheme="minorHAnsi" w:eastAsiaTheme="minorHAnsi" w:hAnsiTheme="minorHAnsi"/>
        </w:rPr>
        <w:t>conducted.</w:t>
      </w:r>
    </w:p>
    <w:p w14:paraId="49858EE6" w14:textId="4B424682" w:rsidR="009722A0" w:rsidRDefault="009722A0">
      <w:r w:rsidRPr="004F6501">
        <w:t xml:space="preserve">The </w:t>
      </w:r>
      <w:r>
        <w:t>three</w:t>
      </w:r>
      <w:r w:rsidRPr="004F6501">
        <w:t xml:space="preserve"> </w:t>
      </w:r>
      <w:r w:rsidR="00B51DF2">
        <w:t>Phase III</w:t>
      </w:r>
      <w:r w:rsidRPr="004F6501">
        <w:t xml:space="preserve"> studies supporting this FDC were conducted using ertugliflozin and sitagliptin</w:t>
      </w:r>
      <w:r>
        <w:t xml:space="preserve"> </w:t>
      </w:r>
      <w:r w:rsidRPr="004F6501">
        <w:t>administered as separate tablets, and bridging to the FDC formulation is therefore provided</w:t>
      </w:r>
      <w:r>
        <w:t xml:space="preserve"> </w:t>
      </w:r>
      <w:r w:rsidRPr="004F6501">
        <w:t>via BE studies comparing the FDC to co-administration of individual</w:t>
      </w:r>
      <w:r>
        <w:t xml:space="preserve"> </w:t>
      </w:r>
      <w:r w:rsidRPr="004F6501">
        <w:t xml:space="preserve">components. </w:t>
      </w:r>
      <w:r>
        <w:t xml:space="preserve">The only </w:t>
      </w:r>
      <w:r w:rsidR="00B51DF2">
        <w:t>Phase II</w:t>
      </w:r>
      <w:r>
        <w:t xml:space="preserve"> dose</w:t>
      </w:r>
      <w:r w:rsidR="00FF334A">
        <w:t xml:space="preserve"> </w:t>
      </w:r>
      <w:r>
        <w:t>response studies were those submitted in the ertugliflozin dossier (P016/1006 and P042/1004) which were discussed in the Steglatro evaluation report</w:t>
      </w:r>
      <w:r w:rsidR="00FF334A">
        <w:t xml:space="preserve"> (see above and Attachment 2)</w:t>
      </w:r>
      <w:r>
        <w:t>.</w:t>
      </w:r>
    </w:p>
    <w:p w14:paraId="23C7E8BF" w14:textId="77777777" w:rsidR="009722A0" w:rsidRPr="000F0157" w:rsidRDefault="009722A0" w:rsidP="009722A0">
      <w:pPr>
        <w:pStyle w:val="Heading4"/>
      </w:pPr>
      <w:bookmarkStart w:id="105" w:name="_Toc504036103"/>
      <w:r w:rsidRPr="000F0157">
        <w:t>Paediatric data</w:t>
      </w:r>
      <w:bookmarkEnd w:id="105"/>
    </w:p>
    <w:p w14:paraId="47389D09" w14:textId="77777777" w:rsidR="009722A0" w:rsidRDefault="009722A0" w:rsidP="001F3F23">
      <w:pPr>
        <w:rPr>
          <w:lang w:eastAsia="ja-JP"/>
        </w:rPr>
      </w:pPr>
      <w:r w:rsidRPr="008C2EA4">
        <w:rPr>
          <w:lang w:eastAsia="ja-JP"/>
        </w:rPr>
        <w:t>There is</w:t>
      </w:r>
      <w:r>
        <w:rPr>
          <w:lang w:eastAsia="ja-JP"/>
        </w:rPr>
        <w:t xml:space="preserve"> no</w:t>
      </w:r>
      <w:r w:rsidRPr="008C2EA4">
        <w:rPr>
          <w:lang w:eastAsia="ja-JP"/>
        </w:rPr>
        <w:t xml:space="preserve"> paediatric data in the current submission. </w:t>
      </w:r>
      <w:r w:rsidR="00FF334A">
        <w:rPr>
          <w:lang w:eastAsia="ja-JP"/>
        </w:rPr>
        <w:t>T</w:t>
      </w:r>
      <w:r w:rsidRPr="008C2EA4">
        <w:rPr>
          <w:lang w:eastAsia="ja-JP"/>
        </w:rPr>
        <w:t>he sponsors have</w:t>
      </w:r>
      <w:r>
        <w:rPr>
          <w:lang w:eastAsia="ja-JP"/>
        </w:rPr>
        <w:t xml:space="preserve"> </w:t>
      </w:r>
      <w:r w:rsidRPr="008C2EA4">
        <w:rPr>
          <w:lang w:eastAsia="ja-JP"/>
        </w:rPr>
        <w:t xml:space="preserve">submitted a PIP (Paediatric investigation plan) in the EU and the </w:t>
      </w:r>
      <w:r w:rsidRPr="008C2EA4">
        <w:rPr>
          <w:rFonts w:eastAsiaTheme="minorHAnsi" w:cs="ArialMT"/>
        </w:rPr>
        <w:t>date on which the sponsors are first required to submit a report of a study conducted as</w:t>
      </w:r>
      <w:r>
        <w:rPr>
          <w:rFonts w:eastAsiaTheme="minorHAnsi" w:cs="ArialMT"/>
        </w:rPr>
        <w:t xml:space="preserve"> </w:t>
      </w:r>
      <w:r w:rsidRPr="008C2EA4">
        <w:rPr>
          <w:rFonts w:eastAsiaTheme="minorHAnsi" w:cs="ArialMT"/>
        </w:rPr>
        <w:t>part of the PIP is Sept</w:t>
      </w:r>
      <w:r w:rsidR="00FF334A">
        <w:rPr>
          <w:rFonts w:eastAsiaTheme="minorHAnsi" w:cs="ArialMT"/>
        </w:rPr>
        <w:t>ember</w:t>
      </w:r>
      <w:r w:rsidRPr="008C2EA4">
        <w:rPr>
          <w:rFonts w:eastAsiaTheme="minorHAnsi" w:cs="ArialMT"/>
        </w:rPr>
        <w:t xml:space="preserve"> 2026</w:t>
      </w:r>
      <w:r>
        <w:rPr>
          <w:rFonts w:eastAsiaTheme="minorHAnsi" w:cs="ArialMT"/>
        </w:rPr>
        <w:t>.</w:t>
      </w:r>
    </w:p>
    <w:p w14:paraId="61ED3E34" w14:textId="77777777" w:rsidR="009722A0" w:rsidRPr="000F0157" w:rsidRDefault="009722A0" w:rsidP="009722A0">
      <w:pPr>
        <w:pStyle w:val="Heading4"/>
      </w:pPr>
      <w:bookmarkStart w:id="106" w:name="_Toc504036104"/>
      <w:r w:rsidRPr="000F0157">
        <w:t>Good clinical practice</w:t>
      </w:r>
      <w:bookmarkEnd w:id="106"/>
    </w:p>
    <w:p w14:paraId="65784C38" w14:textId="77777777" w:rsidR="009722A0" w:rsidRDefault="009722A0" w:rsidP="001F3F23">
      <w:r>
        <w:t>All s</w:t>
      </w:r>
      <w:r w:rsidRPr="00DD5370">
        <w:t>tudies were conducted in accordance with Guidelines for Good</w:t>
      </w:r>
      <w:r>
        <w:t xml:space="preserve"> </w:t>
      </w:r>
      <w:r w:rsidRPr="00DD5370">
        <w:t>Clinical Practice (GCP) and the Declaration of Helsinki</w:t>
      </w:r>
      <w:r>
        <w:t>.</w:t>
      </w:r>
    </w:p>
    <w:p w14:paraId="5310FFCC" w14:textId="77777777" w:rsidR="00CE6507" w:rsidRDefault="00CE6507" w:rsidP="00CE6507">
      <w:pPr>
        <w:pStyle w:val="Heading4"/>
      </w:pPr>
      <w:r>
        <w:t>Pharmacokinetics</w:t>
      </w:r>
    </w:p>
    <w:p w14:paraId="4E320DD3" w14:textId="77777777" w:rsidR="00CE6507" w:rsidRDefault="00CE6507" w:rsidP="00CE6507">
      <w:pPr>
        <w:pStyle w:val="Heading5"/>
      </w:pPr>
      <w:bookmarkStart w:id="107" w:name="_Toc504036107"/>
      <w:r>
        <w:t>Studies providing pharmacokinetic information</w:t>
      </w:r>
      <w:bookmarkEnd w:id="107"/>
    </w:p>
    <w:p w14:paraId="714933E3" w14:textId="77777777" w:rsidR="00FF334A" w:rsidRPr="00FF334A" w:rsidRDefault="00FF334A" w:rsidP="00FF334A">
      <w:r>
        <w:t>The following table summarises the PK studies submitted.</w:t>
      </w:r>
    </w:p>
    <w:p w14:paraId="20587C4F" w14:textId="77777777" w:rsidR="00CE6507" w:rsidRPr="00571929" w:rsidRDefault="00FF334A" w:rsidP="00FF334A">
      <w:pPr>
        <w:pStyle w:val="TableTitle"/>
      </w:pPr>
      <w:bookmarkStart w:id="108" w:name="_Toc504036204"/>
      <w:r>
        <w:t xml:space="preserve">Table </w:t>
      </w:r>
      <w:r w:rsidR="00E55ACA">
        <w:t>22</w:t>
      </w:r>
      <w:r>
        <w:t xml:space="preserve">: </w:t>
      </w:r>
      <w:r w:rsidR="00CE6507" w:rsidRPr="002E2E9A">
        <w:t>Submitted pharmacokinetic studies</w:t>
      </w:r>
      <w:bookmarkEnd w:id="108"/>
    </w:p>
    <w:tbl>
      <w:tblPr>
        <w:tblStyle w:val="TableTGAblue"/>
        <w:tblW w:w="0" w:type="auto"/>
        <w:tblLayout w:type="fixed"/>
        <w:tblLook w:val="04A0" w:firstRow="1" w:lastRow="0" w:firstColumn="1" w:lastColumn="0" w:noHBand="0" w:noVBand="1"/>
      </w:tblPr>
      <w:tblGrid>
        <w:gridCol w:w="1242"/>
        <w:gridCol w:w="1985"/>
        <w:gridCol w:w="1559"/>
        <w:gridCol w:w="3827"/>
      </w:tblGrid>
      <w:tr w:rsidR="00FF334A" w:rsidRPr="00571929" w14:paraId="353D427E" w14:textId="77777777" w:rsidTr="00FF334A">
        <w:trPr>
          <w:cnfStyle w:val="100000000000" w:firstRow="1" w:lastRow="0" w:firstColumn="0" w:lastColumn="0" w:oddVBand="0" w:evenVBand="0" w:oddHBand="0" w:evenHBand="0" w:firstRowFirstColumn="0" w:firstRowLastColumn="0" w:lastRowFirstColumn="0" w:lastRowLastColumn="0"/>
          <w:cantSplit/>
        </w:trPr>
        <w:tc>
          <w:tcPr>
            <w:tcW w:w="1242" w:type="dxa"/>
          </w:tcPr>
          <w:p w14:paraId="7DA5AB4D" w14:textId="77777777" w:rsidR="00FF334A" w:rsidRPr="00FF334A" w:rsidRDefault="00FF334A" w:rsidP="00FF334A">
            <w:pPr>
              <w:rPr>
                <w:b w:val="0"/>
                <w:sz w:val="20"/>
                <w:szCs w:val="20"/>
              </w:rPr>
            </w:pPr>
            <w:r w:rsidRPr="00FF334A">
              <w:rPr>
                <w:sz w:val="20"/>
                <w:szCs w:val="20"/>
              </w:rPr>
              <w:t>PK topic</w:t>
            </w:r>
          </w:p>
        </w:tc>
        <w:tc>
          <w:tcPr>
            <w:tcW w:w="1985" w:type="dxa"/>
          </w:tcPr>
          <w:p w14:paraId="57A9A98C" w14:textId="77777777" w:rsidR="00FF334A" w:rsidRPr="00FF334A" w:rsidRDefault="00FF334A" w:rsidP="00FF334A">
            <w:pPr>
              <w:rPr>
                <w:b w:val="0"/>
                <w:sz w:val="20"/>
                <w:szCs w:val="20"/>
              </w:rPr>
            </w:pPr>
            <w:r w:rsidRPr="00FF334A">
              <w:rPr>
                <w:sz w:val="20"/>
                <w:szCs w:val="20"/>
              </w:rPr>
              <w:t>Subtopic</w:t>
            </w:r>
          </w:p>
        </w:tc>
        <w:tc>
          <w:tcPr>
            <w:tcW w:w="1559" w:type="dxa"/>
          </w:tcPr>
          <w:p w14:paraId="22DA5460" w14:textId="77777777" w:rsidR="00FF334A" w:rsidRPr="00FF334A" w:rsidRDefault="00FF334A" w:rsidP="00FF334A">
            <w:pPr>
              <w:rPr>
                <w:b w:val="0"/>
                <w:sz w:val="20"/>
                <w:szCs w:val="20"/>
              </w:rPr>
            </w:pPr>
            <w:r w:rsidRPr="00FF334A">
              <w:rPr>
                <w:sz w:val="20"/>
                <w:szCs w:val="20"/>
              </w:rPr>
              <w:t>Study ID</w:t>
            </w:r>
          </w:p>
        </w:tc>
        <w:tc>
          <w:tcPr>
            <w:tcW w:w="3827" w:type="dxa"/>
          </w:tcPr>
          <w:p w14:paraId="2CE3ABA9" w14:textId="77777777" w:rsidR="00FF334A" w:rsidRPr="00FF334A" w:rsidRDefault="00FF334A" w:rsidP="00FF334A">
            <w:pPr>
              <w:rPr>
                <w:b w:val="0"/>
                <w:sz w:val="20"/>
                <w:szCs w:val="20"/>
              </w:rPr>
            </w:pPr>
            <w:r w:rsidRPr="00FF334A">
              <w:rPr>
                <w:sz w:val="20"/>
                <w:szCs w:val="20"/>
              </w:rPr>
              <w:t>*</w:t>
            </w:r>
          </w:p>
        </w:tc>
      </w:tr>
      <w:tr w:rsidR="00FF334A" w:rsidRPr="00571929" w14:paraId="1762A607" w14:textId="77777777" w:rsidTr="00FF334A">
        <w:tc>
          <w:tcPr>
            <w:tcW w:w="1242" w:type="dxa"/>
            <w:vMerge w:val="restart"/>
          </w:tcPr>
          <w:p w14:paraId="0A2CBC49" w14:textId="77777777" w:rsidR="00FF334A" w:rsidRPr="00FF334A" w:rsidRDefault="00FF334A" w:rsidP="00FF334A">
            <w:pPr>
              <w:rPr>
                <w:sz w:val="20"/>
                <w:szCs w:val="20"/>
              </w:rPr>
            </w:pPr>
            <w:r w:rsidRPr="00FF334A">
              <w:rPr>
                <w:sz w:val="20"/>
                <w:szCs w:val="20"/>
              </w:rPr>
              <w:t>PK in healthy adults</w:t>
            </w:r>
          </w:p>
        </w:tc>
        <w:tc>
          <w:tcPr>
            <w:tcW w:w="1985" w:type="dxa"/>
            <w:vMerge w:val="restart"/>
          </w:tcPr>
          <w:p w14:paraId="3CA1DE6A" w14:textId="47DFDFC5" w:rsidR="00FF334A" w:rsidRPr="00FF334A" w:rsidRDefault="00FF334A" w:rsidP="0091712B">
            <w:pPr>
              <w:rPr>
                <w:sz w:val="20"/>
                <w:szCs w:val="20"/>
              </w:rPr>
            </w:pPr>
            <w:r w:rsidRPr="00FF334A">
              <w:rPr>
                <w:sz w:val="20"/>
                <w:szCs w:val="20"/>
              </w:rPr>
              <w:t>Bioequivalence†</w:t>
            </w:r>
            <w:r w:rsidR="0091712B">
              <w:rPr>
                <w:sz w:val="20"/>
                <w:szCs w:val="20"/>
              </w:rPr>
              <w:t xml:space="preserve"> </w:t>
            </w:r>
            <w:r w:rsidRPr="00FF334A">
              <w:rPr>
                <w:sz w:val="20"/>
                <w:szCs w:val="20"/>
              </w:rPr>
              <w:t>Single dose</w:t>
            </w:r>
          </w:p>
        </w:tc>
        <w:tc>
          <w:tcPr>
            <w:tcW w:w="1559" w:type="dxa"/>
          </w:tcPr>
          <w:p w14:paraId="28DE51B7" w14:textId="77777777" w:rsidR="00FF334A" w:rsidRPr="00FF334A" w:rsidRDefault="00FF334A" w:rsidP="00FF334A">
            <w:pPr>
              <w:rPr>
                <w:sz w:val="20"/>
                <w:szCs w:val="20"/>
              </w:rPr>
            </w:pPr>
            <w:r w:rsidRPr="00FF334A">
              <w:rPr>
                <w:sz w:val="20"/>
                <w:szCs w:val="20"/>
              </w:rPr>
              <w:t>P025/1038</w:t>
            </w:r>
          </w:p>
        </w:tc>
        <w:tc>
          <w:tcPr>
            <w:tcW w:w="3827" w:type="dxa"/>
          </w:tcPr>
          <w:p w14:paraId="73F19EB6" w14:textId="36D4EF57" w:rsidR="00FF334A" w:rsidRPr="00FF334A" w:rsidRDefault="00FF334A">
            <w:pPr>
              <w:rPr>
                <w:sz w:val="20"/>
                <w:szCs w:val="20"/>
              </w:rPr>
            </w:pPr>
            <w:r w:rsidRPr="00FF334A">
              <w:rPr>
                <w:sz w:val="20"/>
                <w:szCs w:val="20"/>
              </w:rPr>
              <w:t>BE of ertugliflozin 15</w:t>
            </w:r>
            <w:r w:rsidR="009802FE">
              <w:rPr>
                <w:sz w:val="20"/>
                <w:szCs w:val="20"/>
              </w:rPr>
              <w:t xml:space="preserve"> </w:t>
            </w:r>
            <w:r w:rsidR="006D7D02">
              <w:rPr>
                <w:sz w:val="20"/>
                <w:szCs w:val="20"/>
              </w:rPr>
              <w:t>mg</w:t>
            </w:r>
            <w:r w:rsidRPr="00FF334A">
              <w:rPr>
                <w:sz w:val="20"/>
                <w:szCs w:val="20"/>
              </w:rPr>
              <w:t>/sitagliptin 100</w:t>
            </w:r>
            <w:r w:rsidR="009802FE">
              <w:rPr>
                <w:sz w:val="20"/>
                <w:szCs w:val="20"/>
              </w:rPr>
              <w:t xml:space="preserve"> </w:t>
            </w:r>
            <w:r w:rsidR="006D7D02">
              <w:rPr>
                <w:sz w:val="20"/>
                <w:szCs w:val="20"/>
              </w:rPr>
              <w:t>mg</w:t>
            </w:r>
            <w:r w:rsidRPr="00FF334A">
              <w:rPr>
                <w:sz w:val="20"/>
                <w:szCs w:val="20"/>
              </w:rPr>
              <w:t xml:space="preserve"> FDC and the free combination</w:t>
            </w:r>
          </w:p>
        </w:tc>
      </w:tr>
      <w:tr w:rsidR="00FF334A" w:rsidRPr="00571929" w14:paraId="31109826" w14:textId="77777777" w:rsidTr="00FF334A">
        <w:tc>
          <w:tcPr>
            <w:tcW w:w="1242" w:type="dxa"/>
            <w:vMerge/>
          </w:tcPr>
          <w:p w14:paraId="3E882266" w14:textId="77777777" w:rsidR="00FF334A" w:rsidRPr="00FF334A" w:rsidRDefault="00FF334A" w:rsidP="00FF334A">
            <w:pPr>
              <w:rPr>
                <w:sz w:val="20"/>
                <w:szCs w:val="20"/>
              </w:rPr>
            </w:pPr>
          </w:p>
        </w:tc>
        <w:tc>
          <w:tcPr>
            <w:tcW w:w="1985" w:type="dxa"/>
            <w:vMerge/>
          </w:tcPr>
          <w:p w14:paraId="079C8451" w14:textId="77777777" w:rsidR="00FF334A" w:rsidRPr="00FF334A" w:rsidRDefault="00FF334A" w:rsidP="00FF334A">
            <w:pPr>
              <w:rPr>
                <w:sz w:val="20"/>
                <w:szCs w:val="20"/>
              </w:rPr>
            </w:pPr>
          </w:p>
        </w:tc>
        <w:tc>
          <w:tcPr>
            <w:tcW w:w="1559" w:type="dxa"/>
          </w:tcPr>
          <w:p w14:paraId="1A8CC210" w14:textId="77777777" w:rsidR="00FF334A" w:rsidRPr="00FF334A" w:rsidRDefault="00FF334A" w:rsidP="00FF334A">
            <w:pPr>
              <w:rPr>
                <w:sz w:val="20"/>
                <w:szCs w:val="20"/>
              </w:rPr>
            </w:pPr>
            <w:r w:rsidRPr="00FF334A">
              <w:rPr>
                <w:bCs/>
                <w:color w:val="000000"/>
                <w:sz w:val="20"/>
                <w:szCs w:val="20"/>
              </w:rPr>
              <w:t>P044/1053</w:t>
            </w:r>
          </w:p>
        </w:tc>
        <w:tc>
          <w:tcPr>
            <w:tcW w:w="3827" w:type="dxa"/>
          </w:tcPr>
          <w:p w14:paraId="24FDA0DA" w14:textId="1B7E5AF6" w:rsidR="00FF334A" w:rsidRPr="00FF334A" w:rsidRDefault="00FF334A">
            <w:pPr>
              <w:rPr>
                <w:sz w:val="20"/>
                <w:szCs w:val="20"/>
              </w:rPr>
            </w:pPr>
            <w:r w:rsidRPr="00FF334A">
              <w:rPr>
                <w:sz w:val="20"/>
                <w:szCs w:val="20"/>
              </w:rPr>
              <w:t>BE of ertugliflozin 15</w:t>
            </w:r>
            <w:r w:rsidR="009802FE">
              <w:rPr>
                <w:sz w:val="20"/>
                <w:szCs w:val="20"/>
              </w:rPr>
              <w:t xml:space="preserve"> </w:t>
            </w:r>
            <w:r w:rsidR="006D7D02">
              <w:rPr>
                <w:sz w:val="20"/>
                <w:szCs w:val="20"/>
              </w:rPr>
              <w:t>mg</w:t>
            </w:r>
            <w:r w:rsidRPr="00FF334A">
              <w:rPr>
                <w:sz w:val="20"/>
                <w:szCs w:val="20"/>
              </w:rPr>
              <w:t>/sitagliptin 50</w:t>
            </w:r>
            <w:r w:rsidR="009802FE">
              <w:rPr>
                <w:sz w:val="20"/>
                <w:szCs w:val="20"/>
              </w:rPr>
              <w:t xml:space="preserve"> </w:t>
            </w:r>
            <w:r w:rsidR="006D7D02">
              <w:rPr>
                <w:sz w:val="20"/>
                <w:szCs w:val="20"/>
              </w:rPr>
              <w:t>mg</w:t>
            </w:r>
            <w:r w:rsidRPr="00FF334A">
              <w:rPr>
                <w:sz w:val="20"/>
                <w:szCs w:val="20"/>
              </w:rPr>
              <w:t xml:space="preserve"> FDC and the free combination</w:t>
            </w:r>
          </w:p>
        </w:tc>
      </w:tr>
      <w:tr w:rsidR="00FF334A" w:rsidRPr="00571929" w14:paraId="5360666E" w14:textId="77777777" w:rsidTr="00FF334A">
        <w:tc>
          <w:tcPr>
            <w:tcW w:w="1242" w:type="dxa"/>
            <w:vMerge/>
          </w:tcPr>
          <w:p w14:paraId="64A9B22F" w14:textId="77777777" w:rsidR="00FF334A" w:rsidRPr="00FF334A" w:rsidRDefault="00FF334A" w:rsidP="00FF334A">
            <w:pPr>
              <w:rPr>
                <w:sz w:val="20"/>
                <w:szCs w:val="20"/>
              </w:rPr>
            </w:pPr>
          </w:p>
        </w:tc>
        <w:tc>
          <w:tcPr>
            <w:tcW w:w="1985" w:type="dxa"/>
            <w:vMerge/>
          </w:tcPr>
          <w:p w14:paraId="5D25A0BF" w14:textId="77777777" w:rsidR="00FF334A" w:rsidRPr="00FF334A" w:rsidRDefault="00FF334A" w:rsidP="00FF334A">
            <w:pPr>
              <w:rPr>
                <w:sz w:val="20"/>
                <w:szCs w:val="20"/>
              </w:rPr>
            </w:pPr>
          </w:p>
        </w:tc>
        <w:tc>
          <w:tcPr>
            <w:tcW w:w="1559" w:type="dxa"/>
          </w:tcPr>
          <w:p w14:paraId="079499E7" w14:textId="77777777" w:rsidR="00FF334A" w:rsidRPr="00FF334A" w:rsidRDefault="00FF334A" w:rsidP="00FF334A">
            <w:pPr>
              <w:rPr>
                <w:sz w:val="20"/>
                <w:szCs w:val="20"/>
              </w:rPr>
            </w:pPr>
            <w:r w:rsidRPr="00FF334A">
              <w:rPr>
                <w:sz w:val="20"/>
                <w:szCs w:val="20"/>
              </w:rPr>
              <w:t>P048/1056</w:t>
            </w:r>
          </w:p>
        </w:tc>
        <w:tc>
          <w:tcPr>
            <w:tcW w:w="3827" w:type="dxa"/>
          </w:tcPr>
          <w:p w14:paraId="6AE0F693" w14:textId="1E10884B" w:rsidR="00FF334A" w:rsidRPr="00FF334A" w:rsidRDefault="00FF334A">
            <w:pPr>
              <w:rPr>
                <w:sz w:val="20"/>
                <w:szCs w:val="20"/>
              </w:rPr>
            </w:pPr>
            <w:r w:rsidRPr="00FF334A">
              <w:rPr>
                <w:sz w:val="20"/>
                <w:szCs w:val="20"/>
              </w:rPr>
              <w:t>BE of ertugliflozin 5</w:t>
            </w:r>
            <w:r w:rsidR="009802FE">
              <w:rPr>
                <w:sz w:val="20"/>
                <w:szCs w:val="20"/>
              </w:rPr>
              <w:t xml:space="preserve"> </w:t>
            </w:r>
            <w:r w:rsidR="006D7D02">
              <w:rPr>
                <w:sz w:val="20"/>
                <w:szCs w:val="20"/>
              </w:rPr>
              <w:t>mg</w:t>
            </w:r>
            <w:r w:rsidRPr="00FF334A">
              <w:rPr>
                <w:sz w:val="20"/>
                <w:szCs w:val="20"/>
              </w:rPr>
              <w:t>/sitagliptin 100</w:t>
            </w:r>
            <w:r w:rsidR="009802FE">
              <w:rPr>
                <w:sz w:val="20"/>
                <w:szCs w:val="20"/>
              </w:rPr>
              <w:t xml:space="preserve"> </w:t>
            </w:r>
            <w:r w:rsidR="006D7D02">
              <w:rPr>
                <w:sz w:val="20"/>
                <w:szCs w:val="20"/>
              </w:rPr>
              <w:t>mg</w:t>
            </w:r>
            <w:r w:rsidRPr="00FF334A">
              <w:rPr>
                <w:sz w:val="20"/>
                <w:szCs w:val="20"/>
              </w:rPr>
              <w:t xml:space="preserve"> FDC tablet and the free combination</w:t>
            </w:r>
          </w:p>
        </w:tc>
      </w:tr>
      <w:tr w:rsidR="00FF334A" w:rsidRPr="00571929" w14:paraId="5EF6B978" w14:textId="77777777" w:rsidTr="00FF334A">
        <w:tc>
          <w:tcPr>
            <w:tcW w:w="1242" w:type="dxa"/>
            <w:vMerge/>
          </w:tcPr>
          <w:p w14:paraId="34465B8F" w14:textId="77777777" w:rsidR="00FF334A" w:rsidRPr="00FF334A" w:rsidRDefault="00FF334A" w:rsidP="00FF334A">
            <w:pPr>
              <w:rPr>
                <w:sz w:val="20"/>
                <w:szCs w:val="20"/>
              </w:rPr>
            </w:pPr>
          </w:p>
        </w:tc>
        <w:tc>
          <w:tcPr>
            <w:tcW w:w="1985" w:type="dxa"/>
            <w:vMerge/>
          </w:tcPr>
          <w:p w14:paraId="0A334F60" w14:textId="77777777" w:rsidR="00FF334A" w:rsidRPr="00FF334A" w:rsidRDefault="00FF334A" w:rsidP="00FF334A">
            <w:pPr>
              <w:rPr>
                <w:sz w:val="20"/>
                <w:szCs w:val="20"/>
              </w:rPr>
            </w:pPr>
          </w:p>
        </w:tc>
        <w:tc>
          <w:tcPr>
            <w:tcW w:w="1559" w:type="dxa"/>
          </w:tcPr>
          <w:p w14:paraId="6D78C1DB" w14:textId="77777777" w:rsidR="00FF334A" w:rsidRPr="00FF334A" w:rsidRDefault="00FF334A" w:rsidP="00FF334A">
            <w:pPr>
              <w:rPr>
                <w:sz w:val="20"/>
                <w:szCs w:val="20"/>
              </w:rPr>
            </w:pPr>
            <w:r w:rsidRPr="00FF334A">
              <w:rPr>
                <w:sz w:val="20"/>
                <w:szCs w:val="20"/>
              </w:rPr>
              <w:t>P049/1057</w:t>
            </w:r>
          </w:p>
        </w:tc>
        <w:tc>
          <w:tcPr>
            <w:tcW w:w="3827" w:type="dxa"/>
          </w:tcPr>
          <w:p w14:paraId="4CB1E04D" w14:textId="0DCF9A3D" w:rsidR="00FF334A" w:rsidRPr="00FF334A" w:rsidRDefault="00FF334A">
            <w:pPr>
              <w:rPr>
                <w:sz w:val="20"/>
                <w:szCs w:val="20"/>
              </w:rPr>
            </w:pPr>
            <w:r w:rsidRPr="00FF334A">
              <w:rPr>
                <w:sz w:val="20"/>
                <w:szCs w:val="20"/>
              </w:rPr>
              <w:t>BE of ertugliflozin 5</w:t>
            </w:r>
            <w:r w:rsidR="009802FE">
              <w:rPr>
                <w:sz w:val="20"/>
                <w:szCs w:val="20"/>
              </w:rPr>
              <w:t xml:space="preserve"> </w:t>
            </w:r>
            <w:r w:rsidR="006D7D02">
              <w:rPr>
                <w:sz w:val="20"/>
                <w:szCs w:val="20"/>
              </w:rPr>
              <w:t>mg</w:t>
            </w:r>
            <w:r w:rsidRPr="00FF334A">
              <w:rPr>
                <w:sz w:val="20"/>
                <w:szCs w:val="20"/>
              </w:rPr>
              <w:t>/sitagliptin 50</w:t>
            </w:r>
            <w:r w:rsidR="009802FE">
              <w:rPr>
                <w:sz w:val="20"/>
                <w:szCs w:val="20"/>
              </w:rPr>
              <w:t> </w:t>
            </w:r>
            <w:r w:rsidR="006D7D02">
              <w:rPr>
                <w:sz w:val="20"/>
                <w:szCs w:val="20"/>
              </w:rPr>
              <w:t>mg</w:t>
            </w:r>
            <w:r w:rsidRPr="00FF334A">
              <w:rPr>
                <w:sz w:val="20"/>
                <w:szCs w:val="20"/>
              </w:rPr>
              <w:t xml:space="preserve"> FDC tablet and the free combination</w:t>
            </w:r>
          </w:p>
        </w:tc>
      </w:tr>
      <w:tr w:rsidR="00FF334A" w:rsidRPr="00571929" w14:paraId="5FDBEB7A" w14:textId="77777777" w:rsidTr="00FF334A">
        <w:tc>
          <w:tcPr>
            <w:tcW w:w="1242" w:type="dxa"/>
            <w:vMerge/>
          </w:tcPr>
          <w:p w14:paraId="3A362615" w14:textId="77777777" w:rsidR="00FF334A" w:rsidRPr="00FF334A" w:rsidRDefault="00FF334A" w:rsidP="00FF334A">
            <w:pPr>
              <w:rPr>
                <w:sz w:val="20"/>
                <w:szCs w:val="20"/>
              </w:rPr>
            </w:pPr>
          </w:p>
        </w:tc>
        <w:tc>
          <w:tcPr>
            <w:tcW w:w="1985" w:type="dxa"/>
          </w:tcPr>
          <w:p w14:paraId="4A5FC646" w14:textId="77777777" w:rsidR="00FF334A" w:rsidRPr="00FF334A" w:rsidRDefault="00FF334A" w:rsidP="00FF334A">
            <w:pPr>
              <w:rPr>
                <w:sz w:val="20"/>
                <w:szCs w:val="20"/>
              </w:rPr>
            </w:pPr>
            <w:r w:rsidRPr="00FF334A">
              <w:rPr>
                <w:sz w:val="20"/>
                <w:szCs w:val="20"/>
              </w:rPr>
              <w:t>Food effect</w:t>
            </w:r>
          </w:p>
        </w:tc>
        <w:tc>
          <w:tcPr>
            <w:tcW w:w="1559" w:type="dxa"/>
          </w:tcPr>
          <w:p w14:paraId="574652AE" w14:textId="77777777" w:rsidR="00FF334A" w:rsidRPr="00FF334A" w:rsidRDefault="00FF334A" w:rsidP="00FF334A">
            <w:pPr>
              <w:rPr>
                <w:sz w:val="20"/>
                <w:szCs w:val="20"/>
              </w:rPr>
            </w:pPr>
            <w:r w:rsidRPr="00FF334A">
              <w:rPr>
                <w:sz w:val="20"/>
                <w:szCs w:val="20"/>
              </w:rPr>
              <w:t>P026/1050</w:t>
            </w:r>
          </w:p>
        </w:tc>
        <w:tc>
          <w:tcPr>
            <w:tcW w:w="3827" w:type="dxa"/>
          </w:tcPr>
          <w:p w14:paraId="3FDEC297" w14:textId="7F99F541" w:rsidR="00FF334A" w:rsidRPr="00FF334A" w:rsidRDefault="00FF334A">
            <w:pPr>
              <w:rPr>
                <w:sz w:val="20"/>
                <w:szCs w:val="20"/>
              </w:rPr>
            </w:pPr>
            <w:r w:rsidRPr="00FF334A">
              <w:rPr>
                <w:sz w:val="20"/>
                <w:szCs w:val="20"/>
              </w:rPr>
              <w:t>Relative BA of ertugliflozin 15</w:t>
            </w:r>
            <w:r w:rsidR="009802FE">
              <w:rPr>
                <w:sz w:val="20"/>
                <w:szCs w:val="20"/>
              </w:rPr>
              <w:t> </w:t>
            </w:r>
            <w:r w:rsidR="006D7D02">
              <w:rPr>
                <w:sz w:val="20"/>
                <w:szCs w:val="20"/>
              </w:rPr>
              <w:t>mg</w:t>
            </w:r>
            <w:r w:rsidRPr="00FF334A">
              <w:rPr>
                <w:sz w:val="20"/>
                <w:szCs w:val="20"/>
              </w:rPr>
              <w:t>/sitagliptin 100</w:t>
            </w:r>
            <w:r w:rsidR="009802FE">
              <w:rPr>
                <w:sz w:val="20"/>
                <w:szCs w:val="20"/>
              </w:rPr>
              <w:t xml:space="preserve"> </w:t>
            </w:r>
            <w:r w:rsidR="006D7D02">
              <w:rPr>
                <w:sz w:val="20"/>
                <w:szCs w:val="20"/>
              </w:rPr>
              <w:t>mg</w:t>
            </w:r>
            <w:r w:rsidRPr="00FF334A">
              <w:rPr>
                <w:sz w:val="20"/>
                <w:szCs w:val="20"/>
              </w:rPr>
              <w:t xml:space="preserve"> FDC tablet under fasted and fed conditions</w:t>
            </w:r>
          </w:p>
        </w:tc>
      </w:tr>
    </w:tbl>
    <w:p w14:paraId="12E5923F" w14:textId="77777777" w:rsidR="00CE6507" w:rsidRDefault="00CE6507" w:rsidP="00FF334A">
      <w:pPr>
        <w:pStyle w:val="TableDescription"/>
      </w:pPr>
      <w:r w:rsidRPr="002E2E9A">
        <w:t>* Indicates the primary PK aim of the study.</w:t>
      </w:r>
      <w:r w:rsidR="00FF334A">
        <w:t xml:space="preserve"> </w:t>
      </w:r>
      <w:r w:rsidRPr="002E2E9A">
        <w:t>† Bioequivalence of different formulations.</w:t>
      </w:r>
    </w:p>
    <w:p w14:paraId="0C283615" w14:textId="77777777" w:rsidR="00CE6507" w:rsidRDefault="00CE6507" w:rsidP="00FF334A">
      <w:pPr>
        <w:pStyle w:val="Heading5"/>
      </w:pPr>
      <w:bookmarkStart w:id="109" w:name="_Toc241374296"/>
      <w:bookmarkStart w:id="110" w:name="_Ref269982040"/>
      <w:bookmarkStart w:id="111" w:name="_Ref271018704"/>
      <w:bookmarkStart w:id="112" w:name="_Ref271018755"/>
      <w:bookmarkStart w:id="113" w:name="_Toc272414635"/>
      <w:bookmarkStart w:id="114" w:name="_Toc290888484"/>
      <w:bookmarkStart w:id="115" w:name="_Toc416353681"/>
      <w:bookmarkStart w:id="116" w:name="_Toc421005250"/>
      <w:bookmarkStart w:id="117" w:name="_Toc432079132"/>
      <w:bookmarkStart w:id="118" w:name="_Toc432080705"/>
      <w:bookmarkStart w:id="119" w:name="_Toc461096083"/>
      <w:bookmarkStart w:id="120" w:name="_Toc504036116"/>
      <w:r w:rsidRPr="00545B14">
        <w:t>Evaluator’s overall conclusions on pharmacokinetics</w:t>
      </w:r>
      <w:bookmarkEnd w:id="109"/>
      <w:bookmarkEnd w:id="110"/>
      <w:bookmarkEnd w:id="111"/>
      <w:bookmarkEnd w:id="112"/>
      <w:bookmarkEnd w:id="113"/>
      <w:bookmarkEnd w:id="114"/>
      <w:bookmarkEnd w:id="115"/>
      <w:bookmarkEnd w:id="116"/>
      <w:bookmarkEnd w:id="117"/>
      <w:bookmarkEnd w:id="118"/>
      <w:bookmarkEnd w:id="119"/>
      <w:bookmarkEnd w:id="120"/>
    </w:p>
    <w:p w14:paraId="7DAF8A22" w14:textId="7E302EB8" w:rsidR="00CE6507" w:rsidRDefault="00CE6507" w:rsidP="00CE6507">
      <w:pPr>
        <w:rPr>
          <w:lang w:eastAsia="ja-JP"/>
        </w:rPr>
      </w:pPr>
      <w:r>
        <w:rPr>
          <w:lang w:eastAsia="ja-JP"/>
        </w:rPr>
        <w:t>The current submission contains four previously unevaluated studies, which examine the BE between the various strengths of the FDC proposed for marketing and the corresponding free combination. In addition, a single new study examined the effect of a high</w:t>
      </w:r>
      <w:r w:rsidR="00815048">
        <w:rPr>
          <w:lang w:eastAsia="ja-JP"/>
        </w:rPr>
        <w:t xml:space="preserve"> </w:t>
      </w:r>
      <w:r>
        <w:rPr>
          <w:lang w:eastAsia="ja-JP"/>
        </w:rPr>
        <w:t>fat/high</w:t>
      </w:r>
      <w:r w:rsidR="00815048">
        <w:rPr>
          <w:lang w:eastAsia="ja-JP"/>
        </w:rPr>
        <w:t xml:space="preserve"> </w:t>
      </w:r>
      <w:r>
        <w:rPr>
          <w:lang w:eastAsia="ja-JP"/>
        </w:rPr>
        <w:t>calorie breakfast on the PKs of the active components of the FDC tablets.</w:t>
      </w:r>
    </w:p>
    <w:p w14:paraId="525337A2" w14:textId="77777777" w:rsidR="00CE6507" w:rsidRDefault="00CE6507" w:rsidP="00CE6507">
      <w:pPr>
        <w:rPr>
          <w:lang w:eastAsia="ja-JP"/>
        </w:rPr>
      </w:pPr>
      <w:r>
        <w:rPr>
          <w:lang w:eastAsia="ja-JP"/>
        </w:rPr>
        <w:t xml:space="preserve">In regards to the tablets containing a single active component, the </w:t>
      </w:r>
      <w:r>
        <w:t xml:space="preserve">PKs of sitagliptin are well-established and the PKs of ertugliflozin are described in detail in </w:t>
      </w:r>
      <w:r w:rsidRPr="006C54BD">
        <w:rPr>
          <w:rFonts w:asciiTheme="minorHAnsi" w:hAnsiTheme="minorHAnsi"/>
        </w:rPr>
        <w:t xml:space="preserve">the concurrent </w:t>
      </w:r>
      <w:r>
        <w:rPr>
          <w:rFonts w:asciiTheme="minorHAnsi" w:hAnsiTheme="minorHAnsi"/>
        </w:rPr>
        <w:t xml:space="preserve">TGA </w:t>
      </w:r>
      <w:r w:rsidRPr="006C54BD">
        <w:rPr>
          <w:rFonts w:asciiTheme="minorHAnsi" w:hAnsiTheme="minorHAnsi"/>
        </w:rPr>
        <w:t xml:space="preserve">submission </w:t>
      </w:r>
      <w:r w:rsidR="00FF334A">
        <w:rPr>
          <w:rFonts w:asciiTheme="minorHAnsi" w:hAnsiTheme="minorHAnsi" w:cs="Calibri"/>
          <w:lang w:eastAsia="ja-JP"/>
        </w:rPr>
        <w:t>(Attachment 2).</w:t>
      </w:r>
    </w:p>
    <w:p w14:paraId="5D8A104D" w14:textId="77777777" w:rsidR="00CE6507" w:rsidRDefault="00CE6507" w:rsidP="00CE6507">
      <w:pPr>
        <w:rPr>
          <w:lang w:eastAsia="ja-JP"/>
        </w:rPr>
      </w:pPr>
      <w:r>
        <w:t xml:space="preserve">Overall, the conduct of the previously unevaluated studies </w:t>
      </w:r>
      <w:r w:rsidRPr="00865345">
        <w:t>was satisfactory</w:t>
      </w:r>
      <w:r>
        <w:t xml:space="preserve"> and was compliant with existing TGA guidelines, validated analytical methods were employed</w:t>
      </w:r>
      <w:r w:rsidRPr="00865345">
        <w:t xml:space="preserve"> and the data analyses undertaken were appropriate</w:t>
      </w:r>
      <w:r>
        <w:t>.</w:t>
      </w:r>
    </w:p>
    <w:p w14:paraId="14A03AA2" w14:textId="197D3FE8" w:rsidR="00CE6507" w:rsidRDefault="00CE6507" w:rsidP="00CE6507">
      <w:pPr>
        <w:rPr>
          <w:lang w:eastAsia="ja-JP"/>
        </w:rPr>
      </w:pPr>
      <w:r>
        <w:rPr>
          <w:lang w:eastAsia="ja-JP"/>
        </w:rPr>
        <w:t xml:space="preserve">Each of the proposed dose strengths of the </w:t>
      </w:r>
      <w:r>
        <w:rPr>
          <w:rFonts w:eastAsia="TimesNewRoman" w:cstheme="minorHAnsi"/>
        </w:rPr>
        <w:t>ertugliflozin/sitagliptin FDC tablets were bioequivalent with their matching dose of the free combination of ertugliflozin and sitagliptin tablets given in combination.</w:t>
      </w:r>
    </w:p>
    <w:p w14:paraId="61F61877" w14:textId="300A59E6" w:rsidR="00CE6507" w:rsidRDefault="00CE6507" w:rsidP="00CE6507">
      <w:pPr>
        <w:rPr>
          <w:rFonts w:eastAsia="TimesNewRoman" w:cstheme="minorHAnsi"/>
          <w:color w:val="000000"/>
        </w:rPr>
      </w:pPr>
      <w:r>
        <w:rPr>
          <w:lang w:eastAsia="ja-JP"/>
        </w:rPr>
        <w:t>Compared to fasted conditions, a high</w:t>
      </w:r>
      <w:r w:rsidR="00815048">
        <w:rPr>
          <w:lang w:eastAsia="ja-JP"/>
        </w:rPr>
        <w:t xml:space="preserve"> </w:t>
      </w:r>
      <w:r>
        <w:rPr>
          <w:lang w:eastAsia="ja-JP"/>
        </w:rPr>
        <w:t xml:space="preserve">fat breakfast had no effect on ertugliflozin </w:t>
      </w:r>
      <w:r w:rsidR="00E700A6">
        <w:t>AUC</w:t>
      </w:r>
      <w:r w:rsidR="00E700A6" w:rsidRPr="00E700A6">
        <w:rPr>
          <w:vertAlign w:val="subscript"/>
        </w:rPr>
        <w:t>inf</w:t>
      </w:r>
      <w:r>
        <w:rPr>
          <w:rFonts w:eastAsia="TimesNewRoman" w:cstheme="minorHAnsi"/>
        </w:rPr>
        <w:t xml:space="preserve"> and</w:t>
      </w:r>
      <w:r w:rsidRPr="00B46F76">
        <w:rPr>
          <w:rFonts w:eastAsia="TimesNewRoman" w:cstheme="minorHAnsi"/>
        </w:rPr>
        <w:t xml:space="preserve"> AUC</w:t>
      </w:r>
      <w:r w:rsidRPr="00F6649B">
        <w:rPr>
          <w:rFonts w:eastAsia="TimesNewRoman" w:cstheme="minorHAnsi"/>
          <w:vertAlign w:val="subscript"/>
        </w:rPr>
        <w:t>last</w:t>
      </w:r>
      <w:r>
        <w:rPr>
          <w:lang w:eastAsia="ja-JP"/>
        </w:rPr>
        <w:t xml:space="preserve"> and sitagliptin </w:t>
      </w:r>
      <w:r w:rsidR="00E700A6">
        <w:t>AUC</w:t>
      </w:r>
      <w:r w:rsidR="00E700A6" w:rsidRPr="00E700A6">
        <w:rPr>
          <w:vertAlign w:val="subscript"/>
        </w:rPr>
        <w:t>inf</w:t>
      </w:r>
      <w:r w:rsidRPr="00B46F76">
        <w:rPr>
          <w:rFonts w:eastAsia="TimesNewRoman" w:cstheme="minorHAnsi"/>
        </w:rPr>
        <w:t>, AUC</w:t>
      </w:r>
      <w:r w:rsidRPr="00F6649B">
        <w:rPr>
          <w:rFonts w:eastAsia="TimesNewRoman" w:cstheme="minorHAnsi"/>
          <w:vertAlign w:val="subscript"/>
        </w:rPr>
        <w:t>last</w:t>
      </w:r>
      <w:r w:rsidRPr="00B46F76">
        <w:rPr>
          <w:rFonts w:eastAsia="TimesNewRoman" w:cstheme="minorHAnsi"/>
        </w:rPr>
        <w:t xml:space="preserve"> and </w:t>
      </w:r>
      <w:r w:rsidR="00E700A6">
        <w:t>C</w:t>
      </w:r>
      <w:r w:rsidR="00E700A6" w:rsidRPr="00E700A6">
        <w:rPr>
          <w:vertAlign w:val="subscript"/>
        </w:rPr>
        <w:t>max</w:t>
      </w:r>
      <w:r>
        <w:rPr>
          <w:rFonts w:eastAsia="TimesNewRoman" w:cstheme="minorHAnsi"/>
        </w:rPr>
        <w:t xml:space="preserve"> following a single dose of the </w:t>
      </w:r>
      <w:r w:rsidRPr="00B46F76">
        <w:rPr>
          <w:rFonts w:eastAsia="TimesNewRoman" w:cstheme="minorHAnsi"/>
        </w:rPr>
        <w:t>ertugliflozin 15</w:t>
      </w:r>
      <w:r w:rsidR="009802FE">
        <w:rPr>
          <w:rFonts w:eastAsia="TimesNewRoman" w:cstheme="minorHAnsi"/>
        </w:rPr>
        <w:t xml:space="preserve"> </w:t>
      </w:r>
      <w:r w:rsidR="006D7D02">
        <w:rPr>
          <w:rFonts w:eastAsia="TimesNewRoman" w:cstheme="minorHAnsi"/>
        </w:rPr>
        <w:t>mg</w:t>
      </w:r>
      <w:r w:rsidRPr="00B46F76">
        <w:rPr>
          <w:rFonts w:eastAsia="TimesNewRoman" w:cstheme="minorHAnsi"/>
        </w:rPr>
        <w:t>/sitagliptin 100</w:t>
      </w:r>
      <w:r w:rsidR="009802FE">
        <w:rPr>
          <w:rFonts w:eastAsia="TimesNewRoman" w:cstheme="minorHAnsi"/>
        </w:rPr>
        <w:t xml:space="preserve"> </w:t>
      </w:r>
      <w:r w:rsidR="006D7D02">
        <w:rPr>
          <w:rFonts w:eastAsia="TimesNewRoman" w:cstheme="minorHAnsi"/>
        </w:rPr>
        <w:t>mg</w:t>
      </w:r>
      <w:r w:rsidRPr="00B46F76">
        <w:rPr>
          <w:rFonts w:eastAsia="TimesNewRoman" w:cstheme="minorHAnsi"/>
        </w:rPr>
        <w:t xml:space="preserve"> FDC tablet</w:t>
      </w:r>
      <w:r>
        <w:rPr>
          <w:rFonts w:eastAsia="TimesNewRoman" w:cstheme="minorHAnsi"/>
        </w:rPr>
        <w:t>. By contrast,</w:t>
      </w:r>
      <w:r>
        <w:rPr>
          <w:rFonts w:eastAsia="TimesNewRoman" w:cstheme="minorHAnsi"/>
          <w:color w:val="000000"/>
        </w:rPr>
        <w:t xml:space="preserve"> e</w:t>
      </w:r>
      <w:r w:rsidRPr="00B46F76">
        <w:rPr>
          <w:rFonts w:eastAsia="TimesNewRoman" w:cstheme="minorHAnsi"/>
          <w:color w:val="000000"/>
        </w:rPr>
        <w:t xml:space="preserve">rtugliflozin </w:t>
      </w:r>
      <w:r w:rsidR="00E700A6">
        <w:t>C</w:t>
      </w:r>
      <w:r w:rsidR="00E700A6" w:rsidRPr="00E700A6">
        <w:rPr>
          <w:vertAlign w:val="subscript"/>
        </w:rPr>
        <w:t>max</w:t>
      </w:r>
      <w:r w:rsidRPr="00B46F76">
        <w:rPr>
          <w:rFonts w:eastAsia="TimesNewRoman" w:cstheme="minorHAnsi"/>
          <w:color w:val="000000"/>
        </w:rPr>
        <w:t xml:space="preserve"> </w:t>
      </w:r>
      <w:r>
        <w:rPr>
          <w:rFonts w:eastAsia="TimesNewRoman" w:cstheme="minorHAnsi"/>
          <w:color w:val="000000"/>
        </w:rPr>
        <w:t>was significantly lower (</w:t>
      </w:r>
      <w:r w:rsidR="0072297B">
        <w:rPr>
          <w:rFonts w:eastAsia="TimesNewRoman" w:cstheme="minorHAnsi"/>
          <w:color w:val="000000"/>
        </w:rPr>
        <w:t xml:space="preserve">approximately </w:t>
      </w:r>
      <w:r>
        <w:rPr>
          <w:rFonts w:eastAsia="TimesNewRoman" w:cstheme="minorHAnsi"/>
          <w:color w:val="000000"/>
        </w:rPr>
        <w:t>30%)</w:t>
      </w:r>
      <w:r w:rsidRPr="00B46F76">
        <w:rPr>
          <w:rFonts w:eastAsia="TimesNewRoman" w:cstheme="minorHAnsi"/>
          <w:color w:val="000000"/>
        </w:rPr>
        <w:t>; however, th</w:t>
      </w:r>
      <w:r>
        <w:rPr>
          <w:rFonts w:eastAsia="TimesNewRoman" w:cstheme="minorHAnsi"/>
          <w:color w:val="000000"/>
        </w:rPr>
        <w:t>is</w:t>
      </w:r>
      <w:r w:rsidRPr="00B46F76">
        <w:rPr>
          <w:rFonts w:eastAsia="TimesNewRoman" w:cstheme="minorHAnsi"/>
          <w:color w:val="000000"/>
        </w:rPr>
        <w:t xml:space="preserve"> decrease is </w:t>
      </w:r>
      <w:r>
        <w:rPr>
          <w:rFonts w:eastAsia="TimesNewRoman" w:cstheme="minorHAnsi"/>
          <w:color w:val="000000"/>
        </w:rPr>
        <w:t xml:space="preserve">unlikely </w:t>
      </w:r>
      <w:r w:rsidRPr="00B46F76">
        <w:rPr>
          <w:rFonts w:eastAsia="TimesNewRoman" w:cstheme="minorHAnsi"/>
          <w:color w:val="000000"/>
        </w:rPr>
        <w:t>to be clinically relevant</w:t>
      </w:r>
      <w:r>
        <w:rPr>
          <w:rFonts w:eastAsia="TimesNewRoman" w:cstheme="minorHAnsi"/>
          <w:color w:val="000000"/>
        </w:rPr>
        <w:t>.</w:t>
      </w:r>
    </w:p>
    <w:p w14:paraId="39156F3D" w14:textId="516970F5" w:rsidR="00CE6507" w:rsidRDefault="00CE6507" w:rsidP="00CE6507">
      <w:r w:rsidRPr="00865345">
        <w:t xml:space="preserve">Overall, the </w:t>
      </w:r>
      <w:r>
        <w:t>PK sections of the proposed PI accurately reflect the submitted data; however, the section related to Cardiac Physiology will need corr</w:t>
      </w:r>
      <w:r w:rsidR="0072297B">
        <w:t>ection</w:t>
      </w:r>
      <w:r>
        <w:t xml:space="preserve">. In addition, a number of </w:t>
      </w:r>
      <w:r w:rsidRPr="00865345">
        <w:t xml:space="preserve">limitations </w:t>
      </w:r>
      <w:r>
        <w:t xml:space="preserve">in the provided dataset were </w:t>
      </w:r>
      <w:r w:rsidRPr="00865345">
        <w:t>identified</w:t>
      </w:r>
      <w:r>
        <w:t>:</w:t>
      </w:r>
    </w:p>
    <w:p w14:paraId="0659411E" w14:textId="77777777" w:rsidR="00CE6507" w:rsidRPr="00C65C63" w:rsidRDefault="00CE6507" w:rsidP="0072297B">
      <w:pPr>
        <w:pStyle w:val="ListBullet"/>
      </w:pPr>
      <w:r w:rsidRPr="00C65C63">
        <w:t>No dedicated studies examined the PKs of the FDC combinations in either the target or special populations.</w:t>
      </w:r>
    </w:p>
    <w:p w14:paraId="2923DA17" w14:textId="77777777" w:rsidR="00CE6507" w:rsidRPr="00C65C63" w:rsidRDefault="00CE6507" w:rsidP="0072297B">
      <w:pPr>
        <w:pStyle w:val="ListBullet"/>
      </w:pPr>
      <w:r w:rsidRPr="00C65C63">
        <w:t>No DDI studies were undertaken using the proposed FDC.</w:t>
      </w:r>
    </w:p>
    <w:p w14:paraId="5F72750D" w14:textId="77777777" w:rsidR="00CE6507" w:rsidRPr="00C65C63" w:rsidRDefault="00CE6507" w:rsidP="0072297B">
      <w:pPr>
        <w:pStyle w:val="ListBullet"/>
        <w:rPr>
          <w:rFonts w:eastAsia="TimesNewRoman" w:cs="Calibri"/>
        </w:rPr>
      </w:pPr>
      <w:r w:rsidRPr="00C65C63">
        <w:rPr>
          <w:rFonts w:eastAsia="TimesNewRoman" w:cs="TimesNewRoman"/>
        </w:rPr>
        <w:t>P</w:t>
      </w:r>
      <w:r w:rsidRPr="00C65C63">
        <w:rPr>
          <w:rFonts w:eastAsia="TimesNewRoman" w:cs="Calibri"/>
        </w:rPr>
        <w:t>harmacokinetic interactions between the FDC and other commonly administered drugs in this patient population such as diuretics, warfarin</w:t>
      </w:r>
      <w:r w:rsidR="00F14099" w:rsidRPr="00C65C63">
        <w:rPr>
          <w:rFonts w:eastAsia="TimesNewRoman" w:cs="Calibri"/>
        </w:rPr>
        <w:t xml:space="preserve"> and</w:t>
      </w:r>
      <w:r w:rsidRPr="00C65C63">
        <w:rPr>
          <w:rFonts w:eastAsia="TimesNewRoman" w:cs="Calibri"/>
        </w:rPr>
        <w:t xml:space="preserve"> digoxin</w:t>
      </w:r>
      <w:r w:rsidR="0072297B" w:rsidRPr="00C65C63">
        <w:rPr>
          <w:rFonts w:eastAsia="TimesNewRoman" w:cs="Calibri"/>
        </w:rPr>
        <w:t xml:space="preserve"> and so on</w:t>
      </w:r>
      <w:r w:rsidRPr="00C65C63">
        <w:rPr>
          <w:rFonts w:eastAsia="TimesNewRoman" w:cs="Calibri"/>
        </w:rPr>
        <w:t xml:space="preserve"> were not evaluated.</w:t>
      </w:r>
    </w:p>
    <w:p w14:paraId="4501659D" w14:textId="77777777" w:rsidR="00CE6507" w:rsidRDefault="00CE6507" w:rsidP="0072297B">
      <w:pPr>
        <w:rPr>
          <w:b/>
        </w:rPr>
      </w:pPr>
      <w:r w:rsidRPr="00C65C63">
        <w:t xml:space="preserve">The limitations regarding DDI studies are also present in the concurrent TGA submission </w:t>
      </w:r>
      <w:r w:rsidR="0072297B" w:rsidRPr="00C65C63">
        <w:rPr>
          <w:lang w:eastAsia="ja-JP"/>
        </w:rPr>
        <w:t>for Steglatro.</w:t>
      </w:r>
    </w:p>
    <w:p w14:paraId="61A41578" w14:textId="77777777" w:rsidR="00CE6507" w:rsidRDefault="00CE6507" w:rsidP="00CE6507">
      <w:pPr>
        <w:pStyle w:val="Heading4"/>
      </w:pPr>
      <w:bookmarkStart w:id="121" w:name="_Toc504036117"/>
      <w:r>
        <w:t>Pharmacodynamics</w:t>
      </w:r>
      <w:bookmarkEnd w:id="121"/>
    </w:p>
    <w:p w14:paraId="6ED889D6" w14:textId="77777777" w:rsidR="00CE6507" w:rsidRPr="009A141C" w:rsidRDefault="00CE6507" w:rsidP="00CE6507">
      <w:pPr>
        <w:pStyle w:val="Heading5"/>
      </w:pPr>
      <w:bookmarkStart w:id="122" w:name="_Toc504036118"/>
      <w:r>
        <w:t>Studies providing pharmacodynamic information</w:t>
      </w:r>
      <w:bookmarkEnd w:id="122"/>
    </w:p>
    <w:p w14:paraId="042CD081" w14:textId="77777777" w:rsidR="00CE6507" w:rsidRDefault="00CE6507" w:rsidP="0072297B">
      <w:pPr>
        <w:rPr>
          <w:lang w:eastAsia="ja-JP"/>
        </w:rPr>
      </w:pPr>
      <w:r w:rsidRPr="009B0E74">
        <w:rPr>
          <w:lang w:eastAsia="ja-JP"/>
        </w:rPr>
        <w:t>None of the previously unevaluated studies directly examined the PDs of the FDC tablets</w:t>
      </w:r>
      <w:r>
        <w:rPr>
          <w:lang w:eastAsia="ja-JP"/>
        </w:rPr>
        <w:t xml:space="preserve">; however, the PDs of ertugliflozin as a single agent are described in the concurrent </w:t>
      </w:r>
      <w:r w:rsidRPr="00A60ACA">
        <w:t xml:space="preserve">TGA submission </w:t>
      </w:r>
      <w:r w:rsidR="0072297B">
        <w:t>for Steglatro</w:t>
      </w:r>
      <w:r w:rsidRPr="009B0E74">
        <w:t xml:space="preserve"> whereas,</w:t>
      </w:r>
      <w:r>
        <w:rPr>
          <w:lang w:eastAsia="ja-JP"/>
        </w:rPr>
        <w:t xml:space="preserve"> the PDs of si</w:t>
      </w:r>
      <w:r w:rsidR="0072297B">
        <w:rPr>
          <w:lang w:eastAsia="ja-JP"/>
        </w:rPr>
        <w:t>tagliptin are well established</w:t>
      </w:r>
      <w:r>
        <w:rPr>
          <w:lang w:eastAsia="ja-JP"/>
        </w:rPr>
        <w:t>.</w:t>
      </w:r>
    </w:p>
    <w:p w14:paraId="46479EC8" w14:textId="77777777" w:rsidR="00CE6507" w:rsidRPr="00545B14" w:rsidRDefault="00CE6507" w:rsidP="00CE6507">
      <w:pPr>
        <w:pStyle w:val="Heading5"/>
      </w:pPr>
      <w:bookmarkStart w:id="123" w:name="_Ref269983272"/>
      <w:bookmarkStart w:id="124" w:name="_Toc272414648"/>
      <w:bookmarkStart w:id="125" w:name="_Toc290888496"/>
      <w:bookmarkStart w:id="126" w:name="_Toc416353693"/>
      <w:bookmarkStart w:id="127" w:name="_Toc421005260"/>
      <w:bookmarkStart w:id="128" w:name="_Toc432079142"/>
      <w:bookmarkStart w:id="129" w:name="_Toc432080715"/>
      <w:bookmarkStart w:id="130" w:name="_Toc461096093"/>
      <w:bookmarkStart w:id="131" w:name="_Toc504036122"/>
      <w:r w:rsidRPr="00545B14">
        <w:t>Evaluator’s overall conclusions on pharmacodynamics</w:t>
      </w:r>
      <w:bookmarkEnd w:id="123"/>
      <w:bookmarkEnd w:id="124"/>
      <w:bookmarkEnd w:id="125"/>
      <w:bookmarkEnd w:id="126"/>
      <w:bookmarkEnd w:id="127"/>
      <w:bookmarkEnd w:id="128"/>
      <w:bookmarkEnd w:id="129"/>
      <w:bookmarkEnd w:id="130"/>
      <w:bookmarkEnd w:id="131"/>
    </w:p>
    <w:p w14:paraId="44A34828" w14:textId="77777777" w:rsidR="00CE6507" w:rsidRDefault="00CE6507" w:rsidP="00CE6507">
      <w:pPr>
        <w:rPr>
          <w:lang w:eastAsia="ja-JP"/>
        </w:rPr>
      </w:pPr>
      <w:r>
        <w:rPr>
          <w:lang w:eastAsia="ja-JP"/>
        </w:rPr>
        <w:t>No studies have specifically examined the PDs of the FDC tablets.</w:t>
      </w:r>
    </w:p>
    <w:p w14:paraId="4713F6C8" w14:textId="77777777" w:rsidR="00CE6507" w:rsidRDefault="00CE6507" w:rsidP="00CE6507">
      <w:pPr>
        <w:pStyle w:val="Heading4"/>
      </w:pPr>
      <w:bookmarkStart w:id="132" w:name="_Toc504036123"/>
      <w:r>
        <w:lastRenderedPageBreak/>
        <w:t>Dosage selection for the pivotal studies</w:t>
      </w:r>
      <w:bookmarkEnd w:id="132"/>
    </w:p>
    <w:p w14:paraId="63EF1EBC" w14:textId="77777777" w:rsidR="00CE6507" w:rsidRPr="00545B14" w:rsidRDefault="00CE6507" w:rsidP="00CE6507">
      <w:pPr>
        <w:pStyle w:val="Heading5"/>
      </w:pPr>
      <w:bookmarkStart w:id="133" w:name="_Toc504036124"/>
      <w:r w:rsidRPr="005C1900">
        <w:t>Pharmacokinetics</w:t>
      </w:r>
      <w:r>
        <w:t xml:space="preserve"> and pharmacodynamics: dos</w:t>
      </w:r>
      <w:r w:rsidRPr="00545B14">
        <w:t xml:space="preserve">e </w:t>
      </w:r>
      <w:r>
        <w:t>finding</w:t>
      </w:r>
      <w:r w:rsidRPr="00545B14">
        <w:t xml:space="preserve"> </w:t>
      </w:r>
      <w:r>
        <w:t>s</w:t>
      </w:r>
      <w:r w:rsidRPr="00545B14">
        <w:t>tudies</w:t>
      </w:r>
      <w:bookmarkEnd w:id="133"/>
    </w:p>
    <w:p w14:paraId="677B0875" w14:textId="03608BDC" w:rsidR="00CE6507" w:rsidRPr="003650F0" w:rsidRDefault="00CE6507" w:rsidP="001E2BFE">
      <w:r w:rsidRPr="003650F0">
        <w:t xml:space="preserve">In the sitagliptin and ertugliflozin </w:t>
      </w:r>
      <w:r w:rsidR="0072297B">
        <w:t>DDI</w:t>
      </w:r>
      <w:r w:rsidRPr="003650F0">
        <w:t xml:space="preserve"> study (Study P022/1033),</w:t>
      </w:r>
      <w:r>
        <w:t xml:space="preserve"> </w:t>
      </w:r>
      <w:r w:rsidRPr="003650F0">
        <w:t>co-administration of single doses of ertugliflozin 15</w:t>
      </w:r>
      <w:r w:rsidR="009802FE">
        <w:t xml:space="preserve"> </w:t>
      </w:r>
      <w:r w:rsidR="006D7D02">
        <w:t>mg</w:t>
      </w:r>
      <w:r w:rsidRPr="003650F0">
        <w:t xml:space="preserve"> and sitagliptin 100</w:t>
      </w:r>
      <w:r w:rsidR="009802FE">
        <w:t xml:space="preserve"> </w:t>
      </w:r>
      <w:r w:rsidR="006D7D02">
        <w:t>mg</w:t>
      </w:r>
      <w:r w:rsidRPr="003650F0">
        <w:t xml:space="preserve"> had no</w:t>
      </w:r>
      <w:r>
        <w:t xml:space="preserve"> </w:t>
      </w:r>
      <w:r w:rsidRPr="003650F0">
        <w:t>meaningful effect on ertugliflozin or sitagliptin PK when compared to</w:t>
      </w:r>
      <w:r>
        <w:t xml:space="preserve"> </w:t>
      </w:r>
      <w:r w:rsidRPr="003650F0">
        <w:t>ertugliflozin and</w:t>
      </w:r>
      <w:r>
        <w:t xml:space="preserve"> sitagliptin administered alone</w:t>
      </w:r>
      <w:r w:rsidRPr="003650F0">
        <w:t>. The effect of a standard high</w:t>
      </w:r>
      <w:r w:rsidR="00815048">
        <w:t xml:space="preserve"> f</w:t>
      </w:r>
      <w:r w:rsidRPr="003650F0">
        <w:t>at meal on the PK of ertugliflozin and sitagliptin was</w:t>
      </w:r>
      <w:r>
        <w:t xml:space="preserve"> </w:t>
      </w:r>
      <w:r w:rsidRPr="003650F0">
        <w:t>evaluated using the highest strength ertugliflozin 15</w:t>
      </w:r>
      <w:r w:rsidR="009802FE">
        <w:t xml:space="preserve"> </w:t>
      </w:r>
      <w:r w:rsidR="006D7D02">
        <w:t>mg</w:t>
      </w:r>
      <w:r w:rsidRPr="003650F0">
        <w:t>/sitagliptin 100</w:t>
      </w:r>
      <w:r w:rsidR="009802FE">
        <w:t xml:space="preserve"> </w:t>
      </w:r>
      <w:r w:rsidR="006D7D02">
        <w:t>mg</w:t>
      </w:r>
      <w:r w:rsidRPr="003650F0">
        <w:t xml:space="preserve"> tablet. Similar to the effect of food on the ertugliflozin</w:t>
      </w:r>
      <w:r>
        <w:t xml:space="preserve"> c</w:t>
      </w:r>
      <w:r w:rsidRPr="003650F0">
        <w:t xml:space="preserve">ommercial tablet, administration of the FDC with food decreased ertugliflozin </w:t>
      </w:r>
      <w:r w:rsidR="00E700A6">
        <w:t>C</w:t>
      </w:r>
      <w:r w:rsidR="00E700A6" w:rsidRPr="00E700A6">
        <w:rPr>
          <w:vertAlign w:val="subscript"/>
        </w:rPr>
        <w:t>max</w:t>
      </w:r>
      <w:r w:rsidRPr="003650F0">
        <w:t xml:space="preserve"> by approximately 30% but had no meaningful effect on</w:t>
      </w:r>
      <w:r>
        <w:t xml:space="preserve"> </w:t>
      </w:r>
      <w:r w:rsidRPr="003650F0">
        <w:t xml:space="preserve">ertugliflozin </w:t>
      </w:r>
      <w:r w:rsidR="00E700A6">
        <w:t>AUC</w:t>
      </w:r>
      <w:r w:rsidR="00E700A6" w:rsidRPr="00E700A6">
        <w:rPr>
          <w:vertAlign w:val="subscript"/>
        </w:rPr>
        <w:t>inf</w:t>
      </w:r>
      <w:r w:rsidRPr="003650F0">
        <w:t>.</w:t>
      </w:r>
    </w:p>
    <w:p w14:paraId="76005B80" w14:textId="0047F60B" w:rsidR="00CE6507" w:rsidRPr="003650F0" w:rsidRDefault="00CE6507" w:rsidP="001E2BFE">
      <w:pPr>
        <w:rPr>
          <w:lang w:eastAsia="ja-JP"/>
        </w:rPr>
      </w:pPr>
      <w:r w:rsidRPr="003650F0">
        <w:t xml:space="preserve">The decrease in ertugliflozin </w:t>
      </w:r>
      <w:r w:rsidR="00E700A6">
        <w:t>C</w:t>
      </w:r>
      <w:r w:rsidR="00E700A6" w:rsidRPr="00E700A6">
        <w:rPr>
          <w:vertAlign w:val="subscript"/>
        </w:rPr>
        <w:t>max</w:t>
      </w:r>
      <w:r w:rsidRPr="003650F0">
        <w:t xml:space="preserve"> is not considered clinically relevant. For sitagliptin</w:t>
      </w:r>
      <w:r>
        <w:t xml:space="preserve"> </w:t>
      </w:r>
      <w:r w:rsidRPr="003650F0">
        <w:t xml:space="preserve">administration of the FDC with food resulted in no meaningful effect on sitagliptin </w:t>
      </w:r>
      <w:r w:rsidR="00E700A6">
        <w:t>AUC</w:t>
      </w:r>
      <w:r w:rsidR="00E700A6" w:rsidRPr="00E700A6">
        <w:rPr>
          <w:vertAlign w:val="subscript"/>
        </w:rPr>
        <w:t>inf</w:t>
      </w:r>
      <w:r w:rsidRPr="003650F0">
        <w:t xml:space="preserve"> or</w:t>
      </w:r>
      <w:r>
        <w:t xml:space="preserve"> </w:t>
      </w:r>
      <w:r w:rsidR="00E700A6">
        <w:t>C</w:t>
      </w:r>
      <w:r w:rsidR="00E700A6" w:rsidRPr="00E700A6">
        <w:rPr>
          <w:vertAlign w:val="subscript"/>
        </w:rPr>
        <w:t>max</w:t>
      </w:r>
      <w:r w:rsidRPr="003650F0">
        <w:t xml:space="preserve"> which is consistent with the lack of food effect reported for sitagliptin tablets.</w:t>
      </w:r>
      <w:r w:rsidR="00815048">
        <w:t xml:space="preserve"> </w:t>
      </w:r>
      <w:r w:rsidRPr="003650F0">
        <w:t>Therefore, the ertugliflozin/sitagliptin FDC can be administered without regard to food,</w:t>
      </w:r>
      <w:r>
        <w:t xml:space="preserve"> </w:t>
      </w:r>
      <w:r w:rsidRPr="003650F0">
        <w:t xml:space="preserve">similar to how ertugliflozin and sitagliptin were co-administered in </w:t>
      </w:r>
      <w:r w:rsidR="00B51DF2">
        <w:t>Phase III</w:t>
      </w:r>
      <w:r w:rsidRPr="003650F0">
        <w:t xml:space="preserve"> trials</w:t>
      </w:r>
      <w:r>
        <w:t>.</w:t>
      </w:r>
    </w:p>
    <w:p w14:paraId="06C32607" w14:textId="77777777" w:rsidR="00CE6507" w:rsidRPr="00545B14" w:rsidRDefault="00B51DF2" w:rsidP="00CE6507">
      <w:pPr>
        <w:pStyle w:val="Heading5"/>
      </w:pPr>
      <w:bookmarkStart w:id="134" w:name="_Toc504036125"/>
      <w:r>
        <w:t>Phase II</w:t>
      </w:r>
      <w:r w:rsidR="00CE6507" w:rsidRPr="00545B14">
        <w:t xml:space="preserve"> </w:t>
      </w:r>
      <w:r w:rsidR="00CE6507">
        <w:t>d</w:t>
      </w:r>
      <w:r w:rsidR="00CE6507" w:rsidRPr="00545B14">
        <w:t xml:space="preserve">ose </w:t>
      </w:r>
      <w:r w:rsidR="00CE6507">
        <w:t>finding</w:t>
      </w:r>
      <w:r w:rsidR="00CE6507" w:rsidRPr="00545B14">
        <w:t xml:space="preserve"> </w:t>
      </w:r>
      <w:r w:rsidR="00CE6507">
        <w:t>s</w:t>
      </w:r>
      <w:r w:rsidR="00CE6507" w:rsidRPr="00545B14">
        <w:t>tudies</w:t>
      </w:r>
      <w:bookmarkEnd w:id="134"/>
    </w:p>
    <w:p w14:paraId="07969D02" w14:textId="29E220F5" w:rsidR="00CE6507" w:rsidRDefault="00CE6507" w:rsidP="00CE6507">
      <w:pPr>
        <w:spacing w:before="0" w:line="240" w:lineRule="auto"/>
        <w:rPr>
          <w:lang w:eastAsia="ja-JP"/>
        </w:rPr>
      </w:pPr>
      <w:r>
        <w:rPr>
          <w:lang w:eastAsia="ja-JP"/>
        </w:rPr>
        <w:t xml:space="preserve">The two </w:t>
      </w:r>
      <w:r w:rsidR="00B51DF2">
        <w:rPr>
          <w:lang w:eastAsia="ja-JP"/>
        </w:rPr>
        <w:t>Phase II</w:t>
      </w:r>
      <w:r>
        <w:rPr>
          <w:lang w:eastAsia="ja-JP"/>
        </w:rPr>
        <w:t xml:space="preserve"> dose</w:t>
      </w:r>
      <w:r w:rsidR="00815048">
        <w:rPr>
          <w:lang w:eastAsia="ja-JP"/>
        </w:rPr>
        <w:t xml:space="preserve"> </w:t>
      </w:r>
      <w:r>
        <w:rPr>
          <w:lang w:eastAsia="ja-JP"/>
        </w:rPr>
        <w:t>ranging studies for ertugliflozin were evaluated in the Steglatro report (</w:t>
      </w:r>
      <w:r w:rsidR="0072297B">
        <w:rPr>
          <w:lang w:eastAsia="ja-JP"/>
        </w:rPr>
        <w:t>Attachment 2).</w:t>
      </w:r>
    </w:p>
    <w:p w14:paraId="38120DA0" w14:textId="77777777" w:rsidR="00CE6507" w:rsidRPr="00670FF0" w:rsidRDefault="00B51DF2" w:rsidP="00CE6507">
      <w:pPr>
        <w:pStyle w:val="Heading5"/>
      </w:pPr>
      <w:bookmarkStart w:id="135" w:name="_Toc504036126"/>
      <w:r>
        <w:t>Phase III</w:t>
      </w:r>
      <w:r w:rsidR="00CE6507" w:rsidRPr="00670FF0">
        <w:t xml:space="preserve"> pivotal studies investigating more than one dose regimen</w:t>
      </w:r>
      <w:bookmarkEnd w:id="135"/>
    </w:p>
    <w:p w14:paraId="27A179EF" w14:textId="1D9DF57B" w:rsidR="00CE6507" w:rsidRDefault="00CE6507" w:rsidP="001E2BFE">
      <w:pPr>
        <w:rPr>
          <w:lang w:eastAsia="ja-JP"/>
        </w:rPr>
      </w:pPr>
      <w:r w:rsidRPr="00067F80">
        <w:t>The proposed dose strengths of ertugliflozin in the ertugliflozin/sitagliptin FDC of 15</w:t>
      </w:r>
      <w:r w:rsidR="009802FE">
        <w:t xml:space="preserve"> </w:t>
      </w:r>
      <w:r w:rsidR="006D7D02">
        <w:t>mg</w:t>
      </w:r>
      <w:r w:rsidRPr="00067F80">
        <w:t xml:space="preserve"> and</w:t>
      </w:r>
      <w:r>
        <w:t xml:space="preserve"> </w:t>
      </w:r>
      <w:r w:rsidRPr="00067F80">
        <w:t>5</w:t>
      </w:r>
      <w:r w:rsidR="009802FE">
        <w:t xml:space="preserve"> </w:t>
      </w:r>
      <w:r w:rsidR="006D7D02">
        <w:t>mg</w:t>
      </w:r>
      <w:r w:rsidRPr="00067F80">
        <w:t xml:space="preserve"> are consistent with the ertugliflozin doses </w:t>
      </w:r>
      <w:r>
        <w:t xml:space="preserve">evaluated in </w:t>
      </w:r>
      <w:r w:rsidRPr="00067F80">
        <w:t xml:space="preserve">the </w:t>
      </w:r>
      <w:r w:rsidR="00B51DF2">
        <w:t>Phase III</w:t>
      </w:r>
      <w:r w:rsidRPr="00067F80">
        <w:t xml:space="preserve"> program. </w:t>
      </w:r>
      <w:r>
        <w:t>E</w:t>
      </w:r>
      <w:r w:rsidRPr="00067F80">
        <w:t xml:space="preserve">rtugliflozin </w:t>
      </w:r>
      <w:r>
        <w:t xml:space="preserve">is contraindicated in </w:t>
      </w:r>
      <w:r w:rsidRPr="00067F80">
        <w:t>subjects with an e</w:t>
      </w:r>
      <w:r>
        <w:t>GFR &lt;</w:t>
      </w:r>
      <w:r w:rsidR="00815048">
        <w:t xml:space="preserve"> </w:t>
      </w:r>
      <w:r>
        <w:t>4</w:t>
      </w:r>
      <w:r w:rsidRPr="00067F80">
        <w:t>5 mL/min/1.73 m</w:t>
      </w:r>
      <w:r w:rsidRPr="00067F80">
        <w:rPr>
          <w:vertAlign w:val="superscript"/>
        </w:rPr>
        <w:t>2</w:t>
      </w:r>
      <w:r w:rsidRPr="00067F80">
        <w:t>.</w:t>
      </w:r>
    </w:p>
    <w:p w14:paraId="78CF923F" w14:textId="77777777" w:rsidR="00CE6507" w:rsidRPr="00FC7F96" w:rsidRDefault="00CE6507" w:rsidP="001E2BFE">
      <w:r w:rsidRPr="00FC7F96">
        <w:t xml:space="preserve">In the </w:t>
      </w:r>
      <w:r w:rsidR="00B51DF2">
        <w:t>Phase III</w:t>
      </w:r>
      <w:r w:rsidRPr="00FC7F96">
        <w:t xml:space="preserve"> studies, ertugliflozin and sitagliptin were co-administered as individual tablets.</w:t>
      </w:r>
      <w:r>
        <w:t xml:space="preserve"> The proposed ertugliflozin/sitagliptin FDC was not evaluated in any </w:t>
      </w:r>
      <w:r w:rsidR="00B51DF2">
        <w:t>Phase III</w:t>
      </w:r>
      <w:r>
        <w:t xml:space="preserve"> studies.</w:t>
      </w:r>
    </w:p>
    <w:p w14:paraId="4E2A8594" w14:textId="5D60A3F7" w:rsidR="00CE6507" w:rsidRDefault="00CE6507" w:rsidP="001E2BFE">
      <w:r w:rsidRPr="00FC7F96">
        <w:t>Bridging to the FDC tablets was accomplished through bioequivalence studies</w:t>
      </w:r>
      <w:r>
        <w:t xml:space="preserve"> </w:t>
      </w:r>
      <w:r w:rsidRPr="00FC7F96">
        <w:t>(Studies P025/1038, P044/1053, P048/1056 and P049/1057). Ertugliflozin 15</w:t>
      </w:r>
      <w:r w:rsidR="009802FE">
        <w:t xml:space="preserve"> </w:t>
      </w:r>
      <w:r w:rsidR="006D7D02">
        <w:t>mg</w:t>
      </w:r>
      <w:r w:rsidRPr="00FC7F96">
        <w:t>/sitagliptin</w:t>
      </w:r>
      <w:r>
        <w:t xml:space="preserve"> </w:t>
      </w:r>
      <w:r w:rsidRPr="00FC7F96">
        <w:t>100</w:t>
      </w:r>
      <w:r w:rsidR="009802FE">
        <w:t> </w:t>
      </w:r>
      <w:r w:rsidR="006D7D02">
        <w:t>mg</w:t>
      </w:r>
      <w:r w:rsidRPr="00FC7F96">
        <w:t xml:space="preserve"> FDC and ertugliflozin 5</w:t>
      </w:r>
      <w:r w:rsidR="009802FE">
        <w:t xml:space="preserve"> </w:t>
      </w:r>
      <w:r w:rsidR="006D7D02">
        <w:t>mg</w:t>
      </w:r>
      <w:r w:rsidRPr="00FC7F96">
        <w:t>/sitagliptin 100</w:t>
      </w:r>
      <w:r w:rsidR="009802FE">
        <w:t xml:space="preserve"> </w:t>
      </w:r>
      <w:r w:rsidR="006D7D02">
        <w:t>mg</w:t>
      </w:r>
      <w:r w:rsidRPr="00FC7F96">
        <w:t xml:space="preserve"> FDC are bioequivalent with the</w:t>
      </w:r>
      <w:r>
        <w:t xml:space="preserve"> </w:t>
      </w:r>
      <w:r w:rsidRPr="00FC7F96">
        <w:t>corresponding doses of ertugliflozin and sitagliptin tablets co-administered as individual</w:t>
      </w:r>
      <w:r>
        <w:t xml:space="preserve"> </w:t>
      </w:r>
      <w:r w:rsidRPr="00FC7F96">
        <w:t xml:space="preserve">components in the </w:t>
      </w:r>
      <w:r w:rsidR="00B51DF2">
        <w:t>Phase III</w:t>
      </w:r>
      <w:r w:rsidRPr="00FC7F96">
        <w:t xml:space="preserve"> studies. Bioequivalence of ertugliflozin 15</w:t>
      </w:r>
      <w:r w:rsidR="009802FE">
        <w:t xml:space="preserve"> </w:t>
      </w:r>
      <w:r w:rsidR="006D7D02">
        <w:t>mg</w:t>
      </w:r>
      <w:r w:rsidRPr="00FC7F96">
        <w:t>/sitagliptin 50</w:t>
      </w:r>
      <w:r w:rsidR="009802FE">
        <w:t> </w:t>
      </w:r>
      <w:r w:rsidR="006D7D02">
        <w:t>mg</w:t>
      </w:r>
      <w:r>
        <w:t xml:space="preserve"> </w:t>
      </w:r>
      <w:r w:rsidRPr="00FC7F96">
        <w:t>FDC and ertugliflozin 5</w:t>
      </w:r>
      <w:r w:rsidR="009802FE">
        <w:t xml:space="preserve"> </w:t>
      </w:r>
      <w:r w:rsidR="006D7D02">
        <w:t>mg</w:t>
      </w:r>
      <w:r w:rsidRPr="00FC7F96">
        <w:t>/sitagliptin 50</w:t>
      </w:r>
      <w:r w:rsidR="009802FE">
        <w:t xml:space="preserve"> </w:t>
      </w:r>
      <w:r w:rsidR="006D7D02">
        <w:t>mg</w:t>
      </w:r>
      <w:r w:rsidRPr="00FC7F96">
        <w:t xml:space="preserve"> FDC was also established</w:t>
      </w:r>
      <w:r>
        <w:t>.</w:t>
      </w:r>
    </w:p>
    <w:p w14:paraId="505360FF" w14:textId="77777777" w:rsidR="00CE6507" w:rsidRPr="00670FF0" w:rsidRDefault="00CE6507" w:rsidP="00CE6507">
      <w:pPr>
        <w:pStyle w:val="Heading5"/>
      </w:pPr>
      <w:bookmarkStart w:id="136" w:name="_Toc504036127"/>
      <w:r>
        <w:t>Evaluator’s conclusions on dos</w:t>
      </w:r>
      <w:r w:rsidRPr="00670FF0">
        <w:t>e finding for the pivotal studies</w:t>
      </w:r>
      <w:bookmarkEnd w:id="136"/>
    </w:p>
    <w:p w14:paraId="29BCF57F" w14:textId="7B45ACF6" w:rsidR="00CE6507" w:rsidRDefault="00CE6507" w:rsidP="001E2BFE">
      <w:r w:rsidRPr="00067F80">
        <w:t>The proposed doses of sitagliptin in the ertugliflozin/sitagliptin FDC are consistent with the</w:t>
      </w:r>
      <w:r>
        <w:t xml:space="preserve"> </w:t>
      </w:r>
      <w:r w:rsidRPr="00067F80">
        <w:t>approved sitaglip</w:t>
      </w:r>
      <w:r>
        <w:t xml:space="preserve">tin label. The recommended doses </w:t>
      </w:r>
      <w:r w:rsidRPr="00067F80">
        <w:t xml:space="preserve">of sitagliptin </w:t>
      </w:r>
      <w:r>
        <w:t>are 10</w:t>
      </w:r>
      <w:r w:rsidR="0072297B">
        <w:t>0</w:t>
      </w:r>
      <w:r w:rsidR="009802FE">
        <w:t xml:space="preserve"> </w:t>
      </w:r>
      <w:r w:rsidR="006D7D02">
        <w:t>mg</w:t>
      </w:r>
      <w:r>
        <w:t>, 5</w:t>
      </w:r>
      <w:r w:rsidR="0072297B">
        <w:t>0</w:t>
      </w:r>
      <w:r w:rsidR="009802FE">
        <w:t xml:space="preserve"> </w:t>
      </w:r>
      <w:r w:rsidR="006D7D02">
        <w:t>mg</w:t>
      </w:r>
      <w:r>
        <w:t xml:space="preserve"> and 2</w:t>
      </w:r>
      <w:r w:rsidR="00731A2E">
        <w:t>5</w:t>
      </w:r>
      <w:r w:rsidR="009802FE">
        <w:t xml:space="preserve"> </w:t>
      </w:r>
      <w:r w:rsidR="006D7D02">
        <w:t>mg</w:t>
      </w:r>
      <w:r>
        <w:t xml:space="preserve"> once daily </w:t>
      </w:r>
      <w:r w:rsidRPr="00067F80">
        <w:t xml:space="preserve">for patients with </w:t>
      </w:r>
      <w:r>
        <w:t xml:space="preserve">mild, </w:t>
      </w:r>
      <w:r w:rsidRPr="00564D47">
        <w:t>moderate and severe renal impairment (CrCL</w:t>
      </w:r>
      <w:r w:rsidR="001E2BFE">
        <w:t> </w:t>
      </w:r>
      <w:r w:rsidR="00815048">
        <w:t>≥</w:t>
      </w:r>
      <w:r w:rsidR="00AD51CF" w:rsidRPr="001E2BFE">
        <w:t xml:space="preserve"> </w:t>
      </w:r>
      <w:r w:rsidR="004A4114">
        <w:t>50mL</w:t>
      </w:r>
      <w:r w:rsidRPr="00564D47">
        <w:t>/min, 30 to &lt;</w:t>
      </w:r>
      <w:r w:rsidR="00815048">
        <w:t xml:space="preserve"> </w:t>
      </w:r>
      <w:r w:rsidRPr="00564D47">
        <w:t>50</w:t>
      </w:r>
      <w:r w:rsidR="004A4114">
        <w:t>mL</w:t>
      </w:r>
      <w:r w:rsidRPr="00564D47">
        <w:t>/min and &lt;</w:t>
      </w:r>
      <w:r w:rsidR="00815048">
        <w:t xml:space="preserve"> </w:t>
      </w:r>
      <w:r w:rsidRPr="00564D47">
        <w:t>30</w:t>
      </w:r>
      <w:r w:rsidR="004A4114">
        <w:t>mL</w:t>
      </w:r>
      <w:r w:rsidRPr="00564D47">
        <w:t xml:space="preserve">/min, respectively). As ertugliflozin is contraindicated in patients with severe renal impairment or </w:t>
      </w:r>
      <w:r w:rsidR="001E2BFE">
        <w:rPr>
          <w:rFonts w:asciiTheme="minorHAnsi" w:eastAsia="TimesNewRoman" w:hAnsiTheme="minorHAnsi" w:cs="TimesNewRoman"/>
        </w:rPr>
        <w:t>end stage renal disease</w:t>
      </w:r>
      <w:r w:rsidRPr="00564D47">
        <w:t>, no ertugliflozin/sitagliptin tablet containing sitagliptin 2</w:t>
      </w:r>
      <w:r w:rsidR="0072297B">
        <w:t>5</w:t>
      </w:r>
      <w:r w:rsidR="009802FE">
        <w:t xml:space="preserve"> </w:t>
      </w:r>
      <w:r w:rsidR="006D7D02">
        <w:t>mg</w:t>
      </w:r>
      <w:r w:rsidR="0072297B">
        <w:t xml:space="preserve"> is planned for commercialis</w:t>
      </w:r>
      <w:r w:rsidRPr="00564D47">
        <w:t xml:space="preserve">ation. </w:t>
      </w:r>
      <w:r w:rsidRPr="00C65C63">
        <w:t>Hence, the sponsor has proposed 4 strengths of the ertugliflozin/sitagliptin FDC (ertugliflozin/ sitagliptin: 15/10</w:t>
      </w:r>
      <w:r w:rsidR="0072297B" w:rsidRPr="00C65C63">
        <w:t>0</w:t>
      </w:r>
      <w:r w:rsidR="009802FE">
        <w:t xml:space="preserve"> </w:t>
      </w:r>
      <w:r w:rsidR="006D7D02">
        <w:t>mg</w:t>
      </w:r>
      <w:r w:rsidRPr="00C65C63">
        <w:t>; 5/10</w:t>
      </w:r>
      <w:r w:rsidR="0072297B" w:rsidRPr="00C65C63">
        <w:t>0</w:t>
      </w:r>
      <w:r w:rsidR="009802FE">
        <w:t xml:space="preserve"> </w:t>
      </w:r>
      <w:r w:rsidR="006D7D02">
        <w:t>mg</w:t>
      </w:r>
      <w:r w:rsidRPr="00C65C63">
        <w:t>; 15/5</w:t>
      </w:r>
      <w:r w:rsidR="0072297B" w:rsidRPr="00C65C63">
        <w:t>0</w:t>
      </w:r>
      <w:r w:rsidR="009802FE">
        <w:t xml:space="preserve"> </w:t>
      </w:r>
      <w:r w:rsidR="006D7D02">
        <w:t>mg</w:t>
      </w:r>
      <w:r w:rsidRPr="00C65C63">
        <w:t xml:space="preserve"> and 5/5</w:t>
      </w:r>
      <w:r w:rsidR="0072297B" w:rsidRPr="00C65C63">
        <w:t>0</w:t>
      </w:r>
      <w:r w:rsidR="009802FE">
        <w:t xml:space="preserve"> </w:t>
      </w:r>
      <w:r w:rsidR="006D7D02">
        <w:t>mg</w:t>
      </w:r>
      <w:r w:rsidRPr="00C65C63">
        <w:t>) to enable use over the T2DM spectrum of disease and range of renal function for which use of ertugliflozin and sitagliptin would be appropriate.</w:t>
      </w:r>
    </w:p>
    <w:p w14:paraId="5122E154" w14:textId="77777777" w:rsidR="00CE6507" w:rsidRDefault="0072297B" w:rsidP="0072297B">
      <w:pPr>
        <w:pStyle w:val="Heading4"/>
      </w:pPr>
      <w:bookmarkStart w:id="137" w:name="_Toc504036128"/>
      <w:r>
        <w:t>E</w:t>
      </w:r>
      <w:r w:rsidR="00CE6507">
        <w:t>fficacy</w:t>
      </w:r>
      <w:bookmarkEnd w:id="137"/>
    </w:p>
    <w:p w14:paraId="422B2556" w14:textId="77777777" w:rsidR="00CE6507" w:rsidRDefault="00CE6507" w:rsidP="0072297B">
      <w:pPr>
        <w:pStyle w:val="Heading5"/>
      </w:pPr>
      <w:bookmarkStart w:id="138" w:name="_Toc504036129"/>
      <w:bookmarkStart w:id="139" w:name="_Ref271037274"/>
      <w:bookmarkStart w:id="140" w:name="_Toc272414652"/>
      <w:bookmarkStart w:id="141" w:name="_Toc290888500"/>
      <w:bookmarkStart w:id="142" w:name="_Toc416353716"/>
      <w:bookmarkStart w:id="143" w:name="_Toc421005269"/>
      <w:bookmarkStart w:id="144" w:name="_Toc432079151"/>
      <w:bookmarkStart w:id="145" w:name="_Toc432080724"/>
      <w:r w:rsidRPr="00545B14">
        <w:t xml:space="preserve">Studies providing evaluable </w:t>
      </w:r>
      <w:r>
        <w:t>efficacy</w:t>
      </w:r>
      <w:r w:rsidRPr="00545B14">
        <w:t xml:space="preserve"> data</w:t>
      </w:r>
      <w:bookmarkEnd w:id="138"/>
    </w:p>
    <w:p w14:paraId="0C443B92" w14:textId="711EA61B" w:rsidR="00CE6507" w:rsidRPr="00220464" w:rsidRDefault="00CE6507" w:rsidP="001E2BFE">
      <w:pPr>
        <w:rPr>
          <w:b/>
        </w:rPr>
      </w:pPr>
      <w:r>
        <w:t xml:space="preserve">Seven </w:t>
      </w:r>
      <w:r w:rsidR="00B51DF2">
        <w:t>Phase III</w:t>
      </w:r>
      <w:r>
        <w:t xml:space="preserve"> studies in the ertugliflozin clinical development program (including placebo</w:t>
      </w:r>
      <w:r w:rsidR="00815048">
        <w:t xml:space="preserve"> </w:t>
      </w:r>
      <w:r>
        <w:t>controlled and active-controlled studies) evaluated</w:t>
      </w:r>
      <w:r w:rsidRPr="00D35FB1">
        <w:t xml:space="preserve"> ertugliflozin as monotherapy, </w:t>
      </w:r>
      <w:r w:rsidRPr="00D35FB1">
        <w:lastRenderedPageBreak/>
        <w:t>as well as add-on therapy to single and dual oral</w:t>
      </w:r>
      <w:r>
        <w:t xml:space="preserve"> </w:t>
      </w:r>
      <w:r w:rsidRPr="00D35FB1">
        <w:t>AHAs including sitagliptin, across a broad population of subjects</w:t>
      </w:r>
      <w:r>
        <w:t xml:space="preserve"> with T2DM.</w:t>
      </w:r>
      <w:r w:rsidR="00B51DF2">
        <w:t xml:space="preserve"> </w:t>
      </w:r>
      <w:r w:rsidRPr="00D35FB1">
        <w:t>Three of the 7 studies</w:t>
      </w:r>
      <w:r>
        <w:t xml:space="preserve"> </w:t>
      </w:r>
      <w:r w:rsidRPr="00D35FB1">
        <w:t xml:space="preserve">specifically support the efficacy of the </w:t>
      </w:r>
      <w:r>
        <w:t xml:space="preserve">proposed </w:t>
      </w:r>
      <w:r w:rsidRPr="00D35FB1">
        <w:t>ertugliflozin/sitagliptin fixed</w:t>
      </w:r>
      <w:r w:rsidR="00815048">
        <w:t xml:space="preserve"> </w:t>
      </w:r>
      <w:r w:rsidRPr="00D35FB1">
        <w:t>dose combination</w:t>
      </w:r>
      <w:r>
        <w:t xml:space="preserve"> </w:t>
      </w:r>
      <w:r w:rsidRPr="00D35FB1">
        <w:t>(FDC)</w:t>
      </w:r>
      <w:r w:rsidR="0072297B">
        <w:t xml:space="preserve"> (</w:t>
      </w:r>
      <w:r w:rsidR="001E2BFE">
        <w:rPr>
          <w:rFonts w:asciiTheme="minorHAnsi" w:eastAsia="TimesNewRoman" w:hAnsiTheme="minorHAnsi" w:cs="TimesNewRoman"/>
        </w:rPr>
        <w:t>see Table 23, below</w:t>
      </w:r>
      <w:r w:rsidR="0072297B">
        <w:t>).</w:t>
      </w:r>
    </w:p>
    <w:p w14:paraId="30AE1606" w14:textId="77777777" w:rsidR="00CE6507" w:rsidRPr="00DD07D6" w:rsidRDefault="00CE6507" w:rsidP="0072297B">
      <w:pPr>
        <w:pStyle w:val="TableTitle"/>
      </w:pPr>
      <w:bookmarkStart w:id="146" w:name="_Toc504036205"/>
      <w:r w:rsidRPr="00DD07D6">
        <w:t xml:space="preserve">Table </w:t>
      </w:r>
      <w:r w:rsidR="00E55ACA">
        <w:t xml:space="preserve">23: </w:t>
      </w:r>
      <w:r w:rsidRPr="00DD07D6">
        <w:t xml:space="preserve">Overview of </w:t>
      </w:r>
      <w:r w:rsidR="00B51DF2">
        <w:t>Phase III</w:t>
      </w:r>
      <w:r w:rsidRPr="00DD07D6">
        <w:t xml:space="preserve"> studies supporting the ertugliflozin/sitagliptin FDC</w:t>
      </w:r>
      <w:bookmarkEnd w:id="146"/>
    </w:p>
    <w:p w14:paraId="218FB0AF" w14:textId="77777777" w:rsidR="00CE6507" w:rsidRDefault="00CE6507" w:rsidP="00CE6507">
      <w:pPr>
        <w:autoSpaceDE w:val="0"/>
        <w:autoSpaceDN w:val="0"/>
        <w:adjustRightInd w:val="0"/>
        <w:spacing w:before="0" w:line="240" w:lineRule="auto"/>
        <w:rPr>
          <w:rFonts w:ascii="Calibri" w:eastAsia="TimesNewRoman" w:hAnsi="Calibri" w:cs="Calibri"/>
          <w:u w:val="single"/>
        </w:rPr>
      </w:pPr>
      <w:r>
        <w:rPr>
          <w:noProof/>
          <w:lang w:eastAsia="en-AU"/>
        </w:rPr>
        <w:drawing>
          <wp:inline distT="0" distB="0" distL="0" distR="0" wp14:anchorId="32EA1CD0" wp14:editId="5A601D8B">
            <wp:extent cx="5735116" cy="1938528"/>
            <wp:effectExtent l="0" t="0" r="0" b="5080"/>
            <wp:docPr id="6" name="Picture 6" descr="Overview of Phase III studies supporting the ertugliflozin/sitagliptin F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5731510" cy="1937309"/>
                    </a:xfrm>
                    <a:prstGeom prst="rect">
                      <a:avLst/>
                    </a:prstGeom>
                    <a:noFill/>
                    <a:ln>
                      <a:noFill/>
                    </a:ln>
                  </pic:spPr>
                </pic:pic>
              </a:graphicData>
            </a:graphic>
          </wp:inline>
        </w:drawing>
      </w:r>
    </w:p>
    <w:p w14:paraId="2079EE83" w14:textId="77777777" w:rsidR="00CE6507" w:rsidRDefault="00CE6507" w:rsidP="0072297B">
      <w:pPr>
        <w:pStyle w:val="Heading5"/>
      </w:pPr>
      <w:bookmarkStart w:id="147" w:name="_Toc504036130"/>
      <w:r w:rsidRPr="005632DC">
        <w:t>Pivotal or main efficacy studies</w:t>
      </w:r>
      <w:bookmarkEnd w:id="139"/>
      <w:bookmarkEnd w:id="140"/>
      <w:bookmarkEnd w:id="141"/>
      <w:bookmarkEnd w:id="142"/>
      <w:bookmarkEnd w:id="143"/>
      <w:bookmarkEnd w:id="144"/>
      <w:bookmarkEnd w:id="145"/>
      <w:bookmarkEnd w:id="147"/>
    </w:p>
    <w:p w14:paraId="00BFCF44" w14:textId="3FD74315" w:rsidR="00CE6507" w:rsidRPr="00094C82" w:rsidRDefault="00CE6507" w:rsidP="0072297B">
      <w:r w:rsidRPr="00094C82">
        <w:t>The 3 pivotal studies to support the proposed ertugliflozin-sitagliptin FDC have been evaluated and discussed in detail in the Steglatro report (</w:t>
      </w:r>
      <w:r w:rsidR="001E2BFE">
        <w:t xml:space="preserve">see </w:t>
      </w:r>
      <w:r w:rsidR="00EE2636">
        <w:t>Attachment 2</w:t>
      </w:r>
      <w:r w:rsidRPr="00094C82">
        <w:t xml:space="preserve">) and only the main efficacy results will be discussed in </w:t>
      </w:r>
      <w:r w:rsidR="00EE2636">
        <w:t>Attachment 3</w:t>
      </w:r>
      <w:r w:rsidRPr="00094C82">
        <w:t>. The efficacy endpoints used in these studies complied with TGA adopted EMA guidelines for evaluation of drugs used in treatment of T2DM.</w:t>
      </w:r>
    </w:p>
    <w:p w14:paraId="597F159B" w14:textId="6083E353" w:rsidR="00CE6507" w:rsidRPr="007C1EA6" w:rsidRDefault="00CE6507" w:rsidP="001E2BFE">
      <w:pPr>
        <w:rPr>
          <w:lang w:eastAsia="ja-JP"/>
        </w:rPr>
      </w:pPr>
      <w:r w:rsidRPr="007C1EA6">
        <w:t xml:space="preserve">All studies evaluated glycaemic efficacy (change from baseline in </w:t>
      </w:r>
      <w:r w:rsidR="003F2DE3">
        <w:t>Hb</w:t>
      </w:r>
      <w:r w:rsidR="00A04B32">
        <w:t>A1c</w:t>
      </w:r>
      <w:r w:rsidRPr="007C1EA6">
        <w:t xml:space="preserve">, FPG and </w:t>
      </w:r>
      <w:r w:rsidR="00C968D9">
        <w:t>2 h</w:t>
      </w:r>
      <w:r w:rsidRPr="007C1EA6">
        <w:t xml:space="preserve"> PPG</w:t>
      </w:r>
      <w:r w:rsidRPr="007C1EA6">
        <w:rPr>
          <w:rStyle w:val="FootnoteReference"/>
          <w:rFonts w:asciiTheme="minorHAnsi" w:eastAsia="TimesNewRoman" w:hAnsiTheme="minorHAnsi" w:cs="Calibri"/>
        </w:rPr>
        <w:footnoteReference w:id="30"/>
      </w:r>
      <w:r w:rsidRPr="007C1EA6">
        <w:t xml:space="preserve">, the proportion of subjects with </w:t>
      </w:r>
      <w:r w:rsidR="003F2DE3">
        <w:t>Hb</w:t>
      </w:r>
      <w:r w:rsidR="00A04B32">
        <w:t>A1c</w:t>
      </w:r>
      <w:r w:rsidRPr="007C1EA6">
        <w:t xml:space="preserve"> &lt;</w:t>
      </w:r>
      <w:r w:rsidR="00815048">
        <w:t xml:space="preserve"> </w:t>
      </w:r>
      <w:r w:rsidRPr="007C1EA6">
        <w:t xml:space="preserve">7.0%, the proportion of subjects receiving glycaemic rescue therapy, and the time to glycaemic rescue) of proposed ertugliflozin/sitagliptin combination and also evaluated impact of ertugliflozin/ sitagliptin or ertugliflozin </w:t>
      </w:r>
      <w:r>
        <w:t xml:space="preserve">on </w:t>
      </w:r>
      <w:r w:rsidRPr="007C1EA6">
        <w:t xml:space="preserve">change from baseline in body weight, SBP and </w:t>
      </w:r>
      <w:r w:rsidR="001E2BFE">
        <w:t>d</w:t>
      </w:r>
      <w:r w:rsidR="00C45B82" w:rsidRPr="004D575B">
        <w:t>iastolic blood pressure</w:t>
      </w:r>
      <w:r w:rsidR="00C45B82" w:rsidRPr="007C1EA6">
        <w:t xml:space="preserve"> </w:t>
      </w:r>
      <w:r w:rsidR="00C45B82">
        <w:t>(</w:t>
      </w:r>
      <w:r w:rsidRPr="007C1EA6">
        <w:t>DBP</w:t>
      </w:r>
      <w:r w:rsidR="00C45B82">
        <w:t>)</w:t>
      </w:r>
      <w:r w:rsidR="00EE2636">
        <w:t>.</w:t>
      </w:r>
    </w:p>
    <w:p w14:paraId="7B6CB419" w14:textId="2DBBB60C" w:rsidR="00CE6507" w:rsidRPr="001E2BFE" w:rsidRDefault="00CE6507" w:rsidP="001E2BFE">
      <w:bookmarkStart w:id="148" w:name="_Ref271037188"/>
      <w:bookmarkStart w:id="149" w:name="_Ref271037210"/>
      <w:bookmarkStart w:id="150" w:name="_Toc272414655"/>
      <w:bookmarkStart w:id="151" w:name="_Toc290888503"/>
      <w:bookmarkStart w:id="152" w:name="_Toc416353719"/>
      <w:bookmarkStart w:id="153" w:name="_Toc421005270"/>
      <w:bookmarkStart w:id="154" w:name="_Toc432079152"/>
      <w:bookmarkStart w:id="155" w:name="_Toc432080725"/>
      <w:bookmarkStart w:id="156" w:name="_Toc241374311"/>
      <w:bookmarkStart w:id="157" w:name="_Ref243294291"/>
      <w:r w:rsidRPr="001E2BFE">
        <w:t>A total of 1987 subjects were randomly assigned to study medication in the 3 pivotal FDC studies: 495 subjects were randomly assigned to receive ertugliflozin 15</w:t>
      </w:r>
      <w:r w:rsidR="009802FE" w:rsidRPr="001E2BFE">
        <w:t xml:space="preserve"> </w:t>
      </w:r>
      <w:r w:rsidR="006D7D02" w:rsidRPr="001E2BFE">
        <w:t>mg</w:t>
      </w:r>
      <w:r w:rsidR="00EE2636" w:rsidRPr="001E2BFE">
        <w:t xml:space="preserve"> with </w:t>
      </w:r>
      <w:r w:rsidRPr="001E2BFE">
        <w:t>sitagliptin 100</w:t>
      </w:r>
      <w:r w:rsidR="009802FE" w:rsidRPr="001E2BFE">
        <w:t xml:space="preserve"> </w:t>
      </w:r>
      <w:r w:rsidR="006D7D02" w:rsidRPr="001E2BFE">
        <w:t>mg</w:t>
      </w:r>
      <w:r w:rsidRPr="001E2BFE">
        <w:t xml:space="preserve"> treatment and 497 subjects to the ertugliflozin 5</w:t>
      </w:r>
      <w:r w:rsidR="009802FE" w:rsidRPr="001E2BFE">
        <w:t xml:space="preserve"> </w:t>
      </w:r>
      <w:r w:rsidR="006D7D02" w:rsidRPr="001E2BFE">
        <w:t>mg</w:t>
      </w:r>
      <w:r w:rsidR="00EE2636" w:rsidRPr="001E2BFE">
        <w:t xml:space="preserve"> with </w:t>
      </w:r>
      <w:r w:rsidRPr="001E2BFE">
        <w:t>sitagliptin 100</w:t>
      </w:r>
      <w:r w:rsidR="009802FE" w:rsidRPr="001E2BFE">
        <w:t xml:space="preserve"> </w:t>
      </w:r>
      <w:r w:rsidR="006D7D02" w:rsidRPr="001E2BFE">
        <w:t>mg</w:t>
      </w:r>
      <w:r w:rsidRPr="001E2BFE">
        <w:t xml:space="preserve"> treatment, either as co-administration (Studies P005/1019 and P017/1047) or add-on therapy (Study P006/1015)</w:t>
      </w:r>
      <w:r w:rsidR="00EE2636" w:rsidRPr="001E2BFE">
        <w:t>.</w:t>
      </w:r>
      <w:r w:rsidRPr="001E2BFE">
        <w:t xml:space="preserve"> The mean age of the subjects was similar across the </w:t>
      </w:r>
      <w:r w:rsidR="00B51DF2" w:rsidRPr="001E2BFE">
        <w:t>Phase III</w:t>
      </w:r>
      <w:r w:rsidRPr="001E2BFE">
        <w:t xml:space="preserve"> studies, ranging from 55.1 to 59.1 years (16.2% to 29.9% were </w:t>
      </w:r>
      <w:r w:rsidR="00815048" w:rsidRPr="001E2BFE">
        <w:t>≥</w:t>
      </w:r>
      <w:r w:rsidR="00AD51CF" w:rsidRPr="001E2BFE">
        <w:t xml:space="preserve"> </w:t>
      </w:r>
      <w:r w:rsidRPr="001E2BFE">
        <w:t xml:space="preserve">65 years of age and 2.3% to 2.8% of subjects were </w:t>
      </w:r>
      <w:r w:rsidR="00815048" w:rsidRPr="001E2BFE">
        <w:t>≥</w:t>
      </w:r>
      <w:r w:rsidR="00AD51CF" w:rsidRPr="001E2BFE">
        <w:t xml:space="preserve"> </w:t>
      </w:r>
      <w:r w:rsidRPr="001E2BFE">
        <w:t xml:space="preserve">75 years of age). Majority of subjects were males (53.9% to 57.4%), White (72.9% to 90.4%) and from either North America (excluding </w:t>
      </w:r>
      <w:r w:rsidRPr="00E27620">
        <w:t>Central America) or Europe (including Russia). At baseline, the mean BMI was similar across all studies, ranging from 30.8 to 32.2 kg/m</w:t>
      </w:r>
      <w:r w:rsidRPr="00E27620">
        <w:rPr>
          <w:vertAlign w:val="superscript"/>
        </w:rPr>
        <w:t>2</w:t>
      </w:r>
      <w:r w:rsidRPr="00E27620">
        <w:t xml:space="preserve">. The two ertugliflozin and sitagliptin co-administration studies (P005/1019 and P017/1047) had higher baseline </w:t>
      </w:r>
      <w:r w:rsidR="003F2DE3" w:rsidRPr="00815048">
        <w:t>Hb</w:t>
      </w:r>
      <w:r w:rsidR="00A04B32">
        <w:t>A1c</w:t>
      </w:r>
      <w:r w:rsidRPr="001E2BFE">
        <w:t xml:space="preserve"> (8.6% and 8.9%, respectively) and FPG (10</w:t>
      </w:r>
      <w:r w:rsidR="00EE2636" w:rsidRPr="001E2BFE">
        <w:t xml:space="preserve"> </w:t>
      </w:r>
      <w:r w:rsidRPr="001E2BFE">
        <w:t xml:space="preserve">mmol/L and </w:t>
      </w:r>
      <w:r w:rsidR="005E3DCE" w:rsidRPr="001E2BFE">
        <w:t>11.0</w:t>
      </w:r>
      <w:r w:rsidR="00EE2636" w:rsidRPr="001E2BFE">
        <w:t xml:space="preserve"> </w:t>
      </w:r>
      <w:r w:rsidRPr="001E2BFE">
        <w:t xml:space="preserve">mmol/L, respectively), compared to the add-on to metformin and sitagliptin study (Study P006/1015) (8.0% and 9.4mmol/L). The higher mean baseline </w:t>
      </w:r>
      <w:r w:rsidR="003F2DE3" w:rsidRPr="00815048">
        <w:t>Hb</w:t>
      </w:r>
      <w:r w:rsidR="00A04B32">
        <w:t>A1c</w:t>
      </w:r>
      <w:r w:rsidRPr="001E2BFE">
        <w:t xml:space="preserve"> values in Studies P005/1019 and P017/1047 compared to Study P006/1015 were the result of the study</w:t>
      </w:r>
      <w:r w:rsidR="00EE2636" w:rsidRPr="001E2BFE">
        <w:t xml:space="preserve"> </w:t>
      </w:r>
      <w:r w:rsidRPr="001E2BFE">
        <w:t xml:space="preserve">specific </w:t>
      </w:r>
      <w:r w:rsidR="003F2DE3" w:rsidRPr="00815048">
        <w:t>Hb</w:t>
      </w:r>
      <w:r w:rsidR="00A04B32">
        <w:t>A1c</w:t>
      </w:r>
      <w:r w:rsidRPr="001E2BFE">
        <w:t xml:space="preserve"> entry criteria which were appropriate given the initiation of 2 agents simultaneously. The mean baseline eGFR was similar across the 3 studies, ranging from 87.9 to 92.4 mL/min/1.73 m</w:t>
      </w:r>
      <w:r w:rsidRPr="001E2BFE">
        <w:rPr>
          <w:vertAlign w:val="superscript"/>
        </w:rPr>
        <w:t>2</w:t>
      </w:r>
      <w:r w:rsidRPr="001E2BFE">
        <w:t>. The average duration of T2DM was 9.5 years for the subjects in the add-</w:t>
      </w:r>
      <w:r w:rsidRPr="001E2BFE">
        <w:lastRenderedPageBreak/>
        <w:t>on to metformin and sitagliptin study (Study P006/1015), which was longer than the 2</w:t>
      </w:r>
      <w:r w:rsidR="00815048">
        <w:t> </w:t>
      </w:r>
      <w:r w:rsidRPr="001E2BFE">
        <w:t>ertugliflozin/sitagliptin co-administration studies (Studies P005/1019 and P017/1047), which were 6.9 years and 6.3 years, respectively. The longer duration of T2DM was consistent with the finding that the subjects in Study P006/1015 also had higher rates of</w:t>
      </w:r>
      <w:r w:rsidRPr="00ED39DD">
        <w:rPr>
          <w:rFonts w:asciiTheme="minorHAnsi" w:eastAsia="TimesNewRoman" w:hAnsiTheme="minorHAnsi" w:cs="TimesNewRoman"/>
        </w:rPr>
        <w:t xml:space="preserve"> </w:t>
      </w:r>
      <w:r w:rsidRPr="001E2BFE">
        <w:t>diabetic microvascular complications and more prevalent use of anti-hypertensive and lipid-lowering medications at baseline</w:t>
      </w:r>
      <w:r w:rsidR="00EE2636" w:rsidRPr="001E2BFE">
        <w:t>.</w:t>
      </w:r>
      <w:r w:rsidRPr="001E2BFE">
        <w:t xml:space="preserve"> Overall, the demographics and baseline characteristics of the subjects across the 3 studies generally reflect the target patient population of patients with T2DM who may require</w:t>
      </w:r>
      <w:r w:rsidR="00B51DF2" w:rsidRPr="001E2BFE">
        <w:t xml:space="preserve"> </w:t>
      </w:r>
      <w:r w:rsidRPr="001E2BFE">
        <w:t>ertugliflozin and sitagliptin combination treatment.</w:t>
      </w:r>
    </w:p>
    <w:p w14:paraId="144611C1" w14:textId="3DB2344A" w:rsidR="00CE6507" w:rsidRDefault="00CE6507" w:rsidP="001E2BFE">
      <w:r w:rsidRPr="0057719F">
        <w:t xml:space="preserve">All 3 studies achieved statistical significance for the primary endpoint of </w:t>
      </w:r>
      <w:r w:rsidR="003F2DE3">
        <w:t>Hb</w:t>
      </w:r>
      <w:r w:rsidR="00A04B32">
        <w:t>A1c</w:t>
      </w:r>
      <w:r w:rsidRPr="0057719F">
        <w:t xml:space="preserve"> reduction from</w:t>
      </w:r>
      <w:r>
        <w:t xml:space="preserve"> </w:t>
      </w:r>
      <w:r w:rsidRPr="0057719F">
        <w:t>baseline at Week 26</w:t>
      </w:r>
      <w:r w:rsidR="00EE2636">
        <w:t>.</w:t>
      </w:r>
      <w:r>
        <w:t xml:space="preserve"> </w:t>
      </w:r>
      <w:r w:rsidRPr="0057719F">
        <w:t xml:space="preserve">In the ertugliflozin plus sitagliptin factorial study in subjects </w:t>
      </w:r>
      <w:r>
        <w:t xml:space="preserve">with mean </w:t>
      </w:r>
      <w:r w:rsidRPr="0057719F">
        <w:t xml:space="preserve">baseline </w:t>
      </w:r>
      <w:r w:rsidR="003F2DE3">
        <w:t>Hb</w:t>
      </w:r>
      <w:r w:rsidR="00A04B32">
        <w:t>A1c</w:t>
      </w:r>
      <w:r w:rsidRPr="0057719F">
        <w:t xml:space="preserve"> of 8.6% and on background</w:t>
      </w:r>
      <w:r>
        <w:t xml:space="preserve"> </w:t>
      </w:r>
      <w:r w:rsidRPr="0057719F">
        <w:t>metformin monotherapy (</w:t>
      </w:r>
      <w:r w:rsidR="001E2BFE">
        <w:t>Study </w:t>
      </w:r>
      <w:r w:rsidRPr="0057719F">
        <w:t>P005/1019), co-administration of</w:t>
      </w:r>
      <w:r>
        <w:t xml:space="preserve"> </w:t>
      </w:r>
      <w:r w:rsidRPr="0057719F">
        <w:t xml:space="preserve">E15/S100 and E5/S100 provided </w:t>
      </w:r>
      <w:r w:rsidR="003F2DE3">
        <w:t>Hb</w:t>
      </w:r>
      <w:r w:rsidR="00A04B32">
        <w:t>A1c</w:t>
      </w:r>
      <w:r w:rsidRPr="0057719F">
        <w:t xml:space="preserve"> reduction from baseline of 1.52% and 1.49%,</w:t>
      </w:r>
      <w:r>
        <w:t xml:space="preserve"> </w:t>
      </w:r>
      <w:r w:rsidRPr="0057719F">
        <w:t>respectively</w:t>
      </w:r>
      <w:r>
        <w:t xml:space="preserve">, which was significantly greater </w:t>
      </w:r>
      <w:r w:rsidRPr="0057719F">
        <w:t>(p</w:t>
      </w:r>
      <w:r w:rsidR="00815048">
        <w:t> </w:t>
      </w:r>
      <w:r w:rsidRPr="0057719F">
        <w:t>&lt;</w:t>
      </w:r>
      <w:r w:rsidR="00815048">
        <w:t> </w:t>
      </w:r>
      <w:r w:rsidRPr="0057719F">
        <w:t>0.001) compared</w:t>
      </w:r>
      <w:r>
        <w:t xml:space="preserve"> </w:t>
      </w:r>
      <w:r w:rsidRPr="0057719F">
        <w:t xml:space="preserve">to each corresponding ertugliflozin </w:t>
      </w:r>
      <w:r>
        <w:t>dose alone or sitagliptin alone.</w:t>
      </w:r>
      <w:r w:rsidR="00B51DF2">
        <w:t xml:space="preserve"> </w:t>
      </w:r>
      <w:r w:rsidRPr="0057719F">
        <w:t>In the ertugliflozin plus sitagliptin initial combination study (P017/1047)</w:t>
      </w:r>
      <w:r>
        <w:t xml:space="preserve"> </w:t>
      </w:r>
      <w:r w:rsidRPr="0057719F">
        <w:t xml:space="preserve">in subjects who were on diet and exercise alone </w:t>
      </w:r>
      <w:r>
        <w:t xml:space="preserve">with mean </w:t>
      </w:r>
      <w:r w:rsidRPr="0057719F">
        <w:t xml:space="preserve">baseline </w:t>
      </w:r>
      <w:r w:rsidR="003F2DE3">
        <w:t>Hb</w:t>
      </w:r>
      <w:r w:rsidR="00A04B32">
        <w:t>A1c</w:t>
      </w:r>
      <w:r w:rsidRPr="0057719F">
        <w:t xml:space="preserve"> of 8.9%</w:t>
      </w:r>
      <w:r>
        <w:t xml:space="preserve">, </w:t>
      </w:r>
      <w:r w:rsidRPr="0057719F">
        <w:t xml:space="preserve">co-administration of E15/S100 and E5/S100 provided </w:t>
      </w:r>
      <w:r>
        <w:t>significantly greater (p</w:t>
      </w:r>
      <w:r w:rsidR="00815048">
        <w:t xml:space="preserve"> </w:t>
      </w:r>
      <w:r>
        <w:t>&lt;</w:t>
      </w:r>
      <w:r w:rsidR="00815048">
        <w:t xml:space="preserve"> </w:t>
      </w:r>
      <w:r>
        <w:t>0.001)</w:t>
      </w:r>
      <w:r w:rsidR="00B51DF2">
        <w:t xml:space="preserve"> </w:t>
      </w:r>
      <w:r w:rsidR="003F2DE3">
        <w:t>Hb</w:t>
      </w:r>
      <w:r w:rsidR="00A04B32">
        <w:t>A1c</w:t>
      </w:r>
      <w:r w:rsidRPr="0057719F">
        <w:t xml:space="preserve"> reductions from baseline </w:t>
      </w:r>
      <w:r>
        <w:t>compared with placebo (-0.44%,</w:t>
      </w:r>
      <w:r w:rsidR="00EE2636">
        <w:t xml:space="preserve"> </w:t>
      </w:r>
      <w:r>
        <w:t>-1.60 and -</w:t>
      </w:r>
      <w:r w:rsidRPr="0057719F">
        <w:t>1.68%</w:t>
      </w:r>
      <w:r>
        <w:t xml:space="preserve"> with placebo</w:t>
      </w:r>
      <w:r w:rsidR="00873921">
        <w:t>,</w:t>
      </w:r>
      <w:r>
        <w:t xml:space="preserve"> E5/S10</w:t>
      </w:r>
      <w:r w:rsidR="0072297B">
        <w:t>0</w:t>
      </w:r>
      <w:r w:rsidR="009802FE">
        <w:t xml:space="preserve"> </w:t>
      </w:r>
      <w:r w:rsidR="006D7D02">
        <w:t>mg</w:t>
      </w:r>
      <w:r>
        <w:t xml:space="preserve"> and E15/S10</w:t>
      </w:r>
      <w:r w:rsidR="0072297B">
        <w:t>0</w:t>
      </w:r>
      <w:r w:rsidR="009802FE">
        <w:t xml:space="preserve"> </w:t>
      </w:r>
      <w:r w:rsidR="006D7D02">
        <w:t>mg</w:t>
      </w:r>
      <w:r>
        <w:t xml:space="preserve">, respectively). </w:t>
      </w:r>
      <w:r w:rsidRPr="0057719F">
        <w:t>In the add-on to metformin and sitagliptin study (P006/1015)</w:t>
      </w:r>
      <w:r>
        <w:t xml:space="preserve"> </w:t>
      </w:r>
      <w:r w:rsidRPr="0057719F">
        <w:t>in</w:t>
      </w:r>
      <w:r>
        <w:t xml:space="preserve"> </w:t>
      </w:r>
      <w:r w:rsidRPr="0057719F">
        <w:t xml:space="preserve">subjects who were on metformin and sitagliptin dual therapy and had </w:t>
      </w:r>
      <w:r>
        <w:t xml:space="preserve">mean </w:t>
      </w:r>
      <w:r w:rsidRPr="0057719F">
        <w:t xml:space="preserve">baseline </w:t>
      </w:r>
      <w:r w:rsidR="003F2DE3">
        <w:t>Hb</w:t>
      </w:r>
      <w:r w:rsidR="00A04B32">
        <w:t>A1c</w:t>
      </w:r>
      <w:r>
        <w:t xml:space="preserve"> </w:t>
      </w:r>
      <w:r w:rsidRPr="0057719F">
        <w:t>of 8.0%, ertugliflozin 15</w:t>
      </w:r>
      <w:r w:rsidR="009802FE">
        <w:t xml:space="preserve"> </w:t>
      </w:r>
      <w:r w:rsidR="006D7D02">
        <w:t>mg</w:t>
      </w:r>
      <w:r w:rsidRPr="0057719F">
        <w:t xml:space="preserve"> and</w:t>
      </w:r>
      <w:r>
        <w:t xml:space="preserve"> </w:t>
      </w:r>
      <w:r w:rsidRPr="0057719F">
        <w:t>5</w:t>
      </w:r>
      <w:r w:rsidR="009802FE">
        <w:t xml:space="preserve"> </w:t>
      </w:r>
      <w:r w:rsidR="006D7D02">
        <w:t>mg</w:t>
      </w:r>
      <w:r w:rsidRPr="0057719F">
        <w:t xml:space="preserve"> provided </w:t>
      </w:r>
      <w:r>
        <w:t>significantly greater (p</w:t>
      </w:r>
      <w:r w:rsidR="00815048">
        <w:t xml:space="preserve"> </w:t>
      </w:r>
      <w:r>
        <w:t>&lt;</w:t>
      </w:r>
      <w:r w:rsidR="00815048">
        <w:t xml:space="preserve"> </w:t>
      </w:r>
      <w:r>
        <w:t>0.001)</w:t>
      </w:r>
      <w:r w:rsidR="00B51DF2">
        <w:t xml:space="preserve"> </w:t>
      </w:r>
      <w:r w:rsidR="003F2DE3">
        <w:t>Hb</w:t>
      </w:r>
      <w:r w:rsidR="00A04B32">
        <w:t>A1c</w:t>
      </w:r>
      <w:r w:rsidRPr="0057719F">
        <w:t xml:space="preserve"> reductions from baseline </w:t>
      </w:r>
      <w:r>
        <w:t>compared with placebo (</w:t>
      </w:r>
      <w:r w:rsidR="00EE2636">
        <w:noBreakHyphen/>
      </w:r>
      <w:r>
        <w:t xml:space="preserve">0.09%, -0.78 and </w:t>
      </w:r>
      <w:r w:rsidR="00815048">
        <w:noBreakHyphen/>
      </w:r>
      <w:r>
        <w:t>0.86</w:t>
      </w:r>
      <w:r w:rsidRPr="0057719F">
        <w:t>%</w:t>
      </w:r>
      <w:r>
        <w:t xml:space="preserve"> with placebo, ertugliflozin </w:t>
      </w:r>
      <w:r w:rsidR="00731A2E">
        <w:t>5</w:t>
      </w:r>
      <w:r w:rsidR="009802FE">
        <w:t xml:space="preserve"> </w:t>
      </w:r>
      <w:r w:rsidR="006D7D02">
        <w:t>mg</w:t>
      </w:r>
      <w:r>
        <w:t xml:space="preserve"> and 1</w:t>
      </w:r>
      <w:r w:rsidR="00731A2E">
        <w:t>5</w:t>
      </w:r>
      <w:r w:rsidR="009802FE">
        <w:t xml:space="preserve"> </w:t>
      </w:r>
      <w:r w:rsidR="006D7D02">
        <w:t>mg</w:t>
      </w:r>
      <w:r>
        <w:t>, respectively).</w:t>
      </w:r>
    </w:p>
    <w:p w14:paraId="5F23D787" w14:textId="33EF1EB7" w:rsidR="00CE6507" w:rsidRDefault="00CE6507" w:rsidP="001E2BFE">
      <w:r w:rsidRPr="00C21617">
        <w:t>The proportion of subjects with</w:t>
      </w:r>
      <w:r>
        <w:t xml:space="preserve"> </w:t>
      </w:r>
      <w:r w:rsidR="003F2DE3">
        <w:t>Hb</w:t>
      </w:r>
      <w:r w:rsidR="00A04B32">
        <w:t>A1c</w:t>
      </w:r>
      <w:r>
        <w:t xml:space="preserve"> &lt;</w:t>
      </w:r>
      <w:r w:rsidR="00815048">
        <w:t xml:space="preserve"> </w:t>
      </w:r>
      <w:r>
        <w:t>7.0% at Week 26 was analys</w:t>
      </w:r>
      <w:r w:rsidRPr="00C21617">
        <w:t>ed in all studies as a</w:t>
      </w:r>
      <w:r>
        <w:t xml:space="preserve"> </w:t>
      </w:r>
      <w:r w:rsidRPr="00C21617">
        <w:t>secondary efficacy endpoint</w:t>
      </w:r>
      <w:r w:rsidR="00EE2636">
        <w:t>.</w:t>
      </w:r>
      <w:r>
        <w:t xml:space="preserve"> </w:t>
      </w:r>
      <w:r w:rsidRPr="00C21617">
        <w:t>In the ertugliflozin plus sitagliptin factorial study (</w:t>
      </w:r>
      <w:r w:rsidR="00E91852">
        <w:t>Study </w:t>
      </w:r>
      <w:r w:rsidRPr="00C21617">
        <w:t>P005/1019), co-administration of</w:t>
      </w:r>
      <w:r>
        <w:t xml:space="preserve"> </w:t>
      </w:r>
      <w:r w:rsidRPr="00C21617">
        <w:t>E5/S100 and E</w:t>
      </w:r>
      <w:r>
        <w:t>1</w:t>
      </w:r>
      <w:r w:rsidRPr="00C21617">
        <w:t xml:space="preserve">5/S100 resulted in 52.3% </w:t>
      </w:r>
      <w:r>
        <w:t xml:space="preserve">and </w:t>
      </w:r>
      <w:r w:rsidRPr="00C21617">
        <w:t>49.2% of subjects, respectively, reaching the</w:t>
      </w:r>
      <w:r>
        <w:t xml:space="preserve"> </w:t>
      </w:r>
      <w:r w:rsidR="003F2DE3">
        <w:t>Hb</w:t>
      </w:r>
      <w:r w:rsidR="00A04B32">
        <w:t>A1c</w:t>
      </w:r>
      <w:r w:rsidRPr="00C21617">
        <w:t xml:space="preserve"> goal of &lt;</w:t>
      </w:r>
      <w:r w:rsidR="00815048">
        <w:t xml:space="preserve"> </w:t>
      </w:r>
      <w:r w:rsidRPr="00C21617">
        <w:t xml:space="preserve">7.0% </w:t>
      </w:r>
      <w:r>
        <w:t xml:space="preserve">which was </w:t>
      </w:r>
      <w:r w:rsidRPr="00C21617">
        <w:t>significantly higher than those in each</w:t>
      </w:r>
      <w:r>
        <w:t xml:space="preserve"> </w:t>
      </w:r>
      <w:r w:rsidRPr="00C21617">
        <w:t>corresponding ertugliflozin or sitagliptin alone group (ranging from 26.4% to 32.8%).</w:t>
      </w:r>
      <w:r>
        <w:t xml:space="preserve"> </w:t>
      </w:r>
      <w:r w:rsidRPr="00C21617">
        <w:t>In the ertugliflozin plus sitagliptin initial combination study (P017/1047),</w:t>
      </w:r>
      <w:r>
        <w:t xml:space="preserve"> </w:t>
      </w:r>
      <w:r w:rsidRPr="00C21617">
        <w:t>co-administration of E5/S100 and E</w:t>
      </w:r>
      <w:r>
        <w:t>1</w:t>
      </w:r>
      <w:r w:rsidRPr="00C21617">
        <w:t xml:space="preserve">5/S100 resulted in significantly higher proportions of subjects with </w:t>
      </w:r>
      <w:r w:rsidR="003F2DE3">
        <w:t>Hb</w:t>
      </w:r>
      <w:r w:rsidR="00A04B32">
        <w:t>A1c</w:t>
      </w:r>
      <w:r w:rsidRPr="00C21617">
        <w:t xml:space="preserve"> &lt;</w:t>
      </w:r>
      <w:r w:rsidR="00815048">
        <w:t xml:space="preserve"> </w:t>
      </w:r>
      <w:r w:rsidRPr="00C21617">
        <w:t>7.0% compared to</w:t>
      </w:r>
      <w:r>
        <w:t xml:space="preserve"> </w:t>
      </w:r>
      <w:r w:rsidRPr="00C21617">
        <w:t xml:space="preserve">placebo </w:t>
      </w:r>
      <w:r>
        <w:t>(</w:t>
      </w:r>
      <w:r w:rsidRPr="00C21617">
        <w:t>35.7%</w:t>
      </w:r>
      <w:r>
        <w:t xml:space="preserve">, </w:t>
      </w:r>
      <w:r w:rsidRPr="00C21617">
        <w:t>31.3%</w:t>
      </w:r>
      <w:r>
        <w:t xml:space="preserve">, and 8.3% with E5/S100, E15/S100 and placebo, </w:t>
      </w:r>
      <w:r w:rsidRPr="00C21617">
        <w:t>respectively</w:t>
      </w:r>
      <w:r>
        <w:t xml:space="preserve">). </w:t>
      </w:r>
      <w:r w:rsidRPr="00C21617">
        <w:t>In the add-on to metformin and sitagliptin study (Study P006/1015), ertugliflozin 5</w:t>
      </w:r>
      <w:r w:rsidR="009802FE">
        <w:t xml:space="preserve"> </w:t>
      </w:r>
      <w:r w:rsidR="006D7D02">
        <w:t>mg</w:t>
      </w:r>
      <w:r w:rsidRPr="00C21617">
        <w:t xml:space="preserve"> and</w:t>
      </w:r>
      <w:r>
        <w:t xml:space="preserve"> 1</w:t>
      </w:r>
      <w:r w:rsidRPr="00C21617">
        <w:t>5</w:t>
      </w:r>
      <w:r w:rsidR="009802FE">
        <w:t xml:space="preserve"> </w:t>
      </w:r>
      <w:r w:rsidR="006D7D02">
        <w:t>mg</w:t>
      </w:r>
      <w:r w:rsidRPr="00C21617">
        <w:t xml:space="preserve"> resulted in significantly higher proportions of subjects with </w:t>
      </w:r>
      <w:r w:rsidR="003F2DE3">
        <w:t>Hb</w:t>
      </w:r>
      <w:r w:rsidR="00A04B32">
        <w:t>A1c</w:t>
      </w:r>
      <w:r w:rsidRPr="00C21617">
        <w:t xml:space="preserve"> &lt;</w:t>
      </w:r>
      <w:r w:rsidR="00815048">
        <w:t xml:space="preserve"> </w:t>
      </w:r>
      <w:r w:rsidRPr="00C21617">
        <w:t>7.0% compared to</w:t>
      </w:r>
      <w:r>
        <w:t xml:space="preserve"> </w:t>
      </w:r>
      <w:r w:rsidRPr="00C21617">
        <w:t xml:space="preserve">placebo </w:t>
      </w:r>
      <w:r>
        <w:t>(</w:t>
      </w:r>
      <w:r w:rsidRPr="00C21617">
        <w:t>32.1%,</w:t>
      </w:r>
      <w:r>
        <w:t xml:space="preserve"> </w:t>
      </w:r>
      <w:r w:rsidRPr="00C21617">
        <w:t>39.9% and 17.0%</w:t>
      </w:r>
      <w:r>
        <w:t xml:space="preserve"> in ertugliflozin </w:t>
      </w:r>
      <w:r w:rsidR="00731A2E">
        <w:t>5</w:t>
      </w:r>
      <w:r w:rsidR="009802FE">
        <w:t xml:space="preserve"> </w:t>
      </w:r>
      <w:r w:rsidR="006D7D02">
        <w:t>mg</w:t>
      </w:r>
      <w:r>
        <w:t>, 1</w:t>
      </w:r>
      <w:r w:rsidR="00731A2E">
        <w:t>5</w:t>
      </w:r>
      <w:r w:rsidR="009802FE">
        <w:t xml:space="preserve"> </w:t>
      </w:r>
      <w:r w:rsidR="006D7D02">
        <w:t>mg</w:t>
      </w:r>
      <w:r>
        <w:t xml:space="preserve"> and placebo groups, </w:t>
      </w:r>
      <w:r w:rsidRPr="00C21617">
        <w:t>respectively</w:t>
      </w:r>
      <w:r>
        <w:t>).</w:t>
      </w:r>
    </w:p>
    <w:p w14:paraId="7D103BA4" w14:textId="77EA2FFE" w:rsidR="00CE6507" w:rsidRPr="00B67429" w:rsidRDefault="00CE6507">
      <w:r w:rsidRPr="00B67429">
        <w:t xml:space="preserve">It is important to note that the only study which showed higher proportion of subjects </w:t>
      </w:r>
      <w:r w:rsidRPr="003734D3">
        <w:t xml:space="preserve">with </w:t>
      </w:r>
      <w:r w:rsidR="003F2DE3">
        <w:t>Hb</w:t>
      </w:r>
      <w:r w:rsidR="00A04B32">
        <w:t>A1c</w:t>
      </w:r>
      <w:r w:rsidRPr="003734D3">
        <w:t xml:space="preserve"> &lt;</w:t>
      </w:r>
      <w:r w:rsidR="006D2B42">
        <w:t xml:space="preserve"> </w:t>
      </w:r>
      <w:r w:rsidRPr="003734D3">
        <w:t>7% for the ertugliflo</w:t>
      </w:r>
      <w:r>
        <w:t>z</w:t>
      </w:r>
      <w:r w:rsidRPr="00B67429">
        <w:t>in 1</w:t>
      </w:r>
      <w:r w:rsidR="00731A2E">
        <w:t>5</w:t>
      </w:r>
      <w:r w:rsidR="009802FE">
        <w:t xml:space="preserve"> </w:t>
      </w:r>
      <w:r w:rsidR="006D7D02">
        <w:t>mg</w:t>
      </w:r>
      <w:r w:rsidRPr="00B67429">
        <w:t xml:space="preserve"> compared to the </w:t>
      </w:r>
      <w:r w:rsidR="00731A2E">
        <w:t>5</w:t>
      </w:r>
      <w:r w:rsidR="009802FE">
        <w:t xml:space="preserve"> </w:t>
      </w:r>
      <w:r w:rsidR="006D7D02">
        <w:t>mg</w:t>
      </w:r>
      <w:r w:rsidRPr="00B67429">
        <w:t xml:space="preserve"> dose was the add-on to metformin and sitagliptin study (Study P006/1015) which enrolled subjects with lower mean baseline </w:t>
      </w:r>
      <w:r w:rsidR="003F2DE3">
        <w:t>Hb</w:t>
      </w:r>
      <w:r w:rsidR="00A04B32">
        <w:t>A1c</w:t>
      </w:r>
      <w:r w:rsidRPr="00B67429">
        <w:t xml:space="preserve"> compared to the other two studies. The 2 studies which involved combination treatment with ertugliflozin</w:t>
      </w:r>
      <w:r w:rsidR="00EE2636">
        <w:t xml:space="preserve"> with </w:t>
      </w:r>
      <w:r w:rsidRPr="00B67429">
        <w:t xml:space="preserve">sitagliptin and involved subjects with higher baseline </w:t>
      </w:r>
      <w:r w:rsidR="003F2DE3">
        <w:t>Hb</w:t>
      </w:r>
      <w:r w:rsidR="00A04B32">
        <w:t>A1c</w:t>
      </w:r>
      <w:r w:rsidRPr="00B67429">
        <w:t xml:space="preserve"> did not show a dose response for ertugliflozin.</w:t>
      </w:r>
    </w:p>
    <w:p w14:paraId="72CD0E77" w14:textId="79C273A5" w:rsidR="00CE6507" w:rsidRDefault="00CE6507" w:rsidP="00E91852">
      <w:r w:rsidRPr="00C21617">
        <w:t>Significant FPG reductions from baseline were observed with ertugliflozin co-administration</w:t>
      </w:r>
      <w:r>
        <w:t xml:space="preserve"> </w:t>
      </w:r>
      <w:r w:rsidRPr="00C21617">
        <w:t>with or as add-on to sitagliptin treatment groups in all 3 studies</w:t>
      </w:r>
      <w:r>
        <w:t xml:space="preserve">. </w:t>
      </w:r>
      <w:r w:rsidRPr="00564652">
        <w:rPr>
          <w:color w:val="000000"/>
        </w:rPr>
        <w:t>In the ertugliflozin plus sitagliptin factorial study (</w:t>
      </w:r>
      <w:r w:rsidR="00E91852">
        <w:t>Study</w:t>
      </w:r>
      <w:r w:rsidR="00E91852" w:rsidRPr="00564652">
        <w:rPr>
          <w:color w:val="000000"/>
        </w:rPr>
        <w:t xml:space="preserve"> </w:t>
      </w:r>
      <w:r w:rsidRPr="00564652">
        <w:rPr>
          <w:color w:val="000000"/>
        </w:rPr>
        <w:t>P005/1019), t</w:t>
      </w:r>
      <w:r w:rsidRPr="008054DF">
        <w:t>he LSM reductions from</w:t>
      </w:r>
      <w:r>
        <w:t xml:space="preserve"> </w:t>
      </w:r>
      <w:r w:rsidRPr="008054DF">
        <w:t>baseline in FPG at Week 26 were significantly greater in the E15/S100 and E5/S100 groups</w:t>
      </w:r>
      <w:r>
        <w:t xml:space="preserve"> </w:t>
      </w:r>
      <w:r w:rsidRPr="008054DF">
        <w:t>than in the placebo group (p</w:t>
      </w:r>
      <w:r w:rsidR="006D2B42">
        <w:t xml:space="preserve"> </w:t>
      </w:r>
      <w:r w:rsidRPr="008054DF">
        <w:t>&lt;</w:t>
      </w:r>
      <w:r w:rsidR="006D2B42">
        <w:t xml:space="preserve"> </w:t>
      </w:r>
      <w:r w:rsidRPr="008054DF">
        <w:t>0.001 for both comparisons) and were numerically greater in</w:t>
      </w:r>
      <w:r>
        <w:t xml:space="preserve"> </w:t>
      </w:r>
      <w:r w:rsidRPr="008054DF">
        <w:t>the E15/S100 group than in the E5/S100 group.</w:t>
      </w:r>
      <w:r>
        <w:t xml:space="preserve"> Similar significant reductions in FPG compared with placebo were observed i</w:t>
      </w:r>
      <w:r w:rsidRPr="00C21617">
        <w:rPr>
          <w:color w:val="000000"/>
        </w:rPr>
        <w:t>n the add-on to metformin and sitagliptin</w:t>
      </w:r>
      <w:r>
        <w:rPr>
          <w:color w:val="000000"/>
        </w:rPr>
        <w:t xml:space="preserve"> and </w:t>
      </w:r>
      <w:r w:rsidRPr="00C21617">
        <w:rPr>
          <w:color w:val="000000"/>
        </w:rPr>
        <w:t>the ertugliflozin plus sitagliptin initial combination stud</w:t>
      </w:r>
      <w:r>
        <w:rPr>
          <w:color w:val="000000"/>
        </w:rPr>
        <w:t>ies</w:t>
      </w:r>
      <w:r w:rsidRPr="00C21617">
        <w:rPr>
          <w:color w:val="000000"/>
        </w:rPr>
        <w:t xml:space="preserve"> (</w:t>
      </w:r>
      <w:r w:rsidR="00E91852">
        <w:t xml:space="preserve">Studies </w:t>
      </w:r>
      <w:r>
        <w:rPr>
          <w:color w:val="000000"/>
        </w:rPr>
        <w:t xml:space="preserve">P005/1006 and </w:t>
      </w:r>
      <w:r w:rsidRPr="00C21617">
        <w:rPr>
          <w:color w:val="000000"/>
        </w:rPr>
        <w:t>P017/1047),</w:t>
      </w:r>
      <w:r>
        <w:rPr>
          <w:color w:val="000000"/>
        </w:rPr>
        <w:t xml:space="preserve"> with numerically greater reductions in FPG observed with the higher ertugliflozin 1</w:t>
      </w:r>
      <w:r w:rsidR="00731A2E">
        <w:rPr>
          <w:color w:val="000000"/>
        </w:rPr>
        <w:t>5</w:t>
      </w:r>
      <w:r w:rsidR="009802FE">
        <w:rPr>
          <w:color w:val="000000"/>
        </w:rPr>
        <w:t xml:space="preserve"> </w:t>
      </w:r>
      <w:r w:rsidR="006D7D02">
        <w:rPr>
          <w:color w:val="000000"/>
        </w:rPr>
        <w:t>mg</w:t>
      </w:r>
      <w:r>
        <w:rPr>
          <w:color w:val="000000"/>
        </w:rPr>
        <w:t xml:space="preserve"> dose compared to the </w:t>
      </w:r>
      <w:r w:rsidR="00731A2E">
        <w:rPr>
          <w:color w:val="000000"/>
        </w:rPr>
        <w:t>5</w:t>
      </w:r>
      <w:r w:rsidR="009802FE">
        <w:rPr>
          <w:color w:val="000000"/>
        </w:rPr>
        <w:t xml:space="preserve"> </w:t>
      </w:r>
      <w:r w:rsidR="006D7D02">
        <w:rPr>
          <w:color w:val="000000"/>
        </w:rPr>
        <w:t>mg</w:t>
      </w:r>
      <w:r>
        <w:rPr>
          <w:color w:val="000000"/>
        </w:rPr>
        <w:t xml:space="preserve"> dose</w:t>
      </w:r>
      <w:r w:rsidR="00EE2636">
        <w:rPr>
          <w:color w:val="000000"/>
        </w:rPr>
        <w:t>.</w:t>
      </w:r>
    </w:p>
    <w:p w14:paraId="3FB0F03B" w14:textId="35D1557A" w:rsidR="00CE6507" w:rsidRPr="008054DF" w:rsidRDefault="00CE6507" w:rsidP="00E91852">
      <w:pPr>
        <w:rPr>
          <w:b/>
        </w:rPr>
      </w:pPr>
      <w:r>
        <w:lastRenderedPageBreak/>
        <w:t xml:space="preserve">In </w:t>
      </w:r>
      <w:r w:rsidR="00EE2636">
        <w:t>S</w:t>
      </w:r>
      <w:r>
        <w:t xml:space="preserve">tudy </w:t>
      </w:r>
      <w:r w:rsidRPr="00136A6F">
        <w:t>P017/1047</w:t>
      </w:r>
      <w:r>
        <w:t>, r</w:t>
      </w:r>
      <w:r w:rsidRPr="00136A6F">
        <w:t xml:space="preserve">eductions from baseline in </w:t>
      </w:r>
      <w:r w:rsidR="00C968D9">
        <w:t>2 h</w:t>
      </w:r>
      <w:r w:rsidRPr="00136A6F">
        <w:t xml:space="preserve"> PPG at Week 26 were observed with ertugliflozin 15</w:t>
      </w:r>
      <w:r w:rsidR="009802FE">
        <w:t xml:space="preserve"> </w:t>
      </w:r>
      <w:r w:rsidR="006D7D02">
        <w:t>mg</w:t>
      </w:r>
      <w:r>
        <w:t xml:space="preserve"> </w:t>
      </w:r>
      <w:r w:rsidRPr="00136A6F">
        <w:t>and 5</w:t>
      </w:r>
      <w:r w:rsidR="009802FE">
        <w:t xml:space="preserve"> </w:t>
      </w:r>
      <w:r w:rsidR="006D7D02">
        <w:t>mg</w:t>
      </w:r>
      <w:r w:rsidRPr="00136A6F">
        <w:t xml:space="preserve"> in combination with sitagliptin</w:t>
      </w:r>
      <w:r w:rsidR="00671546">
        <w:t>.</w:t>
      </w:r>
    </w:p>
    <w:p w14:paraId="01FCCACC" w14:textId="3AC8FBAB" w:rsidR="00CE6507" w:rsidRPr="00113BC4" w:rsidRDefault="00CE6507" w:rsidP="00E91852">
      <w:pPr>
        <w:rPr>
          <w:color w:val="000000"/>
        </w:rPr>
      </w:pPr>
      <w:r w:rsidRPr="00136A6F">
        <w:t>Across the 3 studies, ertugliflozin resulted in body weight comparator</w:t>
      </w:r>
      <w:r w:rsidR="00671546">
        <w:t xml:space="preserve"> </w:t>
      </w:r>
      <w:r w:rsidRPr="00136A6F">
        <w:t>adjusted reductions of</w:t>
      </w:r>
      <w:r>
        <w:t xml:space="preserve"> </w:t>
      </w:r>
      <w:r w:rsidRPr="00136A6F">
        <w:t>1.72 kg to 2.27 kg. The body weight reductions were generally consistent whether</w:t>
      </w:r>
      <w:r>
        <w:t xml:space="preserve"> </w:t>
      </w:r>
      <w:r w:rsidRPr="00136A6F">
        <w:t>ertugliflozin was co-initiated with sitagliptin or added on to a sitagliptin containing regimen</w:t>
      </w:r>
      <w:r w:rsidR="00671546">
        <w:t>.</w:t>
      </w:r>
      <w:r w:rsidRPr="00136A6F">
        <w:t xml:space="preserve"> Significant SBP reductions from baseline were observed with ertugliflozin in all 3 studies</w:t>
      </w:r>
      <w:r>
        <w:t xml:space="preserve"> </w:t>
      </w:r>
      <w:r w:rsidRPr="00136A6F">
        <w:t xml:space="preserve">despite different background medications and </w:t>
      </w:r>
      <w:r w:rsidRPr="00113BC4">
        <w:t>independent of whether ertugliflozin was added</w:t>
      </w:r>
      <w:r w:rsidR="00671546">
        <w:t xml:space="preserve"> </w:t>
      </w:r>
      <w:r w:rsidRPr="00113BC4">
        <w:t>on to or co-initiated with sitagliptin</w:t>
      </w:r>
      <w:r w:rsidR="00671546">
        <w:t>.</w:t>
      </w:r>
      <w:r w:rsidRPr="00113BC4">
        <w:t xml:space="preserve"> In all 3 studies, the proportions of subjects receiving </w:t>
      </w:r>
      <w:r>
        <w:t>glycaemic</w:t>
      </w:r>
      <w:r w:rsidRPr="00113BC4">
        <w:t xml:space="preserve"> rescue therapy in the</w:t>
      </w:r>
      <w:r>
        <w:t xml:space="preserve"> </w:t>
      </w:r>
      <w:r w:rsidRPr="00113BC4">
        <w:t>ertugliflozin and sitagliptin combination groups were low, ranging from 0% to 6.1%. In the</w:t>
      </w:r>
      <w:r>
        <w:t xml:space="preserve"> </w:t>
      </w:r>
      <w:r w:rsidRPr="00113BC4">
        <w:t>2 placebo</w:t>
      </w:r>
      <w:r w:rsidR="006D2B42">
        <w:t xml:space="preserve"> </w:t>
      </w:r>
      <w:r w:rsidRPr="00113BC4">
        <w:t>controlled studies (Studies P006/1015 and P017/1047), higher proportions of</w:t>
      </w:r>
      <w:r>
        <w:t xml:space="preserve"> </w:t>
      </w:r>
      <w:r w:rsidRPr="00113BC4">
        <w:t>subjects were rescued in the placebo arms</w:t>
      </w:r>
      <w:r w:rsidR="00671546">
        <w:t>.</w:t>
      </w:r>
    </w:p>
    <w:p w14:paraId="59FCB2E6" w14:textId="77777777" w:rsidR="00CE6507" w:rsidRPr="00300796" w:rsidRDefault="00CE6507" w:rsidP="00CE6507">
      <w:pPr>
        <w:pStyle w:val="Heading5"/>
      </w:pPr>
      <w:bookmarkStart w:id="158" w:name="_Toc504036131"/>
      <w:r w:rsidRPr="00300796">
        <w:t>Other efficacy studies</w:t>
      </w:r>
      <w:bookmarkEnd w:id="148"/>
      <w:bookmarkEnd w:id="149"/>
      <w:bookmarkEnd w:id="150"/>
      <w:bookmarkEnd w:id="151"/>
      <w:bookmarkEnd w:id="152"/>
      <w:bookmarkEnd w:id="153"/>
      <w:bookmarkEnd w:id="154"/>
      <w:bookmarkEnd w:id="155"/>
      <w:bookmarkEnd w:id="158"/>
    </w:p>
    <w:bookmarkEnd w:id="156"/>
    <w:bookmarkEnd w:id="157"/>
    <w:p w14:paraId="4E6803A3" w14:textId="4B6B9A80" w:rsidR="00CE6507" w:rsidRDefault="00CE6507" w:rsidP="00E91852">
      <w:pPr>
        <w:rPr>
          <w:lang w:eastAsia="ja-JP"/>
        </w:rPr>
      </w:pPr>
      <w:r>
        <w:rPr>
          <w:lang w:eastAsia="ja-JP"/>
        </w:rPr>
        <w:t xml:space="preserve">Refer to the Steglatro report for details regarding the other four </w:t>
      </w:r>
      <w:r w:rsidR="00B51DF2">
        <w:rPr>
          <w:lang w:eastAsia="ja-JP"/>
        </w:rPr>
        <w:t>Phase III</w:t>
      </w:r>
      <w:r>
        <w:rPr>
          <w:lang w:eastAsia="ja-JP"/>
        </w:rPr>
        <w:t xml:space="preserve"> studies in the ertugliflozin clinical program</w:t>
      </w:r>
      <w:r w:rsidR="00671546">
        <w:rPr>
          <w:lang w:eastAsia="ja-JP"/>
        </w:rPr>
        <w:t xml:space="preserve"> (</w:t>
      </w:r>
      <w:r w:rsidR="00E91852">
        <w:rPr>
          <w:lang w:eastAsia="ja-JP"/>
        </w:rPr>
        <w:t xml:space="preserve">see </w:t>
      </w:r>
      <w:r w:rsidR="00671546">
        <w:rPr>
          <w:lang w:eastAsia="ja-JP"/>
        </w:rPr>
        <w:t>Attachment 2)</w:t>
      </w:r>
      <w:r>
        <w:rPr>
          <w:lang w:eastAsia="ja-JP"/>
        </w:rPr>
        <w:t>.</w:t>
      </w:r>
    </w:p>
    <w:p w14:paraId="07606C25" w14:textId="77777777" w:rsidR="00CE6507" w:rsidRPr="005632DC" w:rsidRDefault="00CE6507" w:rsidP="00671546">
      <w:pPr>
        <w:pStyle w:val="Heading5"/>
      </w:pPr>
      <w:bookmarkStart w:id="159" w:name="_Toc504036133"/>
      <w:r w:rsidRPr="005632DC">
        <w:t>Evaluator’s conclusions on clinical efficacy</w:t>
      </w:r>
      <w:bookmarkEnd w:id="159"/>
    </w:p>
    <w:p w14:paraId="19217872" w14:textId="2EEE21DD" w:rsidR="00CE6507" w:rsidRDefault="00CE6507" w:rsidP="00E91852">
      <w:r w:rsidRPr="00E85047">
        <w:t xml:space="preserve">Dual therapy with ertugliflozin and sitagliptin provides </w:t>
      </w:r>
      <w:r>
        <w:t>two</w:t>
      </w:r>
      <w:r w:rsidRPr="00E85047">
        <w:t xml:space="preserve"> AHAs with different mechanisms</w:t>
      </w:r>
      <w:r>
        <w:t xml:space="preserve"> </w:t>
      </w:r>
      <w:r w:rsidRPr="00E85047">
        <w:t>of</w:t>
      </w:r>
      <w:r>
        <w:t xml:space="preserve"> </w:t>
      </w:r>
      <w:r w:rsidRPr="00E85047">
        <w:t xml:space="preserve">action neither of which </w:t>
      </w:r>
      <w:r>
        <w:t xml:space="preserve">are </w:t>
      </w:r>
      <w:r w:rsidRPr="00E85047">
        <w:t>associated with hypoglycaemia nor weight gain. Ertugliflozin</w:t>
      </w:r>
      <w:r>
        <w:t xml:space="preserve"> </w:t>
      </w:r>
      <w:r w:rsidRPr="00E85047">
        <w:t>inhibits renal glucose reabsorption, resulting in urinary glucose excretion, and thereby</w:t>
      </w:r>
      <w:r>
        <w:t xml:space="preserve"> </w:t>
      </w:r>
      <w:r w:rsidRPr="00E85047">
        <w:t xml:space="preserve">reducing plasma glucose and </w:t>
      </w:r>
      <w:r w:rsidR="003F2DE3">
        <w:t>Hb</w:t>
      </w:r>
      <w:r w:rsidR="00A04B32">
        <w:t>A1c</w:t>
      </w:r>
      <w:r w:rsidRPr="00E85047">
        <w:t>. Sitagliptin enhances the incretin axis, thereby increasing</w:t>
      </w:r>
      <w:r>
        <w:t xml:space="preserve"> </w:t>
      </w:r>
      <w:r w:rsidRPr="00E85047">
        <w:t>insulin secretion and reducing glucagon concentrations and in turn lowering hepatic</w:t>
      </w:r>
      <w:r>
        <w:t xml:space="preserve"> </w:t>
      </w:r>
      <w:r w:rsidRPr="00E85047">
        <w:t>glucose production. Combining these agents provides complementary mechanisms leading</w:t>
      </w:r>
      <w:r>
        <w:t xml:space="preserve"> </w:t>
      </w:r>
      <w:r w:rsidRPr="00E85047">
        <w:t>to robust glucose</w:t>
      </w:r>
      <w:r w:rsidR="00671546">
        <w:t xml:space="preserve"> </w:t>
      </w:r>
      <w:r w:rsidRPr="00E85047">
        <w:t>lowering efficacy, with low risk for hypoglycaemia.</w:t>
      </w:r>
    </w:p>
    <w:p w14:paraId="34167F50" w14:textId="0835B125" w:rsidR="00CE6507" w:rsidRPr="00FE7DC4" w:rsidRDefault="00CE6507" w:rsidP="00E91852">
      <w:r>
        <w:t xml:space="preserve">The efficacy of proposed FDC of ertugliflozin+sitagliptin was evaluated in 3 pivotal </w:t>
      </w:r>
      <w:r w:rsidR="00B51DF2">
        <w:t>Phase III</w:t>
      </w:r>
      <w:r>
        <w:t xml:space="preserve"> studies involving 1987 subjects (495 and 497 received combination treatment with E5/S100 and E15/S100, respectively</w:t>
      </w:r>
      <w:r w:rsidRPr="00FE7DC4">
        <w:t xml:space="preserve">). </w:t>
      </w:r>
      <w:r w:rsidRPr="006D18CC">
        <w:rPr>
          <w:rFonts w:eastAsiaTheme="minorHAnsi" w:cs="Calibri"/>
          <w:color w:val="000000"/>
        </w:rPr>
        <w:t xml:space="preserve">The three </w:t>
      </w:r>
      <w:r w:rsidR="00B51DF2">
        <w:rPr>
          <w:rFonts w:eastAsiaTheme="minorHAnsi" w:cs="Calibri"/>
          <w:color w:val="000000"/>
        </w:rPr>
        <w:t>Phase III</w:t>
      </w:r>
      <w:r w:rsidRPr="006D18CC">
        <w:rPr>
          <w:rFonts w:eastAsiaTheme="minorHAnsi" w:cs="Calibri"/>
          <w:color w:val="000000"/>
        </w:rPr>
        <w:t xml:space="preserve"> studies supporting this FDC were conducted using ertugliflozin and sitagliptin administered as separate tablets, and bridging to the FDC formulation is therefore provided via BE studies comparing the FDC to co-administration of individual components.</w:t>
      </w:r>
      <w:r>
        <w:rPr>
          <w:rFonts w:eastAsiaTheme="minorHAnsi" w:cs="Calibri"/>
          <w:color w:val="000000"/>
        </w:rPr>
        <w:t xml:space="preserve"> Extrapolation of the results obtained from the 3 </w:t>
      </w:r>
      <w:r w:rsidR="00B51DF2">
        <w:rPr>
          <w:rFonts w:eastAsiaTheme="minorHAnsi" w:cs="Calibri"/>
          <w:color w:val="000000"/>
        </w:rPr>
        <w:t>Phase III</w:t>
      </w:r>
      <w:r>
        <w:rPr>
          <w:rFonts w:eastAsiaTheme="minorHAnsi" w:cs="Calibri"/>
          <w:color w:val="000000"/>
        </w:rPr>
        <w:t xml:space="preserve"> studies as evidence for proposed FDC formulation is justified as bioequivalence between the proposed FDCs and co-administration of ertugliflozin+sitagliptin was proven. All 3 studies were well</w:t>
      </w:r>
      <w:r w:rsidR="00671546">
        <w:rPr>
          <w:rFonts w:eastAsiaTheme="minorHAnsi" w:cs="Calibri"/>
          <w:color w:val="000000"/>
        </w:rPr>
        <w:t xml:space="preserve"> </w:t>
      </w:r>
      <w:r>
        <w:rPr>
          <w:rFonts w:eastAsiaTheme="minorHAnsi" w:cs="Calibri"/>
          <w:color w:val="000000"/>
        </w:rPr>
        <w:t>conducted according to TGA adopted EMEA guidelines for evaluation of drugs for treatment of T2DM as well as guidelines related to development of FDCs. The target population evaluated in the 3</w:t>
      </w:r>
      <w:r w:rsidR="00E91852">
        <w:rPr>
          <w:rFonts w:eastAsiaTheme="minorHAnsi" w:cs="Calibri"/>
          <w:color w:val="000000"/>
        </w:rPr>
        <w:t> </w:t>
      </w:r>
      <w:r>
        <w:rPr>
          <w:rFonts w:eastAsiaTheme="minorHAnsi" w:cs="Calibri"/>
          <w:color w:val="000000"/>
        </w:rPr>
        <w:t>studies was representative of the proposed target patient population of T2DM patients who may require treatment with ertugliflozin and sitagliptin.</w:t>
      </w:r>
    </w:p>
    <w:p w14:paraId="5E1EE7FE" w14:textId="2CEE9C82" w:rsidR="00CE6507" w:rsidRPr="00220464" w:rsidRDefault="00CE6507" w:rsidP="00E91852">
      <w:r w:rsidRPr="000F7357">
        <w:t>Co-administration of ertugliflozin (15</w:t>
      </w:r>
      <w:r w:rsidR="009802FE">
        <w:t xml:space="preserve"> </w:t>
      </w:r>
      <w:r w:rsidR="006D7D02">
        <w:t>mg</w:t>
      </w:r>
      <w:r w:rsidRPr="000F7357">
        <w:t xml:space="preserve"> and 5</w:t>
      </w:r>
      <w:r w:rsidR="009802FE">
        <w:t xml:space="preserve"> </w:t>
      </w:r>
      <w:r w:rsidR="006D7D02">
        <w:t>mg</w:t>
      </w:r>
      <w:r w:rsidRPr="000F7357">
        <w:t>) with sitagliptin provides clinically</w:t>
      </w:r>
      <w:r>
        <w:t xml:space="preserve"> </w:t>
      </w:r>
      <w:r w:rsidRPr="000F7357">
        <w:t>meaningful improvements in glyc</w:t>
      </w:r>
      <w:r>
        <w:t>a</w:t>
      </w:r>
      <w:r w:rsidRPr="000F7357">
        <w:t>emic parameters (</w:t>
      </w:r>
      <w:r w:rsidR="003F2DE3">
        <w:t>Hb</w:t>
      </w:r>
      <w:r w:rsidR="00A04B32">
        <w:t>A1c</w:t>
      </w:r>
      <w:r w:rsidRPr="000F7357">
        <w:t>, FPG, and proportion of patients</w:t>
      </w:r>
      <w:r>
        <w:t xml:space="preserve"> </w:t>
      </w:r>
      <w:r w:rsidRPr="000F7357">
        <w:t xml:space="preserve">with </w:t>
      </w:r>
      <w:r w:rsidR="003F2DE3">
        <w:t>Hb</w:t>
      </w:r>
      <w:r w:rsidR="00A04B32">
        <w:t>A1c</w:t>
      </w:r>
      <w:r w:rsidRPr="000F7357">
        <w:t xml:space="preserve"> &lt;</w:t>
      </w:r>
      <w:r w:rsidR="006D2B42">
        <w:t xml:space="preserve"> </w:t>
      </w:r>
      <w:r w:rsidRPr="000F7357">
        <w:t>7.0%) compared to either sitagliptin alone or the corresponding dose of</w:t>
      </w:r>
      <w:r>
        <w:t xml:space="preserve"> </w:t>
      </w:r>
      <w:r w:rsidRPr="000F7357">
        <w:t xml:space="preserve">ertugliflozin alone in </w:t>
      </w:r>
      <w:r>
        <w:t xml:space="preserve">1233 </w:t>
      </w:r>
      <w:r w:rsidRPr="000F7357">
        <w:t>subjects with inadequate control on metformin</w:t>
      </w:r>
      <w:r w:rsidR="00671546">
        <w:t>.</w:t>
      </w:r>
      <w:r w:rsidRPr="000F7357">
        <w:t xml:space="preserve"> Co-administration</w:t>
      </w:r>
      <w:r>
        <w:t xml:space="preserve"> </w:t>
      </w:r>
      <w:r w:rsidRPr="000F7357">
        <w:t>of ertugliflozin (15</w:t>
      </w:r>
      <w:r w:rsidR="009802FE">
        <w:t xml:space="preserve"> </w:t>
      </w:r>
      <w:r w:rsidR="006D7D02">
        <w:t>mg</w:t>
      </w:r>
      <w:r w:rsidRPr="000F7357">
        <w:t xml:space="preserve"> and 5</w:t>
      </w:r>
      <w:r w:rsidR="009802FE">
        <w:t xml:space="preserve"> </w:t>
      </w:r>
      <w:r w:rsidR="006D7D02">
        <w:t>mg</w:t>
      </w:r>
      <w:r w:rsidRPr="000F7357">
        <w:t>) with sitagliptin provides greater body weight and SBP</w:t>
      </w:r>
      <w:r>
        <w:t xml:space="preserve"> </w:t>
      </w:r>
      <w:r w:rsidRPr="000F7357">
        <w:t>reductions, compared to sitagliptin alone in subjects with inadequate control on</w:t>
      </w:r>
      <w:r>
        <w:t xml:space="preserve"> </w:t>
      </w:r>
      <w:r w:rsidRPr="000F7357">
        <w:t>metformin.</w:t>
      </w:r>
      <w:r>
        <w:rPr>
          <w:rFonts w:eastAsiaTheme="minorHAnsi"/>
        </w:rPr>
        <w:t xml:space="preserve"> N</w:t>
      </w:r>
      <w:r w:rsidRPr="006A0A97">
        <w:rPr>
          <w:rFonts w:eastAsiaTheme="minorHAnsi"/>
        </w:rPr>
        <w:t>o meaningful difference was observed between the 2</w:t>
      </w:r>
      <w:r>
        <w:rPr>
          <w:rFonts w:eastAsiaTheme="minorHAnsi"/>
        </w:rPr>
        <w:t xml:space="preserve"> </w:t>
      </w:r>
      <w:r w:rsidRPr="006A0A97">
        <w:rPr>
          <w:rFonts w:eastAsiaTheme="minorHAnsi"/>
        </w:rPr>
        <w:t>co</w:t>
      </w:r>
      <w:r>
        <w:rPr>
          <w:rFonts w:eastAsiaTheme="minorHAnsi"/>
        </w:rPr>
        <w:t>-</w:t>
      </w:r>
      <w:r w:rsidRPr="006A0A97">
        <w:rPr>
          <w:rFonts w:eastAsiaTheme="minorHAnsi"/>
        </w:rPr>
        <w:t>administration groups</w:t>
      </w:r>
      <w:r>
        <w:rPr>
          <w:rFonts w:eastAsiaTheme="minorHAnsi"/>
        </w:rPr>
        <w:t xml:space="preserve"> (E15/S100 and E5/S100)</w:t>
      </w:r>
      <w:r w:rsidRPr="002810CD">
        <w:rPr>
          <w:rFonts w:eastAsiaTheme="minorHAnsi"/>
        </w:rPr>
        <w:t xml:space="preserve"> </w:t>
      </w:r>
      <w:r>
        <w:rPr>
          <w:rFonts w:eastAsiaTheme="minorHAnsi"/>
        </w:rPr>
        <w:t xml:space="preserve">for </w:t>
      </w:r>
      <w:r w:rsidR="003F2DE3">
        <w:t>Hb</w:t>
      </w:r>
      <w:r w:rsidR="00A04B32">
        <w:t>A1c</w:t>
      </w:r>
      <w:r>
        <w:rPr>
          <w:rFonts w:eastAsiaTheme="minorHAnsi"/>
        </w:rPr>
        <w:t>-related endpoints, although th</w:t>
      </w:r>
      <w:r w:rsidRPr="006A0A97">
        <w:rPr>
          <w:rFonts w:eastAsiaTheme="minorHAnsi"/>
        </w:rPr>
        <w:t>ere was a trend toward better efficacy for E15/S100 relative to</w:t>
      </w:r>
      <w:r>
        <w:rPr>
          <w:rFonts w:eastAsiaTheme="minorHAnsi"/>
        </w:rPr>
        <w:t xml:space="preserve"> </w:t>
      </w:r>
      <w:r w:rsidRPr="006A0A97">
        <w:rPr>
          <w:rFonts w:eastAsiaTheme="minorHAnsi"/>
        </w:rPr>
        <w:t xml:space="preserve">E5/S100 for FPG and </w:t>
      </w:r>
      <w:r w:rsidR="00C968D9">
        <w:rPr>
          <w:rFonts w:eastAsiaTheme="minorHAnsi"/>
        </w:rPr>
        <w:t>2 h</w:t>
      </w:r>
      <w:r>
        <w:rPr>
          <w:rFonts w:eastAsiaTheme="minorHAnsi"/>
        </w:rPr>
        <w:t xml:space="preserve"> PPG. However, interpretation was limited as this </w:t>
      </w:r>
      <w:r w:rsidRPr="006A0A97">
        <w:rPr>
          <w:rFonts w:eastAsiaTheme="minorHAnsi"/>
        </w:rPr>
        <w:t>study was not powered to detect differences between the 2 combination</w:t>
      </w:r>
      <w:r>
        <w:rPr>
          <w:rFonts w:eastAsiaTheme="minorHAnsi"/>
        </w:rPr>
        <w:t xml:space="preserve"> </w:t>
      </w:r>
      <w:r w:rsidRPr="006A0A97">
        <w:rPr>
          <w:rFonts w:eastAsiaTheme="minorHAnsi"/>
        </w:rPr>
        <w:t>groups</w:t>
      </w:r>
      <w:r>
        <w:rPr>
          <w:rFonts w:eastAsiaTheme="minorHAnsi"/>
        </w:rPr>
        <w:t>.</w:t>
      </w:r>
    </w:p>
    <w:p w14:paraId="62B6E37F" w14:textId="1F227460" w:rsidR="00CE6507" w:rsidRDefault="00CE6507" w:rsidP="00E91852">
      <w:r>
        <w:t>T</w:t>
      </w:r>
      <w:r w:rsidRPr="00E85047">
        <w:t>reatment with</w:t>
      </w:r>
      <w:r>
        <w:t xml:space="preserve"> </w:t>
      </w:r>
      <w:r w:rsidRPr="00E85047">
        <w:t>the initial combination of ertugliflozin (5</w:t>
      </w:r>
      <w:r w:rsidR="009802FE">
        <w:t xml:space="preserve"> </w:t>
      </w:r>
      <w:r w:rsidR="006D7D02">
        <w:t>mg</w:t>
      </w:r>
      <w:r w:rsidR="00D745EB">
        <w:t xml:space="preserve"> QD </w:t>
      </w:r>
      <w:r w:rsidRPr="00E85047">
        <w:t>or 15</w:t>
      </w:r>
      <w:r w:rsidR="009802FE">
        <w:t xml:space="preserve"> </w:t>
      </w:r>
      <w:r w:rsidR="006D7D02">
        <w:t>mg</w:t>
      </w:r>
      <w:r w:rsidRPr="00E85047">
        <w:t xml:space="preserve"> </w:t>
      </w:r>
      <w:r w:rsidR="00287DF7">
        <w:t>QD</w:t>
      </w:r>
      <w:r w:rsidRPr="00E85047">
        <w:t>) and sitagliptin 100</w:t>
      </w:r>
      <w:r w:rsidR="009802FE">
        <w:t xml:space="preserve"> </w:t>
      </w:r>
      <w:r w:rsidR="006D7D02">
        <w:t>mg</w:t>
      </w:r>
      <w:r w:rsidR="00D745EB">
        <w:t xml:space="preserve"> QD </w:t>
      </w:r>
      <w:r>
        <w:t>for 26 weeks p</w:t>
      </w:r>
      <w:r w:rsidRPr="00E85047">
        <w:t xml:space="preserve">rovides clinically meaningful </w:t>
      </w:r>
      <w:r w:rsidRPr="000F7357">
        <w:rPr>
          <w:rFonts w:eastAsia="TimesNewRoman" w:cs="TimesNewRoman"/>
        </w:rPr>
        <w:t xml:space="preserve">improvements in </w:t>
      </w:r>
      <w:r w:rsidRPr="000F7357">
        <w:rPr>
          <w:rFonts w:eastAsia="TimesNewRoman" w:cs="TimesNewRoman"/>
        </w:rPr>
        <w:lastRenderedPageBreak/>
        <w:t>glyc</w:t>
      </w:r>
      <w:r>
        <w:rPr>
          <w:rFonts w:eastAsia="TimesNewRoman" w:cs="TimesNewRoman"/>
        </w:rPr>
        <w:t>a</w:t>
      </w:r>
      <w:r w:rsidRPr="000F7357">
        <w:rPr>
          <w:rFonts w:eastAsia="TimesNewRoman" w:cs="TimesNewRoman"/>
        </w:rPr>
        <w:t>emic parameters (</w:t>
      </w:r>
      <w:r w:rsidR="003F2DE3">
        <w:t>Hb</w:t>
      </w:r>
      <w:r w:rsidR="00A04B32">
        <w:t>A1c</w:t>
      </w:r>
      <w:r w:rsidRPr="000F7357">
        <w:rPr>
          <w:rFonts w:eastAsia="TimesNewRoman" w:cs="TimesNewRoman"/>
        </w:rPr>
        <w:t xml:space="preserve">, FPG, </w:t>
      </w:r>
      <w:r w:rsidR="00C968D9">
        <w:rPr>
          <w:rFonts w:eastAsia="TimesNewRoman" w:cs="TimesNewRoman"/>
        </w:rPr>
        <w:t>2 h</w:t>
      </w:r>
      <w:r w:rsidRPr="000F7357">
        <w:rPr>
          <w:rFonts w:eastAsia="TimesNewRoman" w:cs="TimesNewRoman"/>
        </w:rPr>
        <w:t xml:space="preserve"> PPG, and</w:t>
      </w:r>
      <w:r>
        <w:rPr>
          <w:rFonts w:eastAsia="TimesNewRoman" w:cs="TimesNewRoman"/>
        </w:rPr>
        <w:t xml:space="preserve"> </w:t>
      </w:r>
      <w:r w:rsidRPr="000F7357">
        <w:rPr>
          <w:rFonts w:eastAsia="TimesNewRoman" w:cs="TimesNewRoman"/>
        </w:rPr>
        <w:t xml:space="preserve">proportion of patients with </w:t>
      </w:r>
      <w:r w:rsidR="003F2DE3">
        <w:t>Hb</w:t>
      </w:r>
      <w:r w:rsidR="00A04B32">
        <w:t>A1c</w:t>
      </w:r>
      <w:r w:rsidRPr="000F7357">
        <w:rPr>
          <w:rFonts w:eastAsia="TimesNewRoman" w:cs="TimesNewRoman"/>
        </w:rPr>
        <w:t xml:space="preserve"> &lt;</w:t>
      </w:r>
      <w:r w:rsidR="006D2B42">
        <w:rPr>
          <w:rFonts w:eastAsia="TimesNewRoman" w:cs="TimesNewRoman"/>
        </w:rPr>
        <w:t> </w:t>
      </w:r>
      <w:r w:rsidRPr="000F7357">
        <w:rPr>
          <w:rFonts w:eastAsia="TimesNewRoman" w:cs="TimesNewRoman"/>
        </w:rPr>
        <w:t>7.0%) as well as greater body weight and SBP</w:t>
      </w:r>
      <w:r>
        <w:rPr>
          <w:rFonts w:eastAsia="TimesNewRoman" w:cs="TimesNewRoman"/>
        </w:rPr>
        <w:t xml:space="preserve"> </w:t>
      </w:r>
      <w:r w:rsidRPr="000F7357">
        <w:rPr>
          <w:rFonts w:eastAsia="TimesNewRoman" w:cs="TimesNewRoman"/>
        </w:rPr>
        <w:t xml:space="preserve">reductions, compared to placebo in </w:t>
      </w:r>
      <w:r>
        <w:rPr>
          <w:rFonts w:eastAsia="TimesNewRoman" w:cs="TimesNewRoman"/>
        </w:rPr>
        <w:t>291</w:t>
      </w:r>
      <w:r w:rsidR="006D2B42">
        <w:rPr>
          <w:rFonts w:eastAsia="TimesNewRoman" w:cs="TimesNewRoman"/>
        </w:rPr>
        <w:t> </w:t>
      </w:r>
      <w:r>
        <w:rPr>
          <w:rFonts w:eastAsia="TimesNewRoman" w:cs="TimesNewRoman"/>
        </w:rPr>
        <w:t xml:space="preserve">T2DM </w:t>
      </w:r>
      <w:r w:rsidRPr="000F7357">
        <w:rPr>
          <w:rFonts w:eastAsia="TimesNewRoman" w:cs="TimesNewRoman"/>
        </w:rPr>
        <w:t>subjects with inadequate control on diet and exercise</w:t>
      </w:r>
      <w:r>
        <w:rPr>
          <w:rFonts w:eastAsia="TimesNewRoman" w:cs="TimesNewRoman"/>
        </w:rPr>
        <w:t xml:space="preserve"> </w:t>
      </w:r>
      <w:r w:rsidRPr="00671546">
        <w:rPr>
          <w:rFonts w:eastAsia="TimesNewRoman" w:cs="TimesNewRoman"/>
        </w:rPr>
        <w:t>alone (</w:t>
      </w:r>
      <w:r w:rsidR="00E91852">
        <w:t>Study</w:t>
      </w:r>
      <w:r w:rsidR="00E91852">
        <w:rPr>
          <w:rFonts w:eastAsia="TimesNewRoman" w:cs="TimesNewRoman"/>
        </w:rPr>
        <w:t> </w:t>
      </w:r>
      <w:r w:rsidRPr="00671546">
        <w:rPr>
          <w:rFonts w:eastAsia="TimesNewRoman" w:cs="TimesNewRoman"/>
        </w:rPr>
        <w:t>P017/1047). T</w:t>
      </w:r>
      <w:r w:rsidRPr="00671546">
        <w:t>his</w:t>
      </w:r>
      <w:r w:rsidRPr="00E85047">
        <w:t xml:space="preserve"> study was not designed to formally compare the 5</w:t>
      </w:r>
      <w:r w:rsidR="009802FE">
        <w:t xml:space="preserve"> </w:t>
      </w:r>
      <w:r w:rsidR="006D7D02">
        <w:t>mg</w:t>
      </w:r>
      <w:r w:rsidRPr="00E85047">
        <w:t xml:space="preserve"> and 15</w:t>
      </w:r>
      <w:r w:rsidR="009802FE">
        <w:t xml:space="preserve"> </w:t>
      </w:r>
      <w:r w:rsidR="006D7D02">
        <w:t>mg</w:t>
      </w:r>
      <w:r w:rsidRPr="00E85047">
        <w:t xml:space="preserve"> ertugliflozin</w:t>
      </w:r>
      <w:r>
        <w:t xml:space="preserve"> </w:t>
      </w:r>
      <w:r w:rsidRPr="00E85047">
        <w:t xml:space="preserve">doses, there were numerically greater reductions in </w:t>
      </w:r>
      <w:r w:rsidR="003F2DE3">
        <w:t>Hb</w:t>
      </w:r>
      <w:r w:rsidR="00A04B32">
        <w:t>A1c</w:t>
      </w:r>
      <w:r>
        <w:t xml:space="preserve">, FPG, </w:t>
      </w:r>
      <w:r w:rsidR="00C968D9">
        <w:t>2 h</w:t>
      </w:r>
      <w:r>
        <w:t xml:space="preserve"> PMG, body weight </w:t>
      </w:r>
      <w:r w:rsidRPr="00E85047">
        <w:t xml:space="preserve">and sitting </w:t>
      </w:r>
      <w:r>
        <w:t xml:space="preserve">SBP </w:t>
      </w:r>
      <w:r w:rsidRPr="00E85047">
        <w:t>with the E15/S100 combination, relative to the E5/S100</w:t>
      </w:r>
      <w:r>
        <w:t xml:space="preserve"> </w:t>
      </w:r>
      <w:r w:rsidRPr="00E85047">
        <w:t>combination</w:t>
      </w:r>
      <w:r>
        <w:t>, although the</w:t>
      </w:r>
      <w:r w:rsidR="00B51DF2">
        <w:t xml:space="preserve"> </w:t>
      </w:r>
      <w:r w:rsidRPr="00E85047">
        <w:t>differences between the 2 co</w:t>
      </w:r>
      <w:r>
        <w:t>-</w:t>
      </w:r>
      <w:r w:rsidRPr="00E85047">
        <w:t>administration groups were small for these</w:t>
      </w:r>
      <w:r>
        <w:t xml:space="preserve"> </w:t>
      </w:r>
      <w:r w:rsidRPr="00E85047">
        <w:t>endpoints</w:t>
      </w:r>
      <w:r>
        <w:t>.</w:t>
      </w:r>
    </w:p>
    <w:p w14:paraId="1D427261" w14:textId="432B7AB9" w:rsidR="00CE6507" w:rsidRPr="00E91852" w:rsidRDefault="00671546" w:rsidP="00E91852">
      <w:pPr>
        <w:rPr>
          <w:color w:val="000000"/>
        </w:rPr>
      </w:pPr>
      <w:r w:rsidRPr="00671546">
        <w:rPr>
          <w:rFonts w:eastAsia="TimesNewRoman" w:cs="TimesNewRoman"/>
        </w:rPr>
        <w:t xml:space="preserve">Study </w:t>
      </w:r>
      <w:r w:rsidR="00CE6507" w:rsidRPr="00671546">
        <w:rPr>
          <w:rFonts w:eastAsia="TimesNewRoman" w:cs="TimesNewRoman"/>
        </w:rPr>
        <w:t>P006/1015</w:t>
      </w:r>
      <w:r w:rsidR="00CE6507">
        <w:rPr>
          <w:rFonts w:eastAsia="TimesNewRoman" w:cs="TimesNewRoman"/>
        </w:rPr>
        <w:t xml:space="preserve"> </w:t>
      </w:r>
      <w:r w:rsidR="00CE6507">
        <w:t>was a well</w:t>
      </w:r>
      <w:r>
        <w:t xml:space="preserve"> </w:t>
      </w:r>
      <w:r w:rsidR="00CE6507">
        <w:t xml:space="preserve">conducted pivotal </w:t>
      </w:r>
      <w:r w:rsidR="00B51DF2">
        <w:t>Phase III</w:t>
      </w:r>
      <w:r w:rsidR="00CE6507">
        <w:t xml:space="preserve"> study which evaluated the efficacy and safety of </w:t>
      </w:r>
      <w:r w:rsidR="00CE6507" w:rsidRPr="00AD4B5A">
        <w:t>the addition of ertugliflozin</w:t>
      </w:r>
      <w:r w:rsidR="00CE6507">
        <w:t xml:space="preserve"> </w:t>
      </w:r>
      <w:r w:rsidR="00CE6507" w:rsidRPr="00AD4B5A">
        <w:t>(5</w:t>
      </w:r>
      <w:r w:rsidR="009802FE">
        <w:t xml:space="preserve"> </w:t>
      </w:r>
      <w:r w:rsidR="006D7D02">
        <w:t>mg</w:t>
      </w:r>
      <w:r w:rsidR="00CE6507" w:rsidRPr="00AD4B5A">
        <w:t xml:space="preserve"> and 15</w:t>
      </w:r>
      <w:r w:rsidR="009802FE">
        <w:t xml:space="preserve"> </w:t>
      </w:r>
      <w:r w:rsidR="006D7D02">
        <w:t>mg</w:t>
      </w:r>
      <w:r w:rsidR="00CE6507" w:rsidRPr="00AD4B5A">
        <w:t xml:space="preserve"> </w:t>
      </w:r>
      <w:r w:rsidR="00287DF7">
        <w:t>QD</w:t>
      </w:r>
      <w:r w:rsidR="00CE6507" w:rsidRPr="00AD4B5A">
        <w:t xml:space="preserve">) </w:t>
      </w:r>
      <w:r w:rsidR="00CE6507">
        <w:t xml:space="preserve">compared with the </w:t>
      </w:r>
      <w:r w:rsidR="00CE6507" w:rsidRPr="00AD4B5A">
        <w:t>addition of placebo to combination therapy with</w:t>
      </w:r>
      <w:r w:rsidR="00CE6507">
        <w:t xml:space="preserve"> </w:t>
      </w:r>
      <w:r w:rsidR="00CE6507" w:rsidRPr="00AD4B5A">
        <w:t xml:space="preserve">metformin </w:t>
      </w:r>
      <w:r w:rsidR="00EB55BF">
        <w:t xml:space="preserve">≥ </w:t>
      </w:r>
      <w:r w:rsidR="00CE6507" w:rsidRPr="00AD4B5A">
        <w:t>1500</w:t>
      </w:r>
      <w:r w:rsidR="009802FE">
        <w:t xml:space="preserve"> </w:t>
      </w:r>
      <w:r w:rsidR="006D7D02">
        <w:t>mg</w:t>
      </w:r>
      <w:r w:rsidR="00CE6507" w:rsidRPr="00AD4B5A">
        <w:t>/day and sitagliptin 100</w:t>
      </w:r>
      <w:r w:rsidR="009802FE">
        <w:t xml:space="preserve"> </w:t>
      </w:r>
      <w:r w:rsidR="006D7D02">
        <w:t>mg</w:t>
      </w:r>
      <w:r w:rsidR="00D745EB">
        <w:t xml:space="preserve"> QD </w:t>
      </w:r>
      <w:r w:rsidR="00CE6507" w:rsidRPr="00AD4B5A">
        <w:t xml:space="preserve">in </w:t>
      </w:r>
      <w:r w:rsidR="00CE6507">
        <w:t xml:space="preserve">463 </w:t>
      </w:r>
      <w:r w:rsidR="00CE6507" w:rsidRPr="00AD4B5A">
        <w:t>subjects with T2DM and inadequate</w:t>
      </w:r>
      <w:r w:rsidR="00CE6507">
        <w:t xml:space="preserve"> </w:t>
      </w:r>
      <w:r w:rsidR="00CE6507" w:rsidRPr="00AD4B5A">
        <w:t xml:space="preserve">glycaemic control. </w:t>
      </w:r>
      <w:r w:rsidR="00CE6507">
        <w:rPr>
          <w:rFonts w:eastAsia="TimesNewRoman" w:cs="TimesNewRoman"/>
        </w:rPr>
        <w:t>E</w:t>
      </w:r>
      <w:r w:rsidR="00CE6507" w:rsidRPr="000F7357">
        <w:rPr>
          <w:rFonts w:eastAsia="TimesNewRoman" w:cs="TimesNewRoman"/>
        </w:rPr>
        <w:t>rtugliflozin 15</w:t>
      </w:r>
      <w:r w:rsidR="009802FE">
        <w:rPr>
          <w:rFonts w:eastAsia="TimesNewRoman" w:cs="TimesNewRoman"/>
        </w:rPr>
        <w:t> </w:t>
      </w:r>
      <w:r w:rsidR="006D7D02">
        <w:rPr>
          <w:rFonts w:eastAsia="TimesNewRoman" w:cs="TimesNewRoman"/>
        </w:rPr>
        <w:t>mg</w:t>
      </w:r>
      <w:r w:rsidR="00CE6507" w:rsidRPr="000F7357">
        <w:rPr>
          <w:rFonts w:eastAsia="TimesNewRoman" w:cs="TimesNewRoman"/>
        </w:rPr>
        <w:t xml:space="preserve"> and 5</w:t>
      </w:r>
      <w:r w:rsidR="009802FE">
        <w:rPr>
          <w:rFonts w:eastAsia="TimesNewRoman" w:cs="TimesNewRoman"/>
        </w:rPr>
        <w:t xml:space="preserve"> </w:t>
      </w:r>
      <w:r w:rsidR="006D7D02">
        <w:rPr>
          <w:rFonts w:eastAsia="TimesNewRoman" w:cs="TimesNewRoman"/>
        </w:rPr>
        <w:t>mg</w:t>
      </w:r>
      <w:r w:rsidR="00CE6507" w:rsidRPr="000F7357">
        <w:rPr>
          <w:rFonts w:eastAsia="TimesNewRoman" w:cs="TimesNewRoman"/>
        </w:rPr>
        <w:t>, as add-on to sitagliptin and metformin dual therapy</w:t>
      </w:r>
      <w:r w:rsidR="00CE6507">
        <w:rPr>
          <w:rFonts w:eastAsia="TimesNewRoman" w:cs="TimesNewRoman"/>
        </w:rPr>
        <w:t xml:space="preserve"> </w:t>
      </w:r>
      <w:r w:rsidR="00CE6507" w:rsidRPr="000F7357">
        <w:rPr>
          <w:rFonts w:eastAsia="TimesNewRoman" w:cs="TimesNewRoman"/>
        </w:rPr>
        <w:t>provide</w:t>
      </w:r>
      <w:r w:rsidR="00CE6507">
        <w:rPr>
          <w:rFonts w:eastAsia="TimesNewRoman" w:cs="TimesNewRoman"/>
        </w:rPr>
        <w:t>d</w:t>
      </w:r>
      <w:r w:rsidR="00CE6507" w:rsidRPr="000F7357">
        <w:rPr>
          <w:rFonts w:eastAsia="TimesNewRoman" w:cs="TimesNewRoman"/>
        </w:rPr>
        <w:t xml:space="preserve"> clinically meaningful improvements in glyc</w:t>
      </w:r>
      <w:r w:rsidR="00CE6507">
        <w:rPr>
          <w:rFonts w:eastAsia="TimesNewRoman" w:cs="TimesNewRoman"/>
        </w:rPr>
        <w:t>a</w:t>
      </w:r>
      <w:r w:rsidR="00CE6507" w:rsidRPr="000F7357">
        <w:rPr>
          <w:rFonts w:eastAsia="TimesNewRoman" w:cs="TimesNewRoman"/>
        </w:rPr>
        <w:t>emic control (</w:t>
      </w:r>
      <w:r w:rsidR="003F2DE3">
        <w:t>Hb</w:t>
      </w:r>
      <w:r w:rsidR="00A04B32">
        <w:t>A1c</w:t>
      </w:r>
      <w:r w:rsidR="00CE6507" w:rsidRPr="000F7357">
        <w:rPr>
          <w:rFonts w:eastAsia="TimesNewRoman" w:cs="TimesNewRoman"/>
        </w:rPr>
        <w:t>, FPG and</w:t>
      </w:r>
      <w:r w:rsidR="00CE6507">
        <w:rPr>
          <w:rFonts w:eastAsia="TimesNewRoman" w:cs="TimesNewRoman"/>
        </w:rPr>
        <w:t xml:space="preserve"> </w:t>
      </w:r>
      <w:r w:rsidR="00CE6507" w:rsidRPr="000F7357">
        <w:rPr>
          <w:rFonts w:eastAsia="TimesNewRoman" w:cs="TimesNewRoman"/>
        </w:rPr>
        <w:t xml:space="preserve">proportion of patients with </w:t>
      </w:r>
      <w:r w:rsidR="003F2DE3">
        <w:t>Hb</w:t>
      </w:r>
      <w:r w:rsidR="00A04B32">
        <w:t>A1c</w:t>
      </w:r>
      <w:r w:rsidR="00CE6507" w:rsidRPr="000F7357">
        <w:rPr>
          <w:rFonts w:eastAsia="TimesNewRoman" w:cs="TimesNewRoman"/>
        </w:rPr>
        <w:t xml:space="preserve"> &lt;</w:t>
      </w:r>
      <w:r w:rsidR="006D2B42">
        <w:rPr>
          <w:rFonts w:eastAsia="TimesNewRoman" w:cs="TimesNewRoman"/>
        </w:rPr>
        <w:t xml:space="preserve"> </w:t>
      </w:r>
      <w:r w:rsidR="00CE6507" w:rsidRPr="000F7357">
        <w:rPr>
          <w:rFonts w:eastAsia="TimesNewRoman" w:cs="TimesNewRoman"/>
        </w:rPr>
        <w:t>7.0%), as well as body weight and SBP reductions</w:t>
      </w:r>
      <w:r w:rsidR="00CE6507">
        <w:rPr>
          <w:rFonts w:eastAsia="TimesNewRoman" w:cs="TimesNewRoman"/>
        </w:rPr>
        <w:t xml:space="preserve"> compared to placebo. </w:t>
      </w:r>
      <w:r w:rsidR="00CE6507">
        <w:t>S</w:t>
      </w:r>
      <w:r w:rsidR="00CE6507" w:rsidRPr="00AD4B5A">
        <w:t xml:space="preserve">ingle-agent or dual therapies </w:t>
      </w:r>
      <w:r w:rsidR="00CE6507">
        <w:t xml:space="preserve">are often found </w:t>
      </w:r>
      <w:r w:rsidR="00CE6507" w:rsidRPr="00AD4B5A">
        <w:t>to be</w:t>
      </w:r>
      <w:r w:rsidR="00CE6507">
        <w:t xml:space="preserve"> </w:t>
      </w:r>
      <w:r w:rsidR="00CE6507" w:rsidRPr="00AD4B5A">
        <w:t>insufficient to control blood glucose over time</w:t>
      </w:r>
      <w:r w:rsidR="00CE6507" w:rsidRPr="00A7258E">
        <w:t xml:space="preserve"> </w:t>
      </w:r>
      <w:r w:rsidR="00CE6507">
        <w:t xml:space="preserve">due to the </w:t>
      </w:r>
      <w:r w:rsidR="00CE6507" w:rsidRPr="00AD4B5A">
        <w:t>progressive nature of diabetes</w:t>
      </w:r>
      <w:r w:rsidR="00CE6507">
        <w:t xml:space="preserve">. </w:t>
      </w:r>
      <w:r w:rsidR="00CE6507" w:rsidRPr="00AD4B5A">
        <w:t>The addition of a third oral antidiabetic</w:t>
      </w:r>
      <w:r w:rsidR="00CE6507">
        <w:t xml:space="preserve"> </w:t>
      </w:r>
      <w:r w:rsidR="00CE6507" w:rsidRPr="00AD4B5A">
        <w:t>agent, with a different mechanism of action is often needed at a certain point of disease</w:t>
      </w:r>
      <w:r w:rsidR="00CE6507">
        <w:t xml:space="preserve"> </w:t>
      </w:r>
      <w:r w:rsidR="00CE6507" w:rsidRPr="00AD4B5A">
        <w:t>progression. Ertuglifl</w:t>
      </w:r>
      <w:r>
        <w:t xml:space="preserve">ozin, with a distinct mechanism </w:t>
      </w:r>
      <w:r w:rsidR="00CE6507" w:rsidRPr="00AD4B5A">
        <w:t>of</w:t>
      </w:r>
      <w:r>
        <w:t xml:space="preserve"> </w:t>
      </w:r>
      <w:r w:rsidR="00CE6507" w:rsidRPr="00AD4B5A">
        <w:t>action relative to DPP-4</w:t>
      </w:r>
      <w:r w:rsidR="00CE6507">
        <w:t xml:space="preserve"> </w:t>
      </w:r>
      <w:r w:rsidR="00CE6507" w:rsidRPr="00AD4B5A">
        <w:t>inhibitors and metformin, is a reasonable choice as a third-line therapy. The study</w:t>
      </w:r>
      <w:r w:rsidR="00CE6507">
        <w:t xml:space="preserve"> </w:t>
      </w:r>
      <w:r w:rsidR="00CE6507" w:rsidRPr="00AD4B5A">
        <w:t xml:space="preserve">population, with a mean duration of diabetes of 9.5 years and mean </w:t>
      </w:r>
      <w:r w:rsidR="003F2DE3">
        <w:t>Hb</w:t>
      </w:r>
      <w:r w:rsidR="00A04B32">
        <w:t>A1c</w:t>
      </w:r>
      <w:r w:rsidR="00CE6507" w:rsidRPr="00AD4B5A">
        <w:t xml:space="preserve"> of 8%</w:t>
      </w:r>
      <w:r w:rsidR="00CE6507">
        <w:t xml:space="preserve"> d</w:t>
      </w:r>
      <w:r w:rsidR="00CE6507" w:rsidRPr="00AD4B5A">
        <w:t>espite</w:t>
      </w:r>
      <w:r w:rsidR="00CE6507">
        <w:t xml:space="preserve"> </w:t>
      </w:r>
      <w:r w:rsidR="00CE6507" w:rsidRPr="00AD4B5A">
        <w:t>combination therapy with metformin and sitagliptin, was representative of patients who may</w:t>
      </w:r>
      <w:r w:rsidR="00CE6507">
        <w:t xml:space="preserve"> </w:t>
      </w:r>
      <w:r w:rsidR="00CE6507" w:rsidRPr="00AD4B5A">
        <w:t>need an additional third-line therapy.</w:t>
      </w:r>
    </w:p>
    <w:p w14:paraId="192AB4A7" w14:textId="77777777" w:rsidR="00CE6507" w:rsidRPr="003650F0" w:rsidRDefault="00CE6507" w:rsidP="00671546">
      <w:pPr>
        <w:pStyle w:val="Heading6"/>
        <w:rPr>
          <w:rFonts w:eastAsia="TimesNewRoman"/>
        </w:rPr>
      </w:pPr>
      <w:r w:rsidRPr="003650F0">
        <w:rPr>
          <w:rFonts w:eastAsia="TimesNewRoman"/>
        </w:rPr>
        <w:t>Dose</w:t>
      </w:r>
      <w:r w:rsidR="00E8309C">
        <w:rPr>
          <w:rFonts w:eastAsia="TimesNewRoman"/>
        </w:rPr>
        <w:t xml:space="preserve"> </w:t>
      </w:r>
      <w:r w:rsidRPr="003650F0">
        <w:rPr>
          <w:rFonts w:eastAsia="TimesNewRoman"/>
        </w:rPr>
        <w:t>response</w:t>
      </w:r>
    </w:p>
    <w:p w14:paraId="1661341A" w14:textId="16AB7DE7" w:rsidR="00CE6507" w:rsidRDefault="00CE6507" w:rsidP="00E91852">
      <w:r w:rsidRPr="003650F0">
        <w:t>Ertugliflozin 15</w:t>
      </w:r>
      <w:r w:rsidR="009802FE">
        <w:t xml:space="preserve"> </w:t>
      </w:r>
      <w:r w:rsidR="006D7D02">
        <w:t>mg</w:t>
      </w:r>
      <w:r w:rsidRPr="003650F0">
        <w:t xml:space="preserve"> demonstrated a consistent numerically greater glyc</w:t>
      </w:r>
      <w:r>
        <w:t>a</w:t>
      </w:r>
      <w:r w:rsidRPr="003650F0">
        <w:t>emic efficacy</w:t>
      </w:r>
      <w:r>
        <w:t xml:space="preserve"> </w:t>
      </w:r>
      <w:r w:rsidRPr="003650F0">
        <w:t>compared to ertugliflozin 5</w:t>
      </w:r>
      <w:r w:rsidR="009802FE">
        <w:t xml:space="preserve"> </w:t>
      </w:r>
      <w:r w:rsidR="006D7D02">
        <w:t>mg</w:t>
      </w:r>
      <w:r w:rsidRPr="003650F0">
        <w:t>. In the add</w:t>
      </w:r>
      <w:r w:rsidR="00671546">
        <w:t xml:space="preserve"> </w:t>
      </w:r>
      <w:r w:rsidRPr="003650F0">
        <w:t>on to</w:t>
      </w:r>
      <w:r>
        <w:t xml:space="preserve"> </w:t>
      </w:r>
      <w:r w:rsidRPr="003650F0">
        <w:t>metformin and sitagliptin</w:t>
      </w:r>
      <w:r w:rsidR="00B51DF2">
        <w:t xml:space="preserve"> </w:t>
      </w:r>
      <w:r w:rsidRPr="003650F0">
        <w:t>(</w:t>
      </w:r>
      <w:r w:rsidR="00671546">
        <w:t>S</w:t>
      </w:r>
      <w:r w:rsidRPr="003650F0">
        <w:t>tudy</w:t>
      </w:r>
      <w:r w:rsidR="006D2B42">
        <w:t> </w:t>
      </w:r>
      <w:r w:rsidRPr="003650F0">
        <w:t>P006/1015), ertugliflozin 15</w:t>
      </w:r>
      <w:r w:rsidR="009802FE">
        <w:t xml:space="preserve"> </w:t>
      </w:r>
      <w:r w:rsidR="006D7D02">
        <w:t>mg</w:t>
      </w:r>
      <w:r w:rsidRPr="003650F0">
        <w:t xml:space="preserve"> provided numerically</w:t>
      </w:r>
      <w:r>
        <w:t xml:space="preserve"> </w:t>
      </w:r>
      <w:r w:rsidRPr="003650F0">
        <w:t xml:space="preserve">greater </w:t>
      </w:r>
      <w:r w:rsidR="003F2DE3">
        <w:t>Hb</w:t>
      </w:r>
      <w:r w:rsidR="00A04B32">
        <w:t>A1c</w:t>
      </w:r>
      <w:r w:rsidRPr="003650F0">
        <w:t xml:space="preserve"> and FPG reductions and resulted in a greater proportion of subjects with an </w:t>
      </w:r>
      <w:r w:rsidR="003F2DE3">
        <w:t>Hb</w:t>
      </w:r>
      <w:r w:rsidR="00A04B32">
        <w:t>A1c</w:t>
      </w:r>
      <w:r>
        <w:t xml:space="preserve"> </w:t>
      </w:r>
      <w:r w:rsidRPr="003650F0">
        <w:t>&lt;</w:t>
      </w:r>
      <w:r w:rsidR="006D2B42">
        <w:t xml:space="preserve"> </w:t>
      </w:r>
      <w:r w:rsidRPr="003650F0">
        <w:t>7.0% at Week 26 compared to the ertugliflozin 5</w:t>
      </w:r>
      <w:r w:rsidR="009802FE">
        <w:t xml:space="preserve"> </w:t>
      </w:r>
      <w:r w:rsidR="006D7D02">
        <w:t>mg</w:t>
      </w:r>
      <w:r w:rsidRPr="003650F0">
        <w:t xml:space="preserve">. </w:t>
      </w:r>
      <w:r>
        <w:t xml:space="preserve">A </w:t>
      </w:r>
      <w:r w:rsidRPr="003650F0">
        <w:t xml:space="preserve">clear difference on </w:t>
      </w:r>
      <w:r w:rsidR="003F2DE3">
        <w:t>Hb</w:t>
      </w:r>
      <w:r w:rsidR="00A04B32">
        <w:t>A1c</w:t>
      </w:r>
      <w:r>
        <w:t xml:space="preserve"> </w:t>
      </w:r>
      <w:r w:rsidRPr="003650F0">
        <w:t>lowering between ertugliflozin 15</w:t>
      </w:r>
      <w:r w:rsidR="009802FE">
        <w:t xml:space="preserve"> </w:t>
      </w:r>
      <w:r w:rsidR="006D7D02">
        <w:t>mg</w:t>
      </w:r>
      <w:r w:rsidRPr="003650F0">
        <w:t xml:space="preserve"> </w:t>
      </w:r>
      <w:r w:rsidR="00671546">
        <w:t>with</w:t>
      </w:r>
      <w:r w:rsidRPr="003650F0">
        <w:t xml:space="preserve"> sitagliptin 100</w:t>
      </w:r>
      <w:r w:rsidR="009802FE">
        <w:t xml:space="preserve"> </w:t>
      </w:r>
      <w:r w:rsidR="006D7D02">
        <w:t>mg</w:t>
      </w:r>
      <w:r w:rsidRPr="003650F0">
        <w:t xml:space="preserve"> and ertugliflozin 5</w:t>
      </w:r>
      <w:r w:rsidR="009802FE">
        <w:t xml:space="preserve"> </w:t>
      </w:r>
      <w:r w:rsidR="006D7D02">
        <w:t>mg</w:t>
      </w:r>
      <w:r w:rsidRPr="003650F0">
        <w:t xml:space="preserve"> </w:t>
      </w:r>
      <w:r w:rsidR="00671546">
        <w:t>with</w:t>
      </w:r>
      <w:r>
        <w:t xml:space="preserve"> </w:t>
      </w:r>
      <w:r w:rsidRPr="003650F0">
        <w:t>sitagliptin 100</w:t>
      </w:r>
      <w:r w:rsidR="009802FE">
        <w:t xml:space="preserve"> </w:t>
      </w:r>
      <w:r w:rsidR="006D7D02">
        <w:t>mg</w:t>
      </w:r>
      <w:r w:rsidRPr="003650F0">
        <w:t xml:space="preserve"> was not observed in the 2 studies where sitagliptin and ertugliflozin were</w:t>
      </w:r>
      <w:r>
        <w:t xml:space="preserve"> </w:t>
      </w:r>
      <w:r w:rsidRPr="003650F0">
        <w:t>co-initiated</w:t>
      </w:r>
      <w:r>
        <w:t xml:space="preserve"> and in fact the proportion of subjects with </w:t>
      </w:r>
      <w:r w:rsidR="003F2DE3">
        <w:t>Hb</w:t>
      </w:r>
      <w:r w:rsidR="00A04B32">
        <w:t>A1c</w:t>
      </w:r>
      <w:r>
        <w:t xml:space="preserve"> &lt;</w:t>
      </w:r>
      <w:r w:rsidR="006D2B42">
        <w:t xml:space="preserve"> </w:t>
      </w:r>
      <w:r>
        <w:t xml:space="preserve">7% was numerically greater with the lower </w:t>
      </w:r>
      <w:r w:rsidR="00731A2E">
        <w:t>5</w:t>
      </w:r>
      <w:r w:rsidR="009802FE">
        <w:t xml:space="preserve"> </w:t>
      </w:r>
      <w:r w:rsidR="006D7D02">
        <w:t>mg</w:t>
      </w:r>
      <w:r>
        <w:t xml:space="preserve"> ertugliflozin dose compared to the 1</w:t>
      </w:r>
      <w:r w:rsidR="00731A2E">
        <w:t>5</w:t>
      </w:r>
      <w:r w:rsidR="009802FE">
        <w:t xml:space="preserve"> </w:t>
      </w:r>
      <w:r w:rsidR="006D7D02">
        <w:t>mg</w:t>
      </w:r>
      <w:r>
        <w:t xml:space="preserve"> dose. </w:t>
      </w:r>
      <w:r w:rsidRPr="003650F0">
        <w:t>A dose</w:t>
      </w:r>
      <w:r w:rsidR="00671546">
        <w:t xml:space="preserve"> </w:t>
      </w:r>
      <w:r w:rsidRPr="003650F0">
        <w:t>response for weight loss was not clearly observed between co-administration of</w:t>
      </w:r>
      <w:r>
        <w:t xml:space="preserve"> </w:t>
      </w:r>
      <w:r w:rsidRPr="003650F0">
        <w:t>ertugliflozin 15</w:t>
      </w:r>
      <w:r w:rsidR="009802FE">
        <w:t xml:space="preserve"> </w:t>
      </w:r>
      <w:r w:rsidR="006D7D02">
        <w:t>mg</w:t>
      </w:r>
      <w:r w:rsidRPr="003650F0">
        <w:t>/sitagliptin 100</w:t>
      </w:r>
      <w:r w:rsidR="009802FE">
        <w:t xml:space="preserve"> </w:t>
      </w:r>
      <w:r w:rsidR="006D7D02">
        <w:t>mg</w:t>
      </w:r>
      <w:r w:rsidRPr="003650F0">
        <w:t xml:space="preserve"> and ertugl</w:t>
      </w:r>
      <w:r>
        <w:t>iflozin 5</w:t>
      </w:r>
      <w:r w:rsidR="009802FE">
        <w:t xml:space="preserve"> </w:t>
      </w:r>
      <w:r w:rsidR="006D7D02">
        <w:t>mg</w:t>
      </w:r>
      <w:r>
        <w:t>/sitagliptin 100</w:t>
      </w:r>
      <w:r w:rsidR="009802FE">
        <w:t xml:space="preserve"> </w:t>
      </w:r>
      <w:r w:rsidR="006D7D02">
        <w:t>mg</w:t>
      </w:r>
      <w:r>
        <w:t>.</w:t>
      </w:r>
    </w:p>
    <w:p w14:paraId="2A187D39" w14:textId="0D871407" w:rsidR="00CE6507" w:rsidRDefault="00CE6507" w:rsidP="00E91852">
      <w:r>
        <w:t xml:space="preserve">However, </w:t>
      </w:r>
      <w:r w:rsidRPr="003650F0">
        <w:t>reductions in FPG and</w:t>
      </w:r>
      <w:r>
        <w:t xml:space="preserve"> </w:t>
      </w:r>
      <w:r w:rsidR="00C968D9">
        <w:t>2 h</w:t>
      </w:r>
      <w:r w:rsidRPr="003650F0">
        <w:t xml:space="preserve"> PPG were numerically greater for E15/S100 compared to E5/S100 in both</w:t>
      </w:r>
      <w:r>
        <w:t xml:space="preserve"> Studies P005/1019 and P017/1047. Furthermore, e</w:t>
      </w:r>
      <w:r w:rsidRPr="003650F0">
        <w:t>rtugliflozin 15</w:t>
      </w:r>
      <w:r w:rsidR="009802FE">
        <w:t xml:space="preserve"> </w:t>
      </w:r>
      <w:r w:rsidR="006D7D02">
        <w:t>mg</w:t>
      </w:r>
      <w:r w:rsidRPr="003650F0">
        <w:t>/sitagliptin 100</w:t>
      </w:r>
      <w:r w:rsidR="009802FE">
        <w:t xml:space="preserve"> </w:t>
      </w:r>
      <w:r w:rsidR="006D7D02">
        <w:t>mg</w:t>
      </w:r>
      <w:r w:rsidRPr="003650F0">
        <w:t xml:space="preserve"> </w:t>
      </w:r>
      <w:r>
        <w:t xml:space="preserve">also </w:t>
      </w:r>
      <w:r w:rsidRPr="003650F0">
        <w:t>showed a numerically greater SBP reduction</w:t>
      </w:r>
      <w:r>
        <w:t xml:space="preserve"> </w:t>
      </w:r>
      <w:r w:rsidRPr="003650F0">
        <w:t>compared to ertugliflozin 5</w:t>
      </w:r>
      <w:r w:rsidR="009802FE">
        <w:t xml:space="preserve"> </w:t>
      </w:r>
      <w:r w:rsidR="006D7D02">
        <w:t>mg</w:t>
      </w:r>
      <w:r w:rsidRPr="003650F0">
        <w:t>/sitagliptin 100 in the 2 studies where the drugs were</w:t>
      </w:r>
      <w:r>
        <w:t xml:space="preserve"> </w:t>
      </w:r>
      <w:r w:rsidRPr="003650F0">
        <w:t>co-initiated. When added on to metformin and sitagliptin, ertugliflozin 15</w:t>
      </w:r>
      <w:r w:rsidR="009802FE">
        <w:t xml:space="preserve"> </w:t>
      </w:r>
      <w:r w:rsidR="006D7D02">
        <w:t>mg</w:t>
      </w:r>
      <w:r w:rsidRPr="003650F0">
        <w:t xml:space="preserve"> resulted in</w:t>
      </w:r>
      <w:r>
        <w:t xml:space="preserve"> </w:t>
      </w:r>
      <w:r w:rsidRPr="003650F0">
        <w:t>numerically greater reductions in SBP than ertugliflozin 5</w:t>
      </w:r>
      <w:r w:rsidR="009802FE">
        <w:t xml:space="preserve"> </w:t>
      </w:r>
      <w:r w:rsidR="006D7D02">
        <w:t>mg</w:t>
      </w:r>
      <w:r w:rsidRPr="003650F0">
        <w:t>.</w:t>
      </w:r>
    </w:p>
    <w:p w14:paraId="0888BAE5" w14:textId="77777777" w:rsidR="00CE6507" w:rsidRPr="004814C0" w:rsidRDefault="00CE6507" w:rsidP="00E8309C">
      <w:pPr>
        <w:pStyle w:val="Heading6"/>
        <w:rPr>
          <w:rFonts w:eastAsia="TimesNewRoman"/>
        </w:rPr>
      </w:pPr>
      <w:r w:rsidRPr="004814C0">
        <w:rPr>
          <w:rFonts w:eastAsia="TimesNewRoman"/>
        </w:rPr>
        <w:t>Lon</w:t>
      </w:r>
      <w:r w:rsidR="00E8309C">
        <w:rPr>
          <w:rFonts w:eastAsia="TimesNewRoman"/>
        </w:rPr>
        <w:t>g term maintenance of efficacy</w:t>
      </w:r>
    </w:p>
    <w:p w14:paraId="007685BD" w14:textId="2DC494E8" w:rsidR="00CE6507" w:rsidRDefault="00CE6507" w:rsidP="00E91852">
      <w:r w:rsidRPr="004814C0">
        <w:t>The persistence of efficacy for sitagliptin has been demonstrated in a number of clinical</w:t>
      </w:r>
      <w:r>
        <w:t xml:space="preserve"> </w:t>
      </w:r>
      <w:r w:rsidRPr="004814C0">
        <w:t>studies. A 52</w:t>
      </w:r>
      <w:r w:rsidR="00E8309C">
        <w:t xml:space="preserve"> </w:t>
      </w:r>
      <w:r w:rsidRPr="004814C0">
        <w:t>week study showed that efficacy of sitagliptin was sustained for 52 weeks and</w:t>
      </w:r>
      <w:r>
        <w:t xml:space="preserve"> </w:t>
      </w:r>
      <w:r w:rsidRPr="004814C0">
        <w:t>is presented in the sitagliptin label. The extension</w:t>
      </w:r>
      <w:r>
        <w:t xml:space="preserve"> </w:t>
      </w:r>
      <w:r w:rsidRPr="004814C0">
        <w:t>of this study showed that the efficacy of sitagliptin was sustained for 104 weeks.</w:t>
      </w:r>
      <w:r w:rsidR="00C141FF">
        <w:rPr>
          <w:rStyle w:val="FootnoteReference"/>
          <w:rFonts w:asciiTheme="minorHAnsi" w:eastAsia="TimesNewRoman" w:hAnsiTheme="minorHAnsi" w:cs="TimesNewRoman"/>
          <w:color w:val="000000"/>
        </w:rPr>
        <w:footnoteReference w:id="31"/>
      </w:r>
      <w:r>
        <w:t xml:space="preserve"> </w:t>
      </w:r>
      <w:r w:rsidRPr="004814C0">
        <w:t xml:space="preserve">Ertugliflozin co-administered with </w:t>
      </w:r>
      <w:r w:rsidRPr="004814C0">
        <w:lastRenderedPageBreak/>
        <w:t xml:space="preserve">sitagliptin demonstrated stable </w:t>
      </w:r>
      <w:r w:rsidR="003F2DE3">
        <w:t>Hb</w:t>
      </w:r>
      <w:r w:rsidR="00A04B32">
        <w:t>A1c</w:t>
      </w:r>
      <w:r>
        <w:t xml:space="preserve"> </w:t>
      </w:r>
      <w:r w:rsidRPr="004814C0">
        <w:t>lowering over a period of 26 weeks when compared to placebo (Study P017/1047) and when</w:t>
      </w:r>
      <w:r>
        <w:t xml:space="preserve"> </w:t>
      </w:r>
      <w:r w:rsidRPr="004814C0">
        <w:t>compared to each individual agent (ertugliflozin alone or sitagliptin alone; Study P005/1019).</w:t>
      </w:r>
      <w:r>
        <w:t xml:space="preserve"> </w:t>
      </w:r>
      <w:r w:rsidRPr="004814C0">
        <w:t>Similar observations were made for FPG</w:t>
      </w:r>
      <w:r>
        <w:t xml:space="preserve"> and lowering of body weight and SBP</w:t>
      </w:r>
      <w:r w:rsidRPr="004814C0">
        <w:t xml:space="preserve"> in these studies. These data combined with the</w:t>
      </w:r>
      <w:r>
        <w:t xml:space="preserve"> </w:t>
      </w:r>
      <w:r w:rsidRPr="004814C0">
        <w:t>efficacy durability data for sitagliptin suggest that co-administration of ertugliflozin and</w:t>
      </w:r>
      <w:r>
        <w:t xml:space="preserve"> </w:t>
      </w:r>
      <w:r w:rsidRPr="004814C0">
        <w:t xml:space="preserve">sitagliptin will </w:t>
      </w:r>
      <w:r>
        <w:t xml:space="preserve">have beneficial effects on glycaemic parameters and other endpoints such as reduction in body weight and SBP </w:t>
      </w:r>
      <w:r w:rsidRPr="004814C0">
        <w:t>to at least 26 weeks</w:t>
      </w:r>
      <w:r>
        <w:t>. However, there is no evidence to confirm efficacy of proposed FDC beyond 26 weeks at this stage.</w:t>
      </w:r>
    </w:p>
    <w:p w14:paraId="5DF54D05" w14:textId="77777777" w:rsidR="00CE6507" w:rsidRDefault="00E8309C" w:rsidP="00E8309C">
      <w:pPr>
        <w:pStyle w:val="Heading4"/>
      </w:pPr>
      <w:bookmarkStart w:id="160" w:name="_Toc504036134"/>
      <w:r>
        <w:t>S</w:t>
      </w:r>
      <w:r w:rsidR="00CE6507">
        <w:t>afety</w:t>
      </w:r>
      <w:bookmarkEnd w:id="160"/>
    </w:p>
    <w:p w14:paraId="26989CD9" w14:textId="77777777" w:rsidR="00CE6507" w:rsidRDefault="00CE6507" w:rsidP="00E8309C">
      <w:pPr>
        <w:pStyle w:val="Heading5"/>
      </w:pPr>
      <w:bookmarkStart w:id="161" w:name="_Toc272414659"/>
      <w:bookmarkStart w:id="162" w:name="_Toc290888510"/>
      <w:bookmarkStart w:id="163" w:name="_Toc416353726"/>
      <w:bookmarkStart w:id="164" w:name="_Toc421005274"/>
      <w:bookmarkStart w:id="165" w:name="_Toc432079156"/>
      <w:bookmarkStart w:id="166" w:name="_Toc432080729"/>
      <w:bookmarkStart w:id="167" w:name="_Toc504036135"/>
      <w:r w:rsidRPr="00545B14">
        <w:t>Studies providing evaluable safety data</w:t>
      </w:r>
      <w:bookmarkEnd w:id="161"/>
      <w:bookmarkEnd w:id="162"/>
      <w:bookmarkEnd w:id="163"/>
      <w:bookmarkEnd w:id="164"/>
      <w:bookmarkEnd w:id="165"/>
      <w:bookmarkEnd w:id="166"/>
      <w:bookmarkEnd w:id="167"/>
    </w:p>
    <w:p w14:paraId="47C60294" w14:textId="40474402" w:rsidR="00CE6507" w:rsidRPr="007F3BC6" w:rsidRDefault="00CE6507" w:rsidP="00E91852">
      <w:pPr>
        <w:rPr>
          <w:lang w:eastAsia="ja-JP"/>
        </w:rPr>
      </w:pPr>
      <w:r>
        <w:t xml:space="preserve">Data for </w:t>
      </w:r>
      <w:r w:rsidRPr="007F3BC6">
        <w:t>the safety and</w:t>
      </w:r>
      <w:r>
        <w:t xml:space="preserve"> </w:t>
      </w:r>
      <w:r w:rsidRPr="007F3BC6">
        <w:t xml:space="preserve">tolerability of the ertugliflozin/sitagliptin FDC </w:t>
      </w:r>
      <w:r>
        <w:t>wa</w:t>
      </w:r>
      <w:r w:rsidRPr="007F3BC6">
        <w:t xml:space="preserve">s based upon 3 </w:t>
      </w:r>
      <w:r w:rsidR="00B51DF2">
        <w:t>Phase III</w:t>
      </w:r>
      <w:r w:rsidRPr="007F3BC6">
        <w:t xml:space="preserve"> clinical studies of</w:t>
      </w:r>
      <w:r>
        <w:t xml:space="preserve"> </w:t>
      </w:r>
      <w:r w:rsidRPr="007F3BC6">
        <w:t>ertugliflozin administered in combinatio</w:t>
      </w:r>
      <w:r>
        <w:t xml:space="preserve">n with sitagliptin, including one </w:t>
      </w:r>
      <w:r w:rsidRPr="007F3BC6">
        <w:t>factorial study</w:t>
      </w:r>
      <w:r>
        <w:t xml:space="preserve"> </w:t>
      </w:r>
      <w:r w:rsidRPr="007F3BC6">
        <w:t>(</w:t>
      </w:r>
      <w:r w:rsidR="00E91852">
        <w:t>Study</w:t>
      </w:r>
      <w:r w:rsidR="00E91852" w:rsidRPr="007F3BC6">
        <w:t xml:space="preserve"> </w:t>
      </w:r>
      <w:r w:rsidRPr="007F3BC6">
        <w:t xml:space="preserve">P005/1019) and </w:t>
      </w:r>
      <w:r>
        <w:t>two</w:t>
      </w:r>
      <w:r w:rsidRPr="007F3BC6">
        <w:t xml:space="preserve"> placebo</w:t>
      </w:r>
      <w:r w:rsidR="00E8309C">
        <w:t xml:space="preserve"> </w:t>
      </w:r>
      <w:r w:rsidRPr="007F3BC6">
        <w:t>controlled studies (</w:t>
      </w:r>
      <w:r w:rsidR="00E91852">
        <w:t xml:space="preserve">Studies </w:t>
      </w:r>
      <w:r w:rsidRPr="007F3BC6">
        <w:t>P006/1015 and</w:t>
      </w:r>
      <w:r>
        <w:t xml:space="preserve"> </w:t>
      </w:r>
      <w:r w:rsidRPr="007F3BC6">
        <w:t>P017/1047).</w:t>
      </w:r>
    </w:p>
    <w:p w14:paraId="125DC820" w14:textId="77777777" w:rsidR="00CE6507" w:rsidRDefault="00CE6507" w:rsidP="00E91852">
      <w:r w:rsidRPr="007F3BC6">
        <w:t>Due to differences in study design and patient populations, safety data from the</w:t>
      </w:r>
      <w:r>
        <w:t xml:space="preserve"> </w:t>
      </w:r>
      <w:r w:rsidRPr="007F3BC6">
        <w:t>3 individual studies were not pooled for analysis and therefore data are presented from the</w:t>
      </w:r>
      <w:r>
        <w:t xml:space="preserve"> </w:t>
      </w:r>
      <w:r w:rsidRPr="007F3BC6">
        <w:t>individual studies.</w:t>
      </w:r>
    </w:p>
    <w:p w14:paraId="32D33DBB" w14:textId="77777777" w:rsidR="00CE6507" w:rsidRDefault="00CE6507" w:rsidP="00E8309C">
      <w:pPr>
        <w:pStyle w:val="Heading4"/>
      </w:pPr>
      <w:bookmarkStart w:id="168" w:name="_Toc241374318"/>
      <w:bookmarkStart w:id="169" w:name="_Ref271196630"/>
      <w:bookmarkStart w:id="170" w:name="_Toc272414662"/>
      <w:bookmarkStart w:id="171" w:name="_Toc290888526"/>
      <w:bookmarkStart w:id="172" w:name="_Toc416353742"/>
      <w:bookmarkStart w:id="173" w:name="_Toc421005285"/>
      <w:bookmarkStart w:id="174" w:name="_Toc432079162"/>
      <w:bookmarkStart w:id="175" w:name="_Toc432080735"/>
      <w:bookmarkStart w:id="176" w:name="_Toc504036140"/>
      <w:r w:rsidRPr="00545B14">
        <w:t>Patient exposure</w:t>
      </w:r>
      <w:bookmarkEnd w:id="168"/>
      <w:bookmarkEnd w:id="169"/>
      <w:bookmarkEnd w:id="170"/>
      <w:bookmarkEnd w:id="171"/>
      <w:bookmarkEnd w:id="172"/>
      <w:bookmarkEnd w:id="173"/>
      <w:bookmarkEnd w:id="174"/>
      <w:bookmarkEnd w:id="175"/>
      <w:bookmarkEnd w:id="176"/>
    </w:p>
    <w:p w14:paraId="6CF3FB0F" w14:textId="2346E9AF" w:rsidR="00CE6507" w:rsidRPr="00995FB3" w:rsidRDefault="00CE6507">
      <w:r w:rsidRPr="00995FB3">
        <w:t xml:space="preserve">Overall, 1985 subjects were </w:t>
      </w:r>
      <w:r>
        <w:t>randomised</w:t>
      </w:r>
      <w:r w:rsidRPr="00995FB3">
        <w:t xml:space="preserve"> and received at least 1 dose of study</w:t>
      </w:r>
      <w:r>
        <w:t xml:space="preserve"> </w:t>
      </w:r>
      <w:r w:rsidRPr="00995FB3">
        <w:t xml:space="preserve">medication, including 990 subjects </w:t>
      </w:r>
      <w:r>
        <w:t>randomised</w:t>
      </w:r>
      <w:r w:rsidRPr="00995FB3">
        <w:t xml:space="preserve"> to co-administration treatment with</w:t>
      </w:r>
      <w:r>
        <w:t xml:space="preserve"> </w:t>
      </w:r>
      <w:r w:rsidRPr="00995FB3">
        <w:t>ertugliflozin and sitagliptin (Studies P005/1019 and P017/1047) or to ertugliflozin on a</w:t>
      </w:r>
      <w:r>
        <w:t xml:space="preserve"> </w:t>
      </w:r>
      <w:r w:rsidRPr="00995FB3">
        <w:t>background of metformin and sitagliptin therapy (Study P006/1015). In these 3 studies, the</w:t>
      </w:r>
      <w:r>
        <w:t xml:space="preserve"> </w:t>
      </w:r>
      <w:r w:rsidRPr="00995FB3">
        <w:t xml:space="preserve">number of subjects </w:t>
      </w:r>
      <w:r>
        <w:t>randomised</w:t>
      </w:r>
      <w:r w:rsidRPr="00995FB3">
        <w:t xml:space="preserve"> to treatment with ertugliflozin 5</w:t>
      </w:r>
      <w:r w:rsidR="009802FE">
        <w:t xml:space="preserve"> </w:t>
      </w:r>
      <w:r w:rsidR="006D7D02">
        <w:t>mg</w:t>
      </w:r>
      <w:r w:rsidRPr="00995FB3">
        <w:t xml:space="preserve"> (497 subjects) or</w:t>
      </w:r>
      <w:r>
        <w:t xml:space="preserve"> </w:t>
      </w:r>
      <w:r w:rsidRPr="00995FB3">
        <w:t>ertugliflozin 15</w:t>
      </w:r>
      <w:r w:rsidR="009802FE">
        <w:t xml:space="preserve"> </w:t>
      </w:r>
      <w:r w:rsidR="006D7D02">
        <w:t>mg</w:t>
      </w:r>
      <w:r w:rsidRPr="00995FB3">
        <w:t xml:space="preserve"> (493 subjects) in co-administration with sitagliptin or as add-on therapy</w:t>
      </w:r>
      <w:r>
        <w:t xml:space="preserve"> </w:t>
      </w:r>
      <w:r w:rsidRPr="00995FB3">
        <w:t>was evenly distributed. The remaining 995 subjects received treatment with ertugliflozin</w:t>
      </w:r>
      <w:r>
        <w:t xml:space="preserve"> </w:t>
      </w:r>
      <w:r w:rsidRPr="00995FB3">
        <w:t>alone (5</w:t>
      </w:r>
      <w:r w:rsidR="009802FE">
        <w:t xml:space="preserve"> </w:t>
      </w:r>
      <w:r w:rsidR="006D7D02">
        <w:t>mg</w:t>
      </w:r>
      <w:r w:rsidRPr="00995FB3">
        <w:t xml:space="preserve"> or 15</w:t>
      </w:r>
      <w:r w:rsidR="009802FE">
        <w:t xml:space="preserve"> </w:t>
      </w:r>
      <w:r w:rsidR="006D7D02">
        <w:t>mg</w:t>
      </w:r>
      <w:r w:rsidRPr="00995FB3">
        <w:t>; n = 498), sitagliptin 100</w:t>
      </w:r>
      <w:r w:rsidR="009802FE">
        <w:t xml:space="preserve"> </w:t>
      </w:r>
      <w:r w:rsidR="006D7D02">
        <w:t>mg</w:t>
      </w:r>
      <w:r w:rsidRPr="00995FB3">
        <w:t xml:space="preserve"> alone (n = 247) or placebo (n = 250).</w:t>
      </w:r>
    </w:p>
    <w:p w14:paraId="66F35D44" w14:textId="1320F9B8" w:rsidR="00CE6507" w:rsidRDefault="00104E5C">
      <w:r>
        <w:t>Over the 26 w</w:t>
      </w:r>
      <w:r w:rsidR="00CE6507" w:rsidRPr="00995FB3">
        <w:t>eek treatment period for each study (reflecting Phase A of Studies</w:t>
      </w:r>
      <w:r w:rsidR="00C7396E">
        <w:t> </w:t>
      </w:r>
      <w:r w:rsidR="00CE6507" w:rsidRPr="00995FB3">
        <w:t>P005/1019</w:t>
      </w:r>
      <w:r w:rsidR="00CE6507">
        <w:t xml:space="preserve"> </w:t>
      </w:r>
      <w:r w:rsidR="00CE6507" w:rsidRPr="00995FB3">
        <w:t>and P006/1015 and the completed treatment period of Study</w:t>
      </w:r>
      <w:r w:rsidR="00C7396E">
        <w:t> </w:t>
      </w:r>
      <w:r w:rsidR="00CE6507" w:rsidRPr="00995FB3">
        <w:t>P017/1047), the mean duration</w:t>
      </w:r>
      <w:r w:rsidR="00CE6507">
        <w:t xml:space="preserve"> </w:t>
      </w:r>
      <w:r w:rsidR="00CE6507" w:rsidRPr="00995FB3">
        <w:t>of exposure in each treatment group across the 3 studies was similar (170.9 days to</w:t>
      </w:r>
      <w:r w:rsidR="00CE6507">
        <w:t xml:space="preserve"> </w:t>
      </w:r>
      <w:r w:rsidR="00CE6507" w:rsidRPr="00995FB3">
        <w:t>174.0 days), with the exception of the placebo group in Study P017/1047 in which the mean</w:t>
      </w:r>
      <w:r w:rsidR="00CE6507">
        <w:t xml:space="preserve"> </w:t>
      </w:r>
      <w:r w:rsidR="00CE6507" w:rsidRPr="00995FB3">
        <w:t>duration of exposure was 157.8 days, primarily due to a numerically higher proportion of subjects in this study who prematurely discontinued study medication</w:t>
      </w:r>
      <w:r w:rsidR="00CE6507">
        <w:t xml:space="preserve">. The subject disposition and baseline characteristics of the patients in the three </w:t>
      </w:r>
      <w:r w:rsidR="00B51DF2">
        <w:t>Phase III</w:t>
      </w:r>
      <w:r w:rsidR="00CE6507">
        <w:t xml:space="preserve"> studies have been summarised in the Steglatro report (</w:t>
      </w:r>
      <w:r w:rsidR="00C7396E">
        <w:t xml:space="preserve">see </w:t>
      </w:r>
      <w:r>
        <w:t>Attachment</w:t>
      </w:r>
      <w:r w:rsidR="00C7396E">
        <w:t> </w:t>
      </w:r>
      <w:r>
        <w:t>2</w:t>
      </w:r>
      <w:r w:rsidR="00CE6507">
        <w:t>).</w:t>
      </w:r>
    </w:p>
    <w:p w14:paraId="214DEC6C" w14:textId="32628D9C" w:rsidR="00CE6507" w:rsidRDefault="00CE6507">
      <w:r>
        <w:t xml:space="preserve">In the ertugliflozin+sitagliptin factorial study P005/1019, a </w:t>
      </w:r>
      <w:r w:rsidRPr="00D9694C">
        <w:t>numerically higher</w:t>
      </w:r>
      <w:r>
        <w:t xml:space="preserve"> </w:t>
      </w:r>
      <w:r w:rsidRPr="00D9694C">
        <w:t xml:space="preserve">proportion of subjects in the </w:t>
      </w:r>
      <w:r w:rsidRPr="00027A58">
        <w:t xml:space="preserve">E15/S100 group discontinued study medication for an AE relative to the 4 other groups; the proportions of subjects who discontinued study medication for other reasons were generally similar between groups. In the add-on to metformin+sitagliptin </w:t>
      </w:r>
      <w:r w:rsidR="00104E5C">
        <w:t>S</w:t>
      </w:r>
      <w:r w:rsidRPr="00027A58">
        <w:t>tudy P006/1015, A numerically higher</w:t>
      </w:r>
      <w:r>
        <w:t xml:space="preserve"> proportion</w:t>
      </w:r>
      <w:r w:rsidR="00B51DF2">
        <w:t xml:space="preserve"> </w:t>
      </w:r>
      <w:r w:rsidRPr="00027A58">
        <w:t>of subjects discontinued study medication for an adverse event in the ertugliflozin</w:t>
      </w:r>
      <w:r>
        <w:t xml:space="preserve"> </w:t>
      </w:r>
      <w:r w:rsidRPr="00027A58">
        <w:t>5</w:t>
      </w:r>
      <w:r w:rsidR="009802FE">
        <w:t xml:space="preserve"> </w:t>
      </w:r>
      <w:r w:rsidR="006D7D02">
        <w:t>mg</w:t>
      </w:r>
      <w:r w:rsidRPr="00027A58">
        <w:t xml:space="preserve"> group (3.2%) than in the ertugliflozin 15</w:t>
      </w:r>
      <w:r w:rsidR="009802FE">
        <w:t xml:space="preserve"> </w:t>
      </w:r>
      <w:r w:rsidR="006D7D02">
        <w:t>mg</w:t>
      </w:r>
      <w:r w:rsidRPr="00027A58">
        <w:t xml:space="preserve"> and placebo groups (1 subject in each</w:t>
      </w:r>
      <w:r>
        <w:t xml:space="preserve"> </w:t>
      </w:r>
      <w:r w:rsidRPr="00027A58">
        <w:t xml:space="preserve">group </w:t>
      </w:r>
      <w:r w:rsidR="006D2B42">
        <w:t>(</w:t>
      </w:r>
      <w:r w:rsidRPr="00027A58">
        <w:t>0.6% and 0.7%, respectively</w:t>
      </w:r>
      <w:r w:rsidR="006D2B42">
        <w:t>))</w:t>
      </w:r>
      <w:r w:rsidRPr="00027A58">
        <w:t>. In the ertugliflozin+s</w:t>
      </w:r>
      <w:r w:rsidR="00104E5C">
        <w:t>itagliptin initial combination S</w:t>
      </w:r>
      <w:r w:rsidRPr="00027A58">
        <w:t>tudy P</w:t>
      </w:r>
      <w:r>
        <w:t>0</w:t>
      </w:r>
      <w:r w:rsidRPr="00027A58">
        <w:t>17/1047, proportion of subjects who</w:t>
      </w:r>
      <w:r>
        <w:t xml:space="preserve"> </w:t>
      </w:r>
      <w:r w:rsidRPr="00027A58">
        <w:t>discontinued study medication was numerically lower in the E5/S100 (8.2%) and E15/S100</w:t>
      </w:r>
      <w:r>
        <w:t xml:space="preserve"> </w:t>
      </w:r>
      <w:r w:rsidRPr="00027A58">
        <w:t>(8.3%) groups than in the placebo group (21.6%), primarily due to a numerically larger</w:t>
      </w:r>
      <w:r>
        <w:t xml:space="preserve"> </w:t>
      </w:r>
      <w:r w:rsidRPr="00027A58">
        <w:t>proportion of subjects in the placebo group who discontinued study medication for</w:t>
      </w:r>
      <w:r>
        <w:t xml:space="preserve"> </w:t>
      </w:r>
      <w:r w:rsidRPr="00027A58">
        <w:t>withdrawal by subject and for lost to follow-up</w:t>
      </w:r>
      <w:r>
        <w:t>.</w:t>
      </w:r>
    </w:p>
    <w:p w14:paraId="4573A23B" w14:textId="77777777" w:rsidR="00CE6507" w:rsidRPr="00E4342F" w:rsidRDefault="00CE6507" w:rsidP="00C25F78">
      <w:pPr>
        <w:pStyle w:val="Heading4"/>
      </w:pPr>
      <w:bookmarkStart w:id="177" w:name="_Toc504036160"/>
      <w:r w:rsidRPr="00E4342F">
        <w:lastRenderedPageBreak/>
        <w:t>Post</w:t>
      </w:r>
      <w:r>
        <w:t xml:space="preserve"> </w:t>
      </w:r>
      <w:r w:rsidRPr="00E4342F">
        <w:t>marketing experience</w:t>
      </w:r>
      <w:bookmarkEnd w:id="177"/>
    </w:p>
    <w:p w14:paraId="002397B7" w14:textId="77777777" w:rsidR="00CE6507" w:rsidRDefault="00CE6507" w:rsidP="00104E5C">
      <w:bookmarkStart w:id="178" w:name="_Toc241374328"/>
      <w:bookmarkStart w:id="179" w:name="_Toc272414691"/>
      <w:bookmarkStart w:id="180" w:name="_Toc290888555"/>
      <w:bookmarkStart w:id="181" w:name="_Toc416353770"/>
      <w:bookmarkStart w:id="182" w:name="_Toc421005312"/>
      <w:bookmarkStart w:id="183" w:name="_Toc432079183"/>
      <w:bookmarkStart w:id="184" w:name="_Toc432080756"/>
      <w:r w:rsidRPr="00053DE5">
        <w:rPr>
          <w:lang w:eastAsia="ja-JP"/>
        </w:rPr>
        <w:t xml:space="preserve">Not applicable as the </w:t>
      </w:r>
      <w:r w:rsidRPr="00053DE5">
        <w:t>ertugliflozin/sitagliptin FDC has not been approved for use in any country.</w:t>
      </w:r>
      <w:r w:rsidR="00104E5C" w:rsidRPr="00104E5C">
        <w:t xml:space="preserve"> </w:t>
      </w:r>
      <w:r w:rsidR="00104E5C">
        <w:t>Ertugliflozin has also not received marketing approval to date.</w:t>
      </w:r>
    </w:p>
    <w:p w14:paraId="707FF8A1" w14:textId="36A93438" w:rsidR="00CE6507" w:rsidRDefault="00CE6507" w:rsidP="00104E5C">
      <w:r>
        <w:t>The following information regarding post</w:t>
      </w:r>
      <w:r w:rsidR="006D2B42">
        <w:t>-</w:t>
      </w:r>
      <w:r>
        <w:t>marketing experience for sitagliptin has been included in the proposed PI for Steglujan:</w:t>
      </w:r>
    </w:p>
    <w:p w14:paraId="78723EAF" w14:textId="77777777" w:rsidR="00CE6507" w:rsidRPr="00104E5C" w:rsidRDefault="00D745EB" w:rsidP="00104E5C">
      <w:pPr>
        <w:ind w:left="720"/>
        <w:rPr>
          <w:i/>
        </w:rPr>
      </w:pPr>
      <w:r w:rsidRPr="00104E5C">
        <w:rPr>
          <w:rFonts w:eastAsia="TimesNewRoman" w:cs="TimesNewRoman"/>
          <w:i/>
        </w:rPr>
        <w:t>‘</w:t>
      </w:r>
      <w:r w:rsidR="00CE6507" w:rsidRPr="00104E5C">
        <w:rPr>
          <w:i/>
        </w:rPr>
        <w:t>Additional adverse reactions have been identified during postmarketing use of sitagliptin as monotherapy and/or in combination with other antihyperglycaemic agents. Because these reactions are reported voluntarily from a population of uncertain size, it is generally not possible to reliably estimate their frequency or establish a causal relationship to drug exposure.</w:t>
      </w:r>
    </w:p>
    <w:p w14:paraId="51DBB3F0" w14:textId="7318BFF6" w:rsidR="00CE6507" w:rsidRPr="00104E5C" w:rsidRDefault="00CE6507" w:rsidP="00104E5C">
      <w:pPr>
        <w:ind w:left="720"/>
        <w:rPr>
          <w:rFonts w:cs="Arial-BoldItalicMT"/>
          <w:bCs/>
          <w:i/>
          <w:iCs/>
        </w:rPr>
      </w:pPr>
      <w:r w:rsidRPr="00104E5C">
        <w:rPr>
          <w:rFonts w:cs="Arial-BoldItalicMT"/>
          <w:bCs/>
          <w:i/>
          <w:iCs/>
        </w:rPr>
        <w:t xml:space="preserve">Infections and infestations: </w:t>
      </w:r>
      <w:r w:rsidRPr="00104E5C">
        <w:rPr>
          <w:i/>
        </w:rPr>
        <w:t>upper respiratory tract infection; nasopharyngitis; n</w:t>
      </w:r>
      <w:r w:rsidRPr="00104E5C">
        <w:rPr>
          <w:rFonts w:cs="Arial-BoldItalicMT"/>
          <w:bCs/>
          <w:i/>
          <w:iCs/>
        </w:rPr>
        <w:t xml:space="preserve">ervous system disorders; </w:t>
      </w:r>
      <w:r w:rsidRPr="00104E5C">
        <w:rPr>
          <w:i/>
        </w:rPr>
        <w:t>headache</w:t>
      </w:r>
      <w:r w:rsidR="006D2B42">
        <w:rPr>
          <w:rFonts w:cs="Arial-BoldItalicMT"/>
          <w:bCs/>
          <w:i/>
          <w:iCs/>
        </w:rPr>
        <w:t>.</w:t>
      </w:r>
    </w:p>
    <w:p w14:paraId="7492DB78" w14:textId="77777777" w:rsidR="00CE6507" w:rsidRPr="00104E5C" w:rsidRDefault="00CE6507" w:rsidP="00104E5C">
      <w:pPr>
        <w:ind w:left="720"/>
        <w:rPr>
          <w:i/>
        </w:rPr>
      </w:pPr>
      <w:r w:rsidRPr="00104E5C">
        <w:rPr>
          <w:rFonts w:cs="Arial-BoldItalicMT"/>
          <w:bCs/>
          <w:i/>
          <w:iCs/>
        </w:rPr>
        <w:t xml:space="preserve">Gastrointestinal disorders: </w:t>
      </w:r>
      <w:r w:rsidRPr="00104E5C">
        <w:rPr>
          <w:i/>
        </w:rPr>
        <w:t xml:space="preserve">acute pancreatitis, including fatal and non-fatal haemorrhagic and necrotising pancreatitis (see PRECAUTIONS, </w:t>
      </w:r>
      <w:r w:rsidRPr="00104E5C">
        <w:rPr>
          <w:rFonts w:cs="Arial-ItalicMT"/>
          <w:i/>
          <w:iCs/>
        </w:rPr>
        <w:t>Pancreatitis</w:t>
      </w:r>
      <w:r w:rsidRPr="00104E5C">
        <w:rPr>
          <w:i/>
        </w:rPr>
        <w:t>); constipation; vomiting.</w:t>
      </w:r>
    </w:p>
    <w:p w14:paraId="40FA9044" w14:textId="77777777" w:rsidR="00CE6507" w:rsidRPr="00104E5C" w:rsidRDefault="00CE6507" w:rsidP="00104E5C">
      <w:pPr>
        <w:ind w:left="720"/>
        <w:rPr>
          <w:i/>
        </w:rPr>
      </w:pPr>
      <w:r w:rsidRPr="00104E5C">
        <w:rPr>
          <w:rFonts w:cs="Arial-BoldItalicMT"/>
          <w:bCs/>
          <w:i/>
          <w:iCs/>
        </w:rPr>
        <w:t xml:space="preserve">Musculoskeletal and connective tissue disorders: </w:t>
      </w:r>
      <w:r w:rsidRPr="00104E5C">
        <w:rPr>
          <w:i/>
        </w:rPr>
        <w:t>arthralgia; myalgia; pain in extremity; back pain.</w:t>
      </w:r>
    </w:p>
    <w:p w14:paraId="677D5C57" w14:textId="77777777" w:rsidR="00CE6507" w:rsidRPr="00104E5C" w:rsidRDefault="00CE6507" w:rsidP="00104E5C">
      <w:pPr>
        <w:ind w:left="720"/>
        <w:rPr>
          <w:i/>
        </w:rPr>
      </w:pPr>
      <w:r w:rsidRPr="00104E5C">
        <w:rPr>
          <w:rFonts w:cs="Arial-BoldItalicMT"/>
          <w:bCs/>
          <w:i/>
          <w:iCs/>
        </w:rPr>
        <w:t xml:space="preserve">Renal and urinary disorders: </w:t>
      </w:r>
      <w:r w:rsidRPr="00104E5C">
        <w:rPr>
          <w:i/>
        </w:rPr>
        <w:t>worsening renal function, including acute renal failure (sometimes requiring dialysis).</w:t>
      </w:r>
    </w:p>
    <w:p w14:paraId="4F4C5510" w14:textId="77777777" w:rsidR="00CE6507" w:rsidRPr="00104E5C" w:rsidRDefault="00CE6507" w:rsidP="00104E5C">
      <w:pPr>
        <w:ind w:left="720"/>
        <w:rPr>
          <w:i/>
        </w:rPr>
      </w:pPr>
      <w:r w:rsidRPr="00104E5C">
        <w:rPr>
          <w:rFonts w:cs="Arial-BoldItalicMT"/>
          <w:bCs/>
          <w:i/>
          <w:iCs/>
        </w:rPr>
        <w:t xml:space="preserve">Hypersensitivity reactions </w:t>
      </w:r>
      <w:r w:rsidRPr="00104E5C">
        <w:rPr>
          <w:i/>
        </w:rPr>
        <w:t xml:space="preserve">including anaphylaxis, angioedema, rash, urticaria, cutaneous vasculitis, pruritus, bullous pemphigoid (see </w:t>
      </w:r>
      <w:r w:rsidR="00104E5C" w:rsidRPr="00104E5C">
        <w:rPr>
          <w:i/>
        </w:rPr>
        <w:t>Precautions</w:t>
      </w:r>
      <w:r w:rsidRPr="00104E5C">
        <w:rPr>
          <w:i/>
        </w:rPr>
        <w:t xml:space="preserve">, Bullous Pemphigoid), and exfoliative skin conditions, including Stevens-Johnson syndrome have been reported with use of sitagliptin (see </w:t>
      </w:r>
      <w:r w:rsidR="00104E5C" w:rsidRPr="00104E5C">
        <w:rPr>
          <w:i/>
        </w:rPr>
        <w:t xml:space="preserve">Contraindications </w:t>
      </w:r>
      <w:r w:rsidRPr="00104E5C">
        <w:rPr>
          <w:i/>
        </w:rPr>
        <w:t xml:space="preserve">and </w:t>
      </w:r>
      <w:r w:rsidR="00104E5C" w:rsidRPr="00104E5C">
        <w:rPr>
          <w:i/>
        </w:rPr>
        <w:t>Precautions</w:t>
      </w:r>
      <w:r w:rsidRPr="00104E5C">
        <w:rPr>
          <w:i/>
        </w:rPr>
        <w:t xml:space="preserve">, </w:t>
      </w:r>
      <w:r w:rsidRPr="00104E5C">
        <w:rPr>
          <w:rFonts w:cs="Arial-ItalicMT"/>
          <w:i/>
          <w:iCs/>
        </w:rPr>
        <w:t>Hypersensitivity Reactions</w:t>
      </w:r>
      <w:r w:rsidRPr="00104E5C">
        <w:rPr>
          <w:i/>
        </w:rPr>
        <w:t>).</w:t>
      </w:r>
      <w:r w:rsidR="00D745EB" w:rsidRPr="00104E5C">
        <w:rPr>
          <w:i/>
        </w:rPr>
        <w:t>’</w:t>
      </w:r>
    </w:p>
    <w:p w14:paraId="3E683063" w14:textId="77777777" w:rsidR="00CE6507" w:rsidRPr="00104E5C" w:rsidRDefault="00CE6507" w:rsidP="00104E5C">
      <w:pPr>
        <w:pStyle w:val="Heading4"/>
      </w:pPr>
      <w:bookmarkStart w:id="185" w:name="_Toc504036161"/>
      <w:r w:rsidRPr="00E4342F">
        <w:t>Evaluator’s overall conclusions on clinical safety</w:t>
      </w:r>
      <w:bookmarkEnd w:id="178"/>
      <w:bookmarkEnd w:id="179"/>
      <w:bookmarkEnd w:id="180"/>
      <w:bookmarkEnd w:id="181"/>
      <w:bookmarkEnd w:id="182"/>
      <w:bookmarkEnd w:id="183"/>
      <w:bookmarkEnd w:id="184"/>
      <w:bookmarkEnd w:id="185"/>
    </w:p>
    <w:p w14:paraId="3E151D2F" w14:textId="77777777" w:rsidR="00CE6507" w:rsidRPr="00162053" w:rsidRDefault="00CE6507" w:rsidP="00104E5C">
      <w:pPr>
        <w:rPr>
          <w:lang w:eastAsia="ja-JP"/>
        </w:rPr>
      </w:pPr>
      <w:r w:rsidRPr="00162053">
        <w:rPr>
          <w:lang w:eastAsia="ja-JP"/>
        </w:rPr>
        <w:t>The safety of the proposed co</w:t>
      </w:r>
      <w:r w:rsidR="00104E5C">
        <w:rPr>
          <w:lang w:eastAsia="ja-JP"/>
        </w:rPr>
        <w:t>-</w:t>
      </w:r>
      <w:r w:rsidRPr="00162053">
        <w:rPr>
          <w:lang w:eastAsia="ja-JP"/>
        </w:rPr>
        <w:t>administration of ertugliflozin+sitagliptin was evaluated in 1987 patients in</w:t>
      </w:r>
      <w:r w:rsidR="00B51DF2">
        <w:rPr>
          <w:lang w:eastAsia="ja-JP"/>
        </w:rPr>
        <w:t xml:space="preserve"> </w:t>
      </w:r>
      <w:r w:rsidRPr="00162053">
        <w:rPr>
          <w:lang w:eastAsia="ja-JP"/>
        </w:rPr>
        <w:t xml:space="preserve">3 pivotal </w:t>
      </w:r>
      <w:r w:rsidR="00B51DF2">
        <w:rPr>
          <w:lang w:eastAsia="ja-JP"/>
        </w:rPr>
        <w:t>Phase III</w:t>
      </w:r>
      <w:r w:rsidRPr="00162053">
        <w:rPr>
          <w:lang w:eastAsia="ja-JP"/>
        </w:rPr>
        <w:t xml:space="preserve"> studies with about 992 patients receiving ertugliflozin+sitagliptin combination treatment. Although the proposed FDC was not used in any of the </w:t>
      </w:r>
      <w:r w:rsidR="00B51DF2">
        <w:rPr>
          <w:lang w:eastAsia="ja-JP"/>
        </w:rPr>
        <w:t>Phase III</w:t>
      </w:r>
      <w:r w:rsidRPr="00162053">
        <w:rPr>
          <w:lang w:eastAsia="ja-JP"/>
        </w:rPr>
        <w:t xml:space="preserve"> studies, use of safety data from these studies is justified as bioequivalence between the proposed FDC and co-administration of individual tablets of ertugliflozin+sitagliptin was adequately established.</w:t>
      </w:r>
    </w:p>
    <w:p w14:paraId="4B0D5809" w14:textId="77777777" w:rsidR="00104E5C" w:rsidRPr="00241369" w:rsidRDefault="00CE6507" w:rsidP="00241369">
      <w:pPr>
        <w:pStyle w:val="Heading5"/>
        <w:rPr>
          <w:rStyle w:val="Heading5Char"/>
          <w:rFonts w:eastAsia="TimesNewRoman,Bold"/>
          <w:b/>
          <w:bCs/>
          <w:i/>
        </w:rPr>
      </w:pPr>
      <w:r w:rsidRPr="00241369">
        <w:rPr>
          <w:rStyle w:val="Heading5Char"/>
          <w:rFonts w:eastAsia="Cambria"/>
          <w:b/>
          <w:bCs/>
          <w:i/>
        </w:rPr>
        <w:t xml:space="preserve">Study P005/1019 </w:t>
      </w:r>
      <w:r w:rsidR="00104E5C" w:rsidRPr="00241369">
        <w:rPr>
          <w:rStyle w:val="Heading5Char"/>
          <w:rFonts w:eastAsia="Cambria"/>
          <w:b/>
          <w:bCs/>
          <w:i/>
        </w:rPr>
        <w:t>e</w:t>
      </w:r>
      <w:r w:rsidRPr="00241369">
        <w:rPr>
          <w:rStyle w:val="Heading5Char"/>
          <w:rFonts w:eastAsia="TimesNewRoman,Bold"/>
          <w:b/>
          <w:bCs/>
          <w:i/>
        </w:rPr>
        <w:t>rtugliflozin +</w:t>
      </w:r>
      <w:r w:rsidR="00104E5C" w:rsidRPr="00241369">
        <w:rPr>
          <w:rStyle w:val="Heading5Char"/>
          <w:rFonts w:eastAsia="TimesNewRoman,Bold"/>
          <w:b/>
          <w:bCs/>
          <w:i/>
        </w:rPr>
        <w:t>sitagliptin f</w:t>
      </w:r>
      <w:r w:rsidRPr="00241369">
        <w:rPr>
          <w:rStyle w:val="Heading5Char"/>
          <w:rFonts w:eastAsia="TimesNewRoman,Bold"/>
          <w:b/>
          <w:bCs/>
          <w:i/>
        </w:rPr>
        <w:t xml:space="preserve">actorial </w:t>
      </w:r>
      <w:r w:rsidR="00104E5C" w:rsidRPr="00241369">
        <w:rPr>
          <w:rStyle w:val="Heading5Char"/>
          <w:rFonts w:eastAsia="TimesNewRoman,Bold"/>
          <w:b/>
          <w:bCs/>
          <w:i/>
        </w:rPr>
        <w:t>s</w:t>
      </w:r>
      <w:r w:rsidRPr="00241369">
        <w:rPr>
          <w:rStyle w:val="Heading5Char"/>
          <w:rFonts w:eastAsia="TimesNewRoman,Bold"/>
          <w:b/>
          <w:bCs/>
          <w:i/>
        </w:rPr>
        <w:t>tudy</w:t>
      </w:r>
    </w:p>
    <w:p w14:paraId="59F72171" w14:textId="77777777" w:rsidR="00CE6507" w:rsidRPr="00DC2936" w:rsidRDefault="00CE6507" w:rsidP="00C7396E">
      <w:pPr>
        <w:rPr>
          <w:lang w:eastAsia="ja-JP"/>
        </w:rPr>
      </w:pPr>
      <w:r w:rsidRPr="00DC2936">
        <w:t xml:space="preserve">The incidence of </w:t>
      </w:r>
      <w:r>
        <w:t xml:space="preserve">AEs </w:t>
      </w:r>
      <w:r w:rsidRPr="00DC2936">
        <w:t>overall was not notably different between the</w:t>
      </w:r>
      <w:r>
        <w:t xml:space="preserve"> </w:t>
      </w:r>
      <w:r w:rsidRPr="00DC2936">
        <w:t xml:space="preserve">co-administration groups and the individual treatment groups. The incidence of </w:t>
      </w:r>
      <w:r>
        <w:t>SAE</w:t>
      </w:r>
      <w:r w:rsidR="00104E5C">
        <w:t>s</w:t>
      </w:r>
      <w:r>
        <w:t xml:space="preserve"> </w:t>
      </w:r>
      <w:r w:rsidRPr="00DC2936">
        <w:t>in the E5/S100 and E15/S100 groups (2.5% and 1.6%, respectively) was</w:t>
      </w:r>
      <w:r>
        <w:t xml:space="preserve"> </w:t>
      </w:r>
      <w:r w:rsidRPr="00DC2936">
        <w:t>similar relative to the E5, E15, and S100 groups (3.2%, 1.2%, and 1.6% respectively). No</w:t>
      </w:r>
      <w:r>
        <w:t xml:space="preserve"> </w:t>
      </w:r>
      <w:r w:rsidRPr="00DC2936">
        <w:t>deaths were reported. The incidence of subjects who discontinued study medication due to</w:t>
      </w:r>
      <w:r>
        <w:t xml:space="preserve"> </w:t>
      </w:r>
      <w:r w:rsidRPr="00DC2936">
        <w:t xml:space="preserve">an </w:t>
      </w:r>
      <w:r>
        <w:t xml:space="preserve">AE </w:t>
      </w:r>
      <w:r w:rsidRPr="00DC2936">
        <w:t>was higher in the E15/S100 group (2.9%) relative to the S100 group (0.4%)</w:t>
      </w:r>
      <w:r>
        <w:t xml:space="preserve"> </w:t>
      </w:r>
      <w:r w:rsidRPr="00DC2936">
        <w:t>and not notably different relative to the E5/S100, E5, and the E15 groups (1.2%, 2.4%, and</w:t>
      </w:r>
      <w:r>
        <w:t xml:space="preserve"> </w:t>
      </w:r>
      <w:r w:rsidRPr="00DC2936">
        <w:t>1.2%, respectively).</w:t>
      </w:r>
    </w:p>
    <w:p w14:paraId="78CAD386" w14:textId="07C6CF7B" w:rsidR="00104E5C" w:rsidRDefault="00CE6507" w:rsidP="00104E5C">
      <w:pPr>
        <w:pStyle w:val="Heading5"/>
        <w:rPr>
          <w:rFonts w:eastAsia="TimesNewRoman,Bold"/>
        </w:rPr>
      </w:pPr>
      <w:r w:rsidRPr="00DC2936">
        <w:rPr>
          <w:lang w:eastAsia="ja-JP"/>
        </w:rPr>
        <w:t xml:space="preserve">Study </w:t>
      </w:r>
      <w:r w:rsidRPr="00DC2936">
        <w:rPr>
          <w:rFonts w:eastAsia="TimesNewRoman,Bold"/>
        </w:rPr>
        <w:t xml:space="preserve">P006/1015 </w:t>
      </w:r>
      <w:r w:rsidR="00104E5C">
        <w:rPr>
          <w:rFonts w:eastAsia="TimesNewRoman,Bold"/>
        </w:rPr>
        <w:t>a</w:t>
      </w:r>
      <w:r w:rsidRPr="00DC2936">
        <w:rPr>
          <w:rFonts w:eastAsia="TimesNewRoman,Bold"/>
        </w:rPr>
        <w:t xml:space="preserve">dd-on to </w:t>
      </w:r>
      <w:r w:rsidR="00104E5C">
        <w:rPr>
          <w:rFonts w:eastAsia="TimesNewRoman,Bold"/>
        </w:rPr>
        <w:t>m</w:t>
      </w:r>
      <w:r w:rsidRPr="00DC2936">
        <w:rPr>
          <w:rFonts w:eastAsia="TimesNewRoman,Bold"/>
        </w:rPr>
        <w:t xml:space="preserve">etformin and </w:t>
      </w:r>
      <w:r w:rsidR="00104E5C">
        <w:rPr>
          <w:rFonts w:eastAsia="TimesNewRoman,Bold"/>
        </w:rPr>
        <w:t>s</w:t>
      </w:r>
      <w:r w:rsidRPr="00DC2936">
        <w:rPr>
          <w:rFonts w:eastAsia="TimesNewRoman,Bold"/>
        </w:rPr>
        <w:t xml:space="preserve">itagliptin </w:t>
      </w:r>
      <w:r w:rsidR="00C7396E">
        <w:rPr>
          <w:rFonts w:eastAsia="TimesNewRoman,Bold"/>
        </w:rPr>
        <w:t>s</w:t>
      </w:r>
      <w:r w:rsidRPr="00DC2936">
        <w:rPr>
          <w:rFonts w:eastAsia="TimesNewRoman,Bold"/>
        </w:rPr>
        <w:t>tudy</w:t>
      </w:r>
    </w:p>
    <w:p w14:paraId="1821B5F7" w14:textId="40D951E8" w:rsidR="00CE6507" w:rsidRPr="00DC2936" w:rsidRDefault="00CE6507">
      <w:pPr>
        <w:rPr>
          <w:rFonts w:eastAsiaTheme="minorHAnsi"/>
        </w:rPr>
      </w:pPr>
      <w:r w:rsidRPr="00DC2936">
        <w:t xml:space="preserve">The overall incidence of </w:t>
      </w:r>
      <w:r>
        <w:t xml:space="preserve">AEs </w:t>
      </w:r>
      <w:r w:rsidRPr="00DC2936">
        <w:t>was numerically lower in the ertugliflozin 5</w:t>
      </w:r>
      <w:r w:rsidR="009802FE">
        <w:t xml:space="preserve"> </w:t>
      </w:r>
      <w:r w:rsidR="006D7D02">
        <w:t>mg</w:t>
      </w:r>
      <w:r w:rsidRPr="00DC2936">
        <w:t xml:space="preserve"> and</w:t>
      </w:r>
      <w:r>
        <w:t xml:space="preserve"> </w:t>
      </w:r>
      <w:r w:rsidRPr="00DC2936">
        <w:t>15</w:t>
      </w:r>
      <w:r w:rsidR="009802FE">
        <w:t xml:space="preserve"> </w:t>
      </w:r>
      <w:r w:rsidR="006D7D02">
        <w:t>mg</w:t>
      </w:r>
      <w:r w:rsidRPr="00DC2936">
        <w:t xml:space="preserve"> groups (41.7% and 45.1%, respectively) compared with the placebo group (50.3%).</w:t>
      </w:r>
      <w:r>
        <w:t xml:space="preserve"> </w:t>
      </w:r>
      <w:r w:rsidRPr="00DC2936">
        <w:t xml:space="preserve">The incidence of </w:t>
      </w:r>
      <w:r>
        <w:t xml:space="preserve">SAEs </w:t>
      </w:r>
      <w:r w:rsidRPr="00DC2936">
        <w:t>was not notably different across the ertugliflozin</w:t>
      </w:r>
      <w:r>
        <w:t xml:space="preserve"> </w:t>
      </w:r>
      <w:r w:rsidRPr="00DC2936">
        <w:t>5</w:t>
      </w:r>
      <w:r w:rsidR="009802FE">
        <w:t xml:space="preserve"> </w:t>
      </w:r>
      <w:r w:rsidR="006D7D02">
        <w:t>mg</w:t>
      </w:r>
      <w:r w:rsidRPr="00DC2936">
        <w:t xml:space="preserve"> and 15</w:t>
      </w:r>
      <w:r w:rsidR="009802FE">
        <w:t xml:space="preserve"> </w:t>
      </w:r>
      <w:r w:rsidR="006D7D02">
        <w:t>mg</w:t>
      </w:r>
      <w:r w:rsidRPr="00DC2936">
        <w:t xml:space="preserve"> treatment groups (4.5% and 2.0%, respectively) and the placebo group</w:t>
      </w:r>
      <w:r>
        <w:t xml:space="preserve"> </w:t>
      </w:r>
      <w:r w:rsidRPr="00DC2936">
        <w:t>(3.3%). No deaths were reported. There was a numerically higher incidence of subjects who</w:t>
      </w:r>
      <w:r>
        <w:t xml:space="preserve"> </w:t>
      </w:r>
      <w:r w:rsidRPr="00DC2936">
        <w:t xml:space="preserve">discontinued due to an </w:t>
      </w:r>
      <w:r>
        <w:t xml:space="preserve">AE </w:t>
      </w:r>
      <w:r w:rsidRPr="00DC2936">
        <w:t>in the ertugliflozin 5</w:t>
      </w:r>
      <w:r w:rsidR="009802FE">
        <w:t xml:space="preserve"> </w:t>
      </w:r>
      <w:r w:rsidR="006D7D02">
        <w:t>mg</w:t>
      </w:r>
      <w:r w:rsidRPr="00DC2936">
        <w:t xml:space="preserve"> group (3.2%) relative to the</w:t>
      </w:r>
      <w:r>
        <w:t xml:space="preserve"> </w:t>
      </w:r>
      <w:r w:rsidRPr="00DC2936">
        <w:t xml:space="preserve">placebo and </w:t>
      </w:r>
      <w:r w:rsidRPr="00DC2936">
        <w:lastRenderedPageBreak/>
        <w:t>ertugliflozin 15</w:t>
      </w:r>
      <w:r w:rsidR="009802FE">
        <w:t xml:space="preserve"> </w:t>
      </w:r>
      <w:r w:rsidR="006D7D02">
        <w:t>mg</w:t>
      </w:r>
      <w:r w:rsidRPr="00DC2936">
        <w:t xml:space="preserve"> groups</w:t>
      </w:r>
      <w:r w:rsidR="00B51DF2">
        <w:t xml:space="preserve"> </w:t>
      </w:r>
      <w:r w:rsidRPr="00DC2936">
        <w:t>(0.7% in each); the only notable pattern of</w:t>
      </w:r>
      <w:r>
        <w:t xml:space="preserve"> </w:t>
      </w:r>
      <w:r w:rsidRPr="00DC2936">
        <w:t>discontinuation for an adverse event was the observation that 2 subjects in the ertugliflozin</w:t>
      </w:r>
      <w:r>
        <w:t xml:space="preserve"> </w:t>
      </w:r>
      <w:r w:rsidRPr="00DC2936">
        <w:t>5</w:t>
      </w:r>
      <w:r w:rsidR="009802FE">
        <w:t xml:space="preserve"> </w:t>
      </w:r>
      <w:r w:rsidR="006D7D02">
        <w:t>mg</w:t>
      </w:r>
      <w:r w:rsidRPr="00DC2936">
        <w:t xml:space="preserve"> group discontinued due to genital mycotic infections, which is a known class effect for</w:t>
      </w:r>
      <w:r>
        <w:t xml:space="preserve"> </w:t>
      </w:r>
      <w:r w:rsidRPr="00DC2936">
        <w:t>SGLT2 inhibitors.</w:t>
      </w:r>
    </w:p>
    <w:p w14:paraId="604E88FD" w14:textId="77777777" w:rsidR="00104E5C" w:rsidRDefault="00CE6507" w:rsidP="00104E5C">
      <w:pPr>
        <w:pStyle w:val="Heading5"/>
        <w:rPr>
          <w:rFonts w:eastAsia="TimesNewRoman,Bold"/>
        </w:rPr>
      </w:pPr>
      <w:r w:rsidRPr="00DC2936">
        <w:rPr>
          <w:lang w:eastAsia="ja-JP"/>
        </w:rPr>
        <w:t xml:space="preserve">Study </w:t>
      </w:r>
      <w:r w:rsidR="00104E5C">
        <w:rPr>
          <w:rFonts w:eastAsia="TimesNewRoman,Bold"/>
        </w:rPr>
        <w:t>P017/1047 e</w:t>
      </w:r>
      <w:r w:rsidRPr="00DC2936">
        <w:rPr>
          <w:rFonts w:eastAsia="TimesNewRoman,Bold"/>
        </w:rPr>
        <w:t>rtugliflozin +</w:t>
      </w:r>
      <w:r w:rsidR="00104E5C">
        <w:rPr>
          <w:rFonts w:eastAsia="TimesNewRoman,Bold"/>
        </w:rPr>
        <w:t>s</w:t>
      </w:r>
      <w:r w:rsidRPr="00DC2936">
        <w:rPr>
          <w:rFonts w:eastAsia="TimesNewRoman,Bold"/>
        </w:rPr>
        <w:t xml:space="preserve">itagliptin </w:t>
      </w:r>
      <w:r w:rsidR="00104E5C">
        <w:rPr>
          <w:rFonts w:eastAsia="TimesNewRoman,Bold"/>
        </w:rPr>
        <w:t>i</w:t>
      </w:r>
      <w:r w:rsidRPr="00DC2936">
        <w:rPr>
          <w:rFonts w:eastAsia="TimesNewRoman,Bold"/>
        </w:rPr>
        <w:t xml:space="preserve">nitial </w:t>
      </w:r>
      <w:r w:rsidR="00104E5C">
        <w:rPr>
          <w:rFonts w:eastAsia="TimesNewRoman,Bold"/>
        </w:rPr>
        <w:t>c</w:t>
      </w:r>
      <w:r w:rsidRPr="00DC2936">
        <w:rPr>
          <w:rFonts w:eastAsia="TimesNewRoman,Bold"/>
        </w:rPr>
        <w:t xml:space="preserve">ombination </w:t>
      </w:r>
      <w:r w:rsidR="00104E5C">
        <w:rPr>
          <w:rFonts w:eastAsia="TimesNewRoman,Bold"/>
        </w:rPr>
        <w:t>s</w:t>
      </w:r>
      <w:r w:rsidRPr="00DC2936">
        <w:rPr>
          <w:rFonts w:eastAsia="TimesNewRoman,Bold"/>
        </w:rPr>
        <w:t>tudy</w:t>
      </w:r>
    </w:p>
    <w:p w14:paraId="3FEA3DF5" w14:textId="6C281648" w:rsidR="00CE6507" w:rsidRPr="00DC2936" w:rsidRDefault="00CE6507" w:rsidP="00104E5C">
      <w:r w:rsidRPr="00F30B5B">
        <w:t>The overall incidence of AEs was slightly lower in the E5/S100 and E15/S100 groups (44.9% and 44.8%, respectively) than in the placebo group (</w:t>
      </w:r>
      <w:r w:rsidR="00F30B5B" w:rsidRPr="00611849">
        <w:t>42.3</w:t>
      </w:r>
      <w:r w:rsidRPr="00F30B5B">
        <w:t>%). The incidence of SAEs was generally similar in the E5/S100 and E15/S100 groups (2.0% and 3.1%, respectively) relative to the placebo group (5.2%). No deaths were reported. AEs that led to discontinuation of study medication were experienced by 2 subjects each in the E5/S100 group (2.0%) and the E15/S100 group (2.1%) and 3 subjects (3.1%) in the placebo group. No specific AE that resulted in discontinuation from study medication was reported for more than 1 subject.</w:t>
      </w:r>
    </w:p>
    <w:p w14:paraId="1857B700" w14:textId="77777777" w:rsidR="00CE6507" w:rsidRPr="00DC2936" w:rsidRDefault="00CE6507" w:rsidP="00611849">
      <w:pPr>
        <w:rPr>
          <w:lang w:eastAsia="ja-JP"/>
        </w:rPr>
      </w:pPr>
      <w:r w:rsidRPr="00DC2936">
        <w:t xml:space="preserve">In the 3 </w:t>
      </w:r>
      <w:r w:rsidR="00B51DF2">
        <w:t>Phase III</w:t>
      </w:r>
      <w:r w:rsidRPr="00DC2936">
        <w:t xml:space="preserve"> studies, genital mycotic infections also occurred more frequently in</w:t>
      </w:r>
      <w:r>
        <w:t xml:space="preserve"> </w:t>
      </w:r>
      <w:r w:rsidRPr="00DC2936">
        <w:t xml:space="preserve">men and in women treated with ertugliflozin, with no evidence of a further increase in incidence with ertugliflozin and sitagliptin combination therapy </w:t>
      </w:r>
      <w:r>
        <w:t xml:space="preserve">AEs </w:t>
      </w:r>
      <w:r w:rsidRPr="00DC2936">
        <w:t>associated with osmotic diuresis and hypovolemia occurred infrequently, with no evident increase in incidence of events occurring with ertugliflozin and sitagliptin combination therapy.</w:t>
      </w:r>
    </w:p>
    <w:p w14:paraId="78142A0D" w14:textId="77777777" w:rsidR="00CE6507" w:rsidRPr="00DC2936" w:rsidRDefault="00CE6507" w:rsidP="00611849">
      <w:r>
        <w:t>T</w:t>
      </w:r>
      <w:r w:rsidRPr="00DC2936">
        <w:t>here were no cases of confirmed pancreatitis in</w:t>
      </w:r>
      <w:r>
        <w:t xml:space="preserve"> </w:t>
      </w:r>
      <w:r w:rsidRPr="00DC2936">
        <w:t>subjects treated with ertugliflozin, with or without combination treatment with sitagliptin.</w:t>
      </w:r>
    </w:p>
    <w:p w14:paraId="389E37A0" w14:textId="77777777" w:rsidR="00CE6507" w:rsidRDefault="00CE6507" w:rsidP="00611849">
      <w:r w:rsidRPr="00DC2936">
        <w:t xml:space="preserve">In the ertugliflozin </w:t>
      </w:r>
      <w:r w:rsidR="00B51DF2">
        <w:t>Phase III</w:t>
      </w:r>
      <w:r w:rsidRPr="00DC2936">
        <w:t xml:space="preserve"> program and in the 3 studies that are the focus of this </w:t>
      </w:r>
      <w:r>
        <w:t xml:space="preserve">submission, </w:t>
      </w:r>
      <w:r w:rsidRPr="00DC2936">
        <w:t>examination of clinical laboratory results revealed small increases in haemoglobin,</w:t>
      </w:r>
      <w:r>
        <w:t xml:space="preserve"> </w:t>
      </w:r>
      <w:r w:rsidRPr="00DC2936">
        <w:t>magnesium, and phosphate, and decreases in liver transaminases and uric acid levels. There</w:t>
      </w:r>
      <w:r>
        <w:t xml:space="preserve"> </w:t>
      </w:r>
      <w:r w:rsidRPr="00DC2936">
        <w:t xml:space="preserve">were few </w:t>
      </w:r>
      <w:r>
        <w:t xml:space="preserve">AEs </w:t>
      </w:r>
      <w:r w:rsidRPr="00DC2936">
        <w:t>related to these changes, suggesting that the levels were generally</w:t>
      </w:r>
      <w:r>
        <w:t xml:space="preserve"> </w:t>
      </w:r>
      <w:r w:rsidRPr="00DC2936">
        <w:t>not of clinical concern to investigators. There were no meaningful changes noted in serum</w:t>
      </w:r>
      <w:r>
        <w:t xml:space="preserve"> </w:t>
      </w:r>
      <w:r w:rsidRPr="00DC2936">
        <w:t>potassium levels. There were also small to modest changes in the serum lipid profile,</w:t>
      </w:r>
      <w:r>
        <w:t xml:space="preserve"> </w:t>
      </w:r>
      <w:r w:rsidRPr="00DC2936">
        <w:t>including increases in</w:t>
      </w:r>
      <w:r>
        <w:t xml:space="preserve"> LDL-C, </w:t>
      </w:r>
      <w:r w:rsidR="00D722B4">
        <w:t>total cholesterol (</w:t>
      </w:r>
      <w:r>
        <w:t>TC</w:t>
      </w:r>
      <w:r w:rsidR="00D722B4">
        <w:t>)</w:t>
      </w:r>
      <w:r>
        <w:t xml:space="preserve"> and </w:t>
      </w:r>
      <w:r w:rsidR="00E2144F" w:rsidRPr="004D575B">
        <w:rPr>
          <w:rFonts w:eastAsiaTheme="minorHAnsi"/>
        </w:rPr>
        <w:t>High-density lipoprotein-cholesterol</w:t>
      </w:r>
      <w:r w:rsidR="00E2144F">
        <w:t xml:space="preserve"> (</w:t>
      </w:r>
      <w:r>
        <w:t>HDL-C</w:t>
      </w:r>
      <w:r w:rsidR="00E2144F">
        <w:t>)</w:t>
      </w:r>
      <w:r>
        <w:t xml:space="preserve"> </w:t>
      </w:r>
      <w:r w:rsidRPr="00DC2936">
        <w:t>with decreases in triglycerides.</w:t>
      </w:r>
    </w:p>
    <w:p w14:paraId="28C8B531" w14:textId="77777777" w:rsidR="00CE6507" w:rsidRPr="00DC2936" w:rsidRDefault="00CE6507" w:rsidP="00611849">
      <w:r w:rsidRPr="00DC2936">
        <w:t xml:space="preserve">Ertugliflozin treatment in the 3 studies </w:t>
      </w:r>
      <w:r>
        <w:t xml:space="preserve">in this submission </w:t>
      </w:r>
      <w:r w:rsidRPr="00DC2936">
        <w:t>was associated with decreases in systolic</w:t>
      </w:r>
      <w:r>
        <w:t xml:space="preserve"> </w:t>
      </w:r>
      <w:r w:rsidRPr="00DC2936">
        <w:t>and diastolic blood pressure. There was no increase in heart rate or measures of orthostatic</w:t>
      </w:r>
      <w:r>
        <w:t xml:space="preserve"> </w:t>
      </w:r>
      <w:r w:rsidRPr="00DC2936">
        <w:t xml:space="preserve">hypotension. There were no clinically meaningful </w:t>
      </w:r>
      <w:r>
        <w:t xml:space="preserve">differences in ECG </w:t>
      </w:r>
      <w:r w:rsidRPr="00DC2936">
        <w:t xml:space="preserve">parameters (heart rate, PR, QRS, QT, QTcB, and QTcF interval) between treatment groups in the 3 studies. These results were consistent with those in the ertugliflozin </w:t>
      </w:r>
      <w:r w:rsidR="00B51DF2">
        <w:t>Phase III</w:t>
      </w:r>
      <w:r w:rsidRPr="00DC2936">
        <w:t xml:space="preserve"> program.</w:t>
      </w:r>
      <w:r>
        <w:t xml:space="preserve"> However, results of the CV meta</w:t>
      </w:r>
      <w:r w:rsidR="00524E43">
        <w:t>-a</w:t>
      </w:r>
      <w:r>
        <w:t>nalysis in the ertugliflozin clinical program were not provided and CV safety of ertugliflozin has not yet been established.</w:t>
      </w:r>
    </w:p>
    <w:p w14:paraId="36DBD7E4" w14:textId="58EBC2AA" w:rsidR="00CE6507" w:rsidRDefault="00CE6507" w:rsidP="00611849">
      <w:r w:rsidRPr="00DC2936">
        <w:t>The combination of ertugliflozin and sitagliptin was generally safe and</w:t>
      </w:r>
      <w:r>
        <w:t xml:space="preserve"> </w:t>
      </w:r>
      <w:r w:rsidRPr="00DC2936">
        <w:t>well-tolerated. In a large factorial study on a background of metformin therapy, there were</w:t>
      </w:r>
      <w:r>
        <w:t xml:space="preserve"> </w:t>
      </w:r>
      <w:r w:rsidRPr="00DC2936">
        <w:t>no notable risks associated with co-administration of ertugliflozin and sitagliptin relative to</w:t>
      </w:r>
      <w:r>
        <w:t xml:space="preserve"> </w:t>
      </w:r>
      <w:r w:rsidRPr="00DC2936">
        <w:t>treatment with the individual components. The safety of the combination was also</w:t>
      </w:r>
      <w:r>
        <w:t xml:space="preserve"> </w:t>
      </w:r>
      <w:r w:rsidRPr="00DC2936">
        <w:t>established in 2</w:t>
      </w:r>
      <w:r w:rsidR="006D2B42">
        <w:t> </w:t>
      </w:r>
      <w:r w:rsidRPr="00DC2936">
        <w:t>additional settings, when ertugliflozin was added to background therapy with</w:t>
      </w:r>
      <w:r>
        <w:t xml:space="preserve"> </w:t>
      </w:r>
      <w:r w:rsidRPr="00DC2936">
        <w:t>metformin and sitagliptin and when ertugliflozin and sitagliptin were co-administered as</w:t>
      </w:r>
      <w:r>
        <w:t xml:space="preserve"> </w:t>
      </w:r>
      <w:r w:rsidRPr="00DC2936">
        <w:t>initial therapy after diet and exercise alone. These results suggest that the safety and</w:t>
      </w:r>
      <w:r>
        <w:t xml:space="preserve"> </w:t>
      </w:r>
      <w:r w:rsidRPr="00DC2936">
        <w:t>tolerability of the ertugliflozin/sitagliptin FDC can be described based on those of the</w:t>
      </w:r>
      <w:r>
        <w:t xml:space="preserve"> </w:t>
      </w:r>
      <w:r w:rsidRPr="00DC2936">
        <w:t>individual components</w:t>
      </w:r>
      <w:r>
        <w:t>.</w:t>
      </w:r>
    </w:p>
    <w:p w14:paraId="2AF61D6C" w14:textId="77777777" w:rsidR="00524E43" w:rsidRPr="006D2B42" w:rsidRDefault="00524E43">
      <w:pPr>
        <w:pStyle w:val="Heading4"/>
      </w:pPr>
      <w:bookmarkStart w:id="186" w:name="_Toc504036191"/>
      <w:r w:rsidRPr="006D2B42">
        <w:t>Steglujan Benefit-risk balance</w:t>
      </w:r>
    </w:p>
    <w:p w14:paraId="3ED378AC" w14:textId="77777777" w:rsidR="00C25F78" w:rsidRPr="00080DFD" w:rsidRDefault="00C25F78" w:rsidP="00524E43">
      <w:pPr>
        <w:pStyle w:val="Heading5"/>
      </w:pPr>
      <w:r w:rsidRPr="00080DFD">
        <w:t>Second round assessment of benefit-risk balance</w:t>
      </w:r>
      <w:bookmarkEnd w:id="186"/>
    </w:p>
    <w:p w14:paraId="151F4477" w14:textId="3E616AF4" w:rsidR="00611849" w:rsidRPr="00080DFD" w:rsidRDefault="00611849" w:rsidP="00611849">
      <w:pPr>
        <w:spacing w:before="0" w:line="240" w:lineRule="auto"/>
        <w:rPr>
          <w:lang w:eastAsia="ja-JP"/>
        </w:rPr>
      </w:pPr>
      <w:r w:rsidRPr="00080DFD">
        <w:rPr>
          <w:lang w:eastAsia="ja-JP"/>
        </w:rPr>
        <w:t>The benefit-risk balance of ertugliflozin</w:t>
      </w:r>
      <w:r>
        <w:rPr>
          <w:lang w:eastAsia="ja-JP"/>
        </w:rPr>
        <w:t> </w:t>
      </w:r>
      <w:r w:rsidRPr="00080DFD">
        <w:rPr>
          <w:lang w:eastAsia="ja-JP"/>
        </w:rPr>
        <w:t>+</w:t>
      </w:r>
      <w:r>
        <w:rPr>
          <w:lang w:eastAsia="ja-JP"/>
        </w:rPr>
        <w:t> </w:t>
      </w:r>
      <w:r w:rsidRPr="00080DFD">
        <w:rPr>
          <w:lang w:eastAsia="ja-JP"/>
        </w:rPr>
        <w:t>sitagliptin (Steglujan), given the proposed usage is favourable.</w:t>
      </w:r>
    </w:p>
    <w:p w14:paraId="30B90BDC" w14:textId="77777777" w:rsidR="00C25F78" w:rsidRPr="00080DFD" w:rsidRDefault="00C25F78" w:rsidP="00C25F78">
      <w:pPr>
        <w:spacing w:before="0" w:line="240" w:lineRule="auto"/>
        <w:rPr>
          <w:lang w:eastAsia="ja-JP"/>
        </w:rPr>
      </w:pPr>
      <w:r w:rsidRPr="00080DFD">
        <w:rPr>
          <w:lang w:eastAsia="ja-JP"/>
        </w:rPr>
        <w:lastRenderedPageBreak/>
        <w:t>All the clinical questions raised in the first round report have been addressed satisfactorily. Furthermore, all changes recommended by the evaluators to the draft PI in the first round report have been incorporated.</w:t>
      </w:r>
    </w:p>
    <w:p w14:paraId="4608B93C" w14:textId="77777777" w:rsidR="00C25F78" w:rsidRPr="00080DFD" w:rsidRDefault="00C25F78" w:rsidP="00C25F78">
      <w:pPr>
        <w:pStyle w:val="Heading4"/>
      </w:pPr>
      <w:bookmarkStart w:id="187" w:name="_Toc504036192"/>
      <w:r w:rsidRPr="00080DFD">
        <w:t>Second round recommendation regarding authorisation</w:t>
      </w:r>
      <w:bookmarkEnd w:id="187"/>
    </w:p>
    <w:p w14:paraId="57B7031E" w14:textId="77777777" w:rsidR="00C25F78" w:rsidRPr="00080DFD" w:rsidRDefault="00C25F78" w:rsidP="00C25F78">
      <w:pPr>
        <w:autoSpaceDE w:val="0"/>
        <w:autoSpaceDN w:val="0"/>
        <w:adjustRightInd w:val="0"/>
        <w:spacing w:line="240" w:lineRule="auto"/>
        <w:rPr>
          <w:rFonts w:cs="Calibri"/>
        </w:rPr>
      </w:pPr>
      <w:r w:rsidRPr="00080DFD">
        <w:rPr>
          <w:rFonts w:cs="Calibri"/>
        </w:rPr>
        <w:t xml:space="preserve">Approval of </w:t>
      </w:r>
      <w:r w:rsidR="00524E43" w:rsidRPr="00080DFD">
        <w:rPr>
          <w:rFonts w:cs="Calibri"/>
        </w:rPr>
        <w:t xml:space="preserve">Steglujan </w:t>
      </w:r>
      <w:r w:rsidRPr="00080DFD">
        <w:rPr>
          <w:rFonts w:cs="Calibri"/>
        </w:rPr>
        <w:t>(ertugliflozin and sitagliptin FDC) is recommended for the following indication:</w:t>
      </w:r>
    </w:p>
    <w:p w14:paraId="22FF8B50" w14:textId="77777777" w:rsidR="00C25F78" w:rsidRPr="00080DFD" w:rsidRDefault="00C25F78" w:rsidP="00524E43">
      <w:pPr>
        <w:autoSpaceDE w:val="0"/>
        <w:autoSpaceDN w:val="0"/>
        <w:adjustRightInd w:val="0"/>
        <w:spacing w:line="240" w:lineRule="auto"/>
        <w:ind w:left="720"/>
        <w:rPr>
          <w:rFonts w:cs="Calibri"/>
        </w:rPr>
      </w:pPr>
      <w:r w:rsidRPr="00080DFD">
        <w:rPr>
          <w:rFonts w:eastAsiaTheme="minorHAnsi" w:cs="Calibri"/>
          <w:i/>
        </w:rPr>
        <w:t xml:space="preserve">MSD-ertugliflozin-sitagliptin (ertugliflozin and sitagliptin phosphate monohydrate) is indicated as an adjunct to diet and exercise to improve glycaemic control in adults with type 2 diabetes mellitus when treatment with both ertugliflozin and sitagliptin is </w:t>
      </w:r>
      <w:r w:rsidRPr="006D2B42">
        <w:rPr>
          <w:rFonts w:eastAsiaTheme="minorHAnsi" w:cs="Calibri"/>
          <w:i/>
        </w:rPr>
        <w:t>appropriate (refer Clinical Trials, Precautions).</w:t>
      </w:r>
    </w:p>
    <w:p w14:paraId="409047BE" w14:textId="77777777" w:rsidR="00C25F78" w:rsidRPr="00080DFD" w:rsidRDefault="00C25F78" w:rsidP="00524E43">
      <w:pPr>
        <w:rPr>
          <w:lang w:eastAsia="ja-JP"/>
        </w:rPr>
      </w:pPr>
      <w:r w:rsidRPr="00080DFD">
        <w:rPr>
          <w:lang w:eastAsia="ja-JP"/>
        </w:rPr>
        <w:t>Approval for the above indication is subject to the following:</w:t>
      </w:r>
    </w:p>
    <w:p w14:paraId="7A1D0907" w14:textId="77777777" w:rsidR="00C25F78" w:rsidRPr="00080DFD" w:rsidRDefault="00C25F78" w:rsidP="00524E43">
      <w:pPr>
        <w:pStyle w:val="ListBullet"/>
        <w:rPr>
          <w:lang w:eastAsia="ja-JP"/>
        </w:rPr>
      </w:pPr>
      <w:r w:rsidRPr="00080DFD">
        <w:rPr>
          <w:lang w:eastAsia="ja-JP"/>
        </w:rPr>
        <w:t xml:space="preserve">Results from the ongoing Phase B of all 7 </w:t>
      </w:r>
      <w:r w:rsidR="00B51DF2">
        <w:rPr>
          <w:lang w:eastAsia="ja-JP"/>
        </w:rPr>
        <w:t>Phase III</w:t>
      </w:r>
      <w:r w:rsidRPr="00080DFD">
        <w:rPr>
          <w:lang w:eastAsia="ja-JP"/>
        </w:rPr>
        <w:t xml:space="preserve"> studies should be submitted to enable assessment of long-term efficacy and safety of ertugliflozin component of the proposed FDC.</w:t>
      </w:r>
    </w:p>
    <w:p w14:paraId="46F05CE9" w14:textId="3AF5B9DA" w:rsidR="00C25F78" w:rsidRPr="00080DFD" w:rsidRDefault="00C25F78" w:rsidP="00524E43">
      <w:pPr>
        <w:pStyle w:val="ListBullet"/>
        <w:rPr>
          <w:lang w:eastAsia="ja-JP"/>
        </w:rPr>
      </w:pPr>
      <w:r w:rsidRPr="00080DFD">
        <w:rPr>
          <w:rFonts w:eastAsia="TimesNewRoman" w:cs="TimesNewRoman"/>
          <w:color w:val="000000"/>
        </w:rPr>
        <w:t xml:space="preserve">Submission of results of the cardiovascular meta-analysis of adjudicated, confirmed CV events from the </w:t>
      </w:r>
      <w:r w:rsidR="00B51DF2">
        <w:rPr>
          <w:rFonts w:eastAsia="TimesNewRoman" w:cs="TimesNewRoman"/>
          <w:color w:val="000000"/>
        </w:rPr>
        <w:t>Phase II/III</w:t>
      </w:r>
      <w:r w:rsidRPr="00080DFD">
        <w:rPr>
          <w:rFonts w:eastAsia="TimesNewRoman" w:cs="TimesNewRoman"/>
          <w:color w:val="000000"/>
        </w:rPr>
        <w:t xml:space="preserve"> studies and</w:t>
      </w:r>
      <w:r w:rsidRPr="00080DFD">
        <w:rPr>
          <w:rFonts w:eastAsia="TimesNewRoman" w:cs="TimesNewRoman"/>
        </w:rPr>
        <w:t xml:space="preserve"> from the ongoing CV outcome study (</w:t>
      </w:r>
      <w:r w:rsidR="00611849">
        <w:t>Study </w:t>
      </w:r>
      <w:r w:rsidRPr="00080DFD">
        <w:rPr>
          <w:rFonts w:eastAsia="TimesNewRoman" w:cs="TimesNewRoman"/>
        </w:rPr>
        <w:t>P004/1021) upon completion.</w:t>
      </w:r>
    </w:p>
    <w:p w14:paraId="0E292ACB" w14:textId="77777777" w:rsidR="008E7846" w:rsidRDefault="0068452D" w:rsidP="0068452D">
      <w:pPr>
        <w:pStyle w:val="Heading3"/>
      </w:pPr>
      <w:bookmarkStart w:id="188" w:name="_Toc4405831"/>
      <w:r>
        <w:t>S</w:t>
      </w:r>
      <w:r w:rsidR="002048D4">
        <w:t>egluromet</w:t>
      </w:r>
      <w:bookmarkEnd w:id="188"/>
    </w:p>
    <w:p w14:paraId="5C5B608C" w14:textId="77777777" w:rsidR="00605AD4" w:rsidRDefault="00605AD4" w:rsidP="00605AD4">
      <w:pPr>
        <w:pStyle w:val="Heading4"/>
      </w:pPr>
      <w:bookmarkStart w:id="189" w:name="_Toc196046464"/>
      <w:bookmarkStart w:id="190" w:name="_Toc247691518"/>
      <w:bookmarkStart w:id="191" w:name="_Toc314842502"/>
      <w:r w:rsidRPr="00605AD4">
        <w:t xml:space="preserve">Clinical </w:t>
      </w:r>
      <w:r w:rsidR="00EF59DC">
        <w:t>r</w:t>
      </w:r>
      <w:r w:rsidRPr="00605AD4">
        <w:t>ationale</w:t>
      </w:r>
    </w:p>
    <w:p w14:paraId="3893BA8B" w14:textId="772DF99E" w:rsidR="00326C01" w:rsidRDefault="00326C01" w:rsidP="00326C01">
      <w:r>
        <w:t>As the pathogenesis of T2DM involves multiple metabolic defects, combination therapy with</w:t>
      </w:r>
      <w:r w:rsidR="009722A0">
        <w:t xml:space="preserve"> </w:t>
      </w:r>
      <w:r>
        <w:t xml:space="preserve">AHA agents that have different mechanisms of action can achieve robust reductions in </w:t>
      </w:r>
      <w:r w:rsidR="003F2DE3">
        <w:t>Hb</w:t>
      </w:r>
      <w:r w:rsidR="00A04B32">
        <w:t>A1c</w:t>
      </w:r>
      <w:r>
        <w:t xml:space="preserve"> enabling patients to reach treatment goals. A FDC therapy may also help to improve treatment adherence.</w:t>
      </w:r>
    </w:p>
    <w:p w14:paraId="16683E9D" w14:textId="340F5FBF" w:rsidR="00326C01" w:rsidRDefault="00326C01" w:rsidP="00326C01">
      <w:r>
        <w:t>The ertugliflozin/metformin FDC combines two AHAs with complementary mechanisms of action to improve glycaemic control in patients with T2DM. Ertugliflozin is a highly selective SGLT2 inhibitor that increases UGE via inhibition of renal tubular urinary glucose reabsorption. In subjects with T2DM, ertugliflozin lowers plasma glucose, achieves clinically significant reductions in</w:t>
      </w:r>
      <w:r w:rsidR="003F2DE3">
        <w:t>Hb</w:t>
      </w:r>
      <w:r w:rsidR="00A04B32">
        <w:t>A1c</w:t>
      </w:r>
      <w:r>
        <w:t xml:space="preserve">; ertugliflozin also achieves clinically significant reductions in body weight and SBP. Metformin hydrochloride is an AHA that improves glucose tolerance in patients with T2DM by lowering both basal and PPG. It is not chemically or pharmacologically related to any other class of oral AHA. Metformin decreases hepatic glucose production, decreases intestinal absorption of glucose and improves insulin sensitivity by increasing peripheral glucose uptake and </w:t>
      </w:r>
      <w:r w:rsidR="00611849">
        <w:t>utilisation</w:t>
      </w:r>
      <w:r>
        <w:t>. Metformin is approved for use in the US, EU, Australia and other countries and has an established safety and tolerability profile.</w:t>
      </w:r>
    </w:p>
    <w:p w14:paraId="3836D7E4" w14:textId="77777777" w:rsidR="00326C01" w:rsidRDefault="00326C01" w:rsidP="00326C01">
      <w:r>
        <w:t>Combination therapy with ertugliflozin and metformin could also be beneficial given the findings that glucosuria produced by SGLT2 is accompanied by an increase in endogenous glucose production, which is possibly the result of an increase in glucagon, while metformin improves glycaemic control (in part) by decreasing hepatic glucose production.</w:t>
      </w:r>
    </w:p>
    <w:p w14:paraId="2B050AEA" w14:textId="3A2E3099" w:rsidR="00500337" w:rsidRPr="00500337" w:rsidRDefault="00326C01" w:rsidP="007F0394">
      <w:r>
        <w:lastRenderedPageBreak/>
        <w:t>Observational studies demonstrate that treatment modification or intensification in patients with inadequate glycaemic control on monotherapy is frequently delayed.</w:t>
      </w:r>
      <w:r w:rsidR="00C141FF">
        <w:rPr>
          <w:rStyle w:val="FootnoteReference"/>
        </w:rPr>
        <w:footnoteReference w:id="32"/>
      </w:r>
      <w:r w:rsidR="00611849">
        <w:t xml:space="preserve"> </w:t>
      </w:r>
      <w:r w:rsidR="006E3971">
        <w:rPr>
          <w:rStyle w:val="FootnoteReference"/>
        </w:rPr>
        <w:footnoteReference w:id="33"/>
      </w:r>
      <w:r>
        <w:t xml:space="preserve"> Furthermore, patients with very high </w:t>
      </w:r>
      <w:r w:rsidR="003F2DE3">
        <w:t>Hb</w:t>
      </w:r>
      <w:r w:rsidR="00A04B32">
        <w:t>A1c</w:t>
      </w:r>
      <w:r>
        <w:t xml:space="preserve"> levels are also unlikely to attain </w:t>
      </w:r>
      <w:r w:rsidR="003F2DE3">
        <w:t>Hb</w:t>
      </w:r>
      <w:r w:rsidR="00A04B32">
        <w:t>A1c</w:t>
      </w:r>
      <w:r>
        <w:t xml:space="preserve"> treatment goals with just a single agent. Current guidelines from the ADA and the EASD state that initial combination therapy with metformin and a second agent may allow some patients with baseline </w:t>
      </w:r>
      <w:r w:rsidR="003F2DE3">
        <w:t>Hb</w:t>
      </w:r>
      <w:r w:rsidR="00A04B32">
        <w:t>A1c</w:t>
      </w:r>
      <w:r>
        <w:t xml:space="preserve"> levels well above target to more quickly achieve their </w:t>
      </w:r>
      <w:r w:rsidR="003F2DE3">
        <w:t>Hb</w:t>
      </w:r>
      <w:r w:rsidR="00A04B32">
        <w:t>A1c</w:t>
      </w:r>
      <w:r>
        <w:t xml:space="preserve"> goal than sequentially adding on a second agent following metformin failure. The ADA/EASD guidelines state that a reasonable threshold for initial dual combination therapy with metformin and a second agent is for subjects with an </w:t>
      </w:r>
      <w:r w:rsidR="003F2DE3">
        <w:t>Hb</w:t>
      </w:r>
      <w:r w:rsidR="00A04B32">
        <w:t>A1c</w:t>
      </w:r>
      <w:r>
        <w:t xml:space="preserve"> </w:t>
      </w:r>
      <w:r w:rsidR="00AD51CF">
        <w:t xml:space="preserve">&gt; </w:t>
      </w:r>
      <w:r>
        <w:t xml:space="preserve">9%. Guidelines from the American Association of Clinical Endocrinologists (AACE) recommend initiation of dual anti-hyperglycaemic therapy in patients presenting with an </w:t>
      </w:r>
      <w:r w:rsidR="003F2DE3">
        <w:t>Hb</w:t>
      </w:r>
      <w:r w:rsidR="00A04B32">
        <w:t>A1c</w:t>
      </w:r>
      <w:r>
        <w:t xml:space="preserve"> between 7.6% to 9.0%, because monotherapy is unlikely to result in the AACE goal attainment of an </w:t>
      </w:r>
      <w:r w:rsidR="003F2DE3">
        <w:t>Hb</w:t>
      </w:r>
      <w:r w:rsidR="00A04B32">
        <w:t>A1c</w:t>
      </w:r>
      <w:r>
        <w:t xml:space="preserve"> &lt;</w:t>
      </w:r>
      <w:r w:rsidR="006D2B42">
        <w:t xml:space="preserve"> </w:t>
      </w:r>
      <w:r>
        <w:t>6.5% (AACE guidelines, 2002).</w:t>
      </w:r>
    </w:p>
    <w:p w14:paraId="7B80789D" w14:textId="77777777" w:rsidR="00605AD4" w:rsidRPr="007F0394" w:rsidRDefault="00605AD4" w:rsidP="007F0394">
      <w:pPr>
        <w:pStyle w:val="Heading4"/>
      </w:pPr>
      <w:r w:rsidRPr="00605AD4">
        <w:t>Guidance</w:t>
      </w:r>
    </w:p>
    <w:p w14:paraId="0AA0156D" w14:textId="77777777" w:rsidR="00326C01" w:rsidRPr="00DE040F" w:rsidRDefault="00326C01" w:rsidP="007F0394">
      <w:pPr>
        <w:rPr>
          <w:rFonts w:eastAsia="TimesNewRoman" w:cs="TimesNewRoman"/>
        </w:rPr>
      </w:pPr>
      <w:r w:rsidRPr="00DE040F">
        <w:rPr>
          <w:lang w:eastAsia="ja-JP"/>
        </w:rPr>
        <w:t xml:space="preserve">Relevant guidelines for this dossier include the </w:t>
      </w:r>
      <w:r w:rsidRPr="00DE040F">
        <w:rPr>
          <w:rFonts w:eastAsia="TimesNewRoman" w:cs="TimesNewRoman"/>
        </w:rPr>
        <w:t>Guideline on Clinical development of Fixed Combination Medicinal products (CHMP/EWP/240/95/2009) and Guideline on clinical investigation of medicinal products in the treatment or prevention of diabetes mellitus (CPMP/EWP/1080/2012). The clinical development program was compliant with these guidelines.</w:t>
      </w:r>
    </w:p>
    <w:p w14:paraId="3A62A9C6" w14:textId="77777777" w:rsidR="00500337" w:rsidRPr="00500337" w:rsidRDefault="00326C01" w:rsidP="007F0394">
      <w:r w:rsidRPr="00DE040F">
        <w:rPr>
          <w:rFonts w:eastAsia="TimesNewRoman" w:cs="TimesNewRoman"/>
        </w:rPr>
        <w:t>Prospective guidance over the course of the clinical development program supporting the</w:t>
      </w:r>
      <w:r>
        <w:rPr>
          <w:rFonts w:eastAsia="TimesNewRoman" w:cs="TimesNewRoman"/>
        </w:rPr>
        <w:t xml:space="preserve"> </w:t>
      </w:r>
      <w:r w:rsidRPr="00DE040F">
        <w:rPr>
          <w:rFonts w:eastAsia="TimesNewRoman" w:cs="TimesNewRoman"/>
        </w:rPr>
        <w:t>proposed indication has been received from Health Authorities in the US and EU. Much of</w:t>
      </w:r>
      <w:r>
        <w:rPr>
          <w:rFonts w:eastAsia="TimesNewRoman" w:cs="TimesNewRoman"/>
        </w:rPr>
        <w:t xml:space="preserve"> </w:t>
      </w:r>
      <w:r w:rsidRPr="00DE040F">
        <w:rPr>
          <w:rFonts w:eastAsia="TimesNewRoman" w:cs="TimesNewRoman"/>
        </w:rPr>
        <w:t xml:space="preserve">the feedback has focused on the </w:t>
      </w:r>
      <w:r w:rsidR="00F97771">
        <w:rPr>
          <w:rFonts w:eastAsia="TimesNewRoman" w:cs="TimesNewRoman"/>
        </w:rPr>
        <w:t>Phase III</w:t>
      </w:r>
      <w:r w:rsidRPr="00DE040F">
        <w:rPr>
          <w:rFonts w:eastAsia="TimesNewRoman" w:cs="TimesNewRoman"/>
        </w:rPr>
        <w:t xml:space="preserve"> program, and has been followed</w:t>
      </w:r>
      <w:r>
        <w:rPr>
          <w:rFonts w:eastAsia="TimesNewRoman" w:cs="TimesNewRoman"/>
        </w:rPr>
        <w:t xml:space="preserve"> </w:t>
      </w:r>
      <w:r w:rsidR="007F0394">
        <w:rPr>
          <w:rFonts w:eastAsia="TimesNewRoman" w:cs="TimesNewRoman"/>
        </w:rPr>
        <w:t>t</w:t>
      </w:r>
      <w:r w:rsidRPr="00DE040F">
        <w:rPr>
          <w:rFonts w:eastAsia="TimesNewRoman" w:cs="TimesNewRoman"/>
        </w:rPr>
        <w:t>he BE and food effect studies to support registration of the ertugliflozin/metformin FDC</w:t>
      </w:r>
      <w:r>
        <w:rPr>
          <w:rFonts w:eastAsia="TimesNewRoman" w:cs="TimesNewRoman"/>
        </w:rPr>
        <w:t xml:space="preserve"> </w:t>
      </w:r>
      <w:r w:rsidRPr="00DE040F">
        <w:rPr>
          <w:rFonts w:eastAsia="TimesNewRoman" w:cs="TimesNewRoman"/>
        </w:rPr>
        <w:t>were conducted in accordance with feedback from both agencies.</w:t>
      </w:r>
    </w:p>
    <w:p w14:paraId="7617ED17" w14:textId="77777777" w:rsidR="00605AD4" w:rsidRDefault="00605AD4" w:rsidP="00605AD4">
      <w:pPr>
        <w:pStyle w:val="Heading4"/>
      </w:pPr>
      <w:r w:rsidRPr="00605AD4">
        <w:t>Contents of the clinical dossier</w:t>
      </w:r>
    </w:p>
    <w:p w14:paraId="0EEF753C" w14:textId="77777777" w:rsidR="00326C01" w:rsidRPr="007F0394" w:rsidRDefault="00326C01" w:rsidP="007F0394">
      <w:pPr>
        <w:pStyle w:val="Heading5"/>
      </w:pPr>
      <w:bookmarkStart w:id="192" w:name="_Toc504037258"/>
      <w:r>
        <w:t>Scope of the clinical dossier</w:t>
      </w:r>
      <w:bookmarkEnd w:id="192"/>
    </w:p>
    <w:p w14:paraId="1371253D" w14:textId="77777777" w:rsidR="00326C01" w:rsidRDefault="00F97771" w:rsidP="00F97771">
      <w:pPr>
        <w:pStyle w:val="Heading6"/>
      </w:pPr>
      <w:r>
        <w:t>Pharmacology</w:t>
      </w:r>
    </w:p>
    <w:p w14:paraId="76AE4F9A" w14:textId="77777777" w:rsidR="00326C01" w:rsidRDefault="00326C01" w:rsidP="00326C01">
      <w:pPr>
        <w:rPr>
          <w:lang w:eastAsia="ja-JP"/>
        </w:rPr>
      </w:pPr>
      <w:r>
        <w:rPr>
          <w:lang w:eastAsia="ja-JP"/>
        </w:rPr>
        <w:t xml:space="preserve">The current submission comprises seven previously unevaluated </w:t>
      </w:r>
      <w:r w:rsidR="00C3563C">
        <w:rPr>
          <w:lang w:eastAsia="ja-JP"/>
        </w:rPr>
        <w:t>Phase I</w:t>
      </w:r>
      <w:r>
        <w:rPr>
          <w:lang w:eastAsia="ja-JP"/>
        </w:rPr>
        <w:t>, PK studies, none of which include PD data. Four of the studies examine the BE between the various strengths of the FDC proposed for marketing and the corresponding free combination. In addition, a further 3 studies examined the effect of a high</w:t>
      </w:r>
      <w:r w:rsidR="00F97771">
        <w:rPr>
          <w:lang w:eastAsia="ja-JP"/>
        </w:rPr>
        <w:t xml:space="preserve"> </w:t>
      </w:r>
      <w:r>
        <w:rPr>
          <w:lang w:eastAsia="ja-JP"/>
        </w:rPr>
        <w:t>fat/high</w:t>
      </w:r>
      <w:r w:rsidR="00F97771">
        <w:rPr>
          <w:lang w:eastAsia="ja-JP"/>
        </w:rPr>
        <w:t xml:space="preserve"> </w:t>
      </w:r>
      <w:r>
        <w:rPr>
          <w:lang w:eastAsia="ja-JP"/>
        </w:rPr>
        <w:t>calorie breakfast on the PKs of the active components of the FDC tablets. No new popPK or modelling studies were undertaken as part of the present submission.</w:t>
      </w:r>
    </w:p>
    <w:p w14:paraId="1830BADD" w14:textId="77777777" w:rsidR="00326C01" w:rsidRPr="008135D8" w:rsidRDefault="00326C01" w:rsidP="00F97771">
      <w:pPr>
        <w:pStyle w:val="Heading6"/>
      </w:pPr>
      <w:r w:rsidRPr="008135D8">
        <w:t>Eff</w:t>
      </w:r>
      <w:r w:rsidR="00F97771">
        <w:t>icacy/ Safety</w:t>
      </w:r>
    </w:p>
    <w:p w14:paraId="207D63C3" w14:textId="77777777" w:rsidR="00326C01" w:rsidRDefault="00326C01">
      <w:r>
        <w:t xml:space="preserve">Four pivotal Phase </w:t>
      </w:r>
      <w:r w:rsidR="00F97771">
        <w:t>III</w:t>
      </w:r>
      <w:r>
        <w:t xml:space="preserve"> studies for the proposed ertugliflozin-metformin FDC were:</w:t>
      </w:r>
    </w:p>
    <w:p w14:paraId="05690184" w14:textId="1E955851" w:rsidR="00326C01" w:rsidRPr="007A503D" w:rsidRDefault="00611849" w:rsidP="00F97771">
      <w:pPr>
        <w:pStyle w:val="ListBullet"/>
      </w:pPr>
      <w:r>
        <w:t xml:space="preserve">Study </w:t>
      </w:r>
      <w:r w:rsidR="00326C01">
        <w:t>P007/1017:</w:t>
      </w:r>
      <w:r w:rsidR="009A3F68">
        <w:t xml:space="preserve"> </w:t>
      </w:r>
      <w:r w:rsidR="00326C01" w:rsidRPr="007A503D">
        <w:t xml:space="preserve">A </w:t>
      </w:r>
      <w:r w:rsidR="00F97771">
        <w:t>Phase III</w:t>
      </w:r>
      <w:r w:rsidR="00326C01" w:rsidRPr="007A503D">
        <w:t xml:space="preserve"> </w:t>
      </w:r>
      <w:r w:rsidR="006D2B42">
        <w:t>randomised</w:t>
      </w:r>
      <w:r w:rsidR="006D2B42" w:rsidRPr="007A503D">
        <w:t xml:space="preserve"> double</w:t>
      </w:r>
      <w:r w:rsidR="006D2B42">
        <w:t xml:space="preserve"> </w:t>
      </w:r>
      <w:r w:rsidR="006D2B42" w:rsidRPr="007A503D">
        <w:t>blind, placebo controlled, 26</w:t>
      </w:r>
      <w:r w:rsidR="006D2B42">
        <w:t xml:space="preserve"> </w:t>
      </w:r>
      <w:r w:rsidR="006D2B42" w:rsidRPr="007A503D">
        <w:t>week multicent</w:t>
      </w:r>
      <w:r w:rsidR="006D2B42">
        <w:t>re</w:t>
      </w:r>
      <w:r w:rsidR="006D2B42" w:rsidRPr="007A503D">
        <w:t xml:space="preserve"> study with a 78</w:t>
      </w:r>
      <w:r w:rsidR="006D2B42">
        <w:t xml:space="preserve"> </w:t>
      </w:r>
      <w:r w:rsidR="006D2B42" w:rsidRPr="007A503D">
        <w:t>week extension to evaluate</w:t>
      </w:r>
      <w:r w:rsidR="006D2B42">
        <w:t xml:space="preserve"> </w:t>
      </w:r>
      <w:r w:rsidR="006D2B42" w:rsidRPr="007A503D">
        <w:t>the efficacy and safety of ertugliflozin in subjects w</w:t>
      </w:r>
      <w:r w:rsidR="00326C01" w:rsidRPr="007A503D">
        <w:t>ith T</w:t>
      </w:r>
      <w:r w:rsidR="00326C01">
        <w:t>2DM</w:t>
      </w:r>
      <w:r w:rsidR="00326C01" w:rsidRPr="007A503D">
        <w:t xml:space="preserve"> </w:t>
      </w:r>
      <w:r w:rsidR="006D2B42" w:rsidRPr="007A503D">
        <w:t>and inadequate glycaemic control on metformin monotherapy</w:t>
      </w:r>
      <w:r w:rsidR="00326C01">
        <w:t>.</w:t>
      </w:r>
    </w:p>
    <w:p w14:paraId="286BD7FB" w14:textId="48FD2CF4" w:rsidR="00326C01" w:rsidRPr="00245A4E" w:rsidRDefault="00611849" w:rsidP="00F97771">
      <w:pPr>
        <w:pStyle w:val="ListBullet"/>
      </w:pPr>
      <w:r>
        <w:t xml:space="preserve">Study </w:t>
      </w:r>
      <w:r w:rsidR="00326C01" w:rsidRPr="00245A4E">
        <w:t xml:space="preserve">P002/1013: A Phase III, </w:t>
      </w:r>
      <w:r w:rsidR="006D2B42" w:rsidRPr="00245A4E">
        <w:t xml:space="preserve">multicentre, randomised, double blind, active-comparator controlled clinical trial to study the safety and efficacy of the addition of </w:t>
      </w:r>
      <w:r w:rsidR="006D2B42" w:rsidRPr="00245A4E">
        <w:lastRenderedPageBreak/>
        <w:t xml:space="preserve">ertugliflozin </w:t>
      </w:r>
      <w:r w:rsidR="00326C01" w:rsidRPr="00245A4E">
        <w:t xml:space="preserve">(MK-8835/PF-04971729) </w:t>
      </w:r>
      <w:r w:rsidR="006D2B42" w:rsidRPr="00245A4E">
        <w:t>compared with the addition of glimepiride in subjects with</w:t>
      </w:r>
      <w:r w:rsidR="00326C01" w:rsidRPr="00245A4E">
        <w:t xml:space="preserve"> T2DM </w:t>
      </w:r>
      <w:r w:rsidR="006D2B42" w:rsidRPr="00245A4E">
        <w:t>who have inadequate glycaemic control on metformi</w:t>
      </w:r>
      <w:r w:rsidR="00326C01" w:rsidRPr="00245A4E">
        <w:t>n.</w:t>
      </w:r>
    </w:p>
    <w:p w14:paraId="4C498669" w14:textId="33B26C53" w:rsidR="00326C01" w:rsidRPr="007A503D" w:rsidRDefault="00611849" w:rsidP="00F97771">
      <w:pPr>
        <w:pStyle w:val="ListBullet"/>
      </w:pPr>
      <w:r>
        <w:t xml:space="preserve">Study </w:t>
      </w:r>
      <w:r w:rsidR="00326C01" w:rsidRPr="007A503D">
        <w:t>P005/1019: A Phase II</w:t>
      </w:r>
      <w:r w:rsidR="00F97771">
        <w:t>I</w:t>
      </w:r>
      <w:r w:rsidR="00326C01" w:rsidRPr="007A503D">
        <w:t xml:space="preserve"> </w:t>
      </w:r>
      <w:r w:rsidR="006D2B42">
        <w:t>randomised</w:t>
      </w:r>
      <w:r w:rsidR="006D2B42" w:rsidRPr="007A503D">
        <w:t>, double</w:t>
      </w:r>
      <w:r w:rsidR="006D2B42">
        <w:t xml:space="preserve"> </w:t>
      </w:r>
      <w:r w:rsidR="006D2B42" w:rsidRPr="007A503D">
        <w:t>blind, multicent</w:t>
      </w:r>
      <w:r w:rsidR="006D2B42">
        <w:t>re</w:t>
      </w:r>
      <w:r w:rsidR="006D2B42" w:rsidRPr="007A503D">
        <w:t xml:space="preserve"> study to evaluate the efficacy and safety of the combination of ertugliflozin </w:t>
      </w:r>
      <w:r w:rsidR="00326C01" w:rsidRPr="007A503D">
        <w:t xml:space="preserve">(MK- 8835/PF-04971729) with </w:t>
      </w:r>
      <w:r w:rsidR="006D2B42" w:rsidRPr="007A503D">
        <w:t>sitagliptin compared with ertugliflozin alone and sitagliptin alone, in the treatment of subjects wit</w:t>
      </w:r>
      <w:r w:rsidR="00326C01" w:rsidRPr="007A503D">
        <w:t xml:space="preserve">h T2DM </w:t>
      </w:r>
      <w:r w:rsidR="006D2B42" w:rsidRPr="007A503D">
        <w:t>with inadequate glycaemic control on metformin monotherapy</w:t>
      </w:r>
      <w:r w:rsidR="00326C01">
        <w:t>.</w:t>
      </w:r>
    </w:p>
    <w:p w14:paraId="3BB635E6" w14:textId="7A5B5D27" w:rsidR="00326C01" w:rsidRPr="007A503D" w:rsidRDefault="00611849" w:rsidP="00F97771">
      <w:pPr>
        <w:pStyle w:val="ListBullet"/>
      </w:pPr>
      <w:r>
        <w:t xml:space="preserve">Study </w:t>
      </w:r>
      <w:r w:rsidR="00326C01" w:rsidRPr="007A503D">
        <w:t xml:space="preserve">P006/1015: </w:t>
      </w:r>
      <w:r>
        <w:t xml:space="preserve">A </w:t>
      </w:r>
      <w:r w:rsidR="00326C01" w:rsidRPr="007A503D">
        <w:t xml:space="preserve">Phase III, </w:t>
      </w:r>
      <w:r w:rsidR="006D2B42" w:rsidRPr="007A503D">
        <w:t>multicent</w:t>
      </w:r>
      <w:r w:rsidR="006D2B42">
        <w:t>re</w:t>
      </w:r>
      <w:r w:rsidR="006D2B42" w:rsidRPr="007A503D">
        <w:t xml:space="preserve">, </w:t>
      </w:r>
      <w:r w:rsidR="006D2B42">
        <w:t>randomised</w:t>
      </w:r>
      <w:r w:rsidR="006D2B42" w:rsidRPr="007A503D">
        <w:t>, double</w:t>
      </w:r>
      <w:r w:rsidR="006D2B42">
        <w:t xml:space="preserve"> </w:t>
      </w:r>
      <w:r w:rsidR="006D2B42" w:rsidRPr="007A503D">
        <w:t xml:space="preserve">blind, </w:t>
      </w:r>
      <w:proofErr w:type="gramStart"/>
      <w:r w:rsidR="006D2B42" w:rsidRPr="007A503D">
        <w:t>placeb</w:t>
      </w:r>
      <w:r w:rsidR="006D2B42">
        <w:t>o</w:t>
      </w:r>
      <w:proofErr w:type="gramEnd"/>
      <w:r w:rsidR="006D2B42">
        <w:t xml:space="preserve"> </w:t>
      </w:r>
      <w:r w:rsidR="006D2B42" w:rsidRPr="007A503D">
        <w:t xml:space="preserve">controlled, parallel group clinical trial to evaluate the safety and efficacy of ertugliflozin </w:t>
      </w:r>
      <w:r w:rsidR="00326C01" w:rsidRPr="007A503D">
        <w:t xml:space="preserve">(MK- 8835/PF-04971729) in the </w:t>
      </w:r>
      <w:r w:rsidR="006D2B42" w:rsidRPr="007A503D">
        <w:t xml:space="preserve">treatment of subjects with </w:t>
      </w:r>
      <w:r w:rsidR="00326C01" w:rsidRPr="007A503D">
        <w:t xml:space="preserve">T2DM </w:t>
      </w:r>
      <w:r w:rsidR="006D2B42" w:rsidRPr="007A503D">
        <w:t>who have inadequate glycaemic control on metformin and sitagliptin</w:t>
      </w:r>
      <w:r w:rsidR="00326C01">
        <w:t>.</w:t>
      </w:r>
    </w:p>
    <w:p w14:paraId="583E8488" w14:textId="77777777" w:rsidR="00326C01" w:rsidRDefault="00326C01" w:rsidP="00326C01">
      <w:pPr>
        <w:rPr>
          <w:rFonts w:asciiTheme="minorHAnsi" w:hAnsiTheme="minorHAnsi"/>
        </w:rPr>
      </w:pPr>
      <w:r>
        <w:rPr>
          <w:rFonts w:asciiTheme="minorHAnsi" w:hAnsiTheme="minorHAnsi"/>
        </w:rPr>
        <w:t xml:space="preserve">Three other supportive </w:t>
      </w:r>
      <w:r w:rsidR="00F97771">
        <w:rPr>
          <w:rFonts w:asciiTheme="minorHAnsi" w:hAnsiTheme="minorHAnsi"/>
        </w:rPr>
        <w:t>Phase III</w:t>
      </w:r>
      <w:r>
        <w:rPr>
          <w:rFonts w:asciiTheme="minorHAnsi" w:hAnsiTheme="minorHAnsi"/>
        </w:rPr>
        <w:t xml:space="preserve"> studies</w:t>
      </w:r>
      <w:r w:rsidR="007F0394">
        <w:rPr>
          <w:rFonts w:asciiTheme="minorHAnsi" w:hAnsiTheme="minorHAnsi"/>
        </w:rPr>
        <w:t>:</w:t>
      </w:r>
    </w:p>
    <w:p w14:paraId="716F3649" w14:textId="472D5F89" w:rsidR="00326C01" w:rsidRPr="00DE6973" w:rsidRDefault="00611849" w:rsidP="00F97771">
      <w:pPr>
        <w:pStyle w:val="ListBullet"/>
        <w:rPr>
          <w:rFonts w:eastAsia="TimesNewRoman" w:cs="TimesNewRoman"/>
        </w:rPr>
      </w:pPr>
      <w:r>
        <w:t xml:space="preserve">Study </w:t>
      </w:r>
      <w:r w:rsidR="00326C01" w:rsidRPr="007A503D">
        <w:t xml:space="preserve">P003/1022: A </w:t>
      </w:r>
      <w:r w:rsidR="00F97771">
        <w:t>Phase III</w:t>
      </w:r>
      <w:r w:rsidR="00326C01" w:rsidRPr="007A503D">
        <w:t xml:space="preserve">, </w:t>
      </w:r>
      <w:r w:rsidR="006D2B42">
        <w:t>randomised</w:t>
      </w:r>
      <w:r w:rsidR="006D2B42" w:rsidRPr="007A503D">
        <w:t>, double</w:t>
      </w:r>
      <w:r w:rsidR="006D2B42">
        <w:t xml:space="preserve"> </w:t>
      </w:r>
      <w:r w:rsidR="006D2B42" w:rsidRPr="007A503D">
        <w:t>blind, placebo controlled, 26 week multicentre</w:t>
      </w:r>
      <w:r w:rsidR="006D2B42">
        <w:t xml:space="preserve"> </w:t>
      </w:r>
      <w:r w:rsidR="006D2B42" w:rsidRPr="007A503D">
        <w:t>study with a 26 week extension to evaluate the efficacy and safety of ertugliflozin</w:t>
      </w:r>
      <w:r w:rsidR="006D2B42">
        <w:t xml:space="preserve"> </w:t>
      </w:r>
      <w:r w:rsidR="006D2B42" w:rsidRPr="007A503D">
        <w:t xml:space="preserve">monotherapy in the treatment of subjects </w:t>
      </w:r>
      <w:r w:rsidR="00326C01" w:rsidRPr="007A503D">
        <w:t>with T</w:t>
      </w:r>
      <w:r w:rsidR="00326C01">
        <w:t>2DM</w:t>
      </w:r>
      <w:r w:rsidR="00326C01" w:rsidRPr="007A503D">
        <w:t xml:space="preserve"> </w:t>
      </w:r>
      <w:r w:rsidR="006D2B42" w:rsidRPr="007A503D">
        <w:t>and inadequate glycaemic control despite diet and exercise</w:t>
      </w:r>
      <w:r w:rsidR="00326C01">
        <w:t>.</w:t>
      </w:r>
    </w:p>
    <w:p w14:paraId="52828967" w14:textId="5A2DAF30" w:rsidR="00326C01" w:rsidRPr="007A503D" w:rsidRDefault="00611849" w:rsidP="00F97771">
      <w:pPr>
        <w:pStyle w:val="ListBullet"/>
      </w:pPr>
      <w:r>
        <w:t xml:space="preserve">Study </w:t>
      </w:r>
      <w:r w:rsidR="00326C01" w:rsidRPr="007A503D">
        <w:t xml:space="preserve">P017/1047: A Phase III, </w:t>
      </w:r>
      <w:r w:rsidR="00326C01">
        <w:t>Randomised</w:t>
      </w:r>
      <w:r w:rsidR="00326C01" w:rsidRPr="007A503D">
        <w:t xml:space="preserve">, </w:t>
      </w:r>
      <w:r w:rsidR="006D2B42" w:rsidRPr="007A503D">
        <w:t>double</w:t>
      </w:r>
      <w:r w:rsidR="006D2B42">
        <w:t xml:space="preserve"> </w:t>
      </w:r>
      <w:r w:rsidR="006D2B42" w:rsidRPr="007A503D">
        <w:t>blind, placebo controlled, parallel</w:t>
      </w:r>
      <w:r w:rsidR="006D2B42">
        <w:t xml:space="preserve"> </w:t>
      </w:r>
      <w:r w:rsidR="006D2B42" w:rsidRPr="007A503D">
        <w:t>group, multicent</w:t>
      </w:r>
      <w:r w:rsidR="006D2B42">
        <w:t>re</w:t>
      </w:r>
      <w:r w:rsidR="006D2B42" w:rsidRPr="007A503D">
        <w:t xml:space="preserve"> clinical trial to evaluate the efficacy and safety of the initial combination of ertugliflozin </w:t>
      </w:r>
      <w:r w:rsidR="00326C01" w:rsidRPr="007A503D">
        <w:t xml:space="preserve">(MK-8835/PF-04971729) with </w:t>
      </w:r>
      <w:r w:rsidR="006D2B42" w:rsidRPr="007A503D">
        <w:t>sitagliptin in the treatment of subjects wit</w:t>
      </w:r>
      <w:r w:rsidR="00326C01" w:rsidRPr="007A503D">
        <w:t xml:space="preserve">h T2DM with </w:t>
      </w:r>
      <w:r w:rsidR="006D2B42" w:rsidRPr="007A503D">
        <w:t>inadequate glycaemic control on diet and exercise</w:t>
      </w:r>
      <w:r w:rsidR="00326C01">
        <w:t>.</w:t>
      </w:r>
    </w:p>
    <w:p w14:paraId="74DE0A0F" w14:textId="1E11911D" w:rsidR="00326C01" w:rsidRPr="00F569FE" w:rsidRDefault="00611849" w:rsidP="00F97771">
      <w:pPr>
        <w:pStyle w:val="ListBullet"/>
        <w:rPr>
          <w:rFonts w:eastAsia="TimesNewRoman" w:cs="Calibri"/>
          <w:color w:val="000000"/>
        </w:rPr>
      </w:pPr>
      <w:r>
        <w:t xml:space="preserve">Study </w:t>
      </w:r>
      <w:r w:rsidR="00326C01" w:rsidRPr="00F569FE">
        <w:t xml:space="preserve">P001/1016: A Phase III, Multicentre, </w:t>
      </w:r>
      <w:r w:rsidR="006D2B42" w:rsidRPr="00F569FE">
        <w:t>randomised, double</w:t>
      </w:r>
      <w:r w:rsidR="006D2B42">
        <w:t xml:space="preserve"> </w:t>
      </w:r>
      <w:r w:rsidR="006D2B42" w:rsidRPr="00F569FE">
        <w:t>blind, placebo</w:t>
      </w:r>
      <w:r w:rsidR="006D2B42">
        <w:t xml:space="preserve"> </w:t>
      </w:r>
      <w:r w:rsidR="006D2B42" w:rsidRPr="00F569FE">
        <w:t xml:space="preserve">controlled clinical trial to evaluate the efficacy and safety of ertugliflozin </w:t>
      </w:r>
      <w:r w:rsidR="00326C01" w:rsidRPr="00F569FE">
        <w:t xml:space="preserve">(MK-8835/PF-04971729) in Subjects with T2DM with Stage 3 </w:t>
      </w:r>
      <w:r w:rsidR="006D2B42" w:rsidRPr="00F569FE">
        <w:t>chronic kidney disease who have inadequate glycaemic control on background anti</w:t>
      </w:r>
      <w:r w:rsidR="006D2B42">
        <w:t>-</w:t>
      </w:r>
      <w:r w:rsidR="006D2B42" w:rsidRPr="00F569FE">
        <w:t>hyperglycaemic t</w:t>
      </w:r>
      <w:r w:rsidR="00326C01" w:rsidRPr="00F569FE">
        <w:t>herapy</w:t>
      </w:r>
      <w:r w:rsidR="00326C01">
        <w:t>.</w:t>
      </w:r>
    </w:p>
    <w:p w14:paraId="0534D2E5" w14:textId="77777777" w:rsidR="00326C01" w:rsidRPr="00F569FE" w:rsidRDefault="00F97771" w:rsidP="00F97771">
      <w:pPr>
        <w:pStyle w:val="Heading6"/>
        <w:rPr>
          <w:rFonts w:eastAsia="TimesNewRoman" w:cs="Calibri"/>
          <w:color w:val="000000"/>
        </w:rPr>
      </w:pPr>
      <w:r>
        <w:t>Other studies</w:t>
      </w:r>
    </w:p>
    <w:p w14:paraId="568B4ED1" w14:textId="77777777" w:rsidR="00F97771" w:rsidRDefault="00326C01" w:rsidP="00F97771">
      <w:pPr>
        <w:pStyle w:val="ListBullet"/>
      </w:pPr>
      <w:r w:rsidRPr="00F22742">
        <w:t xml:space="preserve">Phase </w:t>
      </w:r>
      <w:r w:rsidR="00F97771">
        <w:t>II</w:t>
      </w:r>
      <w:r w:rsidRPr="00F22742">
        <w:t xml:space="preserve"> dose-finding studies</w:t>
      </w:r>
    </w:p>
    <w:p w14:paraId="395B8789" w14:textId="458DE6A2" w:rsidR="00F97771" w:rsidRPr="00F97771" w:rsidRDefault="00611849" w:rsidP="00F97771">
      <w:pPr>
        <w:pStyle w:val="ListBullet2"/>
      </w:pPr>
      <w:r>
        <w:t xml:space="preserve">Study </w:t>
      </w:r>
      <w:r w:rsidR="00F97771">
        <w:t xml:space="preserve">P042/1004 and </w:t>
      </w:r>
      <w:r>
        <w:t xml:space="preserve">Study </w:t>
      </w:r>
      <w:r w:rsidR="00F97771">
        <w:t>P016/100</w:t>
      </w:r>
    </w:p>
    <w:p w14:paraId="076B63EC" w14:textId="77777777" w:rsidR="00F97771" w:rsidRDefault="00326C01" w:rsidP="00F97771">
      <w:pPr>
        <w:pStyle w:val="ListBullet"/>
      </w:pPr>
      <w:r w:rsidRPr="00F22742">
        <w:t xml:space="preserve">Integrated </w:t>
      </w:r>
      <w:r w:rsidR="00F97771">
        <w:t>summary of efficacy and safety</w:t>
      </w:r>
    </w:p>
    <w:p w14:paraId="3DE4FD59" w14:textId="77777777" w:rsidR="00500337" w:rsidRPr="00500337" w:rsidRDefault="00326C01" w:rsidP="00F97771">
      <w:pPr>
        <w:pStyle w:val="ListBullet"/>
      </w:pPr>
      <w:proofErr w:type="gramStart"/>
      <w:r w:rsidRPr="00F22742">
        <w:t>Phase</w:t>
      </w:r>
      <w:proofErr w:type="gramEnd"/>
      <w:r w:rsidRPr="00F22742">
        <w:t xml:space="preserve"> </w:t>
      </w:r>
      <w:r w:rsidR="00F97771">
        <w:t>I and II</w:t>
      </w:r>
      <w:r w:rsidRPr="00F22742">
        <w:t xml:space="preserve"> Safety analyses.</w:t>
      </w:r>
    </w:p>
    <w:p w14:paraId="14D8040B" w14:textId="77777777" w:rsidR="00605AD4" w:rsidRDefault="00605AD4" w:rsidP="00605AD4">
      <w:pPr>
        <w:pStyle w:val="Heading4"/>
      </w:pPr>
      <w:r w:rsidRPr="00605AD4">
        <w:t>Paediatric data</w:t>
      </w:r>
    </w:p>
    <w:p w14:paraId="3E1FE320" w14:textId="77777777" w:rsidR="00326C01" w:rsidRDefault="00326C01">
      <w:pPr>
        <w:rPr>
          <w:lang w:eastAsia="ja-JP"/>
        </w:rPr>
      </w:pPr>
      <w:r w:rsidRPr="008C2EA4">
        <w:rPr>
          <w:lang w:eastAsia="ja-JP"/>
        </w:rPr>
        <w:t>There is</w:t>
      </w:r>
      <w:r>
        <w:rPr>
          <w:lang w:eastAsia="ja-JP"/>
        </w:rPr>
        <w:t xml:space="preserve"> no</w:t>
      </w:r>
      <w:r w:rsidRPr="008C2EA4">
        <w:rPr>
          <w:lang w:eastAsia="ja-JP"/>
        </w:rPr>
        <w:t xml:space="preserve"> paediatric data in the current submission. </w:t>
      </w:r>
      <w:r w:rsidR="00F97771">
        <w:rPr>
          <w:lang w:eastAsia="ja-JP"/>
        </w:rPr>
        <w:t>T</w:t>
      </w:r>
      <w:r w:rsidRPr="008C2EA4">
        <w:rPr>
          <w:lang w:eastAsia="ja-JP"/>
        </w:rPr>
        <w:t>he sponsors have</w:t>
      </w:r>
      <w:r>
        <w:rPr>
          <w:lang w:eastAsia="ja-JP"/>
        </w:rPr>
        <w:t xml:space="preserve"> </w:t>
      </w:r>
      <w:r w:rsidRPr="008C2EA4">
        <w:rPr>
          <w:lang w:eastAsia="ja-JP"/>
        </w:rPr>
        <w:t xml:space="preserve">submitted a PIP in the EU and the </w:t>
      </w:r>
      <w:r w:rsidRPr="008C2EA4">
        <w:t>date on which the sponsors are first required to submit a report of a study conducted as</w:t>
      </w:r>
      <w:r>
        <w:t xml:space="preserve"> </w:t>
      </w:r>
      <w:r w:rsidRPr="008C2EA4">
        <w:t>part of the PIP is Sept</w:t>
      </w:r>
      <w:r w:rsidR="007F0394">
        <w:t>ember</w:t>
      </w:r>
      <w:r w:rsidRPr="008C2EA4">
        <w:t xml:space="preserve"> 2026</w:t>
      </w:r>
    </w:p>
    <w:p w14:paraId="68592740" w14:textId="77777777" w:rsidR="00605AD4" w:rsidRDefault="00605AD4" w:rsidP="00605AD4">
      <w:pPr>
        <w:pStyle w:val="Heading4"/>
      </w:pPr>
      <w:r w:rsidRPr="00605AD4">
        <w:t>Good clinical practice</w:t>
      </w:r>
    </w:p>
    <w:p w14:paraId="3F43C048" w14:textId="77777777" w:rsidR="00500337" w:rsidRPr="00500337" w:rsidRDefault="00326C01">
      <w:r w:rsidRPr="00326C01">
        <w:t>Studies comprising the ertugliflozin clinical development program were conducted in accordance with Guidelines for Good Clinical Practice (GCP) and the Declaration of Helsinki.</w:t>
      </w:r>
    </w:p>
    <w:p w14:paraId="25345191" w14:textId="77777777" w:rsidR="008E7846" w:rsidRDefault="008E7846" w:rsidP="007F0394">
      <w:pPr>
        <w:pStyle w:val="Heading4"/>
      </w:pPr>
      <w:r w:rsidRPr="00254787">
        <w:t>Pharmacokinetics</w:t>
      </w:r>
      <w:bookmarkEnd w:id="93"/>
      <w:bookmarkEnd w:id="189"/>
      <w:bookmarkEnd w:id="190"/>
      <w:bookmarkEnd w:id="191"/>
    </w:p>
    <w:p w14:paraId="6329DF1F" w14:textId="77777777" w:rsidR="00605AD4" w:rsidRDefault="00605AD4" w:rsidP="007F0394">
      <w:pPr>
        <w:pStyle w:val="Heading5"/>
      </w:pPr>
      <w:r>
        <w:t>Studies</w:t>
      </w:r>
      <w:r w:rsidR="00500337">
        <w:t xml:space="preserve"> providing pharmacokinetic data</w:t>
      </w:r>
    </w:p>
    <w:p w14:paraId="586191FC" w14:textId="77777777" w:rsidR="007F0394" w:rsidRPr="007F0394" w:rsidRDefault="007F0394" w:rsidP="007F0394">
      <w:r>
        <w:t>S</w:t>
      </w:r>
      <w:r w:rsidR="00F43A77">
        <w:t>ubmitted s</w:t>
      </w:r>
      <w:r>
        <w:t>tudies with pharmacokinetic data are listed in the in the table below.</w:t>
      </w:r>
    </w:p>
    <w:p w14:paraId="322A55B4" w14:textId="77777777" w:rsidR="00681A2E" w:rsidRPr="002E2E9A" w:rsidRDefault="00E55ACA" w:rsidP="00F97771">
      <w:pPr>
        <w:pStyle w:val="TableTitle"/>
      </w:pPr>
      <w:bookmarkStart w:id="193" w:name="_Toc453839419"/>
      <w:bookmarkStart w:id="194" w:name="_Toc504037364"/>
      <w:r>
        <w:lastRenderedPageBreak/>
        <w:t>Table 24</w:t>
      </w:r>
      <w:r w:rsidR="00F97771">
        <w:t xml:space="preserve">: </w:t>
      </w:r>
      <w:r w:rsidR="00681A2E" w:rsidRPr="002E2E9A">
        <w:t>Submitted pharmacokinetic studies</w:t>
      </w:r>
      <w:bookmarkEnd w:id="193"/>
      <w:bookmarkEnd w:id="194"/>
    </w:p>
    <w:tbl>
      <w:tblPr>
        <w:tblStyle w:val="TableTGAblue"/>
        <w:tblW w:w="8641" w:type="dxa"/>
        <w:tblLayout w:type="fixed"/>
        <w:tblLook w:val="04A0" w:firstRow="1" w:lastRow="0" w:firstColumn="1" w:lastColumn="0" w:noHBand="0" w:noVBand="1"/>
      </w:tblPr>
      <w:tblGrid>
        <w:gridCol w:w="1187"/>
        <w:gridCol w:w="1898"/>
        <w:gridCol w:w="1490"/>
        <w:gridCol w:w="4066"/>
      </w:tblGrid>
      <w:tr w:rsidR="00F97771" w:rsidRPr="00F97771" w14:paraId="43C1DD66" w14:textId="77777777" w:rsidTr="00611849">
        <w:trPr>
          <w:cnfStyle w:val="100000000000" w:firstRow="1" w:lastRow="0" w:firstColumn="0" w:lastColumn="0" w:oddVBand="0" w:evenVBand="0" w:oddHBand="0" w:evenHBand="0" w:firstRowFirstColumn="0" w:firstRowLastColumn="0" w:lastRowFirstColumn="0" w:lastRowLastColumn="0"/>
          <w:trHeight w:val="718"/>
        </w:trPr>
        <w:tc>
          <w:tcPr>
            <w:tcW w:w="1187" w:type="dxa"/>
          </w:tcPr>
          <w:p w14:paraId="1D26961C" w14:textId="77777777" w:rsidR="00F97771" w:rsidRPr="00F97771" w:rsidRDefault="00F97771" w:rsidP="00611849">
            <w:pPr>
              <w:ind w:left="0" w:right="0"/>
              <w:rPr>
                <w:b w:val="0"/>
                <w:sz w:val="20"/>
                <w:szCs w:val="20"/>
              </w:rPr>
            </w:pPr>
            <w:r w:rsidRPr="00F97771">
              <w:rPr>
                <w:sz w:val="20"/>
                <w:szCs w:val="20"/>
              </w:rPr>
              <w:t>PK topic</w:t>
            </w:r>
          </w:p>
        </w:tc>
        <w:tc>
          <w:tcPr>
            <w:tcW w:w="1898" w:type="dxa"/>
          </w:tcPr>
          <w:p w14:paraId="6C598118" w14:textId="77777777" w:rsidR="00F97771" w:rsidRPr="00F97771" w:rsidRDefault="00F97771" w:rsidP="00611849">
            <w:pPr>
              <w:ind w:left="0" w:right="0"/>
              <w:rPr>
                <w:b w:val="0"/>
                <w:sz w:val="20"/>
                <w:szCs w:val="20"/>
              </w:rPr>
            </w:pPr>
            <w:r w:rsidRPr="00F97771">
              <w:rPr>
                <w:sz w:val="20"/>
                <w:szCs w:val="20"/>
              </w:rPr>
              <w:t>Subtopic</w:t>
            </w:r>
          </w:p>
        </w:tc>
        <w:tc>
          <w:tcPr>
            <w:tcW w:w="1490" w:type="dxa"/>
          </w:tcPr>
          <w:p w14:paraId="40BA5627" w14:textId="77777777" w:rsidR="00F97771" w:rsidRPr="00F97771" w:rsidRDefault="00F97771" w:rsidP="00611849">
            <w:pPr>
              <w:ind w:left="0" w:right="0"/>
              <w:rPr>
                <w:b w:val="0"/>
                <w:sz w:val="20"/>
                <w:szCs w:val="20"/>
              </w:rPr>
            </w:pPr>
            <w:r w:rsidRPr="00F97771">
              <w:rPr>
                <w:sz w:val="20"/>
                <w:szCs w:val="20"/>
              </w:rPr>
              <w:t>Study ID</w:t>
            </w:r>
          </w:p>
        </w:tc>
        <w:tc>
          <w:tcPr>
            <w:tcW w:w="4066" w:type="dxa"/>
          </w:tcPr>
          <w:p w14:paraId="4787E751" w14:textId="77777777" w:rsidR="00F97771" w:rsidRPr="00F97771" w:rsidRDefault="00F97771" w:rsidP="00611849">
            <w:pPr>
              <w:ind w:left="0" w:right="0"/>
              <w:rPr>
                <w:b w:val="0"/>
                <w:sz w:val="20"/>
                <w:szCs w:val="20"/>
              </w:rPr>
            </w:pPr>
            <w:r w:rsidRPr="00F97771">
              <w:rPr>
                <w:sz w:val="20"/>
                <w:szCs w:val="20"/>
              </w:rPr>
              <w:t>*</w:t>
            </w:r>
          </w:p>
        </w:tc>
      </w:tr>
      <w:tr w:rsidR="00F97771" w:rsidRPr="00F97771" w14:paraId="7B0D207D" w14:textId="77777777" w:rsidTr="00611849">
        <w:trPr>
          <w:trHeight w:val="1201"/>
        </w:trPr>
        <w:tc>
          <w:tcPr>
            <w:tcW w:w="1187" w:type="dxa"/>
            <w:vMerge w:val="restart"/>
          </w:tcPr>
          <w:p w14:paraId="7F577D20" w14:textId="77777777" w:rsidR="00F97771" w:rsidRPr="00F97771" w:rsidRDefault="00F97771" w:rsidP="00611849">
            <w:pPr>
              <w:ind w:left="0" w:right="0"/>
              <w:rPr>
                <w:sz w:val="20"/>
                <w:szCs w:val="20"/>
              </w:rPr>
            </w:pPr>
            <w:r w:rsidRPr="00F97771">
              <w:rPr>
                <w:sz w:val="20"/>
                <w:szCs w:val="20"/>
              </w:rPr>
              <w:t>PK in healthy adults</w:t>
            </w:r>
          </w:p>
        </w:tc>
        <w:tc>
          <w:tcPr>
            <w:tcW w:w="1898" w:type="dxa"/>
            <w:vMerge w:val="restart"/>
          </w:tcPr>
          <w:p w14:paraId="683E7786" w14:textId="7C155958" w:rsidR="00F97771" w:rsidRPr="00F97771" w:rsidRDefault="00F97771" w:rsidP="0091712B">
            <w:pPr>
              <w:ind w:left="0" w:right="0"/>
              <w:rPr>
                <w:sz w:val="20"/>
                <w:szCs w:val="20"/>
              </w:rPr>
            </w:pPr>
            <w:r w:rsidRPr="00F97771">
              <w:rPr>
                <w:sz w:val="20"/>
                <w:szCs w:val="20"/>
              </w:rPr>
              <w:t>Bioequivalence †</w:t>
            </w:r>
            <w:r w:rsidR="0091712B">
              <w:rPr>
                <w:sz w:val="20"/>
                <w:szCs w:val="20"/>
              </w:rPr>
              <w:t xml:space="preserve"> </w:t>
            </w:r>
            <w:r w:rsidRPr="00F97771">
              <w:rPr>
                <w:sz w:val="20"/>
                <w:szCs w:val="20"/>
              </w:rPr>
              <w:t>Single dose</w:t>
            </w:r>
          </w:p>
        </w:tc>
        <w:tc>
          <w:tcPr>
            <w:tcW w:w="1490" w:type="dxa"/>
          </w:tcPr>
          <w:p w14:paraId="3F7C4DB6" w14:textId="77777777" w:rsidR="00F97771" w:rsidRPr="00F97771" w:rsidRDefault="00F97771" w:rsidP="00611849">
            <w:pPr>
              <w:ind w:left="0" w:right="0"/>
              <w:rPr>
                <w:sz w:val="20"/>
                <w:szCs w:val="20"/>
              </w:rPr>
            </w:pPr>
            <w:r w:rsidRPr="00F97771">
              <w:rPr>
                <w:sz w:val="20"/>
                <w:szCs w:val="20"/>
              </w:rPr>
              <w:t>P027/1041</w:t>
            </w:r>
          </w:p>
        </w:tc>
        <w:tc>
          <w:tcPr>
            <w:tcW w:w="4066" w:type="dxa"/>
          </w:tcPr>
          <w:p w14:paraId="1EBE0687" w14:textId="3FF9EFC9" w:rsidR="00F97771" w:rsidRPr="00F97771" w:rsidRDefault="00F97771" w:rsidP="00611849">
            <w:pPr>
              <w:ind w:left="0" w:right="0"/>
              <w:rPr>
                <w:sz w:val="20"/>
                <w:szCs w:val="20"/>
              </w:rPr>
            </w:pPr>
            <w:r w:rsidRPr="00F97771">
              <w:rPr>
                <w:sz w:val="20"/>
                <w:szCs w:val="20"/>
              </w:rPr>
              <w:t>BE between ertugliflozin 7.5</w:t>
            </w:r>
            <w:r w:rsidR="009802FE">
              <w:rPr>
                <w:sz w:val="20"/>
                <w:szCs w:val="20"/>
              </w:rPr>
              <w:t> </w:t>
            </w:r>
            <w:r w:rsidR="006D7D02">
              <w:rPr>
                <w:sz w:val="20"/>
                <w:szCs w:val="20"/>
              </w:rPr>
              <w:t>mg</w:t>
            </w:r>
            <w:r w:rsidRPr="00F97771">
              <w:rPr>
                <w:sz w:val="20"/>
                <w:szCs w:val="20"/>
              </w:rPr>
              <w:t xml:space="preserve">/metformin 1000 </w:t>
            </w:r>
            <w:r w:rsidR="006D7D02">
              <w:rPr>
                <w:sz w:val="20"/>
                <w:szCs w:val="20"/>
              </w:rPr>
              <w:t>mg</w:t>
            </w:r>
            <w:r w:rsidRPr="00F97771">
              <w:rPr>
                <w:sz w:val="20"/>
                <w:szCs w:val="20"/>
              </w:rPr>
              <w:t xml:space="preserve"> FDC tablet and the free combination (US) under fasted conditions</w:t>
            </w:r>
          </w:p>
        </w:tc>
      </w:tr>
      <w:tr w:rsidR="00F97771" w:rsidRPr="00F97771" w14:paraId="114F3261" w14:textId="77777777" w:rsidTr="00611849">
        <w:trPr>
          <w:trHeight w:val="144"/>
        </w:trPr>
        <w:tc>
          <w:tcPr>
            <w:tcW w:w="1187" w:type="dxa"/>
            <w:vMerge/>
          </w:tcPr>
          <w:p w14:paraId="41A44522" w14:textId="77777777" w:rsidR="00F97771" w:rsidRPr="00F97771" w:rsidRDefault="00F97771" w:rsidP="00611849">
            <w:pPr>
              <w:ind w:left="0" w:right="0"/>
              <w:rPr>
                <w:sz w:val="20"/>
                <w:szCs w:val="20"/>
              </w:rPr>
            </w:pPr>
          </w:p>
        </w:tc>
        <w:tc>
          <w:tcPr>
            <w:tcW w:w="1898" w:type="dxa"/>
            <w:vMerge/>
          </w:tcPr>
          <w:p w14:paraId="55FD0E94" w14:textId="77777777" w:rsidR="00F97771" w:rsidRPr="00F97771" w:rsidRDefault="00F97771" w:rsidP="00611849">
            <w:pPr>
              <w:ind w:left="0" w:right="0"/>
              <w:rPr>
                <w:sz w:val="20"/>
                <w:szCs w:val="20"/>
              </w:rPr>
            </w:pPr>
          </w:p>
        </w:tc>
        <w:tc>
          <w:tcPr>
            <w:tcW w:w="1490" w:type="dxa"/>
          </w:tcPr>
          <w:p w14:paraId="68252CD0" w14:textId="77777777" w:rsidR="00F97771" w:rsidRPr="00F97771" w:rsidRDefault="00F97771" w:rsidP="00611849">
            <w:pPr>
              <w:ind w:left="0" w:right="0"/>
              <w:rPr>
                <w:sz w:val="20"/>
                <w:szCs w:val="20"/>
              </w:rPr>
            </w:pPr>
            <w:r w:rsidRPr="00F97771">
              <w:rPr>
                <w:sz w:val="20"/>
                <w:szCs w:val="20"/>
              </w:rPr>
              <w:t>P046/1054</w:t>
            </w:r>
          </w:p>
        </w:tc>
        <w:tc>
          <w:tcPr>
            <w:tcW w:w="4066" w:type="dxa"/>
          </w:tcPr>
          <w:p w14:paraId="75351AB9" w14:textId="4F31AE56" w:rsidR="00F97771" w:rsidRPr="00F97771" w:rsidRDefault="00F97771" w:rsidP="00611849">
            <w:pPr>
              <w:ind w:left="0" w:right="0"/>
              <w:rPr>
                <w:sz w:val="20"/>
                <w:szCs w:val="20"/>
              </w:rPr>
            </w:pPr>
            <w:r w:rsidRPr="00F97771">
              <w:rPr>
                <w:sz w:val="20"/>
                <w:szCs w:val="20"/>
              </w:rPr>
              <w:t>BE between ertugliflozin 7.5</w:t>
            </w:r>
            <w:r w:rsidR="009802FE">
              <w:rPr>
                <w:sz w:val="20"/>
                <w:szCs w:val="20"/>
              </w:rPr>
              <w:t> </w:t>
            </w:r>
            <w:r w:rsidR="006D7D02">
              <w:rPr>
                <w:sz w:val="20"/>
                <w:szCs w:val="20"/>
              </w:rPr>
              <w:t>mg</w:t>
            </w:r>
            <w:r w:rsidRPr="00F97771">
              <w:rPr>
                <w:sz w:val="20"/>
                <w:szCs w:val="20"/>
              </w:rPr>
              <w:t>/metformin 850</w:t>
            </w:r>
            <w:r w:rsidR="009802FE">
              <w:rPr>
                <w:sz w:val="20"/>
                <w:szCs w:val="20"/>
              </w:rPr>
              <w:t xml:space="preserve"> </w:t>
            </w:r>
            <w:r w:rsidR="006D7D02">
              <w:rPr>
                <w:sz w:val="20"/>
                <w:szCs w:val="20"/>
              </w:rPr>
              <w:t>mg</w:t>
            </w:r>
            <w:r w:rsidRPr="00F97771">
              <w:rPr>
                <w:sz w:val="20"/>
                <w:szCs w:val="20"/>
              </w:rPr>
              <w:t xml:space="preserve"> FDC tablet and the free combination (EU) under fasted conditions</w:t>
            </w:r>
          </w:p>
        </w:tc>
      </w:tr>
      <w:tr w:rsidR="00F97771" w:rsidRPr="00F97771" w14:paraId="7F0C8F82" w14:textId="77777777" w:rsidTr="00611849">
        <w:trPr>
          <w:trHeight w:val="144"/>
        </w:trPr>
        <w:tc>
          <w:tcPr>
            <w:tcW w:w="1187" w:type="dxa"/>
            <w:vMerge/>
          </w:tcPr>
          <w:p w14:paraId="264C80CA" w14:textId="77777777" w:rsidR="00F97771" w:rsidRPr="00F97771" w:rsidRDefault="00F97771" w:rsidP="00611849">
            <w:pPr>
              <w:ind w:left="0" w:right="0"/>
              <w:rPr>
                <w:sz w:val="20"/>
                <w:szCs w:val="20"/>
              </w:rPr>
            </w:pPr>
          </w:p>
        </w:tc>
        <w:tc>
          <w:tcPr>
            <w:tcW w:w="1898" w:type="dxa"/>
            <w:vMerge/>
          </w:tcPr>
          <w:p w14:paraId="5FF59F25" w14:textId="77777777" w:rsidR="00F97771" w:rsidRPr="00F97771" w:rsidRDefault="00F97771" w:rsidP="00611849">
            <w:pPr>
              <w:ind w:left="0" w:right="0"/>
              <w:rPr>
                <w:sz w:val="20"/>
                <w:szCs w:val="20"/>
              </w:rPr>
            </w:pPr>
          </w:p>
        </w:tc>
        <w:tc>
          <w:tcPr>
            <w:tcW w:w="1490" w:type="dxa"/>
          </w:tcPr>
          <w:p w14:paraId="6CE73F81" w14:textId="77777777" w:rsidR="00F97771" w:rsidRPr="00F97771" w:rsidRDefault="00F97771" w:rsidP="00611849">
            <w:pPr>
              <w:ind w:left="0" w:right="0"/>
              <w:rPr>
                <w:sz w:val="20"/>
                <w:szCs w:val="20"/>
              </w:rPr>
            </w:pPr>
            <w:r w:rsidRPr="00F97771">
              <w:rPr>
                <w:sz w:val="20"/>
                <w:szCs w:val="20"/>
              </w:rPr>
              <w:t>P047/1055</w:t>
            </w:r>
          </w:p>
        </w:tc>
        <w:tc>
          <w:tcPr>
            <w:tcW w:w="4066" w:type="dxa"/>
          </w:tcPr>
          <w:p w14:paraId="7E7C3BBC" w14:textId="2DAF118E" w:rsidR="00F97771" w:rsidRPr="00F97771" w:rsidRDefault="00F97771" w:rsidP="00611849">
            <w:pPr>
              <w:ind w:left="0" w:right="0"/>
              <w:rPr>
                <w:sz w:val="20"/>
                <w:szCs w:val="20"/>
              </w:rPr>
            </w:pPr>
            <w:r w:rsidRPr="00F97771">
              <w:rPr>
                <w:sz w:val="20"/>
                <w:szCs w:val="20"/>
              </w:rPr>
              <w:t>BE between ertugliflozin 7.5</w:t>
            </w:r>
            <w:r w:rsidR="009802FE">
              <w:rPr>
                <w:sz w:val="20"/>
                <w:szCs w:val="20"/>
              </w:rPr>
              <w:t> </w:t>
            </w:r>
            <w:r w:rsidR="006D7D02">
              <w:rPr>
                <w:sz w:val="20"/>
                <w:szCs w:val="20"/>
              </w:rPr>
              <w:t>mg</w:t>
            </w:r>
            <w:r w:rsidRPr="00F97771">
              <w:rPr>
                <w:sz w:val="20"/>
                <w:szCs w:val="20"/>
              </w:rPr>
              <w:t>/metformin 1000</w:t>
            </w:r>
            <w:r w:rsidR="009802FE">
              <w:rPr>
                <w:sz w:val="20"/>
                <w:szCs w:val="20"/>
              </w:rPr>
              <w:t xml:space="preserve"> </w:t>
            </w:r>
            <w:r w:rsidR="006D7D02">
              <w:rPr>
                <w:sz w:val="20"/>
                <w:szCs w:val="20"/>
              </w:rPr>
              <w:t>mg</w:t>
            </w:r>
            <w:r w:rsidRPr="00F97771">
              <w:rPr>
                <w:sz w:val="20"/>
                <w:szCs w:val="20"/>
              </w:rPr>
              <w:t xml:space="preserve"> FDC tablet and the free combination(EU) under fasted conditions</w:t>
            </w:r>
          </w:p>
        </w:tc>
      </w:tr>
      <w:tr w:rsidR="00F97771" w:rsidRPr="00F97771" w14:paraId="393D410C" w14:textId="77777777" w:rsidTr="00611849">
        <w:trPr>
          <w:trHeight w:val="144"/>
        </w:trPr>
        <w:tc>
          <w:tcPr>
            <w:tcW w:w="1187" w:type="dxa"/>
            <w:vMerge/>
          </w:tcPr>
          <w:p w14:paraId="1FEA63F1" w14:textId="77777777" w:rsidR="00F97771" w:rsidRPr="00F97771" w:rsidRDefault="00F97771" w:rsidP="00611849">
            <w:pPr>
              <w:ind w:left="0" w:right="0"/>
              <w:rPr>
                <w:sz w:val="20"/>
                <w:szCs w:val="20"/>
              </w:rPr>
            </w:pPr>
          </w:p>
        </w:tc>
        <w:tc>
          <w:tcPr>
            <w:tcW w:w="1898" w:type="dxa"/>
            <w:vMerge/>
          </w:tcPr>
          <w:p w14:paraId="7E08D5CF" w14:textId="77777777" w:rsidR="00F97771" w:rsidRPr="00F97771" w:rsidRDefault="00F97771" w:rsidP="00611849">
            <w:pPr>
              <w:ind w:left="0" w:right="0"/>
              <w:rPr>
                <w:sz w:val="20"/>
                <w:szCs w:val="20"/>
              </w:rPr>
            </w:pPr>
          </w:p>
        </w:tc>
        <w:tc>
          <w:tcPr>
            <w:tcW w:w="1490" w:type="dxa"/>
          </w:tcPr>
          <w:p w14:paraId="33FF6E6B" w14:textId="77777777" w:rsidR="00F97771" w:rsidRPr="00F97771" w:rsidRDefault="00F97771" w:rsidP="00611849">
            <w:pPr>
              <w:ind w:left="0" w:right="0"/>
              <w:rPr>
                <w:sz w:val="20"/>
                <w:szCs w:val="20"/>
              </w:rPr>
            </w:pPr>
            <w:r w:rsidRPr="00F97771">
              <w:rPr>
                <w:sz w:val="20"/>
                <w:szCs w:val="20"/>
              </w:rPr>
              <w:t>P050/1058</w:t>
            </w:r>
          </w:p>
        </w:tc>
        <w:tc>
          <w:tcPr>
            <w:tcW w:w="4066" w:type="dxa"/>
          </w:tcPr>
          <w:p w14:paraId="693BE140" w14:textId="3BB2F7CE" w:rsidR="00F97771" w:rsidRPr="00F97771" w:rsidRDefault="00F97771" w:rsidP="00611849">
            <w:pPr>
              <w:ind w:left="0" w:right="0"/>
              <w:rPr>
                <w:sz w:val="20"/>
                <w:szCs w:val="20"/>
              </w:rPr>
            </w:pPr>
            <w:r w:rsidRPr="00F97771">
              <w:rPr>
                <w:sz w:val="20"/>
                <w:szCs w:val="20"/>
              </w:rPr>
              <w:t>BE between ertugliflozin 2.5</w:t>
            </w:r>
            <w:r w:rsidR="009802FE">
              <w:rPr>
                <w:sz w:val="20"/>
                <w:szCs w:val="20"/>
              </w:rPr>
              <w:t> </w:t>
            </w:r>
            <w:r w:rsidR="006D7D02">
              <w:rPr>
                <w:sz w:val="20"/>
                <w:szCs w:val="20"/>
              </w:rPr>
              <w:t>mg</w:t>
            </w:r>
            <w:r w:rsidRPr="00F97771">
              <w:rPr>
                <w:sz w:val="20"/>
                <w:szCs w:val="20"/>
              </w:rPr>
              <w:t>/metformin 500</w:t>
            </w:r>
            <w:r w:rsidR="009802FE">
              <w:rPr>
                <w:sz w:val="20"/>
                <w:szCs w:val="20"/>
              </w:rPr>
              <w:t xml:space="preserve"> </w:t>
            </w:r>
            <w:r w:rsidR="006D7D02">
              <w:rPr>
                <w:sz w:val="20"/>
                <w:szCs w:val="20"/>
              </w:rPr>
              <w:t>mg</w:t>
            </w:r>
            <w:r w:rsidRPr="00F97771">
              <w:rPr>
                <w:sz w:val="20"/>
                <w:szCs w:val="20"/>
              </w:rPr>
              <w:t xml:space="preserve"> FDC tablet and the free combination (US) under fasted conditions</w:t>
            </w:r>
          </w:p>
        </w:tc>
      </w:tr>
      <w:tr w:rsidR="00F97771" w:rsidRPr="00F97771" w14:paraId="008AA3A2" w14:textId="77777777" w:rsidTr="00611849">
        <w:trPr>
          <w:trHeight w:val="144"/>
        </w:trPr>
        <w:tc>
          <w:tcPr>
            <w:tcW w:w="1187" w:type="dxa"/>
            <w:vMerge/>
          </w:tcPr>
          <w:p w14:paraId="7DF5394E" w14:textId="77777777" w:rsidR="00F97771" w:rsidRPr="00F97771" w:rsidRDefault="00F97771" w:rsidP="00611849">
            <w:pPr>
              <w:ind w:left="0" w:right="0"/>
              <w:rPr>
                <w:sz w:val="20"/>
                <w:szCs w:val="20"/>
              </w:rPr>
            </w:pPr>
          </w:p>
        </w:tc>
        <w:tc>
          <w:tcPr>
            <w:tcW w:w="1898" w:type="dxa"/>
            <w:vMerge w:val="restart"/>
          </w:tcPr>
          <w:p w14:paraId="43A45E45" w14:textId="77777777" w:rsidR="00F97771" w:rsidRPr="00F97771" w:rsidRDefault="00F97771" w:rsidP="00611849">
            <w:pPr>
              <w:ind w:left="0" w:right="0"/>
              <w:rPr>
                <w:sz w:val="20"/>
                <w:szCs w:val="20"/>
              </w:rPr>
            </w:pPr>
            <w:r w:rsidRPr="00F97771">
              <w:rPr>
                <w:sz w:val="20"/>
                <w:szCs w:val="20"/>
              </w:rPr>
              <w:t>Food effect</w:t>
            </w:r>
          </w:p>
        </w:tc>
        <w:tc>
          <w:tcPr>
            <w:tcW w:w="1490" w:type="dxa"/>
          </w:tcPr>
          <w:p w14:paraId="13C15D5A" w14:textId="77777777" w:rsidR="00F97771" w:rsidRPr="00F97771" w:rsidRDefault="00F97771" w:rsidP="00611849">
            <w:pPr>
              <w:ind w:left="0" w:right="0"/>
              <w:rPr>
                <w:sz w:val="20"/>
                <w:szCs w:val="20"/>
              </w:rPr>
            </w:pPr>
            <w:r w:rsidRPr="00F97771">
              <w:rPr>
                <w:sz w:val="20"/>
                <w:szCs w:val="20"/>
              </w:rPr>
              <w:t>P028/1049</w:t>
            </w:r>
          </w:p>
        </w:tc>
        <w:tc>
          <w:tcPr>
            <w:tcW w:w="4066" w:type="dxa"/>
          </w:tcPr>
          <w:p w14:paraId="7C2708D4" w14:textId="687BF61B" w:rsidR="00F97771" w:rsidRPr="00F97771" w:rsidRDefault="00F97771" w:rsidP="00611849">
            <w:pPr>
              <w:ind w:left="0" w:right="0"/>
              <w:rPr>
                <w:sz w:val="20"/>
                <w:szCs w:val="20"/>
              </w:rPr>
            </w:pPr>
            <w:r w:rsidRPr="00F97771">
              <w:rPr>
                <w:sz w:val="20"/>
                <w:szCs w:val="20"/>
              </w:rPr>
              <w:t>Relative BA of ertugliflozin 7.5</w:t>
            </w:r>
            <w:r w:rsidR="009802FE">
              <w:rPr>
                <w:sz w:val="20"/>
                <w:szCs w:val="20"/>
              </w:rPr>
              <w:t> </w:t>
            </w:r>
            <w:r w:rsidR="006D7D02">
              <w:rPr>
                <w:sz w:val="20"/>
                <w:szCs w:val="20"/>
              </w:rPr>
              <w:t>mg</w:t>
            </w:r>
            <w:r w:rsidRPr="00F97771">
              <w:rPr>
                <w:sz w:val="20"/>
                <w:szCs w:val="20"/>
              </w:rPr>
              <w:t>/metformin 1000</w:t>
            </w:r>
            <w:r w:rsidR="009802FE">
              <w:rPr>
                <w:sz w:val="20"/>
                <w:szCs w:val="20"/>
              </w:rPr>
              <w:t xml:space="preserve"> </w:t>
            </w:r>
            <w:r w:rsidR="006D7D02">
              <w:rPr>
                <w:sz w:val="20"/>
                <w:szCs w:val="20"/>
              </w:rPr>
              <w:t>mg</w:t>
            </w:r>
            <w:r w:rsidRPr="00F97771">
              <w:rPr>
                <w:sz w:val="20"/>
                <w:szCs w:val="20"/>
              </w:rPr>
              <w:t xml:space="preserve"> FDC tablet under fasted and fed conditions</w:t>
            </w:r>
          </w:p>
        </w:tc>
      </w:tr>
      <w:tr w:rsidR="00F97771" w:rsidRPr="00F97771" w14:paraId="64981E76" w14:textId="77777777" w:rsidTr="00611849">
        <w:trPr>
          <w:trHeight w:val="144"/>
        </w:trPr>
        <w:tc>
          <w:tcPr>
            <w:tcW w:w="1187" w:type="dxa"/>
            <w:vMerge/>
          </w:tcPr>
          <w:p w14:paraId="61B41FA4" w14:textId="77777777" w:rsidR="00F97771" w:rsidRPr="00F97771" w:rsidRDefault="00F97771" w:rsidP="00611849">
            <w:pPr>
              <w:ind w:left="0" w:right="0"/>
              <w:rPr>
                <w:sz w:val="20"/>
                <w:szCs w:val="20"/>
              </w:rPr>
            </w:pPr>
          </w:p>
        </w:tc>
        <w:tc>
          <w:tcPr>
            <w:tcW w:w="1898" w:type="dxa"/>
            <w:vMerge/>
          </w:tcPr>
          <w:p w14:paraId="562ED3B5" w14:textId="77777777" w:rsidR="00F97771" w:rsidRPr="00F97771" w:rsidRDefault="00F97771" w:rsidP="00611849">
            <w:pPr>
              <w:ind w:left="0" w:right="0"/>
              <w:rPr>
                <w:sz w:val="20"/>
                <w:szCs w:val="20"/>
              </w:rPr>
            </w:pPr>
          </w:p>
        </w:tc>
        <w:tc>
          <w:tcPr>
            <w:tcW w:w="1490" w:type="dxa"/>
          </w:tcPr>
          <w:p w14:paraId="5D7CB918" w14:textId="77777777" w:rsidR="00F97771" w:rsidRPr="00F97771" w:rsidRDefault="00F97771" w:rsidP="00611849">
            <w:pPr>
              <w:ind w:left="0" w:right="0"/>
              <w:rPr>
                <w:sz w:val="20"/>
                <w:szCs w:val="20"/>
              </w:rPr>
            </w:pPr>
            <w:r w:rsidRPr="00F97771">
              <w:rPr>
                <w:sz w:val="20"/>
                <w:szCs w:val="20"/>
              </w:rPr>
              <w:t>P052/1060</w:t>
            </w:r>
          </w:p>
        </w:tc>
        <w:tc>
          <w:tcPr>
            <w:tcW w:w="4066" w:type="dxa"/>
          </w:tcPr>
          <w:p w14:paraId="14D5AE9B" w14:textId="34FB7057" w:rsidR="00F97771" w:rsidRPr="00F97771" w:rsidRDefault="00F97771" w:rsidP="00611849">
            <w:pPr>
              <w:ind w:left="0" w:right="0"/>
              <w:rPr>
                <w:sz w:val="20"/>
                <w:szCs w:val="20"/>
              </w:rPr>
            </w:pPr>
            <w:r w:rsidRPr="00F97771">
              <w:rPr>
                <w:sz w:val="20"/>
                <w:szCs w:val="20"/>
              </w:rPr>
              <w:t>BE of metformin component following administration of ertugliflozin 2.5</w:t>
            </w:r>
            <w:r w:rsidR="009802FE">
              <w:rPr>
                <w:sz w:val="20"/>
                <w:szCs w:val="20"/>
              </w:rPr>
              <w:t> </w:t>
            </w:r>
            <w:r w:rsidR="006D7D02">
              <w:rPr>
                <w:sz w:val="20"/>
                <w:szCs w:val="20"/>
              </w:rPr>
              <w:t>mg</w:t>
            </w:r>
            <w:r w:rsidRPr="00F97771">
              <w:rPr>
                <w:sz w:val="20"/>
                <w:szCs w:val="20"/>
              </w:rPr>
              <w:t>/metformin 500</w:t>
            </w:r>
            <w:r w:rsidR="009802FE">
              <w:rPr>
                <w:sz w:val="20"/>
                <w:szCs w:val="20"/>
              </w:rPr>
              <w:t xml:space="preserve"> </w:t>
            </w:r>
            <w:r w:rsidR="006D7D02">
              <w:rPr>
                <w:sz w:val="20"/>
                <w:szCs w:val="20"/>
              </w:rPr>
              <w:t>mg</w:t>
            </w:r>
            <w:r w:rsidRPr="00F97771">
              <w:rPr>
                <w:sz w:val="20"/>
                <w:szCs w:val="20"/>
              </w:rPr>
              <w:t xml:space="preserve"> FDC tablet or the free combination (CA) under fasted and fed conditions</w:t>
            </w:r>
          </w:p>
        </w:tc>
      </w:tr>
      <w:tr w:rsidR="00F97771" w:rsidRPr="00F97771" w14:paraId="7FBE23BA" w14:textId="77777777" w:rsidTr="00611849">
        <w:trPr>
          <w:trHeight w:val="144"/>
        </w:trPr>
        <w:tc>
          <w:tcPr>
            <w:tcW w:w="1187" w:type="dxa"/>
            <w:vMerge/>
          </w:tcPr>
          <w:p w14:paraId="3AD590E0" w14:textId="77777777" w:rsidR="00F97771" w:rsidRPr="00F97771" w:rsidRDefault="00F97771" w:rsidP="00611849">
            <w:pPr>
              <w:ind w:left="0" w:right="0"/>
              <w:rPr>
                <w:sz w:val="20"/>
                <w:szCs w:val="20"/>
              </w:rPr>
            </w:pPr>
          </w:p>
        </w:tc>
        <w:tc>
          <w:tcPr>
            <w:tcW w:w="1898" w:type="dxa"/>
            <w:vMerge/>
          </w:tcPr>
          <w:p w14:paraId="2E23AC74" w14:textId="77777777" w:rsidR="00F97771" w:rsidRPr="00F97771" w:rsidRDefault="00F97771" w:rsidP="00611849">
            <w:pPr>
              <w:ind w:left="0" w:right="0"/>
              <w:rPr>
                <w:sz w:val="20"/>
                <w:szCs w:val="20"/>
              </w:rPr>
            </w:pPr>
          </w:p>
        </w:tc>
        <w:tc>
          <w:tcPr>
            <w:tcW w:w="1490" w:type="dxa"/>
          </w:tcPr>
          <w:p w14:paraId="299BB822" w14:textId="77777777" w:rsidR="00F97771" w:rsidRPr="00F97771" w:rsidRDefault="00F97771" w:rsidP="00611849">
            <w:pPr>
              <w:ind w:left="0" w:right="0"/>
              <w:rPr>
                <w:sz w:val="20"/>
                <w:szCs w:val="20"/>
              </w:rPr>
            </w:pPr>
            <w:r w:rsidRPr="00F97771">
              <w:rPr>
                <w:sz w:val="20"/>
                <w:szCs w:val="20"/>
              </w:rPr>
              <w:t>P053/1061</w:t>
            </w:r>
          </w:p>
        </w:tc>
        <w:tc>
          <w:tcPr>
            <w:tcW w:w="4066" w:type="dxa"/>
          </w:tcPr>
          <w:p w14:paraId="55F3A999" w14:textId="757E9FCF" w:rsidR="00F97771" w:rsidRPr="00F97771" w:rsidRDefault="00F97771" w:rsidP="00611849">
            <w:pPr>
              <w:ind w:left="0" w:right="0"/>
              <w:rPr>
                <w:sz w:val="20"/>
                <w:szCs w:val="20"/>
              </w:rPr>
            </w:pPr>
            <w:r w:rsidRPr="00F97771">
              <w:rPr>
                <w:sz w:val="20"/>
                <w:szCs w:val="20"/>
              </w:rPr>
              <w:t>BE of metformin component following administration of ertugliflozin 7.5</w:t>
            </w:r>
            <w:r w:rsidR="009802FE">
              <w:rPr>
                <w:sz w:val="20"/>
                <w:szCs w:val="20"/>
              </w:rPr>
              <w:t> </w:t>
            </w:r>
            <w:r w:rsidR="006D7D02">
              <w:rPr>
                <w:sz w:val="20"/>
                <w:szCs w:val="20"/>
              </w:rPr>
              <w:t>mg</w:t>
            </w:r>
            <w:r w:rsidRPr="00F97771">
              <w:rPr>
                <w:sz w:val="20"/>
                <w:szCs w:val="20"/>
              </w:rPr>
              <w:t>/metformin 850</w:t>
            </w:r>
            <w:r w:rsidR="009802FE">
              <w:rPr>
                <w:sz w:val="20"/>
                <w:szCs w:val="20"/>
              </w:rPr>
              <w:t xml:space="preserve"> </w:t>
            </w:r>
            <w:r w:rsidR="006D7D02">
              <w:rPr>
                <w:sz w:val="20"/>
                <w:szCs w:val="20"/>
              </w:rPr>
              <w:t>mg</w:t>
            </w:r>
            <w:r w:rsidRPr="00F97771">
              <w:rPr>
                <w:sz w:val="20"/>
                <w:szCs w:val="20"/>
              </w:rPr>
              <w:t xml:space="preserve"> FDC tablet or the free combination (CA) under fasted and fed conditions</w:t>
            </w:r>
          </w:p>
        </w:tc>
      </w:tr>
    </w:tbl>
    <w:p w14:paraId="3C6D8BE9" w14:textId="77777777" w:rsidR="00681A2E" w:rsidRPr="00F43A77" w:rsidRDefault="00681A2E" w:rsidP="00F43A77">
      <w:pPr>
        <w:pStyle w:val="TableDescription"/>
      </w:pPr>
      <w:r w:rsidRPr="002E2E9A">
        <w:t>* Indicates the primary PK aim of the study.</w:t>
      </w:r>
      <w:r w:rsidR="00F97771">
        <w:t xml:space="preserve"> </w:t>
      </w:r>
      <w:r w:rsidRPr="002E2E9A">
        <w:t>† Bioequivalence of different formulations.</w:t>
      </w:r>
    </w:p>
    <w:p w14:paraId="519D2E5A" w14:textId="77777777" w:rsidR="00605AD4" w:rsidRDefault="00605AD4" w:rsidP="00605AD4">
      <w:pPr>
        <w:pStyle w:val="Heading4"/>
      </w:pPr>
      <w:r>
        <w:t>Evaluator’s conclusions on pharmacokinetics</w:t>
      </w:r>
    </w:p>
    <w:p w14:paraId="16082231" w14:textId="5FB72863" w:rsidR="007C496E" w:rsidRDefault="007C496E" w:rsidP="00F97771">
      <w:pPr>
        <w:pStyle w:val="ListBullet"/>
        <w:rPr>
          <w:lang w:eastAsia="ja-JP"/>
        </w:rPr>
      </w:pPr>
      <w:r>
        <w:rPr>
          <w:lang w:eastAsia="ja-JP"/>
        </w:rPr>
        <w:t>The current submission contains four previously unevaluated studies, which examine the BE between the various strengths of the FDC proposed for marketing and the corresponding free combinations. In addition, a further 3 new studies examined the effect of a high</w:t>
      </w:r>
      <w:r w:rsidR="006D2B42">
        <w:rPr>
          <w:lang w:eastAsia="ja-JP"/>
        </w:rPr>
        <w:t xml:space="preserve"> </w:t>
      </w:r>
      <w:r>
        <w:rPr>
          <w:lang w:eastAsia="ja-JP"/>
        </w:rPr>
        <w:t>fat/high</w:t>
      </w:r>
      <w:r w:rsidR="006D2B42">
        <w:rPr>
          <w:lang w:eastAsia="ja-JP"/>
        </w:rPr>
        <w:t xml:space="preserve"> </w:t>
      </w:r>
      <w:r>
        <w:rPr>
          <w:lang w:eastAsia="ja-JP"/>
        </w:rPr>
        <w:t>calorie breakfast on the PKs of the active components of the FDC tablets.</w:t>
      </w:r>
    </w:p>
    <w:p w14:paraId="51147011" w14:textId="77777777" w:rsidR="007C496E" w:rsidRDefault="007C496E" w:rsidP="00F97771">
      <w:pPr>
        <w:pStyle w:val="ListBullet"/>
        <w:rPr>
          <w:lang w:eastAsia="ja-JP"/>
        </w:rPr>
      </w:pPr>
      <w:r>
        <w:rPr>
          <w:lang w:eastAsia="ja-JP"/>
        </w:rPr>
        <w:t xml:space="preserve">In regards to the tablets containing a single active component, the </w:t>
      </w:r>
      <w:r>
        <w:t xml:space="preserve">PKs of metformin are well-established and the PKs of ertugliflozin are described in detail in </w:t>
      </w:r>
      <w:r w:rsidRPr="006C54BD">
        <w:rPr>
          <w:rFonts w:asciiTheme="minorHAnsi" w:hAnsiTheme="minorHAnsi"/>
        </w:rPr>
        <w:t xml:space="preserve">the concurrent </w:t>
      </w:r>
      <w:r>
        <w:rPr>
          <w:rFonts w:asciiTheme="minorHAnsi" w:hAnsiTheme="minorHAnsi"/>
        </w:rPr>
        <w:t xml:space="preserve">TGA </w:t>
      </w:r>
      <w:r w:rsidRPr="006C54BD">
        <w:rPr>
          <w:rFonts w:asciiTheme="minorHAnsi" w:hAnsiTheme="minorHAnsi"/>
        </w:rPr>
        <w:t>submission</w:t>
      </w:r>
      <w:r w:rsidR="00F43A77">
        <w:rPr>
          <w:rFonts w:asciiTheme="minorHAnsi" w:hAnsiTheme="minorHAnsi"/>
        </w:rPr>
        <w:t xml:space="preserve"> for Steglatro.</w:t>
      </w:r>
    </w:p>
    <w:p w14:paraId="181C13D8" w14:textId="77777777" w:rsidR="007C496E" w:rsidRDefault="007C496E" w:rsidP="00F97771">
      <w:pPr>
        <w:pStyle w:val="ListBullet"/>
        <w:rPr>
          <w:lang w:eastAsia="ja-JP"/>
        </w:rPr>
      </w:pPr>
      <w:r>
        <w:t xml:space="preserve">Overall, the conduct of the previously unevaluated studies </w:t>
      </w:r>
      <w:r w:rsidRPr="00865345">
        <w:t>was satisfactory</w:t>
      </w:r>
      <w:r>
        <w:t xml:space="preserve"> and was compliant with existing TGA guidelines, validated analytical methods were employed</w:t>
      </w:r>
      <w:r w:rsidRPr="00865345">
        <w:t xml:space="preserve"> and the data analyses undertaken were appropriate</w:t>
      </w:r>
      <w:r>
        <w:t>.</w:t>
      </w:r>
    </w:p>
    <w:p w14:paraId="08320CE1" w14:textId="06DF079F" w:rsidR="007C496E" w:rsidRPr="00B5783F" w:rsidRDefault="007C496E" w:rsidP="00F97771">
      <w:pPr>
        <w:pStyle w:val="ListBullet"/>
        <w:rPr>
          <w:rFonts w:asciiTheme="minorHAnsi" w:hAnsiTheme="minorHAnsi"/>
          <w:lang w:eastAsia="ja-JP"/>
        </w:rPr>
      </w:pPr>
      <w:r>
        <w:rPr>
          <w:rFonts w:eastAsia="TimesNewRoman" w:cstheme="minorHAnsi"/>
        </w:rPr>
        <w:lastRenderedPageBreak/>
        <w:t>The</w:t>
      </w:r>
      <w:r w:rsidRPr="00B95E0E">
        <w:rPr>
          <w:lang w:eastAsia="ja-JP"/>
        </w:rPr>
        <w:t xml:space="preserve"> </w:t>
      </w:r>
      <w:r>
        <w:rPr>
          <w:lang w:eastAsia="ja-JP"/>
        </w:rPr>
        <w:t>proposed 7.</w:t>
      </w:r>
      <w:r w:rsidR="006C336C">
        <w:rPr>
          <w:lang w:eastAsia="ja-JP"/>
        </w:rPr>
        <w:t>5</w:t>
      </w:r>
      <w:r w:rsidR="009802FE">
        <w:rPr>
          <w:lang w:eastAsia="ja-JP"/>
        </w:rPr>
        <w:t xml:space="preserve"> </w:t>
      </w:r>
      <w:r w:rsidR="006D7D02">
        <w:rPr>
          <w:lang w:eastAsia="ja-JP"/>
        </w:rPr>
        <w:t>mg</w:t>
      </w:r>
      <w:r>
        <w:rPr>
          <w:lang w:eastAsia="ja-JP"/>
        </w:rPr>
        <w:t>/1000</w:t>
      </w:r>
      <w:r w:rsidR="009802FE">
        <w:rPr>
          <w:lang w:eastAsia="ja-JP"/>
        </w:rPr>
        <w:t xml:space="preserve"> </w:t>
      </w:r>
      <w:r w:rsidR="006D7D02">
        <w:rPr>
          <w:lang w:eastAsia="ja-JP"/>
        </w:rPr>
        <w:t>mg</w:t>
      </w:r>
      <w:r>
        <w:rPr>
          <w:lang w:eastAsia="ja-JP"/>
        </w:rPr>
        <w:t xml:space="preserve"> </w:t>
      </w:r>
      <w:r>
        <w:rPr>
          <w:rFonts w:eastAsia="TimesNewRoman" w:cstheme="minorHAnsi"/>
        </w:rPr>
        <w:t>ertugliflozin/metformin FDC tablet was bioequivalent with the free combinations, which contained commercially available metformin tablets sourced from either the US or EU. In addition, the 2.5</w:t>
      </w:r>
      <w:r w:rsidR="009802FE">
        <w:rPr>
          <w:rFonts w:eastAsia="TimesNewRoman" w:cstheme="minorHAnsi"/>
        </w:rPr>
        <w:t xml:space="preserve"> </w:t>
      </w:r>
      <w:r w:rsidR="006D7D02">
        <w:rPr>
          <w:rFonts w:eastAsia="TimesNewRoman" w:cstheme="minorHAnsi"/>
        </w:rPr>
        <w:t>mg</w:t>
      </w:r>
      <w:r>
        <w:rPr>
          <w:rFonts w:eastAsia="TimesNewRoman" w:cstheme="minorHAnsi"/>
        </w:rPr>
        <w:t>/500</w:t>
      </w:r>
      <w:r w:rsidR="009802FE">
        <w:rPr>
          <w:rFonts w:eastAsia="TimesNewRoman" w:cstheme="minorHAnsi"/>
        </w:rPr>
        <w:t xml:space="preserve"> </w:t>
      </w:r>
      <w:r w:rsidR="006D7D02">
        <w:rPr>
          <w:rFonts w:eastAsia="TimesNewRoman" w:cstheme="minorHAnsi"/>
        </w:rPr>
        <w:t>mg</w:t>
      </w:r>
      <w:r>
        <w:rPr>
          <w:rFonts w:eastAsia="TimesNewRoman" w:cstheme="minorHAnsi"/>
        </w:rPr>
        <w:t xml:space="preserve"> FDC tablet was bioequivalent with the matching dose strength of the free combination, which contained US</w:t>
      </w:r>
      <w:r w:rsidR="0024546B">
        <w:rPr>
          <w:rFonts w:eastAsia="TimesNewRoman" w:cstheme="minorHAnsi"/>
        </w:rPr>
        <w:t xml:space="preserve"> </w:t>
      </w:r>
      <w:r>
        <w:rPr>
          <w:rFonts w:eastAsia="TimesNewRoman" w:cstheme="minorHAnsi"/>
        </w:rPr>
        <w:t xml:space="preserve">sourced metformin tablets. Given that </w:t>
      </w:r>
      <w:r w:rsidR="0024546B">
        <w:rPr>
          <w:rFonts w:eastAsia="TimesNewRoman" w:cstheme="minorHAnsi"/>
        </w:rPr>
        <w:t>the sponsor</w:t>
      </w:r>
      <w:r>
        <w:rPr>
          <w:rFonts w:eastAsia="TimesNewRoman" w:cstheme="minorHAnsi"/>
        </w:rPr>
        <w:t xml:space="preserve"> has demonstrated that the lowest and the highest dose strength of the FDC tablets are bioequivalent with the matching dose strengths of the relevant free combination tablets and the dose</w:t>
      </w:r>
      <w:r w:rsidR="0024546B">
        <w:rPr>
          <w:rFonts w:eastAsia="TimesNewRoman" w:cstheme="minorHAnsi"/>
        </w:rPr>
        <w:t xml:space="preserve"> </w:t>
      </w:r>
      <w:r>
        <w:rPr>
          <w:rFonts w:eastAsia="TimesNewRoman" w:cstheme="minorHAnsi"/>
        </w:rPr>
        <w:t xml:space="preserve">adjusted </w:t>
      </w:r>
      <w:r w:rsidRPr="00B5783F">
        <w:rPr>
          <w:rFonts w:asciiTheme="minorHAnsi" w:eastAsia="TimesNewRoman" w:hAnsiTheme="minorHAnsi" w:cs="TimesNewRoman"/>
        </w:rPr>
        <w:t xml:space="preserve">AUC for the doses examined meet the criterion of ± 25% as per </w:t>
      </w:r>
      <w:r>
        <w:rPr>
          <w:rFonts w:asciiTheme="minorHAnsi" w:eastAsia="TimesNewRoman" w:hAnsiTheme="minorHAnsi" w:cs="TimesNewRoman"/>
        </w:rPr>
        <w:t xml:space="preserve">the </w:t>
      </w:r>
      <w:r w:rsidR="0024546B">
        <w:rPr>
          <w:rFonts w:asciiTheme="minorHAnsi" w:eastAsia="TimesNewRoman" w:hAnsiTheme="minorHAnsi" w:cs="TimesNewRoman"/>
        </w:rPr>
        <w:t>relevant guideline</w:t>
      </w:r>
      <w:r w:rsidR="006D2B42">
        <w:rPr>
          <w:rFonts w:asciiTheme="minorHAnsi" w:eastAsia="TimesNewRoman" w:hAnsiTheme="minorHAnsi" w:cs="TimesNewRoman"/>
        </w:rPr>
        <w:t>;</w:t>
      </w:r>
      <w:r w:rsidR="0024546B">
        <w:rPr>
          <w:rStyle w:val="FootnoteReference"/>
          <w:rFonts w:asciiTheme="minorHAnsi" w:eastAsia="TimesNewRoman" w:hAnsiTheme="minorHAnsi" w:cs="TimesNewRoman"/>
        </w:rPr>
        <w:footnoteReference w:id="34"/>
      </w:r>
      <w:r w:rsidRPr="00B5783F">
        <w:rPr>
          <w:rFonts w:asciiTheme="minorHAnsi" w:eastAsia="TimesNewRoman" w:hAnsiTheme="minorHAnsi" w:cs="TimesNewRoman"/>
        </w:rPr>
        <w:t xml:space="preserve"> it can be assumed that the </w:t>
      </w:r>
      <w:r>
        <w:rPr>
          <w:rFonts w:asciiTheme="minorHAnsi" w:eastAsia="TimesNewRoman" w:hAnsiTheme="minorHAnsi" w:cs="TimesNewRoman"/>
        </w:rPr>
        <w:t>other proposed strengths of the FDC tablets will be bioequivalent with the relevant free combinations</w:t>
      </w:r>
      <w:r w:rsidRPr="00B5783F">
        <w:rPr>
          <w:rFonts w:asciiTheme="minorHAnsi" w:eastAsia="TimesNewRoman" w:hAnsiTheme="minorHAnsi" w:cs="TimesNewRoman"/>
        </w:rPr>
        <w:t>.</w:t>
      </w:r>
    </w:p>
    <w:p w14:paraId="0324CB30" w14:textId="4B698BA6" w:rsidR="007C496E" w:rsidRDefault="007C496E" w:rsidP="00F97771">
      <w:pPr>
        <w:pStyle w:val="ListBullet"/>
        <w:rPr>
          <w:rFonts w:eastAsia="TimesNewRoman" w:cstheme="minorHAnsi"/>
          <w:color w:val="000000"/>
        </w:rPr>
      </w:pPr>
      <w:r>
        <w:rPr>
          <w:lang w:eastAsia="ja-JP"/>
        </w:rPr>
        <w:t>Compared to fasted conditions, a high</w:t>
      </w:r>
      <w:r w:rsidR="0024546B">
        <w:rPr>
          <w:lang w:eastAsia="ja-JP"/>
        </w:rPr>
        <w:t xml:space="preserve"> </w:t>
      </w:r>
      <w:r>
        <w:rPr>
          <w:lang w:eastAsia="ja-JP"/>
        </w:rPr>
        <w:t xml:space="preserve">fat breakfast had no effect on ertugliflozin or metformin </w:t>
      </w:r>
      <w:r w:rsidR="00E700A6">
        <w:t>AUC</w:t>
      </w:r>
      <w:r w:rsidR="00E700A6" w:rsidRPr="00E700A6">
        <w:rPr>
          <w:vertAlign w:val="subscript"/>
        </w:rPr>
        <w:t>inf</w:t>
      </w:r>
      <w:r>
        <w:rPr>
          <w:rFonts w:eastAsia="TimesNewRoman" w:cstheme="minorHAnsi"/>
        </w:rPr>
        <w:t xml:space="preserve"> and</w:t>
      </w:r>
      <w:r w:rsidRPr="00B46F76">
        <w:rPr>
          <w:rFonts w:eastAsia="TimesNewRoman" w:cstheme="minorHAnsi"/>
        </w:rPr>
        <w:t xml:space="preserve"> AUC</w:t>
      </w:r>
      <w:r w:rsidRPr="00F6649B">
        <w:rPr>
          <w:rFonts w:eastAsia="TimesNewRoman" w:cstheme="minorHAnsi"/>
          <w:vertAlign w:val="subscript"/>
        </w:rPr>
        <w:t>last</w:t>
      </w:r>
      <w:r>
        <w:rPr>
          <w:lang w:eastAsia="ja-JP"/>
        </w:rPr>
        <w:t xml:space="preserve"> values</w:t>
      </w:r>
      <w:r>
        <w:rPr>
          <w:rFonts w:eastAsia="TimesNewRoman" w:cstheme="minorHAnsi"/>
        </w:rPr>
        <w:t xml:space="preserve"> following a single dose of the </w:t>
      </w:r>
      <w:r w:rsidRPr="00B46F76">
        <w:rPr>
          <w:rFonts w:eastAsia="TimesNewRoman" w:cstheme="minorHAnsi"/>
        </w:rPr>
        <w:t xml:space="preserve">ertugliflozin </w:t>
      </w:r>
      <w:r w:rsidRPr="00C806D6">
        <w:rPr>
          <w:rFonts w:eastAsia="TimesNewRoman" w:cstheme="minorHAnsi"/>
        </w:rPr>
        <w:t>7.5</w:t>
      </w:r>
      <w:r w:rsidR="009802FE">
        <w:rPr>
          <w:rFonts w:eastAsia="TimesNewRoman" w:cstheme="minorHAnsi"/>
        </w:rPr>
        <w:t> </w:t>
      </w:r>
      <w:r w:rsidR="006D7D02">
        <w:rPr>
          <w:rFonts w:eastAsia="TimesNewRoman" w:cstheme="minorHAnsi"/>
        </w:rPr>
        <w:t>mg</w:t>
      </w:r>
      <w:r w:rsidRPr="00C806D6">
        <w:rPr>
          <w:rFonts w:eastAsia="TimesNewRoman" w:cstheme="minorHAnsi"/>
        </w:rPr>
        <w:t>/metformin 1000</w:t>
      </w:r>
      <w:r w:rsidR="009802FE">
        <w:rPr>
          <w:rFonts w:eastAsia="TimesNewRoman" w:cstheme="minorHAnsi"/>
        </w:rPr>
        <w:t xml:space="preserve"> </w:t>
      </w:r>
      <w:r w:rsidR="006D7D02">
        <w:rPr>
          <w:rFonts w:eastAsia="TimesNewRoman" w:cstheme="minorHAnsi"/>
        </w:rPr>
        <w:t>mg</w:t>
      </w:r>
      <w:r w:rsidRPr="00C806D6">
        <w:rPr>
          <w:rFonts w:eastAsia="TimesNewRoman" w:cstheme="minorHAnsi"/>
        </w:rPr>
        <w:t xml:space="preserve"> </w:t>
      </w:r>
      <w:r w:rsidRPr="00B46F76">
        <w:rPr>
          <w:rFonts w:eastAsia="TimesNewRoman" w:cstheme="minorHAnsi"/>
        </w:rPr>
        <w:t>FDC tablet</w:t>
      </w:r>
      <w:r>
        <w:rPr>
          <w:rFonts w:eastAsia="TimesNewRoman" w:cstheme="minorHAnsi"/>
        </w:rPr>
        <w:t>. By contrast,</w:t>
      </w:r>
      <w:r>
        <w:rPr>
          <w:rFonts w:eastAsia="TimesNewRoman" w:cstheme="minorHAnsi"/>
          <w:color w:val="000000"/>
        </w:rPr>
        <w:t xml:space="preserve"> e</w:t>
      </w:r>
      <w:r w:rsidRPr="00B46F76">
        <w:rPr>
          <w:rFonts w:eastAsia="TimesNewRoman" w:cstheme="minorHAnsi"/>
          <w:color w:val="000000"/>
        </w:rPr>
        <w:t xml:space="preserve">rtugliflozin </w:t>
      </w:r>
      <w:r>
        <w:rPr>
          <w:rFonts w:eastAsia="TimesNewRoman" w:cstheme="minorHAnsi"/>
          <w:color w:val="000000"/>
        </w:rPr>
        <w:t xml:space="preserve">and metformin </w:t>
      </w:r>
      <w:r w:rsidR="00E700A6">
        <w:t>C</w:t>
      </w:r>
      <w:r w:rsidR="00E700A6" w:rsidRPr="00E700A6">
        <w:rPr>
          <w:vertAlign w:val="subscript"/>
        </w:rPr>
        <w:t>max</w:t>
      </w:r>
      <w:r w:rsidRPr="00B46F76">
        <w:rPr>
          <w:rFonts w:eastAsia="TimesNewRoman" w:cstheme="minorHAnsi"/>
          <w:color w:val="000000"/>
        </w:rPr>
        <w:t xml:space="preserve"> </w:t>
      </w:r>
      <w:r>
        <w:rPr>
          <w:rFonts w:eastAsia="TimesNewRoman" w:cstheme="minorHAnsi"/>
          <w:color w:val="000000"/>
        </w:rPr>
        <w:t xml:space="preserve">values were </w:t>
      </w:r>
      <w:r w:rsidR="00D87593">
        <w:rPr>
          <w:rFonts w:eastAsia="TimesNewRoman" w:cstheme="minorHAnsi"/>
          <w:color w:val="000000"/>
        </w:rPr>
        <w:t xml:space="preserve">approximately </w:t>
      </w:r>
      <w:r>
        <w:rPr>
          <w:rFonts w:eastAsia="TimesNewRoman" w:cstheme="minorHAnsi"/>
          <w:color w:val="000000"/>
        </w:rPr>
        <w:t xml:space="preserve">40% and 30% lower, respectively, </w:t>
      </w:r>
      <w:r w:rsidRPr="00B46F76">
        <w:rPr>
          <w:rFonts w:eastAsia="TimesNewRoman" w:cstheme="minorHAnsi"/>
          <w:color w:val="000000"/>
        </w:rPr>
        <w:t>however, th</w:t>
      </w:r>
      <w:r>
        <w:rPr>
          <w:rFonts w:eastAsia="TimesNewRoman" w:cstheme="minorHAnsi"/>
          <w:color w:val="000000"/>
        </w:rPr>
        <w:t>ese</w:t>
      </w:r>
      <w:r w:rsidRPr="00B46F76">
        <w:rPr>
          <w:rFonts w:eastAsia="TimesNewRoman" w:cstheme="minorHAnsi"/>
          <w:color w:val="000000"/>
        </w:rPr>
        <w:t xml:space="preserve"> decrease</w:t>
      </w:r>
      <w:r>
        <w:rPr>
          <w:rFonts w:eastAsia="TimesNewRoman" w:cstheme="minorHAnsi"/>
          <w:color w:val="000000"/>
        </w:rPr>
        <w:t xml:space="preserve">s in </w:t>
      </w:r>
      <w:r w:rsidR="00E700A6">
        <w:t>C</w:t>
      </w:r>
      <w:r w:rsidR="00E700A6" w:rsidRPr="00E700A6">
        <w:rPr>
          <w:vertAlign w:val="subscript"/>
        </w:rPr>
        <w:t>max</w:t>
      </w:r>
      <w:r>
        <w:rPr>
          <w:rFonts w:eastAsia="TimesNewRoman" w:cstheme="minorHAnsi"/>
          <w:color w:val="000000"/>
        </w:rPr>
        <w:t xml:space="preserve"> are</w:t>
      </w:r>
      <w:r w:rsidRPr="00B46F76">
        <w:rPr>
          <w:rFonts w:eastAsia="TimesNewRoman" w:cstheme="minorHAnsi"/>
          <w:color w:val="000000"/>
        </w:rPr>
        <w:t xml:space="preserve"> </w:t>
      </w:r>
      <w:r>
        <w:rPr>
          <w:rFonts w:eastAsia="TimesNewRoman" w:cstheme="minorHAnsi"/>
          <w:color w:val="000000"/>
        </w:rPr>
        <w:t xml:space="preserve">unlikely </w:t>
      </w:r>
      <w:r w:rsidRPr="00B46F76">
        <w:rPr>
          <w:rFonts w:eastAsia="TimesNewRoman" w:cstheme="minorHAnsi"/>
          <w:color w:val="000000"/>
        </w:rPr>
        <w:t>to be clinically relevant</w:t>
      </w:r>
      <w:r>
        <w:rPr>
          <w:rFonts w:eastAsia="TimesNewRoman" w:cstheme="minorHAnsi"/>
          <w:color w:val="000000"/>
        </w:rPr>
        <w:t>.</w:t>
      </w:r>
    </w:p>
    <w:p w14:paraId="3593B3CD" w14:textId="2B1F4C67" w:rsidR="007C496E" w:rsidRDefault="007C496E" w:rsidP="00F97771">
      <w:pPr>
        <w:pStyle w:val="ListBullet"/>
      </w:pPr>
      <w:r w:rsidRPr="00865345">
        <w:t xml:space="preserve">Overall, the </w:t>
      </w:r>
      <w:r>
        <w:t xml:space="preserve">PK sections of the proposed PI accurately reflect the submitted data; however, a number of </w:t>
      </w:r>
      <w:r w:rsidRPr="00865345">
        <w:t xml:space="preserve">limitations </w:t>
      </w:r>
      <w:r>
        <w:t xml:space="preserve">in the provided dataset were </w:t>
      </w:r>
      <w:r w:rsidRPr="00865345">
        <w:t>identified</w:t>
      </w:r>
      <w:r>
        <w:t>:</w:t>
      </w:r>
    </w:p>
    <w:p w14:paraId="7E657E43" w14:textId="77777777" w:rsidR="007C496E" w:rsidRDefault="007C496E" w:rsidP="0024546B">
      <w:pPr>
        <w:pStyle w:val="ListBullet2"/>
      </w:pPr>
      <w:r>
        <w:t>Although metformin formulations from the US, EU and C</w:t>
      </w:r>
      <w:r w:rsidR="00F43A77">
        <w:t xml:space="preserve">anadian </w:t>
      </w:r>
      <w:r>
        <w:t>markets have been examined, none of the BE studies included any of the approved Australia metformin formulations.</w:t>
      </w:r>
    </w:p>
    <w:p w14:paraId="16A9C96D" w14:textId="77777777" w:rsidR="007C496E" w:rsidRDefault="007C496E" w:rsidP="0024546B">
      <w:pPr>
        <w:pStyle w:val="ListBullet2"/>
      </w:pPr>
      <w:r>
        <w:t>No dedicated PK studies examined the PKs of the FDC combinations in either the target or special populations.</w:t>
      </w:r>
    </w:p>
    <w:p w14:paraId="0AA12275" w14:textId="77777777" w:rsidR="007C496E" w:rsidRDefault="007C496E" w:rsidP="0024546B">
      <w:pPr>
        <w:pStyle w:val="ListBullet2"/>
      </w:pPr>
      <w:r>
        <w:t>No DDI</w:t>
      </w:r>
      <w:r w:rsidR="0024546B">
        <w:t xml:space="preserve"> studies</w:t>
      </w:r>
      <w:r>
        <w:t xml:space="preserve"> were undertaken using the proposed FDC.</w:t>
      </w:r>
    </w:p>
    <w:p w14:paraId="62B39D65" w14:textId="77777777" w:rsidR="007C496E" w:rsidRDefault="007C496E" w:rsidP="0024546B">
      <w:pPr>
        <w:pStyle w:val="ListBullet2"/>
        <w:rPr>
          <w:rFonts w:eastAsia="TimesNewRoman" w:cs="Calibri"/>
        </w:rPr>
      </w:pPr>
      <w:r>
        <w:rPr>
          <w:rFonts w:eastAsia="TimesNewRoman" w:cs="TimesNewRoman"/>
        </w:rPr>
        <w:t>P</w:t>
      </w:r>
      <w:r w:rsidRPr="00BC2BC4">
        <w:rPr>
          <w:rFonts w:eastAsia="TimesNewRoman" w:cs="Calibri"/>
        </w:rPr>
        <w:t xml:space="preserve">harmacokinetic interactions between </w:t>
      </w:r>
      <w:r>
        <w:rPr>
          <w:rFonts w:eastAsia="TimesNewRoman" w:cs="Calibri"/>
        </w:rPr>
        <w:t>the FDC</w:t>
      </w:r>
      <w:r w:rsidRPr="00BC2BC4">
        <w:rPr>
          <w:rFonts w:eastAsia="TimesNewRoman" w:cs="Calibri"/>
        </w:rPr>
        <w:t xml:space="preserve"> and othe</w:t>
      </w:r>
      <w:r>
        <w:rPr>
          <w:rFonts w:eastAsia="TimesNewRoman" w:cs="Calibri"/>
        </w:rPr>
        <w:t>r</w:t>
      </w:r>
      <w:r w:rsidRPr="00BC2BC4">
        <w:rPr>
          <w:rFonts w:eastAsia="TimesNewRoman" w:cs="Calibri"/>
        </w:rPr>
        <w:t xml:space="preserve"> commonly administered drugs in this patient population such as diuretics, war</w:t>
      </w:r>
      <w:r>
        <w:rPr>
          <w:rFonts w:eastAsia="TimesNewRoman" w:cs="Calibri"/>
        </w:rPr>
        <w:t>f</w:t>
      </w:r>
      <w:r w:rsidRPr="00BC2BC4">
        <w:rPr>
          <w:rFonts w:eastAsia="TimesNewRoman" w:cs="Calibri"/>
        </w:rPr>
        <w:t>arin, digoxin</w:t>
      </w:r>
      <w:r w:rsidR="0024546B">
        <w:rPr>
          <w:rFonts w:eastAsia="TimesNewRoman" w:cs="Calibri"/>
        </w:rPr>
        <w:t xml:space="preserve"> and so on</w:t>
      </w:r>
      <w:r w:rsidRPr="00BC2BC4">
        <w:rPr>
          <w:rFonts w:eastAsia="TimesNewRoman" w:cs="Calibri"/>
        </w:rPr>
        <w:t xml:space="preserve"> w</w:t>
      </w:r>
      <w:r w:rsidR="0024546B">
        <w:rPr>
          <w:rFonts w:eastAsia="TimesNewRoman" w:cs="Calibri"/>
        </w:rPr>
        <w:t>as</w:t>
      </w:r>
      <w:r w:rsidRPr="00BC2BC4">
        <w:rPr>
          <w:rFonts w:eastAsia="TimesNewRoman" w:cs="Calibri"/>
        </w:rPr>
        <w:t xml:space="preserve"> not evaluated.</w:t>
      </w:r>
    </w:p>
    <w:p w14:paraId="1FAA230E" w14:textId="77777777" w:rsidR="007C496E" w:rsidRPr="0092700D" w:rsidRDefault="007C496E" w:rsidP="0024546B">
      <w:pPr>
        <w:pStyle w:val="ListBullet2"/>
        <w:rPr>
          <w:rFonts w:asciiTheme="minorHAnsi" w:eastAsia="TimesNewRoman" w:hAnsiTheme="minorHAnsi" w:cs="Calibri"/>
        </w:rPr>
      </w:pPr>
      <w:r w:rsidRPr="0092700D">
        <w:rPr>
          <w:rFonts w:asciiTheme="minorHAnsi" w:eastAsia="TimesNewRoman" w:hAnsiTheme="minorHAnsi" w:cs="Calibri"/>
        </w:rPr>
        <w:t xml:space="preserve">Studies examining the effect of food on ertugliflozin PKs have not been </w:t>
      </w:r>
      <w:r>
        <w:rPr>
          <w:rFonts w:asciiTheme="minorHAnsi" w:eastAsia="TimesNewRoman" w:hAnsiTheme="minorHAnsi" w:cs="Calibri"/>
        </w:rPr>
        <w:t>performed</w:t>
      </w:r>
      <w:r w:rsidRPr="0092700D">
        <w:rPr>
          <w:rFonts w:asciiTheme="minorHAnsi" w:eastAsia="TimesNewRoman" w:hAnsiTheme="minorHAnsi" w:cs="Calibri"/>
        </w:rPr>
        <w:t xml:space="preserve"> in two of the previously unevaluated food studies, when plasma samples were available and this should have been a routine and relatively easy task to undertake.</w:t>
      </w:r>
    </w:p>
    <w:p w14:paraId="5D0F911F" w14:textId="77777777" w:rsidR="007C496E" w:rsidRPr="00F569FE" w:rsidRDefault="007C496E" w:rsidP="0024546B">
      <w:pPr>
        <w:rPr>
          <w:b/>
        </w:rPr>
      </w:pPr>
      <w:r w:rsidRPr="00F43A77">
        <w:t xml:space="preserve">The limitations regarding DDI studies are also present in the concurrent TGA submission </w:t>
      </w:r>
      <w:r w:rsidR="00F43A77" w:rsidRPr="00F43A77">
        <w:t>for Steglatro.</w:t>
      </w:r>
    </w:p>
    <w:p w14:paraId="393F4594" w14:textId="77777777" w:rsidR="007C496E" w:rsidRPr="00873921" w:rsidRDefault="007C496E" w:rsidP="0024546B">
      <w:pPr>
        <w:pStyle w:val="ListBullet"/>
      </w:pPr>
      <w:r w:rsidRPr="00873921">
        <w:t>Metformin is also available as an extended release tablet in Australia, which requires once daily dosing</w:t>
      </w:r>
      <w:r w:rsidR="0024546B" w:rsidRPr="00873921">
        <w:t>;</w:t>
      </w:r>
      <w:r w:rsidRPr="00873921">
        <w:t xml:space="preserve"> can the sponsor please explain why this formulation of metformin was not explored by the sponsors for the FDC?</w:t>
      </w:r>
    </w:p>
    <w:p w14:paraId="4B5D0725" w14:textId="77777777" w:rsidR="008E7846" w:rsidRDefault="008E7846" w:rsidP="00F43A77">
      <w:pPr>
        <w:pStyle w:val="Heading4"/>
      </w:pPr>
      <w:bookmarkStart w:id="195" w:name="_Toc196046481"/>
      <w:bookmarkStart w:id="196" w:name="_Toc247691520"/>
      <w:bookmarkStart w:id="197" w:name="_Toc314842503"/>
      <w:r w:rsidRPr="00254787">
        <w:t>Pharmacodynamics</w:t>
      </w:r>
      <w:bookmarkEnd w:id="94"/>
      <w:bookmarkEnd w:id="195"/>
      <w:bookmarkEnd w:id="196"/>
      <w:bookmarkEnd w:id="197"/>
    </w:p>
    <w:p w14:paraId="4AE8021D" w14:textId="77777777" w:rsidR="00605AD4" w:rsidRDefault="00605AD4" w:rsidP="00F43A77">
      <w:pPr>
        <w:pStyle w:val="Heading5"/>
      </w:pPr>
      <w:r>
        <w:t xml:space="preserve">Studies providing pharmacodynamic </w:t>
      </w:r>
      <w:r w:rsidR="00C3563C">
        <w:t xml:space="preserve">(PD) </w:t>
      </w:r>
      <w:r>
        <w:t>data</w:t>
      </w:r>
    </w:p>
    <w:p w14:paraId="41A5ED0C" w14:textId="33049ED0" w:rsidR="007C496E" w:rsidRPr="0067783A" w:rsidRDefault="007C496E" w:rsidP="00F43A77">
      <w:pPr>
        <w:rPr>
          <w:lang w:eastAsia="ja-JP"/>
        </w:rPr>
      </w:pPr>
      <w:r w:rsidRPr="009B0E74">
        <w:rPr>
          <w:lang w:eastAsia="ja-JP"/>
        </w:rPr>
        <w:t>None of the previously unevaluated studies directly examined the PDs of the FDC tablets</w:t>
      </w:r>
      <w:r>
        <w:rPr>
          <w:lang w:eastAsia="ja-JP"/>
        </w:rPr>
        <w:t xml:space="preserve">; however, the PD of ertugliflozin as a single agent are described in the concurrent </w:t>
      </w:r>
      <w:r w:rsidRPr="00A60ACA">
        <w:t>TGA submission</w:t>
      </w:r>
      <w:r w:rsidR="00C3563C">
        <w:t xml:space="preserve"> </w:t>
      </w:r>
      <w:r w:rsidR="00F43A77">
        <w:t>for Steglatro</w:t>
      </w:r>
      <w:r w:rsidRPr="009B0E74">
        <w:t>, whereas,</w:t>
      </w:r>
      <w:r>
        <w:rPr>
          <w:lang w:eastAsia="ja-JP"/>
        </w:rPr>
        <w:t xml:space="preserve"> the PD of metformin are well established.</w:t>
      </w:r>
    </w:p>
    <w:p w14:paraId="1583CF63" w14:textId="77777777" w:rsidR="00605AD4" w:rsidRDefault="00605AD4" w:rsidP="00F43A77">
      <w:pPr>
        <w:pStyle w:val="Heading5"/>
      </w:pPr>
      <w:r>
        <w:t>Evaluator’s conclusions on pharmacodynamics</w:t>
      </w:r>
    </w:p>
    <w:p w14:paraId="7CB7BD43" w14:textId="22F763B1" w:rsidR="00500337" w:rsidRPr="00500337" w:rsidRDefault="007C496E" w:rsidP="00F43A77">
      <w:r w:rsidRPr="007C496E">
        <w:t>No studies have specifically examined the PD of the FDC tablets. However, the result</w:t>
      </w:r>
      <w:r w:rsidR="00C3563C">
        <w:t>s of the concurrent submission</w:t>
      </w:r>
      <w:r w:rsidR="00F43A77">
        <w:t xml:space="preserve"> for </w:t>
      </w:r>
      <w:proofErr w:type="gramStart"/>
      <w:r w:rsidR="00F43A77">
        <w:t>Steglatro</w:t>
      </w:r>
      <w:r w:rsidRPr="007C496E">
        <w:t>,</w:t>
      </w:r>
      <w:proofErr w:type="gramEnd"/>
      <w:r w:rsidRPr="007C496E">
        <w:t xml:space="preserve"> indicate that following matched total daily doses </w:t>
      </w:r>
      <w:r w:rsidRPr="007C496E">
        <w:lastRenderedPageBreak/>
        <w:t xml:space="preserve">of ertugliflozin alone to subjects with T2DM administered either </w:t>
      </w:r>
      <w:r w:rsidR="00AD51CF">
        <w:t>BD</w:t>
      </w:r>
      <w:r w:rsidRPr="007C496E">
        <w:t xml:space="preserve"> or QD the effects on </w:t>
      </w:r>
      <w:r w:rsidR="00731A2E">
        <w:t>UGE</w:t>
      </w:r>
      <w:r w:rsidR="00731A2E" w:rsidRPr="00731A2E">
        <w:rPr>
          <w:vertAlign w:val="subscript"/>
        </w:rPr>
        <w:t>0-24</w:t>
      </w:r>
      <w:r w:rsidR="004A4114">
        <w:t>;</w:t>
      </w:r>
      <w:r w:rsidRPr="007C496E">
        <w:t xml:space="preserve"> mean plasma glucose and </w:t>
      </w:r>
      <w:r w:rsidR="003F2DE3">
        <w:t>Hb</w:t>
      </w:r>
      <w:r w:rsidR="00A04B32">
        <w:t>A1c</w:t>
      </w:r>
      <w:r w:rsidR="0024546B">
        <w:rPr>
          <w:rStyle w:val="FootnoteReference"/>
        </w:rPr>
        <w:footnoteReference w:id="35"/>
      </w:r>
      <w:r w:rsidRPr="007C496E">
        <w:t xml:space="preserve"> were similar.</w:t>
      </w:r>
    </w:p>
    <w:p w14:paraId="2FE4AB4D" w14:textId="77777777" w:rsidR="008E7846" w:rsidRDefault="00605AD4" w:rsidP="00F43A77">
      <w:pPr>
        <w:pStyle w:val="Heading4"/>
      </w:pPr>
      <w:r>
        <w:t>Dosage selection for the pivotal studies</w:t>
      </w:r>
    </w:p>
    <w:p w14:paraId="728C7B77" w14:textId="77777777" w:rsidR="007C496E" w:rsidRPr="00545B14" w:rsidRDefault="007C496E" w:rsidP="00F43A77">
      <w:pPr>
        <w:pStyle w:val="Heading5"/>
      </w:pPr>
      <w:bookmarkStart w:id="198" w:name="_Toc416353695"/>
      <w:bookmarkStart w:id="199" w:name="_Toc421005262"/>
      <w:bookmarkStart w:id="200" w:name="_Toc432079144"/>
      <w:bookmarkStart w:id="201" w:name="_Toc432080717"/>
      <w:bookmarkStart w:id="202" w:name="_Toc504037284"/>
      <w:r w:rsidRPr="005C1900">
        <w:t>Pharmacokinetics</w:t>
      </w:r>
      <w:r>
        <w:t xml:space="preserve"> and pharmacodynamics dos</w:t>
      </w:r>
      <w:r w:rsidRPr="00545B14">
        <w:t xml:space="preserve">e </w:t>
      </w:r>
      <w:r>
        <w:t>finding</w:t>
      </w:r>
      <w:r w:rsidRPr="00545B14">
        <w:t xml:space="preserve"> </w:t>
      </w:r>
      <w:r>
        <w:t>s</w:t>
      </w:r>
      <w:r w:rsidRPr="00545B14">
        <w:t>tudies</w:t>
      </w:r>
      <w:bookmarkEnd w:id="198"/>
      <w:bookmarkEnd w:id="199"/>
      <w:bookmarkEnd w:id="200"/>
      <w:bookmarkEnd w:id="201"/>
      <w:bookmarkEnd w:id="202"/>
    </w:p>
    <w:p w14:paraId="126983E9" w14:textId="26F9393B" w:rsidR="007C496E" w:rsidRDefault="007C496E" w:rsidP="00672209">
      <w:r w:rsidRPr="00852971">
        <w:t>The 500</w:t>
      </w:r>
      <w:r w:rsidR="009802FE">
        <w:t xml:space="preserve"> </w:t>
      </w:r>
      <w:r w:rsidR="006D7D02">
        <w:t>mg</w:t>
      </w:r>
      <w:r w:rsidRPr="00852971">
        <w:t>, 850</w:t>
      </w:r>
      <w:r w:rsidR="009802FE">
        <w:t xml:space="preserve"> </w:t>
      </w:r>
      <w:r w:rsidR="006D7D02">
        <w:t>mg</w:t>
      </w:r>
      <w:r w:rsidRPr="00852971">
        <w:t>, and 1000</w:t>
      </w:r>
      <w:r w:rsidR="009802FE">
        <w:t xml:space="preserve"> </w:t>
      </w:r>
      <w:r w:rsidR="006D7D02">
        <w:t>mg</w:t>
      </w:r>
      <w:r w:rsidRPr="00852971">
        <w:t xml:space="preserve"> tablet strengths of</w:t>
      </w:r>
      <w:r>
        <w:t xml:space="preserve"> </w:t>
      </w:r>
      <w:r w:rsidRPr="00852971">
        <w:t>metformin are available and approved in different regions of the world. Therefore, a total of</w:t>
      </w:r>
      <w:r>
        <w:t xml:space="preserve"> </w:t>
      </w:r>
      <w:r w:rsidRPr="00852971">
        <w:t>6 dose strengths of the ertugliflozin/</w:t>
      </w:r>
      <w:r>
        <w:t xml:space="preserve"> </w:t>
      </w:r>
      <w:r w:rsidRPr="00852971">
        <w:t>metformin FDC (2.5</w:t>
      </w:r>
      <w:r w:rsidR="009802FE">
        <w:t xml:space="preserve"> </w:t>
      </w:r>
      <w:r w:rsidR="006D7D02">
        <w:t>mg</w:t>
      </w:r>
      <w:r w:rsidRPr="00852971">
        <w:t xml:space="preserve"> or 7.5</w:t>
      </w:r>
      <w:r w:rsidR="009802FE">
        <w:t xml:space="preserve"> </w:t>
      </w:r>
      <w:r w:rsidR="006D7D02">
        <w:t>mg</w:t>
      </w:r>
      <w:r w:rsidRPr="00852971">
        <w:t xml:space="preserve"> ertugliflozin,</w:t>
      </w:r>
      <w:r>
        <w:t xml:space="preserve"> </w:t>
      </w:r>
      <w:r w:rsidRPr="00852971">
        <w:t>each</w:t>
      </w:r>
      <w:r w:rsidR="00C3563C">
        <w:t xml:space="preserve"> in combination with metformin (</w:t>
      </w:r>
      <w:r w:rsidRPr="00852971">
        <w:t>500</w:t>
      </w:r>
      <w:r w:rsidR="009802FE">
        <w:t xml:space="preserve"> </w:t>
      </w:r>
      <w:r w:rsidR="006D7D02">
        <w:t>mg</w:t>
      </w:r>
      <w:r w:rsidRPr="00852971">
        <w:t>, 850</w:t>
      </w:r>
      <w:r w:rsidR="009802FE">
        <w:t xml:space="preserve"> </w:t>
      </w:r>
      <w:r w:rsidR="006D7D02">
        <w:t>mg</w:t>
      </w:r>
      <w:r w:rsidRPr="00852971">
        <w:t xml:space="preserve"> and 1000</w:t>
      </w:r>
      <w:r w:rsidR="009802FE">
        <w:t xml:space="preserve"> </w:t>
      </w:r>
      <w:r w:rsidR="006D7D02">
        <w:t>mg</w:t>
      </w:r>
      <w:r w:rsidRPr="00852971">
        <w:t>), have been developed to</w:t>
      </w:r>
      <w:r>
        <w:t xml:space="preserve"> </w:t>
      </w:r>
      <w:r w:rsidRPr="00852971">
        <w:t xml:space="preserve">support registration in various regions globally. </w:t>
      </w:r>
      <w:r>
        <w:t>However, the present submission only seeks registration of 4</w:t>
      </w:r>
      <w:r w:rsidR="00312206">
        <w:t> </w:t>
      </w:r>
      <w:r>
        <w:t xml:space="preserve">dose strengths of </w:t>
      </w:r>
      <w:r w:rsidRPr="00852971">
        <w:t xml:space="preserve">ertugliflozin/metformin FDC </w:t>
      </w:r>
      <w:r>
        <w:t>(2.5/500, 7.5/500, 2.5/1000 and 7.5/10</w:t>
      </w:r>
      <w:r w:rsidR="006C336C">
        <w:t>0</w:t>
      </w:r>
      <w:r w:rsidR="009802FE">
        <w:t> </w:t>
      </w:r>
      <w:r w:rsidR="006D7D02">
        <w:t>mg</w:t>
      </w:r>
      <w:r>
        <w:t>).</w:t>
      </w:r>
    </w:p>
    <w:p w14:paraId="74F648E6" w14:textId="492D73E0" w:rsidR="007C496E" w:rsidRPr="00852971" w:rsidRDefault="007C496E" w:rsidP="00672209">
      <w:r w:rsidRPr="00852971">
        <w:t>A food-effect study of the highest strength</w:t>
      </w:r>
      <w:r>
        <w:t xml:space="preserve"> </w:t>
      </w:r>
      <w:r w:rsidRPr="00852971">
        <w:t>FDC tablet was also conducted, along with a 2</w:t>
      </w:r>
      <w:r w:rsidR="00672209">
        <w:t> </w:t>
      </w:r>
      <w:r w:rsidRPr="00852971">
        <w:t>way PK DDI study between ertugliflozin and metformin</w:t>
      </w:r>
      <w:r>
        <w:t>.</w:t>
      </w:r>
    </w:p>
    <w:p w14:paraId="275795CB" w14:textId="2DF36313" w:rsidR="007C496E" w:rsidRPr="00852971" w:rsidRDefault="007C496E" w:rsidP="00672209">
      <w:pPr>
        <w:rPr>
          <w:lang w:eastAsia="ja-JP"/>
        </w:rPr>
      </w:pPr>
      <w:r w:rsidRPr="00852971">
        <w:t xml:space="preserve">The </w:t>
      </w:r>
      <w:r>
        <w:t xml:space="preserve">four </w:t>
      </w:r>
      <w:r w:rsidR="00F97771">
        <w:t>Phase III</w:t>
      </w:r>
      <w:r w:rsidRPr="00852971">
        <w:t xml:space="preserve"> studies supporting this FDC were conducted using ertugliflozin and metformin</w:t>
      </w:r>
      <w:r>
        <w:t xml:space="preserve"> </w:t>
      </w:r>
      <w:r w:rsidRPr="00852971">
        <w:t>administered as separate tablets and bridging to the FDC formulation is provided</w:t>
      </w:r>
      <w:r>
        <w:t xml:space="preserve"> </w:t>
      </w:r>
      <w:r w:rsidRPr="00852971">
        <w:t>via BE studies comparing the FDC to co-administration of the individual</w:t>
      </w:r>
      <w:r>
        <w:t xml:space="preserve"> </w:t>
      </w:r>
      <w:r w:rsidRPr="00852971">
        <w:t>components. The clinical studies were also supported by repeat dose toxicology studies</w:t>
      </w:r>
      <w:r>
        <w:t xml:space="preserve"> </w:t>
      </w:r>
      <w:r w:rsidRPr="00852971">
        <w:t>performed with the co-administration of ertugliflozin and metformin.</w:t>
      </w:r>
      <w:r>
        <w:t xml:space="preserve"> </w:t>
      </w:r>
      <w:r w:rsidRPr="00852971">
        <w:t xml:space="preserve">In addition, ertugliflozin was dosed </w:t>
      </w:r>
      <w:r w:rsidR="00C3563C">
        <w:t>QD</w:t>
      </w:r>
      <w:r w:rsidRPr="00852971">
        <w:t xml:space="preserve"> in all the </w:t>
      </w:r>
      <w:r w:rsidR="00F97771">
        <w:t>Phase III</w:t>
      </w:r>
      <w:r w:rsidRPr="00852971">
        <w:t xml:space="preserve"> studies. In order to</w:t>
      </w:r>
      <w:r>
        <w:t xml:space="preserve"> </w:t>
      </w:r>
      <w:r w:rsidRPr="00852971">
        <w:t xml:space="preserve">bridge the </w:t>
      </w:r>
      <w:r w:rsidR="00C3563C">
        <w:t>QD</w:t>
      </w:r>
      <w:r w:rsidRPr="00852971">
        <w:t xml:space="preserve"> dosing regimen of ertugliflozin administered in </w:t>
      </w:r>
      <w:r w:rsidR="00F97771">
        <w:t>Phase III</w:t>
      </w:r>
      <w:r w:rsidRPr="00852971">
        <w:t xml:space="preserve"> with the </w:t>
      </w:r>
      <w:r w:rsidR="00AD51CF">
        <w:t>BD</w:t>
      </w:r>
      <w:r w:rsidR="00F14099" w:rsidRPr="00852971">
        <w:t xml:space="preserve"> dosing</w:t>
      </w:r>
      <w:r w:rsidRPr="00852971">
        <w:t xml:space="preserve"> regimen in the ertugliflozin/metformin FDC, a </w:t>
      </w:r>
      <w:r w:rsidR="00C3563C">
        <w:t>Phase I</w:t>
      </w:r>
      <w:r w:rsidRPr="00852971">
        <w:t xml:space="preserve"> study (Study P035/1051)</w:t>
      </w:r>
      <w:r>
        <w:t xml:space="preserve"> </w:t>
      </w:r>
      <w:r w:rsidRPr="00852971">
        <w:t xml:space="preserve">was conducted to demonstrate equivalence of steady state </w:t>
      </w:r>
      <w:r w:rsidR="00C3563C" w:rsidRPr="00852971">
        <w:t>AUC</w:t>
      </w:r>
      <w:r w:rsidR="00C3563C" w:rsidRPr="00C3563C">
        <w:rPr>
          <w:vertAlign w:val="subscript"/>
        </w:rPr>
        <w:t>0-24</w:t>
      </w:r>
      <w:r w:rsidRPr="00852971">
        <w:t xml:space="preserve"> and similarity in steady state PD (cumulative </w:t>
      </w:r>
      <w:r w:rsidR="00731A2E">
        <w:t>UGE</w:t>
      </w:r>
      <w:r w:rsidR="00731A2E" w:rsidRPr="00731A2E">
        <w:rPr>
          <w:vertAlign w:val="subscript"/>
        </w:rPr>
        <w:t>0-24</w:t>
      </w:r>
      <w:r w:rsidRPr="00852971">
        <w:t xml:space="preserve">) for ertugliflozin between the </w:t>
      </w:r>
      <w:r w:rsidR="00C3563C">
        <w:t>QD</w:t>
      </w:r>
      <w:r w:rsidRPr="00852971">
        <w:t xml:space="preserve"> and</w:t>
      </w:r>
      <w:r w:rsidR="00C3563C">
        <w:t xml:space="preserve"> </w:t>
      </w:r>
      <w:r w:rsidR="00AD51CF">
        <w:t>BD</w:t>
      </w:r>
      <w:r w:rsidR="00C3563C">
        <w:t xml:space="preserve"> </w:t>
      </w:r>
      <w:r w:rsidRPr="00852971">
        <w:t>regimens</w:t>
      </w:r>
      <w:r>
        <w:t xml:space="preserve"> </w:t>
      </w:r>
      <w:r w:rsidRPr="00852971">
        <w:t>at the same total daily dose (2.5</w:t>
      </w:r>
      <w:r w:rsidR="009802FE">
        <w:t xml:space="preserve"> </w:t>
      </w:r>
      <w:r w:rsidR="006D7D02">
        <w:t>mg</w:t>
      </w:r>
      <w:r w:rsidR="00C3563C">
        <w:t xml:space="preserve"> </w:t>
      </w:r>
      <w:r w:rsidR="00AD51CF">
        <w:t>BD</w:t>
      </w:r>
      <w:r w:rsidR="00C3563C">
        <w:t xml:space="preserve"> </w:t>
      </w:r>
      <w:r w:rsidRPr="00852971">
        <w:t>v</w:t>
      </w:r>
      <w:r w:rsidR="000D6CCD">
        <w:t>ersu</w:t>
      </w:r>
      <w:r w:rsidRPr="00852971">
        <w:t>s 5</w:t>
      </w:r>
      <w:r w:rsidR="009802FE">
        <w:t xml:space="preserve"> </w:t>
      </w:r>
      <w:r w:rsidR="006D7D02">
        <w:t>mg</w:t>
      </w:r>
      <w:r w:rsidRPr="00852971">
        <w:t xml:space="preserve"> </w:t>
      </w:r>
      <w:r w:rsidR="00C3563C">
        <w:t>QD</w:t>
      </w:r>
      <w:r w:rsidRPr="00852971">
        <w:t xml:space="preserve"> and 7.5</w:t>
      </w:r>
      <w:r w:rsidR="009802FE">
        <w:t xml:space="preserve"> </w:t>
      </w:r>
      <w:r w:rsidR="006D7D02">
        <w:t>mg</w:t>
      </w:r>
      <w:r w:rsidR="00C3563C">
        <w:t xml:space="preserve"> </w:t>
      </w:r>
      <w:r w:rsidR="00AD51CF">
        <w:t>BD</w:t>
      </w:r>
      <w:r w:rsidR="00C3563C">
        <w:t xml:space="preserve"> </w:t>
      </w:r>
      <w:r w:rsidRPr="00852971">
        <w:t>v</w:t>
      </w:r>
      <w:r w:rsidR="000D6CCD">
        <w:t>ersu</w:t>
      </w:r>
      <w:r w:rsidRPr="00852971">
        <w:t>s 15</w:t>
      </w:r>
      <w:r w:rsidR="009802FE">
        <w:t xml:space="preserve"> </w:t>
      </w:r>
      <w:r w:rsidR="006D7D02">
        <w:t>mg</w:t>
      </w:r>
      <w:r w:rsidRPr="00852971">
        <w:t xml:space="preserve"> </w:t>
      </w:r>
      <w:r w:rsidR="00C3563C">
        <w:t>QD</w:t>
      </w:r>
      <w:r w:rsidRPr="00852971">
        <w:t>). Further, a</w:t>
      </w:r>
      <w:r>
        <w:t xml:space="preserve"> </w:t>
      </w:r>
      <w:r w:rsidRPr="00852971">
        <w:t>model based meta-analysis was conducted to link the PD endpoint (</w:t>
      </w:r>
      <w:r w:rsidR="00731A2E">
        <w:t>UGE</w:t>
      </w:r>
      <w:r w:rsidR="00731A2E" w:rsidRPr="00731A2E">
        <w:rPr>
          <w:vertAlign w:val="subscript"/>
        </w:rPr>
        <w:t>0-24</w:t>
      </w:r>
      <w:r w:rsidRPr="00852971">
        <w:t>) with the clinical</w:t>
      </w:r>
      <w:r>
        <w:t xml:space="preserve"> </w:t>
      </w:r>
      <w:r w:rsidRPr="00852971">
        <w:t>endpoint (</w:t>
      </w:r>
      <w:r w:rsidR="003F2DE3">
        <w:t>Hb</w:t>
      </w:r>
      <w:r w:rsidR="00A04B32">
        <w:t>A1c</w:t>
      </w:r>
      <w:r w:rsidRPr="00852971">
        <w:t>) in T2DM patients</w:t>
      </w:r>
      <w:r>
        <w:t>.</w:t>
      </w:r>
    </w:p>
    <w:p w14:paraId="661A5859" w14:textId="77777777" w:rsidR="007C496E" w:rsidRPr="00545B14" w:rsidRDefault="00C3563C" w:rsidP="00F43A77">
      <w:pPr>
        <w:pStyle w:val="Heading5"/>
      </w:pPr>
      <w:bookmarkStart w:id="203" w:name="_Toc416353696"/>
      <w:bookmarkStart w:id="204" w:name="_Toc421005263"/>
      <w:bookmarkStart w:id="205" w:name="_Toc432079145"/>
      <w:bookmarkStart w:id="206" w:name="_Toc432080718"/>
      <w:bookmarkStart w:id="207" w:name="_Toc504037285"/>
      <w:r>
        <w:t>Phase II</w:t>
      </w:r>
      <w:r w:rsidR="007C496E" w:rsidRPr="00545B14">
        <w:t xml:space="preserve"> </w:t>
      </w:r>
      <w:r w:rsidR="007C496E">
        <w:t>d</w:t>
      </w:r>
      <w:r w:rsidR="007C496E" w:rsidRPr="00545B14">
        <w:t xml:space="preserve">ose </w:t>
      </w:r>
      <w:r w:rsidR="007C496E">
        <w:t>finding</w:t>
      </w:r>
      <w:r w:rsidR="007C496E" w:rsidRPr="00545B14">
        <w:t xml:space="preserve"> </w:t>
      </w:r>
      <w:r w:rsidR="007C496E">
        <w:t>s</w:t>
      </w:r>
      <w:r w:rsidR="007C496E" w:rsidRPr="00545B14">
        <w:t>tudies</w:t>
      </w:r>
      <w:bookmarkEnd w:id="203"/>
      <w:bookmarkEnd w:id="204"/>
      <w:bookmarkEnd w:id="205"/>
      <w:bookmarkEnd w:id="206"/>
      <w:bookmarkEnd w:id="207"/>
    </w:p>
    <w:p w14:paraId="1BBC32BD" w14:textId="64537CE2" w:rsidR="007C496E" w:rsidRDefault="007C496E">
      <w:r w:rsidRPr="00873921">
        <w:t xml:space="preserve">The doses of ertugliflozin evaluated in the </w:t>
      </w:r>
      <w:r w:rsidR="00F97771" w:rsidRPr="00873921">
        <w:t>Phase III</w:t>
      </w:r>
      <w:r w:rsidRPr="00873921">
        <w:t xml:space="preserve"> clinical studies were 5</w:t>
      </w:r>
      <w:r w:rsidR="009802FE">
        <w:t xml:space="preserve"> </w:t>
      </w:r>
      <w:r w:rsidR="006D7D02">
        <w:t>mg</w:t>
      </w:r>
      <w:r w:rsidRPr="00873921">
        <w:t xml:space="preserve"> and 15</w:t>
      </w:r>
      <w:r w:rsidR="009802FE">
        <w:t xml:space="preserve"> </w:t>
      </w:r>
      <w:r w:rsidR="006D7D02">
        <w:t>mg</w:t>
      </w:r>
      <w:r w:rsidRPr="00873921">
        <w:t xml:space="preserve"> once daily (</w:t>
      </w:r>
      <w:r w:rsidR="000E32B5" w:rsidRPr="00873921">
        <w:t>QD</w:t>
      </w:r>
      <w:r w:rsidRPr="00873921">
        <w:t>). Dose selection was based on dose-response modelling of efficacy endpoints (</w:t>
      </w:r>
      <w:r w:rsidR="003F2DE3" w:rsidRPr="00873921">
        <w:t>Hb</w:t>
      </w:r>
      <w:r w:rsidR="00A04B32">
        <w:t>A1c</w:t>
      </w:r>
      <w:r w:rsidRPr="00873921">
        <w:t>, FPG</w:t>
      </w:r>
      <w:r w:rsidR="000E32B5" w:rsidRPr="00873921">
        <w:t xml:space="preserve"> and</w:t>
      </w:r>
      <w:r w:rsidRPr="00873921">
        <w:t xml:space="preserve"> body weight) from Study P016/B1521006 (12</w:t>
      </w:r>
      <w:r w:rsidR="000E32B5" w:rsidRPr="00873921">
        <w:t xml:space="preserve"> </w:t>
      </w:r>
      <w:r w:rsidRPr="00873921">
        <w:t xml:space="preserve">week </w:t>
      </w:r>
      <w:r w:rsidR="00C3563C" w:rsidRPr="00873921">
        <w:t>Phase II</w:t>
      </w:r>
      <w:r w:rsidRPr="00873921">
        <w:t xml:space="preserve"> dose-ranging study) as well as UGE</w:t>
      </w:r>
      <w:r w:rsidR="00D722B4" w:rsidRPr="00873921">
        <w:rPr>
          <w:vertAlign w:val="subscript"/>
        </w:rPr>
        <w:t>24h</w:t>
      </w:r>
      <w:r w:rsidRPr="00873921">
        <w:t xml:space="preserve"> (mechanism biomarker) in T2DM subjects from Study P042/B1521004 (4</w:t>
      </w:r>
      <w:r w:rsidR="000E32B5" w:rsidRPr="00873921">
        <w:t xml:space="preserve"> </w:t>
      </w:r>
      <w:r w:rsidRPr="00873921">
        <w:t xml:space="preserve">week </w:t>
      </w:r>
      <w:r w:rsidR="00C3563C" w:rsidRPr="00873921">
        <w:t>Phase II</w:t>
      </w:r>
      <w:r w:rsidRPr="00873921">
        <w:t xml:space="preserve"> dose-ranging study) (refer to Steglatro report, </w:t>
      </w:r>
      <w:r w:rsidR="00F43A77" w:rsidRPr="00873921">
        <w:t>Attachment 2</w:t>
      </w:r>
      <w:r w:rsidRPr="00873921">
        <w:t>).</w:t>
      </w:r>
      <w:r w:rsidR="009A3F68" w:rsidRPr="00873921">
        <w:t xml:space="preserve"> </w:t>
      </w:r>
      <w:r w:rsidRPr="00873921">
        <w:t>However, the proposed 1</w:t>
      </w:r>
      <w:r w:rsidR="006C336C" w:rsidRPr="00873921">
        <w:t>5</w:t>
      </w:r>
      <w:r w:rsidR="009802FE">
        <w:t xml:space="preserve"> </w:t>
      </w:r>
      <w:r w:rsidR="006D7D02">
        <w:t>mg</w:t>
      </w:r>
      <w:r w:rsidRPr="00873921">
        <w:t xml:space="preserve"> </w:t>
      </w:r>
      <w:r w:rsidR="00C3563C" w:rsidRPr="00873921">
        <w:t>QD</w:t>
      </w:r>
      <w:r w:rsidRPr="00873921">
        <w:t xml:space="preserve"> dose of ertugliflozin was not evaluated in both </w:t>
      </w:r>
      <w:r w:rsidR="00C3563C" w:rsidRPr="00873921">
        <w:t>Phase II</w:t>
      </w:r>
      <w:r w:rsidRPr="00873921">
        <w:t xml:space="preserve"> studies and the sponsors have been asked to provide further clarification regarding choice of the 1</w:t>
      </w:r>
      <w:r w:rsidR="006C336C" w:rsidRPr="00873921">
        <w:t>5</w:t>
      </w:r>
      <w:r w:rsidR="009802FE">
        <w:t xml:space="preserve"> </w:t>
      </w:r>
      <w:r w:rsidR="006D7D02">
        <w:t>mg</w:t>
      </w:r>
      <w:r w:rsidRPr="00873921">
        <w:t xml:space="preserve"> </w:t>
      </w:r>
      <w:r w:rsidR="000E32B5" w:rsidRPr="00873921">
        <w:t>QD</w:t>
      </w:r>
      <w:r w:rsidRPr="00873921">
        <w:t xml:space="preserve"> dose for the pivotal </w:t>
      </w:r>
      <w:r w:rsidR="00F97771" w:rsidRPr="00873921">
        <w:t>Phase III</w:t>
      </w:r>
      <w:r w:rsidRPr="00873921">
        <w:t xml:space="preserve"> studies.</w:t>
      </w:r>
    </w:p>
    <w:p w14:paraId="1DF33F6C" w14:textId="77777777" w:rsidR="007C496E" w:rsidRPr="000E32B5" w:rsidRDefault="00F97771" w:rsidP="00F43A77">
      <w:pPr>
        <w:pStyle w:val="Heading5"/>
      </w:pPr>
      <w:bookmarkStart w:id="208" w:name="_Toc416353712"/>
      <w:bookmarkStart w:id="209" w:name="_Toc421005265"/>
      <w:bookmarkStart w:id="210" w:name="_Toc432079147"/>
      <w:bookmarkStart w:id="211" w:name="_Toc432080720"/>
      <w:bookmarkStart w:id="212" w:name="_Toc504037286"/>
      <w:r>
        <w:t>Phase III</w:t>
      </w:r>
      <w:r w:rsidR="007C496E" w:rsidRPr="00670FF0">
        <w:t xml:space="preserve"> pivotal studies investigating more than one dose regimen</w:t>
      </w:r>
      <w:bookmarkEnd w:id="208"/>
      <w:bookmarkEnd w:id="209"/>
      <w:bookmarkEnd w:id="210"/>
      <w:bookmarkEnd w:id="211"/>
      <w:bookmarkEnd w:id="212"/>
    </w:p>
    <w:p w14:paraId="17D4E602" w14:textId="77489C11" w:rsidR="007C496E" w:rsidRPr="00852971" w:rsidRDefault="007C496E" w:rsidP="00F43A77">
      <w:pPr>
        <w:rPr>
          <w:lang w:eastAsia="ja-JP"/>
        </w:rPr>
      </w:pPr>
      <w:r w:rsidRPr="00852971">
        <w:t xml:space="preserve">The </w:t>
      </w:r>
      <w:r w:rsidR="00F97771">
        <w:t>Phase III</w:t>
      </w:r>
      <w:r w:rsidRPr="00852971">
        <w:t xml:space="preserve"> studies of ertugliflozin in combination with metformin used ertugliflozin and</w:t>
      </w:r>
      <w:r>
        <w:t xml:space="preserve"> </w:t>
      </w:r>
      <w:r w:rsidRPr="00852971">
        <w:t>metformin administered as separate tablets and not the FDC tablet. Moreover, the studies</w:t>
      </w:r>
      <w:r>
        <w:t xml:space="preserve"> </w:t>
      </w:r>
      <w:r w:rsidRPr="00852971">
        <w:t xml:space="preserve">evaluated the addition of ertugliflozin </w:t>
      </w:r>
      <w:r w:rsidR="00C3563C">
        <w:t>QD</w:t>
      </w:r>
      <w:r w:rsidRPr="00852971">
        <w:t xml:space="preserve"> to background metformin therapy.</w:t>
      </w:r>
      <w:r>
        <w:t xml:space="preserve"> </w:t>
      </w:r>
      <w:r w:rsidRPr="00852971">
        <w:t xml:space="preserve">The metformin dosing used in </w:t>
      </w:r>
      <w:r w:rsidR="00F97771">
        <w:t>Phase III</w:t>
      </w:r>
      <w:r w:rsidRPr="00852971">
        <w:t xml:space="preserve"> was consistent with the approved doses. All 4 studies</w:t>
      </w:r>
      <w:r>
        <w:t xml:space="preserve"> </w:t>
      </w:r>
      <w:r w:rsidRPr="00852971">
        <w:t xml:space="preserve">required that subjects were on a stable dose of background metformin </w:t>
      </w:r>
      <w:r w:rsidR="00EB55BF">
        <w:t xml:space="preserve">≥ </w:t>
      </w:r>
      <w:r w:rsidRPr="00852971">
        <w:t>1500</w:t>
      </w:r>
      <w:r w:rsidR="009802FE">
        <w:t xml:space="preserve"> </w:t>
      </w:r>
      <w:r w:rsidR="006D7D02">
        <w:t>mg</w:t>
      </w:r>
      <w:r w:rsidRPr="00852971">
        <w:t>/day prior to</w:t>
      </w:r>
      <w:r>
        <w:t xml:space="preserve"> </w:t>
      </w:r>
      <w:r w:rsidRPr="00852971">
        <w:t>initiating treatment with ertugliflozin.</w:t>
      </w:r>
    </w:p>
    <w:p w14:paraId="5D88910C" w14:textId="77777777" w:rsidR="007C496E" w:rsidRPr="000E32B5" w:rsidRDefault="007C496E" w:rsidP="00CB32EC">
      <w:pPr>
        <w:pStyle w:val="Heading5"/>
      </w:pPr>
      <w:bookmarkStart w:id="213" w:name="_Toc416353713"/>
      <w:bookmarkStart w:id="214" w:name="_Toc421005266"/>
      <w:bookmarkStart w:id="215" w:name="_Toc432079148"/>
      <w:bookmarkStart w:id="216" w:name="_Toc432080721"/>
      <w:bookmarkStart w:id="217" w:name="_Toc504037287"/>
      <w:r>
        <w:lastRenderedPageBreak/>
        <w:t>Evaluator’s conclusions on dos</w:t>
      </w:r>
      <w:r w:rsidRPr="00670FF0">
        <w:t>e finding for the pivotal studies</w:t>
      </w:r>
      <w:bookmarkEnd w:id="213"/>
      <w:bookmarkEnd w:id="214"/>
      <w:bookmarkEnd w:id="215"/>
      <w:bookmarkEnd w:id="216"/>
      <w:bookmarkEnd w:id="217"/>
    </w:p>
    <w:p w14:paraId="5B316DA6" w14:textId="293A83F6" w:rsidR="007C496E" w:rsidRPr="007C496E" w:rsidRDefault="007C496E" w:rsidP="007C496E">
      <w:r>
        <w:rPr>
          <w:lang w:eastAsia="ja-JP"/>
        </w:rPr>
        <w:t>The proposed doses of metformin used in the proposed ertugliflozin+metformin FDC are consistent with approved the metformin label. Clarification regarding choice of the 15</w:t>
      </w:r>
      <w:r w:rsidR="009802FE">
        <w:rPr>
          <w:lang w:eastAsia="ja-JP"/>
        </w:rPr>
        <w:t xml:space="preserve"> </w:t>
      </w:r>
      <w:r w:rsidR="006D7D02">
        <w:rPr>
          <w:lang w:eastAsia="ja-JP"/>
        </w:rPr>
        <w:t>mg</w:t>
      </w:r>
      <w:r>
        <w:rPr>
          <w:lang w:eastAsia="ja-JP"/>
        </w:rPr>
        <w:t xml:space="preserve"> dose for ertugliflozin has been sought in the Steglatro report. </w:t>
      </w:r>
      <w:r w:rsidRPr="00DE6973">
        <w:t xml:space="preserve">The doses of ertugliflozin evaluated in the </w:t>
      </w:r>
      <w:r w:rsidR="00F97771">
        <w:t>Phase III</w:t>
      </w:r>
      <w:r w:rsidRPr="00DE6973">
        <w:t xml:space="preserve"> clinical studies were 5</w:t>
      </w:r>
      <w:r w:rsidR="009802FE">
        <w:t xml:space="preserve"> </w:t>
      </w:r>
      <w:r w:rsidR="006D7D02">
        <w:t>mg</w:t>
      </w:r>
      <w:r w:rsidRPr="00DE6973">
        <w:t xml:space="preserve"> and 15</w:t>
      </w:r>
      <w:r w:rsidR="009802FE">
        <w:t xml:space="preserve"> </w:t>
      </w:r>
      <w:r w:rsidR="006D7D02">
        <w:t>mg</w:t>
      </w:r>
      <w:r w:rsidRPr="00DE6973">
        <w:t xml:space="preserve"> </w:t>
      </w:r>
      <w:r w:rsidR="000E32B5">
        <w:t>QD</w:t>
      </w:r>
      <w:r>
        <w:t xml:space="preserve"> but the proposed dosing for the </w:t>
      </w:r>
      <w:r>
        <w:rPr>
          <w:lang w:eastAsia="ja-JP"/>
        </w:rPr>
        <w:t>ertugliflozin+metformin FDC</w:t>
      </w:r>
      <w:r>
        <w:t xml:space="preserve"> is </w:t>
      </w:r>
      <w:r w:rsidR="00AD51CF">
        <w:t>BD</w:t>
      </w:r>
      <w:r>
        <w:t xml:space="preserve">. However, equivalence was </w:t>
      </w:r>
      <w:r w:rsidR="00312206">
        <w:t xml:space="preserve">demonstrated </w:t>
      </w:r>
      <w:r w:rsidR="00312206" w:rsidRPr="00852971">
        <w:rPr>
          <w:rFonts w:asciiTheme="minorHAnsi" w:eastAsia="TimesNewRoman" w:hAnsiTheme="minorHAnsi" w:cs="TimesNewRoman"/>
        </w:rPr>
        <w:t>for</w:t>
      </w:r>
      <w:r w:rsidRPr="00852971">
        <w:rPr>
          <w:rFonts w:asciiTheme="minorHAnsi" w:eastAsia="TimesNewRoman" w:hAnsiTheme="minorHAnsi" w:cs="TimesNewRoman"/>
        </w:rPr>
        <w:t xml:space="preserve"> ertugliflozin between the </w:t>
      </w:r>
      <w:r w:rsidR="00C3563C">
        <w:rPr>
          <w:rFonts w:asciiTheme="minorHAnsi" w:eastAsia="TimesNewRoman" w:hAnsiTheme="minorHAnsi" w:cs="TimesNewRoman"/>
        </w:rPr>
        <w:t>QD</w:t>
      </w:r>
      <w:r w:rsidRPr="00852971">
        <w:rPr>
          <w:rFonts w:asciiTheme="minorHAnsi" w:eastAsia="TimesNewRoman" w:hAnsiTheme="minorHAnsi" w:cs="TimesNewRoman"/>
        </w:rPr>
        <w:t xml:space="preserve"> and</w:t>
      </w:r>
      <w:r w:rsidR="00C3563C">
        <w:rPr>
          <w:rFonts w:asciiTheme="minorHAnsi" w:eastAsia="TimesNewRoman" w:hAnsiTheme="minorHAnsi" w:cs="TimesNewRoman"/>
        </w:rPr>
        <w:t xml:space="preserve"> </w:t>
      </w:r>
      <w:r w:rsidR="00AD51CF">
        <w:rPr>
          <w:rFonts w:asciiTheme="minorHAnsi" w:eastAsia="TimesNewRoman" w:hAnsiTheme="minorHAnsi" w:cs="TimesNewRoman"/>
        </w:rPr>
        <w:t>BD</w:t>
      </w:r>
      <w:r w:rsidR="00C3563C">
        <w:rPr>
          <w:rFonts w:asciiTheme="minorHAnsi" w:eastAsia="TimesNewRoman" w:hAnsiTheme="minorHAnsi" w:cs="TimesNewRoman"/>
        </w:rPr>
        <w:t xml:space="preserve"> </w:t>
      </w:r>
      <w:r w:rsidRPr="00852971">
        <w:rPr>
          <w:rFonts w:asciiTheme="minorHAnsi" w:eastAsia="TimesNewRoman" w:hAnsiTheme="minorHAnsi" w:cs="TimesNewRoman"/>
        </w:rPr>
        <w:t>regimens</w:t>
      </w:r>
      <w:r>
        <w:rPr>
          <w:rFonts w:asciiTheme="minorHAnsi" w:eastAsia="TimesNewRoman" w:hAnsiTheme="minorHAnsi" w:cs="TimesNewRoman"/>
        </w:rPr>
        <w:t xml:space="preserve"> </w:t>
      </w:r>
      <w:r w:rsidRPr="00852971">
        <w:rPr>
          <w:rFonts w:asciiTheme="minorHAnsi" w:eastAsia="TimesNewRoman" w:hAnsiTheme="minorHAnsi" w:cs="TimesNewRoman"/>
        </w:rPr>
        <w:t>at the same total daily dose (2.5</w:t>
      </w:r>
      <w:r w:rsidR="009802FE">
        <w:rPr>
          <w:rFonts w:asciiTheme="minorHAnsi" w:eastAsia="TimesNewRoman" w:hAnsiTheme="minorHAnsi" w:cs="TimesNewRoman"/>
        </w:rPr>
        <w:t xml:space="preserve"> </w:t>
      </w:r>
      <w:r w:rsidR="006D7D02">
        <w:rPr>
          <w:rFonts w:asciiTheme="minorHAnsi" w:eastAsia="TimesNewRoman" w:hAnsiTheme="minorHAnsi" w:cs="TimesNewRoman"/>
        </w:rPr>
        <w:t>mg</w:t>
      </w:r>
      <w:r w:rsidR="00C3563C">
        <w:rPr>
          <w:rFonts w:asciiTheme="minorHAnsi" w:eastAsia="TimesNewRoman" w:hAnsiTheme="minorHAnsi" w:cs="TimesNewRoman"/>
        </w:rPr>
        <w:t xml:space="preserve"> </w:t>
      </w:r>
      <w:r w:rsidR="00AD51CF">
        <w:rPr>
          <w:rFonts w:asciiTheme="minorHAnsi" w:eastAsia="TimesNewRoman" w:hAnsiTheme="minorHAnsi" w:cs="TimesNewRoman"/>
        </w:rPr>
        <w:t>BD</w:t>
      </w:r>
      <w:r w:rsidR="000E32B5">
        <w:rPr>
          <w:rFonts w:asciiTheme="minorHAnsi" w:eastAsia="TimesNewRoman" w:hAnsiTheme="minorHAnsi" w:cs="TimesNewRoman"/>
        </w:rPr>
        <w:t xml:space="preserve"> versus </w:t>
      </w:r>
      <w:r w:rsidRPr="00852971">
        <w:rPr>
          <w:rFonts w:asciiTheme="minorHAnsi" w:eastAsia="TimesNewRoman" w:hAnsiTheme="minorHAnsi" w:cs="TimesNewRoman"/>
        </w:rPr>
        <w:t>5</w:t>
      </w:r>
      <w:r w:rsidR="009802FE">
        <w:rPr>
          <w:rFonts w:asciiTheme="minorHAnsi" w:eastAsia="TimesNewRoman" w:hAnsiTheme="minorHAnsi" w:cs="TimesNewRoman"/>
        </w:rPr>
        <w:t xml:space="preserve"> </w:t>
      </w:r>
      <w:r w:rsidR="006D7D02">
        <w:rPr>
          <w:rFonts w:asciiTheme="minorHAnsi" w:eastAsia="TimesNewRoman" w:hAnsiTheme="minorHAnsi" w:cs="TimesNewRoman"/>
        </w:rPr>
        <w:t>mg</w:t>
      </w:r>
      <w:r w:rsidRPr="00852971">
        <w:rPr>
          <w:rFonts w:asciiTheme="minorHAnsi" w:eastAsia="TimesNewRoman" w:hAnsiTheme="minorHAnsi" w:cs="TimesNewRoman"/>
        </w:rPr>
        <w:t xml:space="preserve"> </w:t>
      </w:r>
      <w:r w:rsidR="00C3563C">
        <w:rPr>
          <w:rFonts w:asciiTheme="minorHAnsi" w:eastAsia="TimesNewRoman" w:hAnsiTheme="minorHAnsi" w:cs="TimesNewRoman"/>
        </w:rPr>
        <w:t>QD</w:t>
      </w:r>
      <w:r w:rsidRPr="00852971">
        <w:rPr>
          <w:rFonts w:asciiTheme="minorHAnsi" w:eastAsia="TimesNewRoman" w:hAnsiTheme="minorHAnsi" w:cs="TimesNewRoman"/>
        </w:rPr>
        <w:t xml:space="preserve"> and 7.5</w:t>
      </w:r>
      <w:r w:rsidR="009802FE">
        <w:rPr>
          <w:rFonts w:asciiTheme="minorHAnsi" w:eastAsia="TimesNewRoman" w:hAnsiTheme="minorHAnsi" w:cs="TimesNewRoman"/>
        </w:rPr>
        <w:t xml:space="preserve"> </w:t>
      </w:r>
      <w:r w:rsidR="006D7D02">
        <w:rPr>
          <w:rFonts w:asciiTheme="minorHAnsi" w:eastAsia="TimesNewRoman" w:hAnsiTheme="minorHAnsi" w:cs="TimesNewRoman"/>
        </w:rPr>
        <w:t>mg</w:t>
      </w:r>
      <w:r w:rsidR="00C3563C">
        <w:rPr>
          <w:rFonts w:asciiTheme="minorHAnsi" w:eastAsia="TimesNewRoman" w:hAnsiTheme="minorHAnsi" w:cs="TimesNewRoman"/>
        </w:rPr>
        <w:t xml:space="preserve"> </w:t>
      </w:r>
      <w:r w:rsidR="00AD51CF">
        <w:rPr>
          <w:rFonts w:asciiTheme="minorHAnsi" w:eastAsia="TimesNewRoman" w:hAnsiTheme="minorHAnsi" w:cs="TimesNewRoman"/>
        </w:rPr>
        <w:t>BD</w:t>
      </w:r>
      <w:r w:rsidR="000E32B5">
        <w:rPr>
          <w:rFonts w:asciiTheme="minorHAnsi" w:eastAsia="TimesNewRoman" w:hAnsiTheme="minorHAnsi" w:cs="TimesNewRoman"/>
        </w:rPr>
        <w:t xml:space="preserve"> versus </w:t>
      </w:r>
      <w:r w:rsidRPr="00852971">
        <w:rPr>
          <w:rFonts w:asciiTheme="minorHAnsi" w:eastAsia="TimesNewRoman" w:hAnsiTheme="minorHAnsi" w:cs="TimesNewRoman"/>
        </w:rPr>
        <w:t>15</w:t>
      </w:r>
      <w:r w:rsidR="009802FE">
        <w:rPr>
          <w:rFonts w:asciiTheme="minorHAnsi" w:eastAsia="TimesNewRoman" w:hAnsiTheme="minorHAnsi" w:cs="TimesNewRoman"/>
        </w:rPr>
        <w:t xml:space="preserve"> </w:t>
      </w:r>
      <w:r w:rsidR="006D7D02">
        <w:rPr>
          <w:rFonts w:asciiTheme="minorHAnsi" w:eastAsia="TimesNewRoman" w:hAnsiTheme="minorHAnsi" w:cs="TimesNewRoman"/>
        </w:rPr>
        <w:t>mg</w:t>
      </w:r>
      <w:r w:rsidRPr="00852971">
        <w:rPr>
          <w:rFonts w:asciiTheme="minorHAnsi" w:eastAsia="TimesNewRoman" w:hAnsiTheme="minorHAnsi" w:cs="TimesNewRoman"/>
        </w:rPr>
        <w:t xml:space="preserve"> </w:t>
      </w:r>
      <w:r w:rsidR="00C3563C">
        <w:rPr>
          <w:rFonts w:asciiTheme="minorHAnsi" w:eastAsia="TimesNewRoman" w:hAnsiTheme="minorHAnsi" w:cs="TimesNewRoman"/>
        </w:rPr>
        <w:t>QD</w:t>
      </w:r>
      <w:r w:rsidRPr="00852971">
        <w:rPr>
          <w:rFonts w:asciiTheme="minorHAnsi" w:eastAsia="TimesNewRoman" w:hAnsiTheme="minorHAnsi" w:cs="TimesNewRoman"/>
        </w:rPr>
        <w:t>)</w:t>
      </w:r>
      <w:r w:rsidR="000E32B5">
        <w:rPr>
          <w:rFonts w:asciiTheme="minorHAnsi" w:eastAsia="TimesNewRoman" w:hAnsiTheme="minorHAnsi" w:cs="TimesNewRoman"/>
        </w:rPr>
        <w:t xml:space="preserve"> </w:t>
      </w:r>
      <w:r>
        <w:rPr>
          <w:rFonts w:asciiTheme="minorHAnsi" w:eastAsia="TimesNewRoman" w:hAnsiTheme="minorHAnsi" w:cs="TimesNewRoman"/>
        </w:rPr>
        <w:t xml:space="preserve">with regards to </w:t>
      </w:r>
      <w:r>
        <w:t xml:space="preserve">steady state PK </w:t>
      </w:r>
      <w:r w:rsidRPr="00852971">
        <w:rPr>
          <w:rFonts w:asciiTheme="minorHAnsi" w:eastAsia="TimesNewRoman" w:hAnsiTheme="minorHAnsi" w:cs="TimesNewRoman"/>
        </w:rPr>
        <w:t>(</w:t>
      </w:r>
      <w:r w:rsidR="00C3563C" w:rsidRPr="00852971">
        <w:rPr>
          <w:rFonts w:asciiTheme="minorHAnsi" w:eastAsia="TimesNewRoman" w:hAnsiTheme="minorHAnsi" w:cs="TimesNewRoman"/>
        </w:rPr>
        <w:t>AUC</w:t>
      </w:r>
      <w:r w:rsidR="00C3563C" w:rsidRPr="00C3563C">
        <w:rPr>
          <w:rFonts w:asciiTheme="minorHAnsi" w:eastAsia="TimesNewRoman" w:hAnsiTheme="minorHAnsi" w:cs="TimesNewRoman"/>
          <w:vertAlign w:val="subscript"/>
        </w:rPr>
        <w:t>0-24</w:t>
      </w:r>
      <w:r w:rsidRPr="00852971">
        <w:rPr>
          <w:rFonts w:asciiTheme="minorHAnsi" w:eastAsia="TimesNewRoman" w:hAnsiTheme="minorHAnsi" w:cs="TimesNewRoman"/>
        </w:rPr>
        <w:t>) and PD (</w:t>
      </w:r>
      <w:r w:rsidR="00731A2E">
        <w:t>UGE</w:t>
      </w:r>
      <w:r w:rsidR="00731A2E" w:rsidRPr="00731A2E">
        <w:rPr>
          <w:vertAlign w:val="subscript"/>
        </w:rPr>
        <w:t>0-24</w:t>
      </w:r>
      <w:r>
        <w:rPr>
          <w:rFonts w:asciiTheme="minorHAnsi" w:eastAsia="TimesNewRoman" w:hAnsiTheme="minorHAnsi" w:cs="TimesNewRoman"/>
        </w:rPr>
        <w:t xml:space="preserve">) in the </w:t>
      </w:r>
      <w:r w:rsidR="00C3563C">
        <w:rPr>
          <w:rFonts w:asciiTheme="minorHAnsi" w:eastAsia="TimesNewRoman" w:hAnsiTheme="minorHAnsi" w:cs="TimesNewRoman"/>
        </w:rPr>
        <w:t>Phase I</w:t>
      </w:r>
      <w:r>
        <w:rPr>
          <w:rFonts w:asciiTheme="minorHAnsi" w:eastAsia="TimesNewRoman" w:hAnsiTheme="minorHAnsi" w:cs="TimesNewRoman"/>
        </w:rPr>
        <w:t xml:space="preserve"> </w:t>
      </w:r>
      <w:r w:rsidR="00312206">
        <w:rPr>
          <w:rFonts w:asciiTheme="minorHAnsi" w:eastAsia="TimesNewRoman" w:hAnsiTheme="minorHAnsi" w:cs="TimesNewRoman"/>
        </w:rPr>
        <w:t>S</w:t>
      </w:r>
      <w:r>
        <w:rPr>
          <w:rFonts w:asciiTheme="minorHAnsi" w:eastAsia="TimesNewRoman" w:hAnsiTheme="minorHAnsi" w:cs="TimesNewRoman"/>
        </w:rPr>
        <w:t xml:space="preserve">tudy </w:t>
      </w:r>
      <w:r w:rsidRPr="00852971">
        <w:rPr>
          <w:rFonts w:asciiTheme="minorHAnsi" w:eastAsia="TimesNewRoman" w:hAnsiTheme="minorHAnsi" w:cs="TimesNewRoman"/>
        </w:rPr>
        <w:t>P035/1051</w:t>
      </w:r>
      <w:r>
        <w:rPr>
          <w:rFonts w:asciiTheme="minorHAnsi" w:eastAsia="TimesNewRoman" w:hAnsiTheme="minorHAnsi" w:cs="TimesNewRoman"/>
        </w:rPr>
        <w:t>.</w:t>
      </w:r>
    </w:p>
    <w:p w14:paraId="12484F8D" w14:textId="77777777" w:rsidR="008E7846" w:rsidRPr="00254787" w:rsidRDefault="008E7846" w:rsidP="00CB32EC">
      <w:pPr>
        <w:pStyle w:val="Heading4"/>
      </w:pPr>
      <w:bookmarkStart w:id="218" w:name="_Toc163441372"/>
      <w:bookmarkStart w:id="219" w:name="_Toc196046485"/>
      <w:bookmarkStart w:id="220" w:name="_Toc247691521"/>
      <w:bookmarkStart w:id="221" w:name="_Toc314842504"/>
      <w:r w:rsidRPr="00254787">
        <w:t>Efficacy</w:t>
      </w:r>
      <w:bookmarkEnd w:id="218"/>
      <w:bookmarkEnd w:id="219"/>
      <w:bookmarkEnd w:id="220"/>
      <w:bookmarkEnd w:id="221"/>
    </w:p>
    <w:p w14:paraId="7B208A51" w14:textId="77777777" w:rsidR="00605AD4" w:rsidRDefault="00605AD4" w:rsidP="00CB32EC">
      <w:pPr>
        <w:pStyle w:val="Heading5"/>
      </w:pPr>
      <w:bookmarkStart w:id="222" w:name="_Toc184439992"/>
      <w:bookmarkStart w:id="223" w:name="_Toc184440279"/>
      <w:bookmarkStart w:id="224" w:name="_Toc184444657"/>
      <w:bookmarkStart w:id="225" w:name="_Toc196046487"/>
      <w:r>
        <w:t>Studies providing efficacy data</w:t>
      </w:r>
    </w:p>
    <w:p w14:paraId="2A674B2D" w14:textId="58E546F9" w:rsidR="007C496E" w:rsidRDefault="007C496E" w:rsidP="00AD7692">
      <w:r>
        <w:t xml:space="preserve">Four pivotal </w:t>
      </w:r>
      <w:r w:rsidR="00F97771">
        <w:t>Phase III</w:t>
      </w:r>
      <w:r>
        <w:t xml:space="preserve"> studies were submitted for the proposed ertugliflozin-metformin FDC.</w:t>
      </w:r>
    </w:p>
    <w:p w14:paraId="57BBB9AA" w14:textId="3B395685" w:rsidR="007C496E" w:rsidRPr="00CB32EC" w:rsidRDefault="00312206" w:rsidP="00AD7692">
      <w:pPr>
        <w:pStyle w:val="ListBullet"/>
      </w:pPr>
      <w:r>
        <w:t>Study</w:t>
      </w:r>
      <w:r w:rsidR="007C496E" w:rsidRPr="00AD7692">
        <w:t>P007/1017:</w:t>
      </w:r>
      <w:r w:rsidR="009A3F68">
        <w:t xml:space="preserve"> </w:t>
      </w:r>
      <w:r w:rsidR="007C496E" w:rsidRPr="00AD7692">
        <w:t xml:space="preserve">A </w:t>
      </w:r>
      <w:r w:rsidR="00F97771" w:rsidRPr="00AD7692">
        <w:t>Phase III</w:t>
      </w:r>
      <w:r w:rsidR="007C496E" w:rsidRPr="00AD7692">
        <w:t xml:space="preserve">, </w:t>
      </w:r>
      <w:r w:rsidR="006D2B42" w:rsidRPr="00AD7692">
        <w:t>randomised, double</w:t>
      </w:r>
      <w:r w:rsidR="006D2B42">
        <w:t xml:space="preserve"> </w:t>
      </w:r>
      <w:r w:rsidR="006D2B42" w:rsidRPr="00AD7692">
        <w:t>blind, placebo controlled, 26</w:t>
      </w:r>
      <w:r w:rsidR="006D2B42">
        <w:t xml:space="preserve"> </w:t>
      </w:r>
      <w:r w:rsidR="006D2B42" w:rsidRPr="00AD7692">
        <w:t>week multicentre study with a 78</w:t>
      </w:r>
      <w:r w:rsidR="006D2B42">
        <w:t xml:space="preserve"> </w:t>
      </w:r>
      <w:r w:rsidR="006D2B42" w:rsidRPr="00AD7692">
        <w:t>week extension to evaluate</w:t>
      </w:r>
      <w:r w:rsidR="006D2B42">
        <w:t xml:space="preserve"> </w:t>
      </w:r>
      <w:r w:rsidR="006D2B42" w:rsidRPr="00AD7692">
        <w:t xml:space="preserve">the efficacy and safety of ertugliflozin in subjects with </w:t>
      </w:r>
      <w:r w:rsidR="007C496E" w:rsidRPr="00AD7692">
        <w:t xml:space="preserve">T2DM and </w:t>
      </w:r>
      <w:r w:rsidR="006D2B42" w:rsidRPr="00AD7692">
        <w:t xml:space="preserve">inadequate glycaemic control on metformin </w:t>
      </w:r>
      <w:r w:rsidR="006D2B42" w:rsidRPr="00CB32EC">
        <w:t>monotherapy</w:t>
      </w:r>
      <w:r w:rsidR="007C496E" w:rsidRPr="00CB32EC">
        <w:t xml:space="preserve"> (refer </w:t>
      </w:r>
      <w:r w:rsidR="00CB32EC" w:rsidRPr="00CB32EC">
        <w:t>Steglatro evaluation report</w:t>
      </w:r>
      <w:r w:rsidR="00CB32EC">
        <w:t xml:space="preserve"> Attachment 2</w:t>
      </w:r>
      <w:r w:rsidR="00CB32EC" w:rsidRPr="00CB32EC">
        <w:t>)</w:t>
      </w:r>
      <w:r w:rsidR="007C496E" w:rsidRPr="00CB32EC">
        <w:t>.</w:t>
      </w:r>
    </w:p>
    <w:p w14:paraId="57CE9110" w14:textId="21B9094E" w:rsidR="007C496E" w:rsidRPr="00AD7692" w:rsidRDefault="00312206" w:rsidP="00AD7692">
      <w:pPr>
        <w:pStyle w:val="ListBullet"/>
      </w:pPr>
      <w:r>
        <w:t>Study</w:t>
      </w:r>
      <w:r w:rsidR="007C496E" w:rsidRPr="00AD7692">
        <w:t xml:space="preserve">P005/1019: A Phase III, </w:t>
      </w:r>
      <w:r w:rsidR="006D2B42" w:rsidRPr="00AD7692">
        <w:t>randomised, double</w:t>
      </w:r>
      <w:r w:rsidR="006D2B42">
        <w:t xml:space="preserve"> </w:t>
      </w:r>
      <w:r w:rsidR="006D2B42" w:rsidRPr="00AD7692">
        <w:t>blind, multicentre study to evaluate the efficacy and safety of the combination of ertugliflo</w:t>
      </w:r>
      <w:r w:rsidR="007C496E" w:rsidRPr="00AD7692">
        <w:t xml:space="preserve">zin (MK- 8835/PF-04971729) with </w:t>
      </w:r>
      <w:r w:rsidR="006D2B42" w:rsidRPr="00AD7692">
        <w:t>sitagliptin compared with ertugliflozin alone and sitagliptin alone, in the treatment of subjects wit</w:t>
      </w:r>
      <w:r w:rsidR="007C496E" w:rsidRPr="00AD7692">
        <w:t xml:space="preserve">h T2DM </w:t>
      </w:r>
      <w:r w:rsidR="006D2B42" w:rsidRPr="00AD7692">
        <w:t xml:space="preserve">with inadequate glycaemic control on metformin monotherapy </w:t>
      </w:r>
      <w:r w:rsidR="007C496E" w:rsidRPr="00AD7692">
        <w:t>(</w:t>
      </w:r>
      <w:r w:rsidR="00CB32EC" w:rsidRPr="00CB32EC">
        <w:t>refer Steglatro evaluation report</w:t>
      </w:r>
      <w:r w:rsidR="00CB32EC">
        <w:t xml:space="preserve"> Attachment 2</w:t>
      </w:r>
      <w:r w:rsidR="007C496E" w:rsidRPr="00AD7692">
        <w:t>).</w:t>
      </w:r>
    </w:p>
    <w:p w14:paraId="2A9FF8A4" w14:textId="187C30C5" w:rsidR="007C496E" w:rsidRPr="00AD7692" w:rsidRDefault="00312206" w:rsidP="00AD7692">
      <w:pPr>
        <w:pStyle w:val="ListBullet"/>
      </w:pPr>
      <w:r>
        <w:t xml:space="preserve">Study </w:t>
      </w:r>
      <w:r w:rsidR="007C496E" w:rsidRPr="00AD7692">
        <w:t xml:space="preserve">P002/1013: A Phase III, </w:t>
      </w:r>
      <w:r w:rsidR="006D2B42" w:rsidRPr="00AD7692">
        <w:t>multicentre, randomised, double blind, active</w:t>
      </w:r>
      <w:r w:rsidR="006D2B42">
        <w:t xml:space="preserve"> </w:t>
      </w:r>
      <w:r w:rsidR="006D2B42" w:rsidRPr="00AD7692">
        <w:t xml:space="preserve">comparator controlled clinical trial to study the safety and efficacy of the addition of ertugliflozin </w:t>
      </w:r>
      <w:r w:rsidR="007C496E" w:rsidRPr="00AD7692">
        <w:t xml:space="preserve">(MK-8835/PF-04971729) </w:t>
      </w:r>
      <w:r w:rsidR="006D2B42" w:rsidRPr="00AD7692">
        <w:t xml:space="preserve">compared with the addition of glimepiride in subjects with </w:t>
      </w:r>
      <w:r w:rsidR="007C496E" w:rsidRPr="00AD7692">
        <w:t xml:space="preserve">T2DM </w:t>
      </w:r>
      <w:r w:rsidR="006D2B42" w:rsidRPr="00AD7692">
        <w:t xml:space="preserve">who have inadequate glycaemic control on metformin </w:t>
      </w:r>
      <w:r w:rsidR="007C496E" w:rsidRPr="00AD7692">
        <w:t>(</w:t>
      </w:r>
      <w:r w:rsidR="00CB32EC" w:rsidRPr="00CB32EC">
        <w:t>refer Steglatro evaluation report</w:t>
      </w:r>
      <w:r w:rsidR="00CB32EC">
        <w:t xml:space="preserve"> Attachment 2).</w:t>
      </w:r>
    </w:p>
    <w:p w14:paraId="56127FA6" w14:textId="398AA1F5" w:rsidR="007C496E" w:rsidRPr="0059175B" w:rsidRDefault="00312206" w:rsidP="00AD7692">
      <w:pPr>
        <w:pStyle w:val="ListBullet"/>
        <w:rPr>
          <w:b/>
        </w:rPr>
      </w:pPr>
      <w:r>
        <w:t xml:space="preserve">Study </w:t>
      </w:r>
      <w:r w:rsidR="007C496E" w:rsidRPr="00AD7692">
        <w:t>P006/1015: Phase</w:t>
      </w:r>
      <w:r w:rsidR="007C496E" w:rsidRPr="007A503D">
        <w:t xml:space="preserve"> III, </w:t>
      </w:r>
      <w:r w:rsidR="006D2B42" w:rsidRPr="007A503D">
        <w:t>multicent</w:t>
      </w:r>
      <w:r w:rsidR="006D2B42">
        <w:t>re</w:t>
      </w:r>
      <w:r w:rsidR="006D2B42" w:rsidRPr="007A503D">
        <w:t xml:space="preserve">, </w:t>
      </w:r>
      <w:r w:rsidR="006D2B42">
        <w:t>randomised</w:t>
      </w:r>
      <w:r w:rsidR="006D2B42" w:rsidRPr="007A503D">
        <w:t>, double</w:t>
      </w:r>
      <w:r w:rsidR="006D2B42">
        <w:t xml:space="preserve"> </w:t>
      </w:r>
      <w:r w:rsidR="006D2B42" w:rsidRPr="007A503D">
        <w:t>blind, placebo</w:t>
      </w:r>
      <w:r w:rsidR="006D2B42">
        <w:t xml:space="preserve"> </w:t>
      </w:r>
      <w:r w:rsidR="006D2B42" w:rsidRPr="007A503D">
        <w:t xml:space="preserve">controlled, parallel group clinical trial to evaluate the safety and efficacy of ertugliflozin </w:t>
      </w:r>
      <w:r w:rsidR="007C496E" w:rsidRPr="007A503D">
        <w:t xml:space="preserve">(MK-8835/PF-04971729) in </w:t>
      </w:r>
      <w:r w:rsidR="006D2B42" w:rsidRPr="007A503D">
        <w:t xml:space="preserve">the treatment of subjects </w:t>
      </w:r>
      <w:r w:rsidR="007C496E" w:rsidRPr="007A503D">
        <w:t xml:space="preserve">with T2DM </w:t>
      </w:r>
      <w:r w:rsidR="006D2B42" w:rsidRPr="007A503D">
        <w:t>who have inadequate glycaemic control on metformin and sitaglipt</w:t>
      </w:r>
      <w:r w:rsidR="007C496E" w:rsidRPr="007A503D">
        <w:t>in</w:t>
      </w:r>
      <w:r w:rsidR="007C496E">
        <w:t xml:space="preserve"> </w:t>
      </w:r>
      <w:r w:rsidR="007C496E" w:rsidRPr="0059175B">
        <w:rPr>
          <w:b/>
        </w:rPr>
        <w:t>(</w:t>
      </w:r>
      <w:r w:rsidR="00CB32EC" w:rsidRPr="00CB32EC">
        <w:t>refer Steglatro evaluation report</w:t>
      </w:r>
      <w:r w:rsidR="00CB32EC">
        <w:t xml:space="preserve"> Attachment 2).</w:t>
      </w:r>
    </w:p>
    <w:p w14:paraId="1EB7D581" w14:textId="77777777" w:rsidR="008E7846" w:rsidRDefault="00605AD4" w:rsidP="00CB32EC">
      <w:pPr>
        <w:pStyle w:val="Heading5"/>
      </w:pPr>
      <w:r>
        <w:t>Evaluator’s conclusions on efficacy</w:t>
      </w:r>
    </w:p>
    <w:p w14:paraId="0D86734F" w14:textId="03E1CE82" w:rsidR="007C496E" w:rsidRPr="008F114F" w:rsidRDefault="007C496E" w:rsidP="00AD7692">
      <w:r w:rsidRPr="00852971">
        <w:t xml:space="preserve">Seven </w:t>
      </w:r>
      <w:r w:rsidR="00F97771">
        <w:t>Phase III</w:t>
      </w:r>
      <w:r w:rsidRPr="00852971">
        <w:t xml:space="preserve"> studies support the initial regulatory submission for ertugliflozin alone. Four</w:t>
      </w:r>
      <w:r>
        <w:t xml:space="preserve"> </w:t>
      </w:r>
      <w:r w:rsidRPr="00852971">
        <w:t xml:space="preserve">of the 7 </w:t>
      </w:r>
      <w:r w:rsidR="00F97771">
        <w:t>Phase III</w:t>
      </w:r>
      <w:r w:rsidRPr="00852971">
        <w:t xml:space="preserve"> studies </w:t>
      </w:r>
      <w:r>
        <w:t xml:space="preserve">were submitted to </w:t>
      </w:r>
      <w:r w:rsidRPr="00852971">
        <w:t>support the ertugliflozin/metformin FDC submission, including</w:t>
      </w:r>
      <w:r>
        <w:t xml:space="preserve"> </w:t>
      </w:r>
      <w:r w:rsidRPr="00852971">
        <w:t>2 active</w:t>
      </w:r>
      <w:r w:rsidR="00AD7692">
        <w:t xml:space="preserve"> </w:t>
      </w:r>
      <w:r w:rsidRPr="00852971">
        <w:t>controlled studies (Studies P005/1019 and Study</w:t>
      </w:r>
      <w:r w:rsidR="00312206">
        <w:t> </w:t>
      </w:r>
      <w:r w:rsidRPr="00852971">
        <w:t>P002/1013) and</w:t>
      </w:r>
      <w:r>
        <w:t xml:space="preserve"> </w:t>
      </w:r>
      <w:r w:rsidRPr="00852971">
        <w:t>2 placebo</w:t>
      </w:r>
      <w:r w:rsidR="00AD7692">
        <w:t xml:space="preserve"> </w:t>
      </w:r>
      <w:r w:rsidRPr="00852971">
        <w:t>controlled studies (Studies P006/1015 and P007/1017) that evaluated the safety</w:t>
      </w:r>
      <w:r>
        <w:t xml:space="preserve"> </w:t>
      </w:r>
      <w:r w:rsidRPr="00852971">
        <w:t xml:space="preserve">and efficacy of ertugliflozin in combination </w:t>
      </w:r>
      <w:r w:rsidRPr="008900E7">
        <w:t xml:space="preserve">with metformin in </w:t>
      </w:r>
      <w:r>
        <w:t>3</w:t>
      </w:r>
      <w:r w:rsidR="006D2B42">
        <w:t>,</w:t>
      </w:r>
      <w:r>
        <w:t xml:space="preserve">643 </w:t>
      </w:r>
      <w:r w:rsidRPr="008900E7">
        <w:t xml:space="preserve">adult subjects with T2DM. </w:t>
      </w:r>
      <w:r w:rsidRPr="008F114F">
        <w:t>Efficacy data were pooled for the 2 placebo</w:t>
      </w:r>
      <w:r w:rsidR="00AD7692" w:rsidRPr="008F114F">
        <w:t xml:space="preserve"> </w:t>
      </w:r>
      <w:r w:rsidRPr="008F114F">
        <w:t>controlled studies to assess efficacy on a background of metformin (</w:t>
      </w:r>
      <w:r w:rsidR="008F114F" w:rsidRPr="008F114F">
        <w:t xml:space="preserve">ertugliflozin </w:t>
      </w:r>
      <w:r w:rsidRPr="008F114F">
        <w:t>/</w:t>
      </w:r>
      <w:r w:rsidR="008F114F" w:rsidRPr="008F114F">
        <w:t xml:space="preserve">metformin </w:t>
      </w:r>
      <w:r w:rsidRPr="008F114F">
        <w:t>FDC Pool).</w:t>
      </w:r>
    </w:p>
    <w:p w14:paraId="7A024F13" w14:textId="1B620710" w:rsidR="007C496E" w:rsidRPr="008F114F" w:rsidRDefault="007C496E" w:rsidP="00AD7692">
      <w:r w:rsidRPr="008F114F">
        <w:rPr>
          <w:rFonts w:cs="Calibri"/>
        </w:rPr>
        <w:t xml:space="preserve">No </w:t>
      </w:r>
      <w:r w:rsidR="00F97771" w:rsidRPr="008F114F">
        <w:rPr>
          <w:rFonts w:cs="Calibri"/>
        </w:rPr>
        <w:t>Phase III</w:t>
      </w:r>
      <w:r w:rsidRPr="008F114F">
        <w:rPr>
          <w:rFonts w:cs="Calibri"/>
        </w:rPr>
        <w:t xml:space="preserve"> studies have been performed with the proposed ert</w:t>
      </w:r>
      <w:r w:rsidR="00AD7692" w:rsidRPr="008F114F">
        <w:rPr>
          <w:rFonts w:cs="Calibri"/>
        </w:rPr>
        <w:t>ugliflozin/metformin FDC tablet.</w:t>
      </w:r>
      <w:r w:rsidRPr="008F114F">
        <w:rPr>
          <w:rFonts w:cs="Calibri"/>
        </w:rPr>
        <w:t xml:space="preserve"> </w:t>
      </w:r>
      <w:r w:rsidRPr="008F114F">
        <w:t>The studied doses of the FDC tablets (ertugliflozin 7.5</w:t>
      </w:r>
      <w:r w:rsidR="009802FE">
        <w:t xml:space="preserve"> </w:t>
      </w:r>
      <w:r w:rsidR="006D7D02">
        <w:t>mg</w:t>
      </w:r>
      <w:r w:rsidRPr="008F114F">
        <w:t>/metformin 1000</w:t>
      </w:r>
      <w:r w:rsidR="009802FE">
        <w:t xml:space="preserve"> </w:t>
      </w:r>
      <w:r w:rsidR="006D7D02">
        <w:t>mg</w:t>
      </w:r>
      <w:r w:rsidRPr="008F114F">
        <w:t>, ertugliflozin 7.5</w:t>
      </w:r>
      <w:r w:rsidR="009802FE">
        <w:t xml:space="preserve"> </w:t>
      </w:r>
      <w:r w:rsidR="006D7D02">
        <w:t>mg</w:t>
      </w:r>
      <w:r w:rsidRPr="008F114F">
        <w:t>/metformin 850</w:t>
      </w:r>
      <w:r w:rsidR="009802FE">
        <w:t xml:space="preserve"> </w:t>
      </w:r>
      <w:r w:rsidR="006D7D02">
        <w:t>mg</w:t>
      </w:r>
      <w:r w:rsidRPr="008F114F">
        <w:t xml:space="preserve"> and ertugliflozin 2.5</w:t>
      </w:r>
      <w:r w:rsidR="009802FE">
        <w:t xml:space="preserve"> </w:t>
      </w:r>
      <w:r w:rsidR="006D7D02">
        <w:t>mg</w:t>
      </w:r>
      <w:r w:rsidRPr="008F114F">
        <w:t>/metformin 500</w:t>
      </w:r>
      <w:r w:rsidR="009802FE">
        <w:t xml:space="preserve"> </w:t>
      </w:r>
      <w:r w:rsidR="006D7D02">
        <w:t>mg</w:t>
      </w:r>
      <w:r w:rsidRPr="008F114F">
        <w:t>) are bioequivalent under fasted conditions to the corresponding doses of ertugliflozin and metformin tablets (US or EU</w:t>
      </w:r>
      <w:r w:rsidR="00AD7692" w:rsidRPr="008F114F">
        <w:t xml:space="preserve"> sourced </w:t>
      </w:r>
      <w:r w:rsidR="00CD7F8F">
        <w:t>G</w:t>
      </w:r>
      <w:r w:rsidRPr="008F114F">
        <w:t>lucophage) when co-administered. The metformin component of the studied doses of the FDC tablets (ertugliflozin 7.5</w:t>
      </w:r>
      <w:r w:rsidR="009802FE">
        <w:t xml:space="preserve"> </w:t>
      </w:r>
      <w:r w:rsidR="006D7D02">
        <w:t>mg</w:t>
      </w:r>
      <w:r w:rsidRPr="008F114F">
        <w:t xml:space="preserve">/metformin </w:t>
      </w:r>
      <w:r w:rsidRPr="008F114F">
        <w:lastRenderedPageBreak/>
        <w:t>850</w:t>
      </w:r>
      <w:r w:rsidR="009802FE">
        <w:t> </w:t>
      </w:r>
      <w:r w:rsidR="006D7D02">
        <w:t>mg</w:t>
      </w:r>
      <w:r w:rsidRPr="008F114F">
        <w:t xml:space="preserve"> and ertugliflozin 2.5</w:t>
      </w:r>
      <w:r w:rsidR="009802FE">
        <w:t xml:space="preserve"> </w:t>
      </w:r>
      <w:r w:rsidR="006D7D02">
        <w:t>mg</w:t>
      </w:r>
      <w:r w:rsidRPr="008F114F">
        <w:t>/metformin 500</w:t>
      </w:r>
      <w:r w:rsidR="009802FE">
        <w:t xml:space="preserve"> </w:t>
      </w:r>
      <w:r w:rsidR="006D7D02">
        <w:t>mg</w:t>
      </w:r>
      <w:r w:rsidRPr="008F114F">
        <w:t>) is also bioequivalent to the corresponding doses of metformin tablets (Canadian</w:t>
      </w:r>
      <w:r w:rsidR="00AD7692" w:rsidRPr="008F114F">
        <w:t xml:space="preserve"> </w:t>
      </w:r>
      <w:r w:rsidRPr="008F114F">
        <w:t xml:space="preserve">sourced Glucophage) when co-administered with corresponding doses of ertugliflozin tablets under fasted and fed conditions. </w:t>
      </w:r>
      <w:r w:rsidRPr="00873921">
        <w:t xml:space="preserve">These clinical data, along with the in vitro multi-media dissolution data, support the bridging of pharmacokinetic, pharmacodynamic, efficacy and safety data obtained in the </w:t>
      </w:r>
      <w:r w:rsidR="00F97771" w:rsidRPr="00873921">
        <w:t>Phase III</w:t>
      </w:r>
      <w:r w:rsidRPr="00873921">
        <w:t xml:space="preserve"> studies to the proposed FDC commercial tablets.</w:t>
      </w:r>
      <w:r w:rsidRPr="008F114F">
        <w:t xml:space="preserve"> </w:t>
      </w:r>
      <w:r w:rsidRPr="008F114F">
        <w:rPr>
          <w:rFonts w:cs="Calibri"/>
        </w:rPr>
        <w:t xml:space="preserve">Hence, data obtained from the 4 </w:t>
      </w:r>
      <w:r w:rsidR="00F97771" w:rsidRPr="008F114F">
        <w:rPr>
          <w:rFonts w:cs="Calibri"/>
        </w:rPr>
        <w:t>Phase III</w:t>
      </w:r>
      <w:r w:rsidRPr="008F114F">
        <w:rPr>
          <w:rFonts w:cs="Calibri"/>
        </w:rPr>
        <w:t xml:space="preserve"> studies </w:t>
      </w:r>
      <w:r w:rsidRPr="008F114F">
        <w:rPr>
          <w:rFonts w:cs="Calibri"/>
          <w:color w:val="000000"/>
        </w:rPr>
        <w:t>(</w:t>
      </w:r>
      <w:r w:rsidR="00312206">
        <w:t xml:space="preserve">Studies </w:t>
      </w:r>
      <w:r w:rsidRPr="008F114F">
        <w:rPr>
          <w:rFonts w:cs="Calibri"/>
          <w:color w:val="000000"/>
        </w:rPr>
        <w:t xml:space="preserve">P006/1015, P007/1017, P002/1013 and P005/1019) </w:t>
      </w:r>
      <w:r w:rsidRPr="008F114F">
        <w:rPr>
          <w:rFonts w:cs="Calibri"/>
        </w:rPr>
        <w:t>that assessed the use of ertugliflozin on a background of metformin (</w:t>
      </w:r>
      <w:r w:rsidR="00EB55BF" w:rsidRPr="008F114F">
        <w:rPr>
          <w:rFonts w:cs="Calibri"/>
        </w:rPr>
        <w:t>≥</w:t>
      </w:r>
      <w:r w:rsidR="006D2B42">
        <w:rPr>
          <w:rFonts w:cs="Calibri"/>
        </w:rPr>
        <w:t> </w:t>
      </w:r>
      <w:r w:rsidRPr="008F114F">
        <w:rPr>
          <w:rFonts w:cs="Calibri"/>
        </w:rPr>
        <w:t>1500</w:t>
      </w:r>
      <w:r w:rsidR="009802FE">
        <w:rPr>
          <w:rFonts w:cs="Calibri"/>
        </w:rPr>
        <w:t> </w:t>
      </w:r>
      <w:r w:rsidR="006D7D02">
        <w:rPr>
          <w:rFonts w:cs="Calibri"/>
        </w:rPr>
        <w:t>mg</w:t>
      </w:r>
      <w:r w:rsidRPr="008F114F">
        <w:rPr>
          <w:rFonts w:cs="Calibri"/>
        </w:rPr>
        <w:t>/day) can be bridged to the FDC tablet based on established bioequivalence.</w:t>
      </w:r>
    </w:p>
    <w:p w14:paraId="45A080A4" w14:textId="4A2C65D9" w:rsidR="007C496E" w:rsidRPr="008F114F" w:rsidRDefault="007C496E" w:rsidP="00AD7692">
      <w:r w:rsidRPr="008F114F">
        <w:t xml:space="preserve">The 4 pivotal </w:t>
      </w:r>
      <w:r w:rsidR="00F97771" w:rsidRPr="008F114F">
        <w:t>Phase III</w:t>
      </w:r>
      <w:r w:rsidRPr="008F114F">
        <w:t xml:space="preserve"> studies included in this submission consisted of an initial 26 or 52</w:t>
      </w:r>
      <w:r w:rsidR="006D2B42">
        <w:t> </w:t>
      </w:r>
      <w:r w:rsidRPr="008F114F">
        <w:t xml:space="preserve">week treatment phase (referred to as Phase A). This key phase is completed for all of these </w:t>
      </w:r>
      <w:r w:rsidR="00F97771" w:rsidRPr="008F114F">
        <w:t>Phase III</w:t>
      </w:r>
      <w:r w:rsidRPr="008F114F">
        <w:t xml:space="preserve"> studies and is the focus of the efficacy results in this submission. To allow for long-term assessments of safety data, these 4 </w:t>
      </w:r>
      <w:r w:rsidR="00F97771" w:rsidRPr="008F114F">
        <w:t>Phase III</w:t>
      </w:r>
      <w:r w:rsidRPr="008F114F">
        <w:t xml:space="preserve"> studies included a 26, 52 or 78</w:t>
      </w:r>
      <w:r w:rsidR="006D2B42">
        <w:t> </w:t>
      </w:r>
      <w:r w:rsidRPr="008F114F">
        <w:t>week, blinded (to site and subject), placebo</w:t>
      </w:r>
      <w:r w:rsidR="006C336C" w:rsidRPr="008F114F">
        <w:t xml:space="preserve"> </w:t>
      </w:r>
      <w:r w:rsidRPr="008F114F">
        <w:t>or active</w:t>
      </w:r>
      <w:r w:rsidR="006C336C" w:rsidRPr="008F114F">
        <w:t xml:space="preserve"> </w:t>
      </w:r>
      <w:r w:rsidRPr="008F114F">
        <w:t>controlled extension phase (Phase B). All Phase B extensions are either ongoing or have completed dosing without final analyses available at the time of this submission.</w:t>
      </w:r>
    </w:p>
    <w:p w14:paraId="3973ED45" w14:textId="5BDB07A1" w:rsidR="007C496E" w:rsidRPr="001B1AB9" w:rsidRDefault="007C496E" w:rsidP="00AD7692">
      <w:pPr>
        <w:rPr>
          <w:u w:val="single"/>
        </w:rPr>
      </w:pPr>
      <w:r w:rsidRPr="008F114F">
        <w:t>A total of 3</w:t>
      </w:r>
      <w:r w:rsidR="006D2B42">
        <w:t>,</w:t>
      </w:r>
      <w:r w:rsidRPr="008F114F">
        <w:t xml:space="preserve">643 subjects were randomised in the 4 </w:t>
      </w:r>
      <w:r w:rsidR="00F97771" w:rsidRPr="008F114F">
        <w:t>Phase III</w:t>
      </w:r>
      <w:r w:rsidRPr="008F114F">
        <w:t xml:space="preserve"> studies in support of this submission, including 2</w:t>
      </w:r>
      <w:r w:rsidR="006D2B42">
        <w:t>,</w:t>
      </w:r>
      <w:r w:rsidRPr="008F114F">
        <w:t xml:space="preserve">597 who received ertugliflozin in combination with metformin. </w:t>
      </w:r>
      <w:r w:rsidRPr="008F114F">
        <w:rPr>
          <w:color w:val="000000"/>
        </w:rPr>
        <w:t xml:space="preserve">Demographic and baseline characteristics were similar across the 2 studies included in the </w:t>
      </w:r>
      <w:r w:rsidR="00312206">
        <w:rPr>
          <w:color w:val="000000"/>
        </w:rPr>
        <w:t>e</w:t>
      </w:r>
      <w:r w:rsidR="00F14099">
        <w:rPr>
          <w:color w:val="000000"/>
        </w:rPr>
        <w:t>rtugliflozin/metformin</w:t>
      </w:r>
      <w:r w:rsidR="006D7D02">
        <w:rPr>
          <w:color w:val="000000"/>
        </w:rPr>
        <w:t xml:space="preserve"> </w:t>
      </w:r>
      <w:r w:rsidRPr="008F114F">
        <w:rPr>
          <w:color w:val="000000"/>
        </w:rPr>
        <w:t>FDC Pool (Studies P007/1017 and P006/1015) and was representative of the target patient population for the proposed ertugliflozin</w:t>
      </w:r>
      <w:r>
        <w:rPr>
          <w:color w:val="000000"/>
        </w:rPr>
        <w:t>+metformin FDC (46</w:t>
      </w:r>
      <w:r w:rsidR="006D2B42">
        <w:rPr>
          <w:color w:val="000000"/>
        </w:rPr>
        <w:t xml:space="preserve"> to </w:t>
      </w:r>
      <w:r>
        <w:rPr>
          <w:color w:val="000000"/>
        </w:rPr>
        <w:t>57% males, mean age of 55</w:t>
      </w:r>
      <w:r w:rsidR="006C336C">
        <w:rPr>
          <w:color w:val="000000"/>
        </w:rPr>
        <w:t xml:space="preserve"> to </w:t>
      </w:r>
      <w:r>
        <w:rPr>
          <w:color w:val="000000"/>
        </w:rPr>
        <w:t>59 years, mean BMI of 31</w:t>
      </w:r>
      <w:r w:rsidR="006D2B42">
        <w:rPr>
          <w:color w:val="000000"/>
        </w:rPr>
        <w:t xml:space="preserve"> to </w:t>
      </w:r>
      <w:r>
        <w:rPr>
          <w:color w:val="000000"/>
        </w:rPr>
        <w:t>32kg/m</w:t>
      </w:r>
      <w:r w:rsidRPr="00CF7416">
        <w:rPr>
          <w:color w:val="000000"/>
          <w:vertAlign w:val="superscript"/>
        </w:rPr>
        <w:t>2</w:t>
      </w:r>
      <w:r>
        <w:rPr>
          <w:color w:val="000000"/>
        </w:rPr>
        <w:t xml:space="preserve">), mean duration of diabetes of 7 to 9.5 years, mean baseline </w:t>
      </w:r>
      <w:r w:rsidR="003F2DE3">
        <w:t>Hb</w:t>
      </w:r>
      <w:r w:rsidR="00A04B32">
        <w:t>A1c</w:t>
      </w:r>
      <w:r>
        <w:rPr>
          <w:color w:val="000000"/>
        </w:rPr>
        <w:t xml:space="preserve"> of </w:t>
      </w:r>
      <w:r w:rsidRPr="001B1AB9">
        <w:rPr>
          <w:color w:val="000000"/>
        </w:rPr>
        <w:t>7.8% to 8.6%</w:t>
      </w:r>
      <w:r>
        <w:rPr>
          <w:color w:val="000000"/>
        </w:rPr>
        <w:t xml:space="preserve"> and mean </w:t>
      </w:r>
      <w:r w:rsidRPr="001B1AB9">
        <w:rPr>
          <w:color w:val="000000"/>
        </w:rPr>
        <w:t xml:space="preserve">baseline eGFR </w:t>
      </w:r>
      <w:r>
        <w:rPr>
          <w:color w:val="000000"/>
        </w:rPr>
        <w:t xml:space="preserve">of 87 to 92 </w:t>
      </w:r>
      <w:r w:rsidRPr="001B1AB9">
        <w:rPr>
          <w:color w:val="000000"/>
        </w:rPr>
        <w:t>mL/min/</w:t>
      </w:r>
      <w:r w:rsidR="00D518E2">
        <w:t>1.73 m</w:t>
      </w:r>
      <w:r w:rsidR="00D518E2" w:rsidRPr="00D518E2">
        <w:rPr>
          <w:vertAlign w:val="superscript"/>
        </w:rPr>
        <w:t>2</w:t>
      </w:r>
      <w:r>
        <w:rPr>
          <w:color w:val="000000"/>
        </w:rPr>
        <w:t>).</w:t>
      </w:r>
    </w:p>
    <w:p w14:paraId="2F6233CE" w14:textId="2185CA12" w:rsidR="007C496E" w:rsidRPr="006814E4" w:rsidRDefault="007C496E" w:rsidP="00AD7692">
      <w:r w:rsidRPr="006814E4">
        <w:t>Ertugliflozin 15</w:t>
      </w:r>
      <w:r w:rsidR="009802FE">
        <w:t xml:space="preserve"> </w:t>
      </w:r>
      <w:r w:rsidR="006D7D02">
        <w:t>mg</w:t>
      </w:r>
      <w:r w:rsidRPr="006814E4">
        <w:t xml:space="preserve"> </w:t>
      </w:r>
      <w:r w:rsidR="00F14099">
        <w:t>or</w:t>
      </w:r>
      <w:r w:rsidRPr="006814E4">
        <w:t xml:space="preserve"> 5</w:t>
      </w:r>
      <w:r w:rsidR="009802FE">
        <w:t xml:space="preserve"> </w:t>
      </w:r>
      <w:r w:rsidR="006D7D02">
        <w:t>mg</w:t>
      </w:r>
      <w:r w:rsidRPr="006814E4">
        <w:t xml:space="preserve"> as add-on to metformin (alone or in combination with</w:t>
      </w:r>
      <w:r>
        <w:t xml:space="preserve"> </w:t>
      </w:r>
      <w:r w:rsidRPr="006814E4">
        <w:t xml:space="preserve">sitagliptin) provides </w:t>
      </w:r>
      <w:r w:rsidR="00F14099">
        <w:t xml:space="preserve">a </w:t>
      </w:r>
      <w:r w:rsidRPr="006814E4">
        <w:t>clinically meaningful improvements</w:t>
      </w:r>
      <w:r w:rsidR="00F14099">
        <w:t xml:space="preserve"> </w:t>
      </w:r>
      <w:r w:rsidRPr="006814E4">
        <w:t>in glycaemic control (</w:t>
      </w:r>
      <w:r w:rsidR="003F2DE3">
        <w:t>Hb</w:t>
      </w:r>
      <w:r w:rsidR="00A04B32">
        <w:t>A1c</w:t>
      </w:r>
      <w:r w:rsidRPr="006814E4">
        <w:t>,</w:t>
      </w:r>
      <w:r>
        <w:t xml:space="preserve"> </w:t>
      </w:r>
      <w:r w:rsidRPr="006814E4">
        <w:t xml:space="preserve">proportion with </w:t>
      </w:r>
      <w:r w:rsidR="003F2DE3">
        <w:t>Hb</w:t>
      </w:r>
      <w:r w:rsidR="00A04B32">
        <w:t>A1c</w:t>
      </w:r>
      <w:r w:rsidRPr="006814E4">
        <w:t xml:space="preserve"> &lt;</w:t>
      </w:r>
      <w:r w:rsidR="006D2B42">
        <w:t xml:space="preserve"> </w:t>
      </w:r>
      <w:r w:rsidRPr="006814E4">
        <w:t>7.0%, FPG</w:t>
      </w:r>
      <w:r w:rsidR="00C45B82">
        <w:t xml:space="preserve"> and</w:t>
      </w:r>
      <w:r w:rsidRPr="006814E4">
        <w:t xml:space="preserve"> 2</w:t>
      </w:r>
      <w:r w:rsidR="00C45B82">
        <w:t xml:space="preserve"> </w:t>
      </w:r>
      <w:r w:rsidR="0007636A">
        <w:t>h</w:t>
      </w:r>
      <w:r w:rsidRPr="006814E4">
        <w:t xml:space="preserve"> PPG) as well as body weight reduction and</w:t>
      </w:r>
      <w:r>
        <w:t xml:space="preserve"> </w:t>
      </w:r>
      <w:r w:rsidRPr="006814E4">
        <w:t>SBP reduction in subjects with T2DM.</w:t>
      </w:r>
      <w:r>
        <w:t xml:space="preserve"> </w:t>
      </w:r>
      <w:r w:rsidRPr="006814E4">
        <w:t>Ertugliflozin 15</w:t>
      </w:r>
      <w:r w:rsidR="009802FE">
        <w:t xml:space="preserve"> </w:t>
      </w:r>
      <w:r w:rsidR="006D7D02">
        <w:t>mg</w:t>
      </w:r>
      <w:r w:rsidRPr="006814E4">
        <w:t xml:space="preserve"> plus metformin provides non-inf</w:t>
      </w:r>
      <w:r>
        <w:t xml:space="preserve">erior </w:t>
      </w:r>
      <w:r w:rsidR="003F2DE3">
        <w:t>Hb</w:t>
      </w:r>
      <w:r w:rsidR="00A04B32">
        <w:t>A1c</w:t>
      </w:r>
      <w:r>
        <w:t xml:space="preserve"> reduction compared to </w:t>
      </w:r>
      <w:r w:rsidRPr="006814E4">
        <w:t>glimepiride plus metformin.</w:t>
      </w:r>
    </w:p>
    <w:p w14:paraId="656A211A" w14:textId="732E6831" w:rsidR="007C496E" w:rsidRPr="00362614" w:rsidRDefault="007C496E" w:rsidP="00AD7692">
      <w:r>
        <w:t>T</w:t>
      </w:r>
      <w:r w:rsidRPr="00362614">
        <w:t>reatment with ertugliflozin 15</w:t>
      </w:r>
      <w:r w:rsidR="009802FE">
        <w:t xml:space="preserve"> </w:t>
      </w:r>
      <w:r w:rsidR="006D7D02">
        <w:t>mg</w:t>
      </w:r>
      <w:r w:rsidRPr="00362614">
        <w:t xml:space="preserve"> and 5</w:t>
      </w:r>
      <w:r w:rsidR="009802FE">
        <w:t xml:space="preserve"> </w:t>
      </w:r>
      <w:r w:rsidR="006D7D02">
        <w:t>mg</w:t>
      </w:r>
      <w:r w:rsidRPr="00362614">
        <w:t>, compared with placebo, resulted in</w:t>
      </w:r>
      <w:r>
        <w:t xml:space="preserve"> </w:t>
      </w:r>
      <w:r w:rsidRPr="00362614">
        <w:t xml:space="preserve">significant and clinically meaningful reductions from baseline in </w:t>
      </w:r>
      <w:r w:rsidR="003F2DE3">
        <w:t>Hb</w:t>
      </w:r>
      <w:r w:rsidR="00A04B32">
        <w:t>A1c</w:t>
      </w:r>
      <w:r w:rsidRPr="00362614">
        <w:t xml:space="preserve"> and FPG at</w:t>
      </w:r>
      <w:r>
        <w:t xml:space="preserve"> </w:t>
      </w:r>
      <w:r w:rsidRPr="00362614">
        <w:t>Week</w:t>
      </w:r>
      <w:r w:rsidR="00312206">
        <w:t> </w:t>
      </w:r>
      <w:r w:rsidRPr="00362614">
        <w:t>26, as add-on therapy to metformin (Study P007/1017; add-on to metformin study),</w:t>
      </w:r>
      <w:r>
        <w:t xml:space="preserve"> </w:t>
      </w:r>
      <w:r w:rsidRPr="00362614">
        <w:t>and as add-on therapy to metformin plus sitagliptin (Study P006/1015; add-on to</w:t>
      </w:r>
      <w:r>
        <w:t xml:space="preserve"> </w:t>
      </w:r>
      <w:r w:rsidRPr="00362614">
        <w:t>metformin plus sitagliptin study). In both of these studies, treatment with ertugliflozin</w:t>
      </w:r>
      <w:r>
        <w:t xml:space="preserve"> </w:t>
      </w:r>
      <w:r w:rsidRPr="00362614">
        <w:t>(both doses) added to metformin resulted in a higher proportion of subjects meeting the</w:t>
      </w:r>
      <w:r>
        <w:t xml:space="preserve"> </w:t>
      </w:r>
      <w:r w:rsidRPr="00362614">
        <w:t xml:space="preserve">glycaemic goal of </w:t>
      </w:r>
      <w:r w:rsidR="003F2DE3">
        <w:t>Hb</w:t>
      </w:r>
      <w:r w:rsidR="00A04B32">
        <w:t>A1c</w:t>
      </w:r>
      <w:r w:rsidRPr="00362614">
        <w:t xml:space="preserve"> &lt;</w:t>
      </w:r>
      <w:r w:rsidR="006D2B42">
        <w:t xml:space="preserve"> </w:t>
      </w:r>
      <w:r w:rsidRPr="00362614">
        <w:t>7.0% (&lt;</w:t>
      </w:r>
      <w:r w:rsidR="006D2B42">
        <w:t xml:space="preserve"> </w:t>
      </w:r>
      <w:r w:rsidRPr="00362614">
        <w:t>53 mmol/mol).</w:t>
      </w:r>
      <w:r>
        <w:t xml:space="preserve"> I</w:t>
      </w:r>
      <w:r w:rsidRPr="00362614">
        <w:t>n both the add-on to metformin study (Study P007/1017) and the add-on to metformin</w:t>
      </w:r>
      <w:r>
        <w:t xml:space="preserve"> </w:t>
      </w:r>
      <w:r w:rsidRPr="00362614">
        <w:t>and sitagliptin study (Study P006/1015), treatment with both doses of ertugliflozin as</w:t>
      </w:r>
      <w:r>
        <w:t xml:space="preserve"> </w:t>
      </w:r>
      <w:r w:rsidRPr="00362614">
        <w:t>add-on to metformin resulted in significant reductions from baseline in body weight and</w:t>
      </w:r>
      <w:r>
        <w:t xml:space="preserve"> </w:t>
      </w:r>
      <w:r w:rsidRPr="00362614">
        <w:t>SBP at Week 26, compared with placebo. Significant reductions from baseline in</w:t>
      </w:r>
      <w:r>
        <w:t xml:space="preserve"> </w:t>
      </w:r>
      <w:r w:rsidRPr="00362614">
        <w:t>DBP were observed in Study P007/1017.</w:t>
      </w:r>
    </w:p>
    <w:p w14:paraId="3384D649" w14:textId="485F3DC3" w:rsidR="007C496E" w:rsidRPr="00362614" w:rsidRDefault="007C496E" w:rsidP="00AD7692">
      <w:r>
        <w:t>E</w:t>
      </w:r>
      <w:r w:rsidRPr="00362614">
        <w:t>fficacy of combination of ertugliflozin and metformin was also evaluated using pooled</w:t>
      </w:r>
      <w:r>
        <w:t xml:space="preserve"> </w:t>
      </w:r>
      <w:r w:rsidRPr="00362614">
        <w:t>data from 2 placebo</w:t>
      </w:r>
      <w:r w:rsidR="006C336C">
        <w:t xml:space="preserve"> </w:t>
      </w:r>
      <w:r w:rsidRPr="00362614">
        <w:t>controlled studies: Studies P007/1017 (add-on to metformin study)</w:t>
      </w:r>
      <w:r>
        <w:t xml:space="preserve"> </w:t>
      </w:r>
      <w:r w:rsidRPr="00362614">
        <w:t>and P006/1015 (add-on to metformin plus sitagliptin study). The reductions from</w:t>
      </w:r>
      <w:r>
        <w:t xml:space="preserve"> </w:t>
      </w:r>
      <w:r w:rsidRPr="00362614">
        <w:t xml:space="preserve">baseline in </w:t>
      </w:r>
      <w:r w:rsidR="003F2DE3">
        <w:t>Hb</w:t>
      </w:r>
      <w:r w:rsidR="00A04B32">
        <w:t>A1c</w:t>
      </w:r>
      <w:r w:rsidRPr="00362614">
        <w:t xml:space="preserve"> and body weight and the proportions of subjects meeting the </w:t>
      </w:r>
      <w:r w:rsidR="003F2DE3">
        <w:t>Hb</w:t>
      </w:r>
      <w:r w:rsidR="00A04B32">
        <w:t>A1c</w:t>
      </w:r>
      <w:r w:rsidRPr="00362614">
        <w:t xml:space="preserve"> goal</w:t>
      </w:r>
      <w:r>
        <w:t xml:space="preserve"> </w:t>
      </w:r>
      <w:r w:rsidRPr="00362614">
        <w:t>of &lt;</w:t>
      </w:r>
      <w:r w:rsidR="006D2B42">
        <w:t xml:space="preserve"> </w:t>
      </w:r>
      <w:r w:rsidRPr="00362614">
        <w:t>7.0% in the pool were greater in the ertugliflozin groups compared to the placebo</w:t>
      </w:r>
      <w:r>
        <w:t xml:space="preserve"> </w:t>
      </w:r>
      <w:r w:rsidRPr="00362614">
        <w:t>group. In subgroup analyses of the pool, the addition of treatment with ertugliflozin 15</w:t>
      </w:r>
      <w:r w:rsidR="009802FE">
        <w:t xml:space="preserve"> </w:t>
      </w:r>
      <w:r w:rsidR="006D7D02">
        <w:t>mg</w:t>
      </w:r>
      <w:r w:rsidRPr="00362614">
        <w:t xml:space="preserve"> and 5</w:t>
      </w:r>
      <w:r w:rsidR="009802FE">
        <w:t xml:space="preserve"> </w:t>
      </w:r>
      <w:r w:rsidR="006D7D02">
        <w:t>mg</w:t>
      </w:r>
      <w:r w:rsidRPr="00362614">
        <w:t xml:space="preserve"> to metformin therapy resulted in a reduction from baseline in </w:t>
      </w:r>
      <w:r w:rsidR="003F2DE3">
        <w:t>Hb</w:t>
      </w:r>
      <w:r w:rsidR="00A04B32">
        <w:t>A1c</w:t>
      </w:r>
      <w:r w:rsidRPr="00362614">
        <w:t xml:space="preserve"> and body</w:t>
      </w:r>
      <w:r>
        <w:t xml:space="preserve"> </w:t>
      </w:r>
      <w:r w:rsidRPr="00362614">
        <w:t>weight compared with placebo across subgroups including age, gender, race, geographic</w:t>
      </w:r>
      <w:r>
        <w:t xml:space="preserve"> </w:t>
      </w:r>
      <w:r w:rsidRPr="00362614">
        <w:t>region, baseline BMI and duration of T2DM.</w:t>
      </w:r>
    </w:p>
    <w:p w14:paraId="0A1D8152" w14:textId="77777777" w:rsidR="00AD7692" w:rsidRDefault="007C496E" w:rsidP="00CB32EC">
      <w:pPr>
        <w:pStyle w:val="Heading5"/>
      </w:pPr>
      <w:r w:rsidRPr="002E03A2">
        <w:lastRenderedPageBreak/>
        <w:t>Dose</w:t>
      </w:r>
      <w:r w:rsidR="006C336C">
        <w:t xml:space="preserve"> </w:t>
      </w:r>
      <w:r w:rsidRPr="002E03A2">
        <w:t>response</w:t>
      </w:r>
    </w:p>
    <w:p w14:paraId="28F6CF41" w14:textId="47430656" w:rsidR="006C336C" w:rsidRDefault="007C496E" w:rsidP="006C336C">
      <w:pPr>
        <w:rPr>
          <w:color w:val="000000"/>
        </w:rPr>
      </w:pPr>
      <w:r w:rsidRPr="002E03A2">
        <w:t>Both ertugliflozin 15</w:t>
      </w:r>
      <w:r w:rsidR="009802FE">
        <w:t xml:space="preserve"> </w:t>
      </w:r>
      <w:r w:rsidR="006D7D02">
        <w:t>mg</w:t>
      </w:r>
      <w:r w:rsidRPr="002E03A2">
        <w:t xml:space="preserve"> and 5</w:t>
      </w:r>
      <w:r w:rsidR="009802FE">
        <w:t xml:space="preserve"> </w:t>
      </w:r>
      <w:r w:rsidR="006D7D02">
        <w:t>mg</w:t>
      </w:r>
      <w:r w:rsidRPr="002E03A2">
        <w:t xml:space="preserve"> have demonstrated clinical efficacy in the </w:t>
      </w:r>
      <w:r w:rsidR="00F97771">
        <w:t>Phase III</w:t>
      </w:r>
      <w:r w:rsidRPr="002E03A2">
        <w:t xml:space="preserve"> studies</w:t>
      </w:r>
      <w:r>
        <w:t xml:space="preserve"> </w:t>
      </w:r>
      <w:r w:rsidRPr="002E03A2">
        <w:t>when dosed in combination with metformin</w:t>
      </w:r>
      <w:r>
        <w:t>. Although</w:t>
      </w:r>
      <w:r w:rsidRPr="002E03A2">
        <w:t xml:space="preserve"> the studies were not powered or</w:t>
      </w:r>
      <w:r>
        <w:t xml:space="preserve"> </w:t>
      </w:r>
      <w:r w:rsidRPr="002E03A2">
        <w:t>designed to detect between-dose differences</w:t>
      </w:r>
      <w:r>
        <w:t xml:space="preserve">, </w:t>
      </w:r>
      <w:r w:rsidRPr="002E03A2">
        <w:rPr>
          <w:color w:val="000000"/>
        </w:rPr>
        <w:t xml:space="preserve">the </w:t>
      </w:r>
      <w:r w:rsidR="003F2DE3">
        <w:t>Hb</w:t>
      </w:r>
      <w:r w:rsidR="00A04B32">
        <w:t>A1c</w:t>
      </w:r>
      <w:r w:rsidRPr="002E03A2">
        <w:rPr>
          <w:color w:val="000000"/>
        </w:rPr>
        <w:t xml:space="preserve"> reductions from baseline were</w:t>
      </w:r>
      <w:r>
        <w:rPr>
          <w:color w:val="000000"/>
        </w:rPr>
        <w:t xml:space="preserve"> </w:t>
      </w:r>
      <w:r w:rsidRPr="002E03A2">
        <w:rPr>
          <w:color w:val="000000"/>
        </w:rPr>
        <w:t>numerically greater for ertugliflozin 15</w:t>
      </w:r>
      <w:r w:rsidR="009802FE">
        <w:rPr>
          <w:color w:val="000000"/>
        </w:rPr>
        <w:t xml:space="preserve"> </w:t>
      </w:r>
      <w:r w:rsidR="006D7D02">
        <w:rPr>
          <w:color w:val="000000"/>
        </w:rPr>
        <w:t>mg</w:t>
      </w:r>
      <w:r w:rsidRPr="002E03A2">
        <w:rPr>
          <w:color w:val="000000"/>
        </w:rPr>
        <w:t xml:space="preserve"> compared to 5</w:t>
      </w:r>
      <w:r w:rsidR="009802FE">
        <w:rPr>
          <w:color w:val="000000"/>
        </w:rPr>
        <w:t xml:space="preserve"> </w:t>
      </w:r>
      <w:r w:rsidR="006D7D02">
        <w:rPr>
          <w:color w:val="000000"/>
        </w:rPr>
        <w:t>mg</w:t>
      </w:r>
      <w:r w:rsidRPr="002E03A2">
        <w:rPr>
          <w:color w:val="000000"/>
        </w:rPr>
        <w:t xml:space="preserve"> in all 4 studies</w:t>
      </w:r>
      <w:r>
        <w:rPr>
          <w:color w:val="000000"/>
        </w:rPr>
        <w:t xml:space="preserve"> </w:t>
      </w:r>
      <w:r w:rsidRPr="002E03A2">
        <w:rPr>
          <w:color w:val="000000"/>
        </w:rPr>
        <w:t>and the pooled analysis. In the</w:t>
      </w:r>
      <w:r>
        <w:rPr>
          <w:color w:val="000000"/>
        </w:rPr>
        <w:t xml:space="preserve"> </w:t>
      </w:r>
      <w:r w:rsidRPr="002E03A2">
        <w:rPr>
          <w:color w:val="000000"/>
        </w:rPr>
        <w:t>pooled analysis ertugliflozin 15</w:t>
      </w:r>
      <w:r w:rsidR="009802FE">
        <w:rPr>
          <w:color w:val="000000"/>
        </w:rPr>
        <w:t xml:space="preserve"> </w:t>
      </w:r>
      <w:r w:rsidR="006D7D02">
        <w:rPr>
          <w:color w:val="000000"/>
        </w:rPr>
        <w:t>mg</w:t>
      </w:r>
      <w:r w:rsidRPr="002E03A2">
        <w:rPr>
          <w:color w:val="000000"/>
        </w:rPr>
        <w:t xml:space="preserve"> provided a numerically greater reduction in </w:t>
      </w:r>
      <w:r w:rsidR="003F2DE3">
        <w:t>Hb</w:t>
      </w:r>
      <w:r w:rsidR="00A04B32">
        <w:t>A1c</w:t>
      </w:r>
      <w:r>
        <w:rPr>
          <w:color w:val="000000"/>
        </w:rPr>
        <w:t xml:space="preserve"> </w:t>
      </w:r>
      <w:r w:rsidRPr="002E03A2">
        <w:rPr>
          <w:color w:val="000000"/>
        </w:rPr>
        <w:t>(approximately 0.14%) compared to ertugliflozin 5</w:t>
      </w:r>
      <w:r w:rsidR="009802FE">
        <w:rPr>
          <w:color w:val="000000"/>
        </w:rPr>
        <w:t xml:space="preserve"> </w:t>
      </w:r>
      <w:r w:rsidR="006D7D02">
        <w:rPr>
          <w:color w:val="000000"/>
        </w:rPr>
        <w:t>mg</w:t>
      </w:r>
      <w:r w:rsidRPr="002E03A2">
        <w:rPr>
          <w:color w:val="000000"/>
        </w:rPr>
        <w:t>.</w:t>
      </w:r>
      <w:r>
        <w:rPr>
          <w:color w:val="000000"/>
        </w:rPr>
        <w:t xml:space="preserve"> </w:t>
      </w:r>
      <w:r w:rsidRPr="002E03A2">
        <w:rPr>
          <w:color w:val="000000"/>
        </w:rPr>
        <w:t>A dose</w:t>
      </w:r>
      <w:r w:rsidR="006D2B42">
        <w:rPr>
          <w:color w:val="000000"/>
        </w:rPr>
        <w:t xml:space="preserve"> </w:t>
      </w:r>
      <w:r w:rsidRPr="002E03A2">
        <w:rPr>
          <w:color w:val="000000"/>
        </w:rPr>
        <w:t>response model was used to support predictions of the efficacy of the 2</w:t>
      </w:r>
      <w:r w:rsidR="006D2B42">
        <w:rPr>
          <w:color w:val="000000"/>
        </w:rPr>
        <w:t> </w:t>
      </w:r>
      <w:r w:rsidRPr="002E03A2">
        <w:rPr>
          <w:color w:val="000000"/>
        </w:rPr>
        <w:t>ertugliflozin</w:t>
      </w:r>
      <w:r>
        <w:rPr>
          <w:color w:val="000000"/>
        </w:rPr>
        <w:t xml:space="preserve"> </w:t>
      </w:r>
      <w:r w:rsidRPr="002E03A2">
        <w:rPr>
          <w:color w:val="000000"/>
        </w:rPr>
        <w:t>doses for a typical patient on metformin background therapy. The predictions suggest that</w:t>
      </w:r>
      <w:r>
        <w:rPr>
          <w:color w:val="000000"/>
        </w:rPr>
        <w:t xml:space="preserve"> </w:t>
      </w:r>
      <w:r w:rsidRPr="002E03A2">
        <w:rPr>
          <w:color w:val="000000"/>
        </w:rPr>
        <w:t>ertugliflozin 15</w:t>
      </w:r>
      <w:r w:rsidR="009802FE">
        <w:rPr>
          <w:color w:val="000000"/>
        </w:rPr>
        <w:t xml:space="preserve"> </w:t>
      </w:r>
      <w:r w:rsidR="006D7D02">
        <w:rPr>
          <w:color w:val="000000"/>
        </w:rPr>
        <w:t>mg</w:t>
      </w:r>
      <w:r w:rsidRPr="002E03A2">
        <w:rPr>
          <w:color w:val="000000"/>
        </w:rPr>
        <w:t xml:space="preserve"> provides approximately 0.1% greater </w:t>
      </w:r>
      <w:r w:rsidR="003F2DE3">
        <w:t>Hb</w:t>
      </w:r>
      <w:r w:rsidR="00A04B32">
        <w:t>A1c</w:t>
      </w:r>
      <w:r w:rsidRPr="002E03A2">
        <w:rPr>
          <w:color w:val="000000"/>
        </w:rPr>
        <w:t xml:space="preserve"> reduction compared to</w:t>
      </w:r>
      <w:r>
        <w:rPr>
          <w:color w:val="000000"/>
        </w:rPr>
        <w:t xml:space="preserve"> </w:t>
      </w:r>
      <w:r w:rsidRPr="002E03A2">
        <w:rPr>
          <w:color w:val="000000"/>
        </w:rPr>
        <w:t>ertugliflozin 5</w:t>
      </w:r>
      <w:r w:rsidR="009802FE">
        <w:rPr>
          <w:color w:val="000000"/>
        </w:rPr>
        <w:t xml:space="preserve"> </w:t>
      </w:r>
      <w:r w:rsidR="006D7D02">
        <w:rPr>
          <w:color w:val="000000"/>
        </w:rPr>
        <w:t>mg</w:t>
      </w:r>
      <w:r w:rsidRPr="002E03A2">
        <w:rPr>
          <w:color w:val="000000"/>
        </w:rPr>
        <w:t>.</w:t>
      </w:r>
    </w:p>
    <w:p w14:paraId="1F79A763" w14:textId="2C940CAD" w:rsidR="006C336C" w:rsidRDefault="007C496E" w:rsidP="00AD7692">
      <w:r w:rsidRPr="002E03A2">
        <w:t>In</w:t>
      </w:r>
      <w:r>
        <w:t xml:space="preserve"> </w:t>
      </w:r>
      <w:r w:rsidRPr="002E03A2">
        <w:t xml:space="preserve">all four </w:t>
      </w:r>
      <w:r w:rsidR="00F97771">
        <w:t>Phase III</w:t>
      </w:r>
      <w:r w:rsidRPr="002E03A2">
        <w:t xml:space="preserve"> studies, a numerically greater proportion of subjects reached </w:t>
      </w:r>
      <w:r w:rsidR="003F2DE3">
        <w:t>Hb</w:t>
      </w:r>
      <w:r w:rsidR="00A04B32">
        <w:t>A1c</w:t>
      </w:r>
      <w:r w:rsidRPr="002E03A2">
        <w:t xml:space="preserve"> &lt;</w:t>
      </w:r>
      <w:r w:rsidR="006D2B42">
        <w:t> </w:t>
      </w:r>
      <w:r w:rsidRPr="002E03A2">
        <w:t>7.0%</w:t>
      </w:r>
      <w:r>
        <w:t xml:space="preserve"> </w:t>
      </w:r>
      <w:r w:rsidRPr="002E03A2">
        <w:t>with ertugliflozin 15</w:t>
      </w:r>
      <w:r w:rsidR="009802FE">
        <w:t xml:space="preserve"> </w:t>
      </w:r>
      <w:r w:rsidR="006D7D02">
        <w:t>mg</w:t>
      </w:r>
      <w:r w:rsidRPr="002E03A2">
        <w:t xml:space="preserve"> compared with 5</w:t>
      </w:r>
      <w:r w:rsidR="009802FE">
        <w:t xml:space="preserve"> </w:t>
      </w:r>
      <w:r w:rsidR="006D7D02">
        <w:t>mg</w:t>
      </w:r>
      <w:r w:rsidRPr="002E03A2">
        <w:t>.</w:t>
      </w:r>
    </w:p>
    <w:p w14:paraId="19175257" w14:textId="49120434" w:rsidR="006C336C" w:rsidRDefault="007C496E" w:rsidP="00AD7692">
      <w:pPr>
        <w:rPr>
          <w:color w:val="000000"/>
        </w:rPr>
      </w:pPr>
      <w:r w:rsidRPr="00EB448A">
        <w:rPr>
          <w:color w:val="000000"/>
        </w:rPr>
        <w:t>A numerically greater reduction from baseline in body weight with ertugliflozin 15</w:t>
      </w:r>
      <w:r w:rsidR="009802FE">
        <w:rPr>
          <w:color w:val="000000"/>
        </w:rPr>
        <w:t xml:space="preserve"> </w:t>
      </w:r>
      <w:r w:rsidR="006D7D02">
        <w:rPr>
          <w:color w:val="000000"/>
        </w:rPr>
        <w:t>mg</w:t>
      </w:r>
      <w:r w:rsidRPr="00EB448A">
        <w:rPr>
          <w:color w:val="000000"/>
        </w:rPr>
        <w:t xml:space="preserve"> compared to ertugliflozin 5</w:t>
      </w:r>
      <w:r w:rsidR="009802FE">
        <w:rPr>
          <w:color w:val="000000"/>
        </w:rPr>
        <w:t xml:space="preserve"> </w:t>
      </w:r>
      <w:r w:rsidR="006D7D02">
        <w:rPr>
          <w:color w:val="000000"/>
        </w:rPr>
        <w:t>mg</w:t>
      </w:r>
      <w:r w:rsidRPr="00EB448A">
        <w:rPr>
          <w:color w:val="000000"/>
        </w:rPr>
        <w:t xml:space="preserve"> was observed in 2 of the four </w:t>
      </w:r>
      <w:r w:rsidR="00F97771">
        <w:rPr>
          <w:color w:val="000000"/>
        </w:rPr>
        <w:t>Phase III</w:t>
      </w:r>
      <w:r w:rsidRPr="00EB448A">
        <w:rPr>
          <w:color w:val="000000"/>
        </w:rPr>
        <w:t xml:space="preserve"> studies but was not observed in the pooled analysis.</w:t>
      </w:r>
    </w:p>
    <w:p w14:paraId="2EBE911F" w14:textId="1C048A5F" w:rsidR="007C496E" w:rsidRPr="00EB448A" w:rsidRDefault="007C496E" w:rsidP="00AD7692">
      <w:pPr>
        <w:rPr>
          <w:rFonts w:eastAsia="TimesNewRoman,Bold" w:cs="TimesNewRoman,Bold"/>
          <w:b/>
          <w:bCs/>
          <w:color w:val="000000"/>
        </w:rPr>
      </w:pPr>
      <w:r w:rsidRPr="00EB448A">
        <w:t>A numerically greater reduction from baseline in SBP with ertugliflozin 15</w:t>
      </w:r>
      <w:r w:rsidR="009802FE">
        <w:t xml:space="preserve"> </w:t>
      </w:r>
      <w:r w:rsidR="006D7D02">
        <w:t>mg</w:t>
      </w:r>
      <w:r w:rsidRPr="00EB448A">
        <w:t xml:space="preserve"> compared to ertugliflozin 5</w:t>
      </w:r>
      <w:r w:rsidR="009802FE">
        <w:t xml:space="preserve"> </w:t>
      </w:r>
      <w:r w:rsidR="006D7D02">
        <w:t>mg</w:t>
      </w:r>
      <w:r w:rsidRPr="00EB448A">
        <w:t xml:space="preserve"> was observed in 3 of the 4 of the </w:t>
      </w:r>
      <w:r w:rsidR="00F97771">
        <w:t>Phase III</w:t>
      </w:r>
      <w:r w:rsidRPr="00EB448A">
        <w:t xml:space="preserve"> studies.</w:t>
      </w:r>
    </w:p>
    <w:p w14:paraId="5FD230F8" w14:textId="77777777" w:rsidR="00AD7692" w:rsidRDefault="007C496E" w:rsidP="00CB32EC">
      <w:pPr>
        <w:pStyle w:val="Heading5"/>
      </w:pPr>
      <w:r w:rsidRPr="006814E4">
        <w:t>P</w:t>
      </w:r>
      <w:r>
        <w:t xml:space="preserve">ersistence of </w:t>
      </w:r>
      <w:r w:rsidR="00CB32EC">
        <w:t>e</w:t>
      </w:r>
      <w:r>
        <w:t xml:space="preserve">fficacy and/or </w:t>
      </w:r>
      <w:r w:rsidR="00CB32EC">
        <w:t>t</w:t>
      </w:r>
      <w:r>
        <w:t xml:space="preserve">olerance </w:t>
      </w:r>
      <w:r w:rsidR="00CB32EC">
        <w:t>e</w:t>
      </w:r>
      <w:r>
        <w:t>ffects</w:t>
      </w:r>
    </w:p>
    <w:p w14:paraId="1DAD8AB7" w14:textId="7847E7CD" w:rsidR="007C496E" w:rsidRDefault="007C496E" w:rsidP="00312206">
      <w:r w:rsidRPr="006814E4">
        <w:t>The persistence of efficacy of metformin has been demonstrated in clinical practice as well as</w:t>
      </w:r>
      <w:r>
        <w:t xml:space="preserve"> </w:t>
      </w:r>
      <w:r w:rsidRPr="006814E4">
        <w:t>in the literature. For example, in the A Diabetes Outcome Progression Trial, although the</w:t>
      </w:r>
      <w:r>
        <w:t xml:space="preserve"> </w:t>
      </w:r>
      <w:r w:rsidRPr="006814E4">
        <w:t>glycaemic control with metformin monotherapy gradually deteriorated in the course of 5 years</w:t>
      </w:r>
      <w:r>
        <w:t xml:space="preserve"> </w:t>
      </w:r>
      <w:r w:rsidRPr="006814E4">
        <w:t>of observation, consistent with the natural progression of the disease, it was generally</w:t>
      </w:r>
      <w:r>
        <w:t xml:space="preserve"> </w:t>
      </w:r>
      <w:r w:rsidRPr="006814E4">
        <w:t>sustained in the first 2 or 3 years w</w:t>
      </w:r>
      <w:r>
        <w:t xml:space="preserve">ith treatment failure below 10%. </w:t>
      </w:r>
      <w:r w:rsidRPr="006814E4">
        <w:t xml:space="preserve">Ertugliflozin used as add-on to metformin has been shown to deliver efficacy in </w:t>
      </w:r>
      <w:r w:rsidR="003F2DE3">
        <w:t>Hb</w:t>
      </w:r>
      <w:r w:rsidR="00A04B32">
        <w:t>A1c</w:t>
      </w:r>
      <w:r>
        <w:t xml:space="preserve"> </w:t>
      </w:r>
      <w:r w:rsidRPr="006814E4">
        <w:t>lowering over a period of 26 weeks; 3 different studies (Studies P007/1017, P005/1019 and</w:t>
      </w:r>
      <w:r>
        <w:t xml:space="preserve"> </w:t>
      </w:r>
      <w:r w:rsidRPr="006814E4">
        <w:t>P006/1015) demonstrat</w:t>
      </w:r>
      <w:r>
        <w:t>ed</w:t>
      </w:r>
      <w:r w:rsidRPr="006814E4">
        <w:t xml:space="preserve"> sustained clinically meaningful efficacy up to 26 weeks and</w:t>
      </w:r>
      <w:r>
        <w:t xml:space="preserve"> </w:t>
      </w:r>
      <w:r w:rsidRPr="006814E4">
        <w:t>1 study (Study P002/1013) demonstrat</w:t>
      </w:r>
      <w:r>
        <w:t>ed</w:t>
      </w:r>
      <w:r w:rsidRPr="006814E4">
        <w:t xml:space="preserve"> non-inferiority for ertugliflozin 15</w:t>
      </w:r>
      <w:r w:rsidR="009802FE">
        <w:t xml:space="preserve"> </w:t>
      </w:r>
      <w:r w:rsidR="006D7D02">
        <w:t>mg</w:t>
      </w:r>
      <w:r w:rsidRPr="006814E4">
        <w:t xml:space="preserve"> compared to</w:t>
      </w:r>
      <w:r>
        <w:t xml:space="preserve"> </w:t>
      </w:r>
      <w:r w:rsidR="00095056">
        <w:rPr>
          <w:rFonts w:asciiTheme="minorHAnsi" w:eastAsia="TimesNewRoman" w:hAnsiTheme="minorHAnsi" w:cs="TimesNewRoman"/>
          <w:color w:val="000000"/>
        </w:rPr>
        <w:t>sulfonylurea</w:t>
      </w:r>
      <w:r w:rsidRPr="006814E4">
        <w:t xml:space="preserve"> add-on to metformin up to 52 weeks. Stable lowering of FPG was also observed over the</w:t>
      </w:r>
      <w:r>
        <w:t xml:space="preserve"> </w:t>
      </w:r>
      <w:r w:rsidRPr="006814E4">
        <w:t>same study periods.</w:t>
      </w:r>
    </w:p>
    <w:p w14:paraId="25AF422F" w14:textId="77777777" w:rsidR="007C496E" w:rsidRDefault="007C496E" w:rsidP="006F72E5">
      <w:pPr>
        <w:pStyle w:val="Heading5"/>
      </w:pPr>
      <w:r>
        <w:t>Limitations</w:t>
      </w:r>
    </w:p>
    <w:p w14:paraId="4F8AC54A" w14:textId="2A456E06" w:rsidR="007C496E" w:rsidRDefault="007C496E" w:rsidP="00AD7692">
      <w:pPr>
        <w:pStyle w:val="ListBullet"/>
      </w:pPr>
      <w:r>
        <w:t>The clinical efficacy of once daily</w:t>
      </w:r>
      <w:r w:rsidR="000E32B5">
        <w:t xml:space="preserve"> versus </w:t>
      </w:r>
      <w:r>
        <w:t xml:space="preserve">twice daily dosing of ertugliflozin was not evaluated. Bridging data was provided by a </w:t>
      </w:r>
      <w:r w:rsidR="00C3563C">
        <w:t>Phase I</w:t>
      </w:r>
      <w:r>
        <w:t xml:space="preserve"> study.</w:t>
      </w:r>
    </w:p>
    <w:p w14:paraId="19BF74E9" w14:textId="449AA576" w:rsidR="007C496E" w:rsidRDefault="00AD7692" w:rsidP="00AD7692">
      <w:pPr>
        <w:pStyle w:val="ListBullet"/>
      </w:pPr>
      <w:r>
        <w:t>L</w:t>
      </w:r>
      <w:r w:rsidR="007C496E">
        <w:t>ack of adequate evidence to support long term efficacy (beyond 26 weeks) of co-administration of ertugliflozin</w:t>
      </w:r>
      <w:r w:rsidR="00095056">
        <w:t xml:space="preserve"> </w:t>
      </w:r>
      <w:r w:rsidR="007C496E">
        <w:t>+ metformin.</w:t>
      </w:r>
    </w:p>
    <w:p w14:paraId="60F4DDFE" w14:textId="77777777" w:rsidR="007C496E" w:rsidRPr="006814E4" w:rsidRDefault="00AD7692" w:rsidP="00AD7692">
      <w:pPr>
        <w:pStyle w:val="ListBullet"/>
      </w:pPr>
      <w:r>
        <w:t>L</w:t>
      </w:r>
      <w:r w:rsidR="007C496E">
        <w:t xml:space="preserve">ack of adequate data to support use of ertugliflozin+metformin along with other antihyperglycaemic agents such as insulin, sulphonylureas, thiazolidiones and GLP-1 analogues. Only data available was with sitagliptin. This has not been adequately clarified by sponsors in </w:t>
      </w:r>
      <w:r>
        <w:t>the draft P</w:t>
      </w:r>
      <w:r w:rsidR="007C496E">
        <w:t>I.</w:t>
      </w:r>
    </w:p>
    <w:p w14:paraId="2CF540D3" w14:textId="77777777" w:rsidR="008E7846" w:rsidRPr="002E238E" w:rsidRDefault="008E7846" w:rsidP="006F72E5">
      <w:pPr>
        <w:pStyle w:val="Heading4"/>
      </w:pPr>
      <w:bookmarkStart w:id="226" w:name="_Toc163441378"/>
      <w:bookmarkStart w:id="227" w:name="_Toc196046495"/>
      <w:bookmarkStart w:id="228" w:name="_Toc247691522"/>
      <w:bookmarkStart w:id="229" w:name="_Toc314842505"/>
      <w:bookmarkEnd w:id="222"/>
      <w:bookmarkEnd w:id="223"/>
      <w:bookmarkEnd w:id="224"/>
      <w:bookmarkEnd w:id="225"/>
      <w:r w:rsidRPr="002E238E">
        <w:t>Safety</w:t>
      </w:r>
      <w:bookmarkEnd w:id="226"/>
      <w:bookmarkEnd w:id="227"/>
      <w:bookmarkEnd w:id="228"/>
      <w:bookmarkEnd w:id="229"/>
    </w:p>
    <w:p w14:paraId="57C4B98A" w14:textId="77777777" w:rsidR="00605AD4" w:rsidRDefault="00605AD4" w:rsidP="006F72E5">
      <w:pPr>
        <w:pStyle w:val="Heading5"/>
      </w:pPr>
      <w:bookmarkStart w:id="230" w:name="_Toc247691524"/>
      <w:bookmarkStart w:id="231" w:name="_Toc314842508"/>
      <w:bookmarkStart w:id="232" w:name="_Toc196046504"/>
      <w:bookmarkStart w:id="233" w:name="_Toc163441390"/>
      <w:r w:rsidRPr="00605AD4">
        <w:t>Studies providing safety data</w:t>
      </w:r>
    </w:p>
    <w:p w14:paraId="310EC9A3" w14:textId="77777777" w:rsidR="007C496E" w:rsidRPr="00631115" w:rsidRDefault="007C496E" w:rsidP="00095056">
      <w:pPr>
        <w:rPr>
          <w:b/>
          <w:lang w:eastAsia="ja-JP"/>
        </w:rPr>
      </w:pPr>
      <w:r>
        <w:rPr>
          <w:lang w:eastAsia="ja-JP"/>
        </w:rPr>
        <w:t>The</w:t>
      </w:r>
      <w:r w:rsidR="00B0548E">
        <w:rPr>
          <w:lang w:eastAsia="ja-JP"/>
        </w:rPr>
        <w:t>re were</w:t>
      </w:r>
      <w:r>
        <w:rPr>
          <w:lang w:eastAsia="ja-JP"/>
        </w:rPr>
        <w:t xml:space="preserve"> 4 pivotal </w:t>
      </w:r>
      <w:r w:rsidR="00F97771">
        <w:rPr>
          <w:lang w:eastAsia="ja-JP"/>
        </w:rPr>
        <w:t>Phase III</w:t>
      </w:r>
      <w:r>
        <w:rPr>
          <w:lang w:eastAsia="ja-JP"/>
        </w:rPr>
        <w:t xml:space="preserve"> studies from the ertugliflozin development program which provided the main safety data for the proposed ertugliflozin-metformin FDC</w:t>
      </w:r>
      <w:r w:rsidR="00B0548E">
        <w:rPr>
          <w:lang w:eastAsia="ja-JP"/>
        </w:rPr>
        <w:t>.</w:t>
      </w:r>
    </w:p>
    <w:p w14:paraId="1F5A3846" w14:textId="3E8C9D79" w:rsidR="007C496E" w:rsidRPr="00B17C87" w:rsidRDefault="00F9258F">
      <w:pPr>
        <w:rPr>
          <w:lang w:eastAsia="ja-JP"/>
        </w:rPr>
      </w:pPr>
      <w:r>
        <w:t>N</w:t>
      </w:r>
      <w:r w:rsidR="007C496E" w:rsidRPr="00B17C87">
        <w:t xml:space="preserve">o </w:t>
      </w:r>
      <w:r w:rsidR="00F97771">
        <w:t>Phase III</w:t>
      </w:r>
      <w:r w:rsidR="007C496E" w:rsidRPr="00B17C87">
        <w:t xml:space="preserve"> studies have been performed with the </w:t>
      </w:r>
      <w:r w:rsidR="007C496E">
        <w:t xml:space="preserve">proposed </w:t>
      </w:r>
      <w:r w:rsidR="007C496E" w:rsidRPr="00B17C87">
        <w:t>ertugliflozin/metformin FDC tablet;</w:t>
      </w:r>
      <w:r w:rsidR="007C496E">
        <w:t xml:space="preserve"> </w:t>
      </w:r>
      <w:r w:rsidR="007C496E" w:rsidRPr="00B17C87">
        <w:t xml:space="preserve">however, data obtained from the 4 </w:t>
      </w:r>
      <w:r w:rsidR="00F97771">
        <w:t>Phase III</w:t>
      </w:r>
      <w:r w:rsidR="007C496E" w:rsidRPr="00B17C87">
        <w:t xml:space="preserve"> studies </w:t>
      </w:r>
      <w:r w:rsidR="007C496E" w:rsidRPr="00B17C87">
        <w:rPr>
          <w:color w:val="000000"/>
        </w:rPr>
        <w:t>(</w:t>
      </w:r>
      <w:r w:rsidR="00095056" w:rsidRPr="00095056">
        <w:rPr>
          <w:color w:val="000000"/>
        </w:rPr>
        <w:t xml:space="preserve">Studies </w:t>
      </w:r>
      <w:r w:rsidR="007C496E" w:rsidRPr="00B17C87">
        <w:rPr>
          <w:color w:val="000000"/>
        </w:rPr>
        <w:t>P006/1015, P007/1017, P002/1013 and P005/1019),</w:t>
      </w:r>
      <w:r w:rsidR="009A3F68">
        <w:rPr>
          <w:color w:val="000000"/>
        </w:rPr>
        <w:t xml:space="preserve"> </w:t>
      </w:r>
      <w:r w:rsidR="007C496E" w:rsidRPr="00B17C87">
        <w:t>that assessed the use of ertugliflozin on a</w:t>
      </w:r>
      <w:r w:rsidR="007C496E">
        <w:t xml:space="preserve"> </w:t>
      </w:r>
      <w:r w:rsidR="007C496E" w:rsidRPr="00B17C87">
        <w:lastRenderedPageBreak/>
        <w:t>background of metformin (</w:t>
      </w:r>
      <w:r w:rsidR="00EB55BF">
        <w:t xml:space="preserve">≥ </w:t>
      </w:r>
      <w:r w:rsidR="007C496E" w:rsidRPr="00B17C87">
        <w:t>1500</w:t>
      </w:r>
      <w:r w:rsidR="009802FE">
        <w:t xml:space="preserve"> </w:t>
      </w:r>
      <w:r w:rsidR="006D7D02">
        <w:t>mg</w:t>
      </w:r>
      <w:r w:rsidR="007C496E" w:rsidRPr="00B17C87">
        <w:t>/day) can be bridged to the FDC tablet based on</w:t>
      </w:r>
      <w:r w:rsidR="007C496E">
        <w:t xml:space="preserve"> </w:t>
      </w:r>
      <w:r w:rsidR="007C496E" w:rsidRPr="00B17C87">
        <w:t xml:space="preserve">established bioequivalence. </w:t>
      </w:r>
      <w:r w:rsidR="007C496E" w:rsidRPr="00B17C87">
        <w:rPr>
          <w:color w:val="000000"/>
        </w:rPr>
        <w:t>Two of the studies (</w:t>
      </w:r>
      <w:r w:rsidR="00095056">
        <w:t xml:space="preserve">Studies </w:t>
      </w:r>
      <w:r w:rsidR="007C496E" w:rsidRPr="00B17C87">
        <w:rPr>
          <w:color w:val="000000"/>
        </w:rPr>
        <w:t>P006/1015 and P007/1017) were placebo</w:t>
      </w:r>
      <w:r>
        <w:rPr>
          <w:color w:val="000000"/>
        </w:rPr>
        <w:t xml:space="preserve"> </w:t>
      </w:r>
      <w:r w:rsidR="007C496E" w:rsidRPr="00B17C87">
        <w:rPr>
          <w:color w:val="000000"/>
        </w:rPr>
        <w:t>controlled and had a common study design that allowed the data to be pooled (</w:t>
      </w:r>
      <w:r w:rsidR="00F14099">
        <w:rPr>
          <w:color w:val="000000"/>
        </w:rPr>
        <w:t>Ertugliflozin/metformin</w:t>
      </w:r>
      <w:r w:rsidR="006D7D02">
        <w:rPr>
          <w:color w:val="000000"/>
        </w:rPr>
        <w:t xml:space="preserve"> </w:t>
      </w:r>
      <w:r w:rsidR="007C496E" w:rsidRPr="00B17C87">
        <w:rPr>
          <w:color w:val="000000"/>
        </w:rPr>
        <w:t>Pool) for review of safety</w:t>
      </w:r>
      <w:r w:rsidR="007C496E">
        <w:rPr>
          <w:color w:val="000000"/>
        </w:rPr>
        <w:t>.</w:t>
      </w:r>
    </w:p>
    <w:p w14:paraId="632DA8E6" w14:textId="77777777" w:rsidR="00605AD4" w:rsidRDefault="00605AD4" w:rsidP="00605AD4">
      <w:pPr>
        <w:pStyle w:val="Heading4"/>
      </w:pPr>
      <w:r w:rsidRPr="00605AD4">
        <w:t>Patient exposure</w:t>
      </w:r>
    </w:p>
    <w:p w14:paraId="69B566BB" w14:textId="611A3DBE" w:rsidR="007C496E" w:rsidRPr="007C496E" w:rsidRDefault="007C496E" w:rsidP="007C496E">
      <w:r w:rsidRPr="007C496E">
        <w:t xml:space="preserve">The </w:t>
      </w:r>
      <w:r w:rsidR="00095056">
        <w:t>e</w:t>
      </w:r>
      <w:r w:rsidR="004A7ED8">
        <w:t>rtugliflozin/metformin Pool</w:t>
      </w:r>
      <w:r w:rsidRPr="007C496E">
        <w:t xml:space="preserve"> includes 1083 subjects who were randomised and received at least 1 dose of study medication; 363, 358 and 362 received ertugliflozin 5</w:t>
      </w:r>
      <w:r w:rsidR="009802FE">
        <w:t xml:space="preserve"> </w:t>
      </w:r>
      <w:r w:rsidR="006D7D02">
        <w:t>mg</w:t>
      </w:r>
      <w:r w:rsidRPr="007C496E">
        <w:t>, ertugliflozin 15</w:t>
      </w:r>
      <w:r w:rsidR="009802FE">
        <w:t xml:space="preserve"> </w:t>
      </w:r>
      <w:r w:rsidR="006D7D02">
        <w:t>mg</w:t>
      </w:r>
      <w:r w:rsidRPr="007C496E">
        <w:t xml:space="preserve"> and placebo, respectively. The mean observation period on study medication was similar in the ertugliflozin 5</w:t>
      </w:r>
      <w:r w:rsidR="009802FE">
        <w:t xml:space="preserve"> </w:t>
      </w:r>
      <w:r w:rsidR="006D7D02">
        <w:t>mg</w:t>
      </w:r>
      <w:r w:rsidRPr="007C496E">
        <w:t xml:space="preserve"> and 15</w:t>
      </w:r>
      <w:r w:rsidR="009802FE">
        <w:t xml:space="preserve"> </w:t>
      </w:r>
      <w:r w:rsidR="006D7D02">
        <w:t>mg</w:t>
      </w:r>
      <w:r w:rsidRPr="007C496E">
        <w:t xml:space="preserve"> groups (177.7 days and 174.2</w:t>
      </w:r>
      <w:r w:rsidR="00095056">
        <w:t> </w:t>
      </w:r>
      <w:r w:rsidRPr="007C496E">
        <w:t xml:space="preserve">days, respectively) and the placebo group (174.4 days), with 665 subjects receiving ertugliflozin in combination with metformin for </w:t>
      </w:r>
      <w:r w:rsidR="00AD51CF">
        <w:t xml:space="preserve">&gt; </w:t>
      </w:r>
      <w:r w:rsidRPr="007C496E">
        <w:t>26 weeks. The proportion of subjects who discontinued study medication within 26 weeks was numerically lower in the ertugliflozin 5</w:t>
      </w:r>
      <w:r w:rsidR="009802FE">
        <w:t xml:space="preserve"> </w:t>
      </w:r>
      <w:r w:rsidR="006D7D02">
        <w:t>mg</w:t>
      </w:r>
      <w:r w:rsidRPr="007C496E">
        <w:t xml:space="preserve"> and 15</w:t>
      </w:r>
      <w:r w:rsidR="009802FE">
        <w:t xml:space="preserve"> </w:t>
      </w:r>
      <w:r w:rsidR="006D7D02">
        <w:t>mg</w:t>
      </w:r>
      <w:r w:rsidRPr="007C496E">
        <w:t xml:space="preserve"> groups (5.2% and 7.8%, respectively) compared to the placebo group (8.6%). The most common reason for discontinuation in all groups was withdrawal by subject.</w:t>
      </w:r>
      <w:r w:rsidR="009A3F68">
        <w:t xml:space="preserve"> </w:t>
      </w:r>
      <w:r w:rsidRPr="007C496E">
        <w:t>Demographic and baseline characteristics were generally similar across</w:t>
      </w:r>
      <w:r w:rsidR="00B0548E">
        <w:t xml:space="preserve"> groups</w:t>
      </w:r>
      <w:r w:rsidRPr="007C496E">
        <w:t>.</w:t>
      </w:r>
    </w:p>
    <w:p w14:paraId="6F32F257" w14:textId="0BDA1D60" w:rsidR="00605AD4" w:rsidRDefault="00605AD4" w:rsidP="00605AD4">
      <w:pPr>
        <w:pStyle w:val="Heading4"/>
      </w:pPr>
      <w:r w:rsidRPr="00605AD4">
        <w:t>Post</w:t>
      </w:r>
      <w:r w:rsidR="006D2B42">
        <w:t>-</w:t>
      </w:r>
      <w:r w:rsidRPr="00605AD4">
        <w:t>marketing data</w:t>
      </w:r>
    </w:p>
    <w:p w14:paraId="1087EEB7" w14:textId="77777777" w:rsidR="007C496E" w:rsidRDefault="007C496E" w:rsidP="00095056">
      <w:pPr>
        <w:rPr>
          <w:lang w:eastAsia="ja-JP"/>
        </w:rPr>
      </w:pPr>
      <w:r>
        <w:t>Not applicable as t</w:t>
      </w:r>
      <w:r w:rsidRPr="009E0D91">
        <w:t>he ertugliflozin/metformin FDC ha</w:t>
      </w:r>
      <w:r w:rsidR="00F9258F">
        <w:t>d</w:t>
      </w:r>
      <w:r w:rsidRPr="009E0D91">
        <w:t xml:space="preserve"> not been approved for use in any country</w:t>
      </w:r>
      <w:r w:rsidR="00F9258F">
        <w:t xml:space="preserve"> at the time of this evaluation</w:t>
      </w:r>
      <w:r>
        <w:t>.</w:t>
      </w:r>
    </w:p>
    <w:p w14:paraId="49DDA6BD" w14:textId="77777777" w:rsidR="00605AD4" w:rsidRPr="00F9258F" w:rsidRDefault="00605AD4" w:rsidP="00F9258F">
      <w:pPr>
        <w:pStyle w:val="Heading4"/>
      </w:pPr>
      <w:r w:rsidRPr="00605AD4">
        <w:t>Evaluator’s conclusions on safety</w:t>
      </w:r>
    </w:p>
    <w:p w14:paraId="57528CB5" w14:textId="15E4CD40" w:rsidR="007C496E" w:rsidRPr="00F5400A" w:rsidRDefault="007C496E" w:rsidP="00F9258F">
      <w:r w:rsidRPr="00F5400A">
        <w:t>The safety and tolerability profile of ertugliflozin, 5</w:t>
      </w:r>
      <w:r w:rsidR="009802FE">
        <w:t xml:space="preserve"> </w:t>
      </w:r>
      <w:r w:rsidR="006D7D02">
        <w:t>mg</w:t>
      </w:r>
      <w:r w:rsidRPr="00F5400A">
        <w:t xml:space="preserve"> </w:t>
      </w:r>
      <w:r w:rsidR="00C3563C">
        <w:t>QD</w:t>
      </w:r>
      <w:r w:rsidRPr="00F5400A">
        <w:t xml:space="preserve"> and 15</w:t>
      </w:r>
      <w:r w:rsidR="009802FE">
        <w:t xml:space="preserve"> </w:t>
      </w:r>
      <w:r w:rsidR="006D7D02">
        <w:t>mg</w:t>
      </w:r>
      <w:r w:rsidRPr="00F5400A">
        <w:t xml:space="preserve"> </w:t>
      </w:r>
      <w:r w:rsidR="00C3563C">
        <w:t>QD</w:t>
      </w:r>
      <w:r w:rsidRPr="00F5400A">
        <w:t>, has been presented</w:t>
      </w:r>
      <w:r>
        <w:t xml:space="preserve"> </w:t>
      </w:r>
      <w:r w:rsidRPr="00F5400A">
        <w:t xml:space="preserve">in a separate </w:t>
      </w:r>
      <w:r w:rsidRPr="00B0548E">
        <w:t xml:space="preserve">submission (refer to </w:t>
      </w:r>
      <w:r w:rsidR="00970132" w:rsidRPr="00B0548E">
        <w:t xml:space="preserve">Safety </w:t>
      </w:r>
      <w:r w:rsidRPr="00B0548E">
        <w:t>section</w:t>
      </w:r>
      <w:r w:rsidR="00970132" w:rsidRPr="00B0548E">
        <w:t xml:space="preserve"> of the Steglatro report</w:t>
      </w:r>
      <w:r w:rsidR="00B0548E" w:rsidRPr="00B0548E">
        <w:t xml:space="preserve"> in Attachment 2</w:t>
      </w:r>
      <w:r w:rsidRPr="00B0548E">
        <w:t>). Metformin, including the proposed daily doses, has an established safety and tolerability profile. The main AEs</w:t>
      </w:r>
      <w:r w:rsidRPr="00F5400A">
        <w:t xml:space="preserve"> </w:t>
      </w:r>
      <w:r>
        <w:t>associated with metformin use are dia</w:t>
      </w:r>
      <w:r w:rsidRPr="00F5400A">
        <w:t>rrh</w:t>
      </w:r>
      <w:r>
        <w:t>o</w:t>
      </w:r>
      <w:r w:rsidRPr="00F5400A">
        <w:t>ea, nausea/vomiting, flatulence</w:t>
      </w:r>
      <w:r>
        <w:t xml:space="preserve">, </w:t>
      </w:r>
      <w:r w:rsidRPr="00F5400A">
        <w:t xml:space="preserve">asthenia, indigestion, abdominal discomfort, </w:t>
      </w:r>
      <w:r>
        <w:t xml:space="preserve">metallic taste </w:t>
      </w:r>
      <w:r w:rsidRPr="00F5400A">
        <w:t>and headache. Lactic acidosis is a rare but serious metabolic complication that can occur due to metformin</w:t>
      </w:r>
      <w:r>
        <w:t xml:space="preserve"> </w:t>
      </w:r>
      <w:r w:rsidRPr="00F5400A">
        <w:t>accumulation during treatment</w:t>
      </w:r>
      <w:r w:rsidR="006D2B42">
        <w:t>.</w:t>
      </w:r>
      <w:r>
        <w:rPr>
          <w:rStyle w:val="FootnoteReference"/>
          <w:rFonts w:asciiTheme="minorHAnsi" w:eastAsia="TimesNewRoman" w:hAnsiTheme="minorHAnsi" w:cs="TimesNewRoman"/>
        </w:rPr>
        <w:footnoteReference w:id="36"/>
      </w:r>
      <w:r>
        <w:t xml:space="preserve"> </w:t>
      </w:r>
      <w:r w:rsidRPr="00F5400A">
        <w:t>The following conditions and situations can result in lactic acidosis: impaired renal function,</w:t>
      </w:r>
      <w:r>
        <w:t xml:space="preserve"> </w:t>
      </w:r>
      <w:r w:rsidRPr="00F5400A">
        <w:t>concomitant medication(s) that may affect renal function, impaired hepatic function,</w:t>
      </w:r>
      <w:r>
        <w:t xml:space="preserve"> </w:t>
      </w:r>
      <w:r w:rsidRPr="00F5400A">
        <w:t>excessive alcohol intake, poorly controlled diabetes, ketosis, prolonged fasting and any</w:t>
      </w:r>
      <w:r>
        <w:t xml:space="preserve"> </w:t>
      </w:r>
      <w:r w:rsidRPr="00F5400A">
        <w:t>condition associated with hypoxia. Therefore, patients experiencing these conditions should</w:t>
      </w:r>
      <w:r>
        <w:t xml:space="preserve"> </w:t>
      </w:r>
      <w:r w:rsidRPr="00F5400A">
        <w:t>avoid taking metformin.</w:t>
      </w:r>
      <w:r>
        <w:t xml:space="preserve"> </w:t>
      </w:r>
      <w:r w:rsidRPr="00F5400A">
        <w:t>Intravascular contrast studies with iodinated materials can lead to acute alteration of renal</w:t>
      </w:r>
      <w:r>
        <w:t xml:space="preserve"> </w:t>
      </w:r>
      <w:r w:rsidRPr="00F5400A">
        <w:t>function and have been associated with lactic acidosis in patients receiving metformin.</w:t>
      </w:r>
      <w:r>
        <w:t xml:space="preserve"> </w:t>
      </w:r>
      <w:r w:rsidRPr="00F5400A">
        <w:t xml:space="preserve">Hypoxic states, including </w:t>
      </w:r>
      <w:r w:rsidR="00F9258F">
        <w:t>cardiovascular (</w:t>
      </w:r>
      <w:r w:rsidRPr="00F5400A">
        <w:t>CV</w:t>
      </w:r>
      <w:r w:rsidR="00F9258F">
        <w:t>)</w:t>
      </w:r>
      <w:r w:rsidRPr="00F5400A">
        <w:t xml:space="preserve"> collapse (shock) from whatever cause, acute congestive heart</w:t>
      </w:r>
      <w:r>
        <w:t xml:space="preserve"> </w:t>
      </w:r>
      <w:r w:rsidRPr="00F5400A">
        <w:t>failure, acute myocardial infarction and other conditions characterized by hypoxemia have</w:t>
      </w:r>
      <w:r>
        <w:t xml:space="preserve"> </w:t>
      </w:r>
      <w:r w:rsidRPr="00F5400A">
        <w:t>been associated with lactic acidosis and may also cause prerenal azot</w:t>
      </w:r>
      <w:r w:rsidR="00095056">
        <w:t>a</w:t>
      </w:r>
      <w:r w:rsidRPr="00F5400A">
        <w:t>emia.</w:t>
      </w:r>
    </w:p>
    <w:p w14:paraId="14ECD2C0" w14:textId="524E0363" w:rsidR="007C496E" w:rsidRPr="00F5400A" w:rsidRDefault="007C496E" w:rsidP="00F9258F">
      <w:r w:rsidRPr="00F5400A">
        <w:t>All the above know AEs associated with metformin use have been adequately covered in the proposed P</w:t>
      </w:r>
      <w:r>
        <w:t>I</w:t>
      </w:r>
      <w:r w:rsidRPr="00F5400A">
        <w:t xml:space="preserve"> for the FDC of ertugliflozin-metformin.</w:t>
      </w:r>
    </w:p>
    <w:p w14:paraId="5C5DBECE" w14:textId="22A6FD86" w:rsidR="007C496E" w:rsidRPr="00920563" w:rsidRDefault="007C496E" w:rsidP="00F9258F">
      <w:pPr>
        <w:rPr>
          <w:lang w:eastAsia="ja-JP"/>
        </w:rPr>
      </w:pPr>
      <w:r w:rsidRPr="00CE0911">
        <w:t xml:space="preserve">Ertugliflozin treatment, in the overall </w:t>
      </w:r>
      <w:r w:rsidR="00F97771">
        <w:t>Phase III</w:t>
      </w:r>
      <w:r w:rsidRPr="00CE0911">
        <w:t xml:space="preserve"> program and in the </w:t>
      </w:r>
      <w:r w:rsidR="00F14099">
        <w:t>Ertugliflozin/metformin</w:t>
      </w:r>
      <w:r w:rsidR="006D7D02">
        <w:t xml:space="preserve"> </w:t>
      </w:r>
      <w:r w:rsidRPr="00CE0911">
        <w:t>Pool, led to small mean changes from baseline in the serum lipid profile including increased</w:t>
      </w:r>
      <w:r>
        <w:t xml:space="preserve"> </w:t>
      </w:r>
      <w:r w:rsidRPr="00CE0911">
        <w:t xml:space="preserve">LDL-C, total cholesterol and HDL-C and decreases in </w:t>
      </w:r>
      <w:r w:rsidRPr="00CE0911">
        <w:lastRenderedPageBreak/>
        <w:t>triglycerides. There were small increases in</w:t>
      </w:r>
      <w:r>
        <w:t xml:space="preserve"> </w:t>
      </w:r>
      <w:r w:rsidRPr="00CE0911">
        <w:t>phosphate and magnesium but not calcium with ertugliflozin treatment. This was similar to</w:t>
      </w:r>
      <w:r>
        <w:t xml:space="preserve"> </w:t>
      </w:r>
      <w:r w:rsidRPr="00CE0911">
        <w:t xml:space="preserve">the findings in the broader </w:t>
      </w:r>
      <w:r w:rsidR="00F97771">
        <w:t>Phase III</w:t>
      </w:r>
      <w:r w:rsidRPr="00CE0911">
        <w:t xml:space="preserve"> ertugliflozin program. The clinical significance of these</w:t>
      </w:r>
      <w:r>
        <w:t xml:space="preserve"> </w:t>
      </w:r>
      <w:r w:rsidRPr="00CE0911">
        <w:t xml:space="preserve">findings is unknown given there was no increase in fractures or decrease in </w:t>
      </w:r>
      <w:r w:rsidR="00B0548E">
        <w:t>BMD</w:t>
      </w:r>
      <w:r w:rsidRPr="00CE0911">
        <w:t xml:space="preserve"> at 26 weeks in ertugliflozin</w:t>
      </w:r>
      <w:r w:rsidR="00F9258F">
        <w:t xml:space="preserve"> treated groups in the p</w:t>
      </w:r>
      <w:r w:rsidRPr="00CE0911">
        <w:t>lacebo</w:t>
      </w:r>
      <w:r w:rsidR="00F9258F">
        <w:t xml:space="preserve"> </w:t>
      </w:r>
      <w:r w:rsidRPr="00CE0911">
        <w:t>controlled Add-on</w:t>
      </w:r>
      <w:r>
        <w:t xml:space="preserve"> </w:t>
      </w:r>
      <w:r w:rsidRPr="00CE0911">
        <w:t xml:space="preserve">to </w:t>
      </w:r>
      <w:r w:rsidR="008558E5">
        <w:t>m</w:t>
      </w:r>
      <w:r w:rsidR="008558E5" w:rsidRPr="00CE0911">
        <w:t xml:space="preserve">etformin </w:t>
      </w:r>
      <w:r w:rsidR="008558E5">
        <w:t>s</w:t>
      </w:r>
      <w:r w:rsidRPr="00CE0911">
        <w:t>tudy (</w:t>
      </w:r>
      <w:r w:rsidR="008558E5">
        <w:t>Study</w:t>
      </w:r>
      <w:r w:rsidR="008558E5" w:rsidRPr="00CE0911">
        <w:t xml:space="preserve"> </w:t>
      </w:r>
      <w:r w:rsidRPr="00CE0911">
        <w:t>P007/1017). There were no meaningful changes noted in potassium level</w:t>
      </w:r>
      <w:r w:rsidR="00B0548E">
        <w:t>s</w:t>
      </w:r>
      <w:r>
        <w:t xml:space="preserve">. </w:t>
      </w:r>
      <w:r w:rsidRPr="00701FFF">
        <w:t>There were no meaningful changes in potassium, bicarbonate or sodium associated with</w:t>
      </w:r>
      <w:r>
        <w:t xml:space="preserve"> </w:t>
      </w:r>
      <w:r w:rsidRPr="00701FFF">
        <w:t xml:space="preserve">ertugliflozin treatment in the </w:t>
      </w:r>
      <w:r w:rsidR="008558E5">
        <w:t>E</w:t>
      </w:r>
      <w:r w:rsidR="00347FCC" w:rsidRPr="00347FCC">
        <w:t xml:space="preserve">rtugliflozin </w:t>
      </w:r>
      <w:r w:rsidRPr="00701FFF">
        <w:t>/</w:t>
      </w:r>
      <w:r w:rsidR="00347FCC">
        <w:t>m</w:t>
      </w:r>
      <w:r w:rsidRPr="00701FFF">
        <w:t>et</w:t>
      </w:r>
      <w:r w:rsidR="00347FCC">
        <w:t>formin</w:t>
      </w:r>
      <w:r w:rsidRPr="00701FFF">
        <w:t xml:space="preserve"> Pool and the 2 active comparator studies on metformin background therapy not included in the Pool.</w:t>
      </w:r>
      <w:r>
        <w:t xml:space="preserve"> </w:t>
      </w:r>
      <w:r w:rsidRPr="00920563">
        <w:t xml:space="preserve">Ertugliflozin treatment in the </w:t>
      </w:r>
      <w:r w:rsidR="008558E5">
        <w:t>E</w:t>
      </w:r>
      <w:r w:rsidR="00347FCC" w:rsidRPr="00347FCC">
        <w:t xml:space="preserve">rtugliflozin </w:t>
      </w:r>
      <w:r w:rsidR="00347FCC" w:rsidRPr="00701FFF">
        <w:t>/</w:t>
      </w:r>
      <w:r w:rsidR="00347FCC">
        <w:t>m</w:t>
      </w:r>
      <w:r w:rsidR="00347FCC" w:rsidRPr="00701FFF">
        <w:t>et</w:t>
      </w:r>
      <w:r w:rsidR="00347FCC">
        <w:t>formin</w:t>
      </w:r>
      <w:r w:rsidR="00347FCC" w:rsidRPr="00701FFF">
        <w:t xml:space="preserve"> </w:t>
      </w:r>
      <w:r w:rsidRPr="00920563">
        <w:t xml:space="preserve">Pool was associated with decreases in systolic </w:t>
      </w:r>
      <w:r>
        <w:t xml:space="preserve">and diastolic </w:t>
      </w:r>
      <w:r w:rsidRPr="00920563">
        <w:t>blood</w:t>
      </w:r>
      <w:r>
        <w:t xml:space="preserve"> </w:t>
      </w:r>
      <w:r w:rsidRPr="00920563">
        <w:t>pressure</w:t>
      </w:r>
      <w:r>
        <w:t xml:space="preserve"> </w:t>
      </w:r>
      <w:r w:rsidRPr="00920563">
        <w:t xml:space="preserve">and </w:t>
      </w:r>
      <w:r>
        <w:t xml:space="preserve">body </w:t>
      </w:r>
      <w:r w:rsidRPr="00920563">
        <w:t>weight. There was no noted increase in heart rate or</w:t>
      </w:r>
      <w:r>
        <w:t xml:space="preserve"> </w:t>
      </w:r>
      <w:r w:rsidRPr="00920563">
        <w:t>measures of orthostatic hypotension. There were no clinically meaningful differences in</w:t>
      </w:r>
      <w:r>
        <w:t xml:space="preserve"> ECG pa</w:t>
      </w:r>
      <w:r w:rsidRPr="00920563">
        <w:t>rameters (heart rate</w:t>
      </w:r>
      <w:r w:rsidRPr="003A37C5">
        <w:t>, PR, QRS, QT, QTcB, and QTcF interval) a</w:t>
      </w:r>
      <w:r w:rsidRPr="00920563">
        <w:t>cross</w:t>
      </w:r>
      <w:r>
        <w:t xml:space="preserve"> </w:t>
      </w:r>
      <w:r w:rsidRPr="00920563">
        <w:t>the ertugliflozin 5</w:t>
      </w:r>
      <w:r w:rsidR="009802FE">
        <w:t xml:space="preserve"> </w:t>
      </w:r>
      <w:r w:rsidR="006D7D02">
        <w:t>mg</w:t>
      </w:r>
      <w:r w:rsidRPr="00920563">
        <w:t xml:space="preserve"> and 15</w:t>
      </w:r>
      <w:r w:rsidR="009802FE">
        <w:t xml:space="preserve"> </w:t>
      </w:r>
      <w:r w:rsidR="006D7D02">
        <w:t>mg</w:t>
      </w:r>
      <w:r w:rsidRPr="00920563">
        <w:t xml:space="preserve"> groups and placebo group. These results are consistent</w:t>
      </w:r>
      <w:r>
        <w:t xml:space="preserve"> </w:t>
      </w:r>
      <w:r w:rsidRPr="00920563">
        <w:t>with those in the full ertugliflozin development program.</w:t>
      </w:r>
    </w:p>
    <w:p w14:paraId="136DC160" w14:textId="6DB7E173" w:rsidR="00605AD4" w:rsidRPr="00605AD4" w:rsidRDefault="007C496E" w:rsidP="00F9258F">
      <w:r w:rsidRPr="002E1052">
        <w:t>Overall, the combination of ertugliflozin and metformin was generally safe and well</w:t>
      </w:r>
      <w:r>
        <w:t xml:space="preserve"> </w:t>
      </w:r>
      <w:r w:rsidRPr="002E1052">
        <w:t>tolerated, for both the 5</w:t>
      </w:r>
      <w:r w:rsidR="009802FE">
        <w:t xml:space="preserve"> </w:t>
      </w:r>
      <w:r w:rsidR="006D7D02">
        <w:t>mg</w:t>
      </w:r>
      <w:r w:rsidRPr="002E1052">
        <w:t xml:space="preserve"> and 15</w:t>
      </w:r>
      <w:r w:rsidR="009802FE">
        <w:t xml:space="preserve"> </w:t>
      </w:r>
      <w:r w:rsidR="006D7D02">
        <w:t>mg</w:t>
      </w:r>
      <w:r w:rsidRPr="002E1052">
        <w:t xml:space="preserve"> doses of ertugliflozin. The use of an FDC of</w:t>
      </w:r>
      <w:r>
        <w:t xml:space="preserve"> </w:t>
      </w:r>
      <w:r w:rsidRPr="002E1052">
        <w:t xml:space="preserve">ertugliflozin and metformin is supported by these </w:t>
      </w:r>
      <w:r w:rsidR="00F97771">
        <w:t>Phase III</w:t>
      </w:r>
      <w:r w:rsidRPr="002E1052">
        <w:t xml:space="preserve"> clinical data that evaluate the</w:t>
      </w:r>
      <w:r>
        <w:t xml:space="preserve"> </w:t>
      </w:r>
      <w:r w:rsidRPr="002E1052">
        <w:t>combination of ertugliflozin and metformin administered as separate tablets, with the</w:t>
      </w:r>
      <w:r>
        <w:t xml:space="preserve"> </w:t>
      </w:r>
      <w:r w:rsidRPr="002E1052">
        <w:t>demonstrated BE of the FDC to the individual components when co-administered and</w:t>
      </w:r>
      <w:r>
        <w:t xml:space="preserve"> </w:t>
      </w:r>
      <w:r w:rsidRPr="002E1052">
        <w:t xml:space="preserve">equivalence of ertugliflozin </w:t>
      </w:r>
      <w:r w:rsidR="003A37C5">
        <w:t>AUC</w:t>
      </w:r>
      <w:r w:rsidR="003A37C5" w:rsidRPr="003A37C5">
        <w:rPr>
          <w:vertAlign w:val="subscript"/>
        </w:rPr>
        <w:t>24h</w:t>
      </w:r>
      <w:r w:rsidRPr="002E1052">
        <w:t xml:space="preserve"> at steady state of </w:t>
      </w:r>
      <w:r w:rsidR="00C3563C">
        <w:t>QD</w:t>
      </w:r>
      <w:r w:rsidRPr="002E1052">
        <w:t xml:space="preserve"> and </w:t>
      </w:r>
      <w:r w:rsidR="00AD51CF">
        <w:t>BD</w:t>
      </w:r>
      <w:r w:rsidR="003A37C5">
        <w:t xml:space="preserve"> </w:t>
      </w:r>
      <w:r w:rsidRPr="002E1052">
        <w:t xml:space="preserve">dosing regimen. Overall, no safety concerns were </w:t>
      </w:r>
      <w:r w:rsidRPr="00F2573C">
        <w:t>identified that were unique to the combination of ertugliflozin and metformin and safety of the proposed FDC is adequately described by experience with the individual</w:t>
      </w:r>
      <w:r>
        <w:t xml:space="preserve"> </w:t>
      </w:r>
      <w:r w:rsidRPr="00F2573C">
        <w:t>agents.</w:t>
      </w:r>
    </w:p>
    <w:p w14:paraId="74A03FDC" w14:textId="77777777" w:rsidR="00605AD4" w:rsidRDefault="00605AD4" w:rsidP="002048D4">
      <w:pPr>
        <w:pStyle w:val="Heading4"/>
      </w:pPr>
      <w:r w:rsidRPr="00605AD4">
        <w:t>Benefit-</w:t>
      </w:r>
      <w:r w:rsidR="003A37C5">
        <w:t>r</w:t>
      </w:r>
      <w:r w:rsidRPr="00605AD4">
        <w:t xml:space="preserve">isk </w:t>
      </w:r>
      <w:r w:rsidR="003A37C5">
        <w:t>a</w:t>
      </w:r>
      <w:r w:rsidRPr="00605AD4">
        <w:t>ssessment</w:t>
      </w:r>
    </w:p>
    <w:p w14:paraId="42BEDFC5" w14:textId="77777777" w:rsidR="003A37C5" w:rsidRPr="003A37C5" w:rsidRDefault="003A37C5" w:rsidP="003A37C5">
      <w:r>
        <w:t xml:space="preserve">See also Attachment 4 </w:t>
      </w:r>
      <w:r w:rsidR="006E3971">
        <w:t xml:space="preserve">for more details of the </w:t>
      </w:r>
      <w:r>
        <w:t>First and Second round Benefit risk assessment</w:t>
      </w:r>
      <w:r w:rsidR="006E3971">
        <w:t>s</w:t>
      </w:r>
      <w:r>
        <w:t>.</w:t>
      </w:r>
    </w:p>
    <w:p w14:paraId="2F9B645B" w14:textId="77777777" w:rsidR="006E3971" w:rsidRPr="00545B14" w:rsidRDefault="006E3971" w:rsidP="006E3971">
      <w:pPr>
        <w:pStyle w:val="Heading5"/>
      </w:pPr>
      <w:bookmarkStart w:id="234" w:name="_Toc236802597"/>
      <w:bookmarkStart w:id="235" w:name="_Toc241374335"/>
      <w:bookmarkStart w:id="236" w:name="_Toc272414695"/>
      <w:bookmarkStart w:id="237" w:name="_Toc290888559"/>
      <w:bookmarkStart w:id="238" w:name="_Toc416353775"/>
      <w:bookmarkStart w:id="239" w:name="_Toc421005316"/>
      <w:bookmarkStart w:id="240" w:name="_Toc432079187"/>
      <w:bookmarkStart w:id="241" w:name="_Toc432080760"/>
      <w:bookmarkStart w:id="242" w:name="_Toc504037324"/>
      <w:bookmarkStart w:id="243" w:name="_Toc272414711"/>
      <w:bookmarkStart w:id="244" w:name="_Toc290888577"/>
      <w:bookmarkStart w:id="245" w:name="_Toc416353794"/>
      <w:bookmarkStart w:id="246" w:name="_Toc421005336"/>
      <w:bookmarkStart w:id="247" w:name="_Toc432079209"/>
      <w:bookmarkStart w:id="248" w:name="_Toc432080782"/>
      <w:r w:rsidRPr="00545B14">
        <w:t>First round assessment of benefit-risk</w:t>
      </w:r>
      <w:bookmarkEnd w:id="234"/>
      <w:bookmarkEnd w:id="235"/>
      <w:bookmarkEnd w:id="236"/>
      <w:bookmarkEnd w:id="237"/>
      <w:bookmarkEnd w:id="238"/>
      <w:bookmarkEnd w:id="239"/>
      <w:r>
        <w:t xml:space="preserve"> balance</w:t>
      </w:r>
      <w:bookmarkEnd w:id="240"/>
      <w:bookmarkEnd w:id="241"/>
      <w:bookmarkEnd w:id="242"/>
    </w:p>
    <w:p w14:paraId="7765BE16" w14:textId="60EEC067" w:rsidR="006E3971" w:rsidRDefault="006E3971" w:rsidP="008558E5">
      <w:pPr>
        <w:rPr>
          <w:rFonts w:cs="Calibri"/>
        </w:rPr>
      </w:pPr>
      <w:r>
        <w:rPr>
          <w:rFonts w:cs="Calibri"/>
        </w:rPr>
        <w:t>No Phase III</w:t>
      </w:r>
      <w:r w:rsidRPr="008900E7">
        <w:rPr>
          <w:rFonts w:cs="Calibri"/>
        </w:rPr>
        <w:t xml:space="preserve"> studies have been performed with the proposed ertugliflozin/metformin FDC tablet</w:t>
      </w:r>
      <w:r>
        <w:rPr>
          <w:rFonts w:cs="Calibri"/>
        </w:rPr>
        <w:t xml:space="preserve">. </w:t>
      </w:r>
      <w:r w:rsidRPr="00E86C66">
        <w:t>The studied doses of the FDC tablets (ertugliflozin 7.5</w:t>
      </w:r>
      <w:r w:rsidR="009802FE">
        <w:t xml:space="preserve"> </w:t>
      </w:r>
      <w:r w:rsidR="006D7D02">
        <w:t>mg</w:t>
      </w:r>
      <w:r w:rsidRPr="00E86C66">
        <w:t>/metformin 1000</w:t>
      </w:r>
      <w:r w:rsidR="009802FE">
        <w:t xml:space="preserve"> </w:t>
      </w:r>
      <w:r w:rsidR="006D7D02">
        <w:t>mg</w:t>
      </w:r>
      <w:r w:rsidRPr="00E86C66">
        <w:t>, ertugliflozin</w:t>
      </w:r>
      <w:r>
        <w:t xml:space="preserve"> </w:t>
      </w:r>
      <w:r w:rsidRPr="00E86C66">
        <w:t>7.5</w:t>
      </w:r>
      <w:r w:rsidR="009802FE">
        <w:t xml:space="preserve"> </w:t>
      </w:r>
      <w:r w:rsidR="006D7D02">
        <w:t>mg</w:t>
      </w:r>
      <w:r w:rsidRPr="00E86C66">
        <w:t>/metformin 850</w:t>
      </w:r>
      <w:r w:rsidR="009802FE">
        <w:t xml:space="preserve"> </w:t>
      </w:r>
      <w:r w:rsidR="006D7D02">
        <w:t>mg</w:t>
      </w:r>
      <w:r w:rsidRPr="00E86C66">
        <w:t xml:space="preserve"> and ertugliflozin 2.5</w:t>
      </w:r>
      <w:r w:rsidR="009802FE">
        <w:t xml:space="preserve"> </w:t>
      </w:r>
      <w:r w:rsidR="006D7D02">
        <w:t>mg</w:t>
      </w:r>
      <w:r w:rsidRPr="00E86C66">
        <w:t>/metformin 500</w:t>
      </w:r>
      <w:r w:rsidR="009802FE">
        <w:t xml:space="preserve"> </w:t>
      </w:r>
      <w:r w:rsidR="006D7D02">
        <w:t>mg</w:t>
      </w:r>
      <w:r w:rsidRPr="00E86C66">
        <w:t>) are bioequivalent</w:t>
      </w:r>
      <w:r>
        <w:t xml:space="preserve"> </w:t>
      </w:r>
      <w:r w:rsidRPr="00E86C66">
        <w:t>under fasted conditions to the corresponding doses of ertugliflozin and metformin tablets</w:t>
      </w:r>
      <w:r>
        <w:t xml:space="preserve"> </w:t>
      </w:r>
      <w:r w:rsidRPr="00E86C66">
        <w:t>(US or EU</w:t>
      </w:r>
      <w:r>
        <w:t xml:space="preserve"> </w:t>
      </w:r>
      <w:r w:rsidRPr="00E86C66">
        <w:t>sourced Glucophage) when co-administered. The metformin component of the</w:t>
      </w:r>
      <w:r>
        <w:t xml:space="preserve"> </w:t>
      </w:r>
      <w:r w:rsidRPr="00E86C66">
        <w:t>studied doses of the FDC tablets (ertugliflozin 7.5</w:t>
      </w:r>
      <w:r w:rsidR="009802FE">
        <w:t xml:space="preserve"> </w:t>
      </w:r>
      <w:r w:rsidR="006D7D02">
        <w:t>mg</w:t>
      </w:r>
      <w:r w:rsidRPr="00E86C66">
        <w:t>/metformin 850</w:t>
      </w:r>
      <w:r w:rsidR="009802FE">
        <w:t> </w:t>
      </w:r>
      <w:r w:rsidR="006D7D02">
        <w:t>mg</w:t>
      </w:r>
      <w:r w:rsidRPr="00E86C66">
        <w:t xml:space="preserve"> and ertugliflozin</w:t>
      </w:r>
      <w:r>
        <w:t xml:space="preserve"> </w:t>
      </w:r>
      <w:r w:rsidRPr="00E86C66">
        <w:t>2.5</w:t>
      </w:r>
      <w:r w:rsidR="009802FE">
        <w:t xml:space="preserve"> </w:t>
      </w:r>
      <w:r w:rsidR="006D7D02">
        <w:t>mg</w:t>
      </w:r>
      <w:r w:rsidRPr="00E86C66">
        <w:t>/metformin 500</w:t>
      </w:r>
      <w:r w:rsidR="009802FE">
        <w:t xml:space="preserve"> </w:t>
      </w:r>
      <w:r w:rsidR="006D7D02">
        <w:t>mg</w:t>
      </w:r>
      <w:r w:rsidRPr="00E86C66">
        <w:t>) is also bioequivalent to the corresponding doses of metformin</w:t>
      </w:r>
      <w:r>
        <w:t xml:space="preserve"> </w:t>
      </w:r>
      <w:r w:rsidRPr="00E86C66">
        <w:t>tablets (Canadian-sourced Glucophage) when co-administered with corresponding doses of</w:t>
      </w:r>
      <w:r>
        <w:t xml:space="preserve"> </w:t>
      </w:r>
      <w:r w:rsidRPr="00E86C66">
        <w:t xml:space="preserve">ertugliflozin tablets under fasted and fed conditions. These clinical data, along with the </w:t>
      </w:r>
      <w:r w:rsidRPr="006E3971">
        <w:t>in vitro</w:t>
      </w:r>
      <w:r w:rsidRPr="00E86C66">
        <w:t xml:space="preserve"> multi-media dissolution data, support the bridging of pharmacokinetic,</w:t>
      </w:r>
      <w:r>
        <w:t xml:space="preserve"> </w:t>
      </w:r>
      <w:r w:rsidRPr="00E86C66">
        <w:t xml:space="preserve">pharmacodynamic, </w:t>
      </w:r>
      <w:r>
        <w:t xml:space="preserve">efficacy and </w:t>
      </w:r>
      <w:r w:rsidRPr="00E86C66">
        <w:t xml:space="preserve">safety data obtained in the Phase </w:t>
      </w:r>
      <w:r>
        <w:t>III</w:t>
      </w:r>
      <w:r w:rsidRPr="00E86C66">
        <w:t xml:space="preserve"> studies to the proposed</w:t>
      </w:r>
      <w:r>
        <w:t xml:space="preserve"> </w:t>
      </w:r>
      <w:r w:rsidRPr="00E86C66">
        <w:t>FDC commercial tablets</w:t>
      </w:r>
      <w:r>
        <w:t xml:space="preserve">. </w:t>
      </w:r>
      <w:r>
        <w:rPr>
          <w:rFonts w:cs="Calibri"/>
        </w:rPr>
        <w:t xml:space="preserve">Hence, </w:t>
      </w:r>
      <w:r w:rsidRPr="008900E7">
        <w:rPr>
          <w:rFonts w:cs="Calibri"/>
        </w:rPr>
        <w:t xml:space="preserve">data obtained from the 4 Phase </w:t>
      </w:r>
      <w:r>
        <w:rPr>
          <w:rFonts w:cs="Calibri"/>
        </w:rPr>
        <w:t>III</w:t>
      </w:r>
      <w:r w:rsidRPr="008900E7">
        <w:rPr>
          <w:rFonts w:cs="Calibri"/>
        </w:rPr>
        <w:t xml:space="preserve"> studies </w:t>
      </w:r>
      <w:r w:rsidRPr="008900E7">
        <w:rPr>
          <w:rFonts w:cs="Calibri"/>
          <w:color w:val="000000"/>
        </w:rPr>
        <w:t>(</w:t>
      </w:r>
      <w:r w:rsidR="008558E5">
        <w:t xml:space="preserve">Studies </w:t>
      </w:r>
      <w:r w:rsidRPr="008900E7">
        <w:rPr>
          <w:rFonts w:cs="Calibri"/>
          <w:color w:val="000000"/>
        </w:rPr>
        <w:t xml:space="preserve">P006/1015, P007/1017, P002/1013 and P005/1019) </w:t>
      </w:r>
      <w:r w:rsidRPr="008900E7">
        <w:rPr>
          <w:rFonts w:cs="Calibri"/>
        </w:rPr>
        <w:t>that assessed the use of ertugliflozin on a background of metformin (≥</w:t>
      </w:r>
      <w:r>
        <w:rPr>
          <w:rFonts w:cs="Calibri"/>
        </w:rPr>
        <w:t> </w:t>
      </w:r>
      <w:r w:rsidRPr="008900E7">
        <w:rPr>
          <w:rFonts w:cs="Calibri"/>
        </w:rPr>
        <w:t>1500</w:t>
      </w:r>
      <w:r w:rsidR="009802FE">
        <w:rPr>
          <w:rFonts w:cs="Calibri"/>
        </w:rPr>
        <w:t> </w:t>
      </w:r>
      <w:r w:rsidR="006D7D02">
        <w:rPr>
          <w:rFonts w:cs="Calibri"/>
        </w:rPr>
        <w:t>mg</w:t>
      </w:r>
      <w:r w:rsidRPr="008900E7">
        <w:rPr>
          <w:rFonts w:cs="Calibri"/>
        </w:rPr>
        <w:t>/</w:t>
      </w:r>
      <w:r w:rsidRPr="00E86C66">
        <w:rPr>
          <w:rFonts w:cs="Calibri"/>
        </w:rPr>
        <w:t>day) can be bridged to the FDC tablet based on established bioequivalence</w:t>
      </w:r>
      <w:r>
        <w:rPr>
          <w:rFonts w:cs="Calibri"/>
        </w:rPr>
        <w:t>.</w:t>
      </w:r>
    </w:p>
    <w:p w14:paraId="153A59B1" w14:textId="513E3C2E" w:rsidR="006E3971" w:rsidRPr="00B56376" w:rsidRDefault="006E3971" w:rsidP="008558E5">
      <w:r w:rsidRPr="00B56376">
        <w:t xml:space="preserve">In all 4 studies, clinically meaningful </w:t>
      </w:r>
      <w:r>
        <w:t>Hb</w:t>
      </w:r>
      <w:r w:rsidR="00A04B32">
        <w:t>A1C</w:t>
      </w:r>
      <w:r w:rsidRPr="00B56376">
        <w:t xml:space="preserve"> reductions were observed when ertugliflozin 5</w:t>
      </w:r>
      <w:r w:rsidR="009802FE">
        <w:t xml:space="preserve"> </w:t>
      </w:r>
      <w:r w:rsidR="006D7D02">
        <w:t>mg</w:t>
      </w:r>
      <w:r>
        <w:t xml:space="preserve"> </w:t>
      </w:r>
      <w:r w:rsidRPr="00B56376">
        <w:t>or 15</w:t>
      </w:r>
      <w:r w:rsidR="009802FE">
        <w:t xml:space="preserve"> </w:t>
      </w:r>
      <w:r w:rsidR="006D7D02">
        <w:t>mg</w:t>
      </w:r>
      <w:r w:rsidRPr="00B56376">
        <w:t xml:space="preserve"> was added on to metformin (second line use) or metformin and sitagliptin (third</w:t>
      </w:r>
      <w:r>
        <w:t xml:space="preserve"> </w:t>
      </w:r>
      <w:r w:rsidRPr="00B56376">
        <w:t>line use). On a background of metformin, ertugliflozin 5</w:t>
      </w:r>
      <w:r w:rsidR="009802FE">
        <w:t xml:space="preserve"> </w:t>
      </w:r>
      <w:r w:rsidR="006D7D02">
        <w:t>mg</w:t>
      </w:r>
      <w:r w:rsidRPr="00B56376">
        <w:t xml:space="preserve"> and 15</w:t>
      </w:r>
      <w:r w:rsidR="009802FE">
        <w:t xml:space="preserve"> </w:t>
      </w:r>
      <w:r w:rsidR="006D7D02">
        <w:t>mg</w:t>
      </w:r>
      <w:r w:rsidRPr="00B56376">
        <w:t xml:space="preserve"> resulted in</w:t>
      </w:r>
      <w:r>
        <w:t xml:space="preserve"> </w:t>
      </w:r>
      <w:r w:rsidRPr="00B56376">
        <w:t xml:space="preserve">reductions in </w:t>
      </w:r>
      <w:r>
        <w:t>Hb</w:t>
      </w:r>
      <w:r w:rsidR="00A04B32">
        <w:t>A1C</w:t>
      </w:r>
      <w:r w:rsidRPr="00B56376">
        <w:t xml:space="preserve"> that were generally greater than the results in the placebo group at</w:t>
      </w:r>
      <w:r>
        <w:t xml:space="preserve"> </w:t>
      </w:r>
      <w:r w:rsidRPr="00B56376">
        <w:t>Week 26, irrespective of gender, age, sex, race, ethnicity, geographic region, baseline BMI,</w:t>
      </w:r>
      <w:r>
        <w:t xml:space="preserve"> </w:t>
      </w:r>
      <w:r w:rsidRPr="00B56376">
        <w:t xml:space="preserve">baseline </w:t>
      </w:r>
      <w:r>
        <w:t>Hb</w:t>
      </w:r>
      <w:r w:rsidR="00A04B32">
        <w:t>A1C</w:t>
      </w:r>
      <w:r w:rsidRPr="00B56376">
        <w:t>, baseline eGFR, and duration of T2DM.The results of Study P002/1013 demonstrate that ertugliflozin offers several clinically</w:t>
      </w:r>
      <w:r>
        <w:t xml:space="preserve"> </w:t>
      </w:r>
      <w:r w:rsidRPr="00B56376">
        <w:t xml:space="preserve">relevant advantages to glimepiride </w:t>
      </w:r>
      <w:r w:rsidRPr="00B56376">
        <w:lastRenderedPageBreak/>
        <w:t>as an add-on to metformin with regards to</w:t>
      </w:r>
      <w:r>
        <w:t xml:space="preserve"> </w:t>
      </w:r>
      <w:r w:rsidRPr="00B56376">
        <w:t>safety/</w:t>
      </w:r>
      <w:r>
        <w:t xml:space="preserve"> </w:t>
      </w:r>
      <w:r w:rsidRPr="00B56376">
        <w:t>tolerability (</w:t>
      </w:r>
      <w:r>
        <w:t>that is,</w:t>
      </w:r>
      <w:r w:rsidRPr="00B56376">
        <w:t xml:space="preserve"> lower rates of hypoglycaemia) and reductions in SBP and body weight.</w:t>
      </w:r>
    </w:p>
    <w:p w14:paraId="7A8F8CFA" w14:textId="7FA55E9F" w:rsidR="006E3971" w:rsidRPr="00B56376" w:rsidRDefault="006E3971" w:rsidP="008558E5">
      <w:pPr>
        <w:rPr>
          <w:lang w:eastAsia="ja-JP"/>
        </w:rPr>
      </w:pPr>
      <w:r w:rsidRPr="00B56376">
        <w:rPr>
          <w:color w:val="000000"/>
        </w:rPr>
        <w:t xml:space="preserve">In the </w:t>
      </w:r>
      <w:r w:rsidR="00F14099">
        <w:rPr>
          <w:color w:val="000000"/>
        </w:rPr>
        <w:t>Ertugliflozin/metformin</w:t>
      </w:r>
      <w:r w:rsidR="006D7D02">
        <w:rPr>
          <w:color w:val="000000"/>
        </w:rPr>
        <w:t xml:space="preserve"> </w:t>
      </w:r>
      <w:r w:rsidRPr="00B56376">
        <w:rPr>
          <w:color w:val="000000"/>
        </w:rPr>
        <w:t>FDC Pool, ertugliflozin</w:t>
      </w:r>
      <w:r>
        <w:rPr>
          <w:color w:val="000000"/>
        </w:rPr>
        <w:t xml:space="preserve"> </w:t>
      </w:r>
      <w:r w:rsidRPr="00B56376">
        <w:rPr>
          <w:color w:val="000000"/>
        </w:rPr>
        <w:t>15</w:t>
      </w:r>
      <w:r w:rsidR="009802FE">
        <w:rPr>
          <w:color w:val="000000"/>
        </w:rPr>
        <w:t xml:space="preserve"> </w:t>
      </w:r>
      <w:r w:rsidR="006D7D02">
        <w:rPr>
          <w:color w:val="000000"/>
        </w:rPr>
        <w:t>mg</w:t>
      </w:r>
      <w:r w:rsidRPr="00B56376">
        <w:rPr>
          <w:color w:val="000000"/>
        </w:rPr>
        <w:t xml:space="preserve"> provided a numerically greater reduction in </w:t>
      </w:r>
      <w:r>
        <w:rPr>
          <w:color w:val="000000"/>
        </w:rPr>
        <w:t>Hb</w:t>
      </w:r>
      <w:r w:rsidR="00A04B32">
        <w:rPr>
          <w:color w:val="000000"/>
        </w:rPr>
        <w:t>A1C</w:t>
      </w:r>
      <w:r w:rsidRPr="00B56376">
        <w:rPr>
          <w:color w:val="000000"/>
        </w:rPr>
        <w:t xml:space="preserve"> (approximately 0.14%) compared to</w:t>
      </w:r>
      <w:r>
        <w:rPr>
          <w:color w:val="000000"/>
        </w:rPr>
        <w:t xml:space="preserve"> </w:t>
      </w:r>
      <w:r w:rsidRPr="00B56376">
        <w:rPr>
          <w:color w:val="000000"/>
        </w:rPr>
        <w:t>ertugliflozin 5</w:t>
      </w:r>
      <w:r w:rsidR="009802FE">
        <w:rPr>
          <w:color w:val="000000"/>
        </w:rPr>
        <w:t xml:space="preserve"> </w:t>
      </w:r>
      <w:r w:rsidR="006D7D02">
        <w:rPr>
          <w:color w:val="000000"/>
        </w:rPr>
        <w:t>mg</w:t>
      </w:r>
      <w:r w:rsidRPr="00B56376">
        <w:rPr>
          <w:color w:val="000000"/>
        </w:rPr>
        <w:t xml:space="preserve">. In all 4 Phase </w:t>
      </w:r>
      <w:r>
        <w:rPr>
          <w:color w:val="000000"/>
        </w:rPr>
        <w:t>III</w:t>
      </w:r>
      <w:r w:rsidRPr="00B56376">
        <w:rPr>
          <w:color w:val="000000"/>
        </w:rPr>
        <w:t xml:space="preserve"> studies, a numerically greater proportion of subjects</w:t>
      </w:r>
      <w:r>
        <w:rPr>
          <w:color w:val="000000"/>
        </w:rPr>
        <w:t xml:space="preserve"> </w:t>
      </w:r>
      <w:r w:rsidRPr="00B56376">
        <w:rPr>
          <w:color w:val="000000"/>
        </w:rPr>
        <w:t xml:space="preserve">reached </w:t>
      </w:r>
      <w:r w:rsidR="00A04B32">
        <w:rPr>
          <w:color w:val="000000"/>
        </w:rPr>
        <w:t>A1C</w:t>
      </w:r>
      <w:r w:rsidRPr="00B56376">
        <w:rPr>
          <w:color w:val="000000"/>
        </w:rPr>
        <w:t xml:space="preserve"> &lt;</w:t>
      </w:r>
      <w:r>
        <w:rPr>
          <w:color w:val="000000"/>
        </w:rPr>
        <w:t> </w:t>
      </w:r>
      <w:r w:rsidRPr="00B56376">
        <w:rPr>
          <w:color w:val="000000"/>
        </w:rPr>
        <w:t>7.0% with ertugliflozin 15</w:t>
      </w:r>
      <w:r w:rsidR="009802FE">
        <w:rPr>
          <w:color w:val="000000"/>
        </w:rPr>
        <w:t xml:space="preserve"> </w:t>
      </w:r>
      <w:r w:rsidR="006D7D02">
        <w:rPr>
          <w:color w:val="000000"/>
        </w:rPr>
        <w:t>mg</w:t>
      </w:r>
      <w:r w:rsidRPr="00B56376">
        <w:rPr>
          <w:color w:val="000000"/>
        </w:rPr>
        <w:t xml:space="preserve"> compared with 5</w:t>
      </w:r>
      <w:r w:rsidR="009802FE">
        <w:rPr>
          <w:color w:val="000000"/>
        </w:rPr>
        <w:t xml:space="preserve"> </w:t>
      </w:r>
      <w:r w:rsidR="006D7D02">
        <w:rPr>
          <w:color w:val="000000"/>
        </w:rPr>
        <w:t>mg</w:t>
      </w:r>
      <w:r w:rsidRPr="00B56376">
        <w:rPr>
          <w:color w:val="000000"/>
        </w:rPr>
        <w:t>. The</w:t>
      </w:r>
      <w:r>
        <w:rPr>
          <w:color w:val="000000"/>
        </w:rPr>
        <w:t xml:space="preserve"> </w:t>
      </w:r>
      <w:r w:rsidRPr="00B56376">
        <w:rPr>
          <w:color w:val="000000"/>
        </w:rPr>
        <w:t xml:space="preserve">small but consistently greater </w:t>
      </w:r>
      <w:r>
        <w:rPr>
          <w:color w:val="000000"/>
        </w:rPr>
        <w:t>Hb</w:t>
      </w:r>
      <w:r w:rsidR="00A04B32">
        <w:rPr>
          <w:color w:val="000000"/>
        </w:rPr>
        <w:t>A1C</w:t>
      </w:r>
      <w:r w:rsidRPr="00B56376">
        <w:rPr>
          <w:color w:val="000000"/>
        </w:rPr>
        <w:t xml:space="preserve"> reduction from baseline with ertugliflozin 15</w:t>
      </w:r>
      <w:r w:rsidR="009802FE">
        <w:rPr>
          <w:color w:val="000000"/>
        </w:rPr>
        <w:t xml:space="preserve"> </w:t>
      </w:r>
      <w:r w:rsidR="006D7D02">
        <w:rPr>
          <w:color w:val="000000"/>
        </w:rPr>
        <w:t>mg</w:t>
      </w:r>
      <w:r w:rsidRPr="00B56376">
        <w:rPr>
          <w:color w:val="000000"/>
        </w:rPr>
        <w:t xml:space="preserve"> over</w:t>
      </w:r>
      <w:r>
        <w:rPr>
          <w:color w:val="000000"/>
        </w:rPr>
        <w:t xml:space="preserve"> </w:t>
      </w:r>
      <w:r w:rsidRPr="00B56376">
        <w:rPr>
          <w:color w:val="000000"/>
        </w:rPr>
        <w:t>ertugliflozin 5</w:t>
      </w:r>
      <w:r w:rsidR="009802FE">
        <w:rPr>
          <w:color w:val="000000"/>
        </w:rPr>
        <w:t xml:space="preserve"> </w:t>
      </w:r>
      <w:r w:rsidR="006D7D02">
        <w:rPr>
          <w:color w:val="000000"/>
        </w:rPr>
        <w:t>mg</w:t>
      </w:r>
      <w:r w:rsidRPr="00B56376">
        <w:rPr>
          <w:color w:val="000000"/>
        </w:rPr>
        <w:t xml:space="preserve"> may have an impact on the ability of patients to reach their </w:t>
      </w:r>
      <w:r>
        <w:rPr>
          <w:color w:val="000000"/>
        </w:rPr>
        <w:t>Hb</w:t>
      </w:r>
      <w:r w:rsidR="00A04B32">
        <w:rPr>
          <w:color w:val="000000"/>
        </w:rPr>
        <w:t>A1C</w:t>
      </w:r>
      <w:r w:rsidRPr="00B56376">
        <w:rPr>
          <w:color w:val="000000"/>
        </w:rPr>
        <w:t xml:space="preserve"> goal.</w:t>
      </w:r>
    </w:p>
    <w:p w14:paraId="70203D11" w14:textId="77777777" w:rsidR="006E3971" w:rsidRPr="006034C5" w:rsidRDefault="006E3971">
      <w:r w:rsidRPr="006034C5">
        <w:t>The mechanism of action of ertugliflozin and metformin and the safety profiles of each agent</w:t>
      </w:r>
      <w:r>
        <w:t xml:space="preserve"> </w:t>
      </w:r>
      <w:r w:rsidRPr="006034C5">
        <w:t>do not suggest significant safety or tolerability risks related to the combination of the</w:t>
      </w:r>
      <w:r>
        <w:t xml:space="preserve"> </w:t>
      </w:r>
      <w:r w:rsidRPr="006034C5">
        <w:t>2 agents.</w:t>
      </w:r>
      <w:r>
        <w:t xml:space="preserve"> </w:t>
      </w:r>
      <w:r w:rsidRPr="006034C5">
        <w:t xml:space="preserve">The safety data from the 4 Phase </w:t>
      </w:r>
      <w:r>
        <w:t xml:space="preserve">III </w:t>
      </w:r>
      <w:r w:rsidRPr="006034C5">
        <w:t>studies are entirely consistent with the safety data from the overall ertugliflozin program</w:t>
      </w:r>
      <w:r>
        <w:t xml:space="preserve"> </w:t>
      </w:r>
      <w:r w:rsidRPr="006034C5">
        <w:t xml:space="preserve">(7 Phase </w:t>
      </w:r>
      <w:r>
        <w:t>III</w:t>
      </w:r>
      <w:r w:rsidRPr="006034C5">
        <w:t xml:space="preserve"> studies). Overall, studies on a background of metformin identified no</w:t>
      </w:r>
      <w:r>
        <w:t xml:space="preserve"> </w:t>
      </w:r>
      <w:r w:rsidRPr="006034C5">
        <w:t>additional safety or tolerability risk for the combination relative to the 2 agents administered</w:t>
      </w:r>
      <w:r>
        <w:t xml:space="preserve"> </w:t>
      </w:r>
      <w:r w:rsidRPr="006034C5">
        <w:t>alone.</w:t>
      </w:r>
    </w:p>
    <w:p w14:paraId="1FD3A4BF" w14:textId="29D8437C" w:rsidR="006E3971" w:rsidRPr="00873921" w:rsidRDefault="006E3971">
      <w:r w:rsidRPr="006814E4">
        <w:t>The</w:t>
      </w:r>
      <w:r>
        <w:t xml:space="preserve"> </w:t>
      </w:r>
      <w:r w:rsidRPr="006814E4">
        <w:t>ertugliflozin/metformin FDC will contain an immediate-release formulation of metformin,</w:t>
      </w:r>
      <w:r>
        <w:t xml:space="preserve"> </w:t>
      </w:r>
      <w:r w:rsidRPr="006814E4">
        <w:t xml:space="preserve">which </w:t>
      </w:r>
      <w:r>
        <w:t>requires twice daily dosing</w:t>
      </w:r>
      <w:r w:rsidRPr="006814E4">
        <w:t xml:space="preserve">. Therefore, the ertugliflozin/metformin FDC </w:t>
      </w:r>
      <w:r>
        <w:t xml:space="preserve">also requires twice daily dosing. </w:t>
      </w:r>
      <w:r w:rsidRPr="006814E4">
        <w:t>Bridging</w:t>
      </w:r>
      <w:r>
        <w:t xml:space="preserve"> of the once daily ertugliflozin dosing </w:t>
      </w:r>
      <w:r w:rsidRPr="006814E4">
        <w:t>regimen used in the Phase</w:t>
      </w:r>
      <w:r>
        <w:t xml:space="preserve"> III</w:t>
      </w:r>
      <w:r w:rsidRPr="006814E4">
        <w:t xml:space="preserve"> studies to the proposed bid regimen for the FDC was</w:t>
      </w:r>
      <w:r>
        <w:t xml:space="preserve"> shown</w:t>
      </w:r>
      <w:r w:rsidR="006D7D02">
        <w:t xml:space="preserve"> </w:t>
      </w:r>
      <w:r w:rsidRPr="006814E4">
        <w:t>through a Phase 1 PK/PD study (</w:t>
      </w:r>
      <w:r w:rsidR="008558E5">
        <w:t>Study</w:t>
      </w:r>
      <w:r w:rsidR="008558E5" w:rsidRPr="006814E4">
        <w:t xml:space="preserve"> </w:t>
      </w:r>
      <w:r w:rsidRPr="006814E4">
        <w:t>P035/1051) which showed equivalence</w:t>
      </w:r>
      <w:r>
        <w:t xml:space="preserve"> </w:t>
      </w:r>
      <w:r w:rsidRPr="006814E4">
        <w:t>of steady-state ertugliflozin AUC</w:t>
      </w:r>
      <w:r w:rsidRPr="006E3971">
        <w:rPr>
          <w:vertAlign w:val="subscript"/>
        </w:rPr>
        <w:t>0-24</w:t>
      </w:r>
      <w:r w:rsidRPr="006814E4">
        <w:t xml:space="preserve"> on Day 6, and similarity in steady state PD (UGE</w:t>
      </w:r>
      <w:r w:rsidRPr="006E3971">
        <w:rPr>
          <w:vertAlign w:val="subscript"/>
        </w:rPr>
        <w:t>0-24</w:t>
      </w:r>
      <w:r>
        <w:t xml:space="preserve"> </w:t>
      </w:r>
      <w:r w:rsidRPr="006814E4">
        <w:t xml:space="preserve">after the morning dose on Day 6), between the qd and </w:t>
      </w:r>
      <w:r w:rsidR="00AD51CF">
        <w:t>BD</w:t>
      </w:r>
      <w:r w:rsidRPr="006814E4">
        <w:t xml:space="preserve"> regimens at the same total daily</w:t>
      </w:r>
      <w:r>
        <w:t xml:space="preserve"> </w:t>
      </w:r>
      <w:r w:rsidRPr="006814E4">
        <w:t>dose (2.5</w:t>
      </w:r>
      <w:r w:rsidR="00715B39">
        <w:t xml:space="preserve"> </w:t>
      </w:r>
      <w:r w:rsidR="006D7D02">
        <w:t>mg</w:t>
      </w:r>
      <w:r w:rsidRPr="006814E4">
        <w:t xml:space="preserve"> </w:t>
      </w:r>
      <w:r w:rsidR="00AD51CF">
        <w:t>BD</w:t>
      </w:r>
      <w:r w:rsidRPr="006814E4">
        <w:t xml:space="preserve"> v</w:t>
      </w:r>
      <w:r w:rsidR="000D7983">
        <w:t>ersu</w:t>
      </w:r>
      <w:r w:rsidRPr="006814E4">
        <w:t>s 5</w:t>
      </w:r>
      <w:r w:rsidR="00715B39">
        <w:t xml:space="preserve"> </w:t>
      </w:r>
      <w:r w:rsidR="006D7D02">
        <w:t>mg</w:t>
      </w:r>
      <w:r w:rsidR="000D7983">
        <w:t xml:space="preserve"> QD</w:t>
      </w:r>
      <w:r w:rsidRPr="006814E4">
        <w:t xml:space="preserve"> and 7.5</w:t>
      </w:r>
      <w:r w:rsidR="00715B39">
        <w:t xml:space="preserve"> </w:t>
      </w:r>
      <w:r w:rsidR="006D7D02">
        <w:t>mg</w:t>
      </w:r>
      <w:r w:rsidRPr="006814E4">
        <w:t xml:space="preserve"> </w:t>
      </w:r>
      <w:r w:rsidR="00AD51CF">
        <w:t>BD</w:t>
      </w:r>
      <w:r w:rsidRPr="006814E4">
        <w:t xml:space="preserve"> v</w:t>
      </w:r>
      <w:r w:rsidR="000D7983">
        <w:t>ersu</w:t>
      </w:r>
      <w:r w:rsidRPr="006814E4">
        <w:t>s 15</w:t>
      </w:r>
      <w:r w:rsidR="00715B39">
        <w:t xml:space="preserve"> </w:t>
      </w:r>
      <w:r w:rsidR="006D7D02">
        <w:t>mg</w:t>
      </w:r>
      <w:r w:rsidRPr="006814E4">
        <w:t xml:space="preserve"> </w:t>
      </w:r>
      <w:r w:rsidR="000D7983">
        <w:t>QD</w:t>
      </w:r>
      <w:r w:rsidRPr="006814E4">
        <w:t>). This study</w:t>
      </w:r>
      <w:r>
        <w:t xml:space="preserve"> </w:t>
      </w:r>
      <w:r w:rsidRPr="006814E4">
        <w:t xml:space="preserve">supports </w:t>
      </w:r>
      <w:r w:rsidR="00AD51CF">
        <w:t>BD</w:t>
      </w:r>
      <w:r w:rsidRPr="006814E4">
        <w:t xml:space="preserve"> dosing of the ertugliflozin-metformin FDC.</w:t>
      </w:r>
      <w:r>
        <w:t xml:space="preserve"> However, it is important to note that there was no clinical study to compare the clinical efficacy/safety of once v</w:t>
      </w:r>
      <w:r w:rsidR="000D7983">
        <w:t>ersu</w:t>
      </w:r>
      <w:r>
        <w:t xml:space="preserve">s twice daily ertugliflozin dosing. Furthermore, two FDCs containing a SGLT-2 inhibitor and metformin are already available in Australia: </w:t>
      </w:r>
      <w:r w:rsidR="000D7983">
        <w:t>Xigduo</w:t>
      </w:r>
      <w:r>
        <w:t xml:space="preserve">-XR: FDC of dapagliflozin+metformin which requires once daily dosing, and </w:t>
      </w:r>
      <w:r w:rsidR="000D7983">
        <w:t>Jardiamet</w:t>
      </w:r>
      <w:r>
        <w:t xml:space="preserve">: FDC containing empagliflozin and metformin which requires twice daily dosing. It is important to note that empagliflozin has added advantage of being approved in adults with </w:t>
      </w:r>
      <w:r w:rsidR="000D7983">
        <w:t>T2DM</w:t>
      </w:r>
      <w:r>
        <w:t xml:space="preserve"> and established cardiovascular disease to reduce the risk of cardiovascular death. This is especially important in light of the fact that no CV data was </w:t>
      </w:r>
      <w:r w:rsidRPr="00873921">
        <w:t xml:space="preserve">submitted for ertugliflozin. There is also lack of adequate evidence for </w:t>
      </w:r>
      <w:r w:rsidR="000D7983" w:rsidRPr="00873921">
        <w:t>long term</w:t>
      </w:r>
      <w:r w:rsidRPr="00873921">
        <w:t xml:space="preserve"> efficacy/safety of ertugliflozin (refer to Steglatro report submission).</w:t>
      </w:r>
    </w:p>
    <w:p w14:paraId="1563F8B3" w14:textId="1CD5531E" w:rsidR="006E3971" w:rsidRPr="00A04509" w:rsidRDefault="006E3971" w:rsidP="00A04509">
      <w:pPr>
        <w:pStyle w:val="BodyText"/>
      </w:pPr>
      <w:r w:rsidRPr="00A04509">
        <w:t xml:space="preserve">Overall, the benefit-risk profile Segluromet (FDC of </w:t>
      </w:r>
      <w:r w:rsidR="00A04509" w:rsidRPr="00873921">
        <w:rPr>
          <w:rFonts w:eastAsia="TimesNewRoman" w:cs="TimesNewRoman"/>
        </w:rPr>
        <w:t>ertugliflozin</w:t>
      </w:r>
      <w:r w:rsidR="00A04509">
        <w:rPr>
          <w:rFonts w:eastAsia="TimesNewRoman" w:cs="TimesNewRoman"/>
        </w:rPr>
        <w:t> </w:t>
      </w:r>
      <w:r w:rsidR="00A04509" w:rsidRPr="00873921">
        <w:rPr>
          <w:rFonts w:eastAsia="TimesNewRoman" w:cs="TimesNewRoman"/>
        </w:rPr>
        <w:t>+</w:t>
      </w:r>
      <w:r w:rsidR="00A04509">
        <w:rPr>
          <w:rFonts w:eastAsia="TimesNewRoman" w:cs="TimesNewRoman"/>
        </w:rPr>
        <w:t> </w:t>
      </w:r>
      <w:r w:rsidR="00A04509" w:rsidRPr="00873921">
        <w:rPr>
          <w:rFonts w:eastAsia="TimesNewRoman" w:cs="TimesNewRoman"/>
        </w:rPr>
        <w:t>metformin</w:t>
      </w:r>
      <w:r w:rsidRPr="00A04509">
        <w:t xml:space="preserve">) in the proposed usage is not currently </w:t>
      </w:r>
      <w:r w:rsidR="00A04509" w:rsidRPr="00A04509">
        <w:t>favo</w:t>
      </w:r>
      <w:r w:rsidR="00A04509">
        <w:t>u</w:t>
      </w:r>
      <w:r w:rsidR="00A04509" w:rsidRPr="00A04509">
        <w:t>rable</w:t>
      </w:r>
      <w:r w:rsidRPr="00A04509">
        <w:t xml:space="preserve"> but may become </w:t>
      </w:r>
      <w:r w:rsidR="00A04509" w:rsidRPr="00A04509">
        <w:t>favo</w:t>
      </w:r>
      <w:r w:rsidR="00A04509">
        <w:t>u</w:t>
      </w:r>
      <w:r w:rsidR="00A04509" w:rsidRPr="00A04509">
        <w:t>rable</w:t>
      </w:r>
      <w:r w:rsidRPr="00A04509">
        <w:t xml:space="preserve"> if the changes recommended</w:t>
      </w:r>
      <w:r w:rsidR="000D7983" w:rsidRPr="00A04509">
        <w:t xml:space="preserve"> to Steglatro are resolved, the PI recommendations </w:t>
      </w:r>
      <w:r w:rsidRPr="00A04509">
        <w:t>are adopted</w:t>
      </w:r>
      <w:r w:rsidR="000D7983" w:rsidRPr="00A04509">
        <w:t xml:space="preserve"> and the Clinical questions satisfactorily responded to.</w:t>
      </w:r>
    </w:p>
    <w:p w14:paraId="37489F2E" w14:textId="77777777" w:rsidR="00C008B6" w:rsidRPr="00545B14" w:rsidRDefault="00C008B6" w:rsidP="002048D4">
      <w:pPr>
        <w:pStyle w:val="Heading5"/>
      </w:pPr>
      <w:bookmarkStart w:id="249" w:name="_Toc504037351"/>
      <w:r w:rsidRPr="00545B14">
        <w:t xml:space="preserve">Second round assessment of benefit-risk </w:t>
      </w:r>
      <w:bookmarkEnd w:id="243"/>
      <w:bookmarkEnd w:id="244"/>
      <w:bookmarkEnd w:id="245"/>
      <w:bookmarkEnd w:id="246"/>
      <w:r>
        <w:t>balance</w:t>
      </w:r>
      <w:bookmarkEnd w:id="247"/>
      <w:bookmarkEnd w:id="248"/>
      <w:bookmarkEnd w:id="249"/>
    </w:p>
    <w:p w14:paraId="780F6B5E" w14:textId="77777777" w:rsidR="00C008B6" w:rsidRDefault="00C008B6" w:rsidP="00792F49">
      <w:pPr>
        <w:rPr>
          <w:lang w:eastAsia="ja-JP"/>
        </w:rPr>
      </w:pPr>
      <w:r>
        <w:rPr>
          <w:lang w:eastAsia="ja-JP"/>
        </w:rPr>
        <w:t>The benefit-risk balance of ertugliflozin (</w:t>
      </w:r>
      <w:r w:rsidR="00792F49">
        <w:rPr>
          <w:lang w:eastAsia="ja-JP"/>
        </w:rPr>
        <w:t>Steglatro</w:t>
      </w:r>
      <w:r>
        <w:rPr>
          <w:lang w:eastAsia="ja-JP"/>
        </w:rPr>
        <w:t>), given the proposed usage is favourable.</w:t>
      </w:r>
    </w:p>
    <w:p w14:paraId="0296F62E" w14:textId="77777777" w:rsidR="00C008B6" w:rsidRDefault="00C008B6" w:rsidP="00792F49">
      <w:pPr>
        <w:rPr>
          <w:lang w:eastAsia="ja-JP"/>
        </w:rPr>
      </w:pPr>
      <w:r>
        <w:rPr>
          <w:lang w:eastAsia="ja-JP"/>
        </w:rPr>
        <w:t>All the clinical questions raised in the first round report have been addressed satisfactorily. Furthermore, all changes recommended by the evaluators to the draft PI in the first round report have been incorporated.</w:t>
      </w:r>
    </w:p>
    <w:p w14:paraId="746EEDF1" w14:textId="77777777" w:rsidR="00C008B6" w:rsidRDefault="00C008B6" w:rsidP="002048D4">
      <w:pPr>
        <w:pStyle w:val="Heading4"/>
      </w:pPr>
      <w:bookmarkStart w:id="250" w:name="_Toc504037352"/>
      <w:r>
        <w:t>Second round recommendation regarding authorisation</w:t>
      </w:r>
      <w:bookmarkEnd w:id="250"/>
    </w:p>
    <w:p w14:paraId="5EAB2F56" w14:textId="77777777" w:rsidR="00C008B6" w:rsidRPr="00F1309A" w:rsidRDefault="00C008B6" w:rsidP="00C008B6">
      <w:pPr>
        <w:autoSpaceDE w:val="0"/>
        <w:autoSpaceDN w:val="0"/>
        <w:adjustRightInd w:val="0"/>
        <w:spacing w:line="240" w:lineRule="auto"/>
        <w:rPr>
          <w:rFonts w:cs="Calibri"/>
        </w:rPr>
      </w:pPr>
      <w:r w:rsidRPr="00F1309A">
        <w:rPr>
          <w:rFonts w:cs="Calibri"/>
        </w:rPr>
        <w:t xml:space="preserve">Approval of </w:t>
      </w:r>
      <w:r w:rsidR="00792F49" w:rsidRPr="00F1309A">
        <w:rPr>
          <w:rFonts w:cs="Calibri"/>
        </w:rPr>
        <w:t xml:space="preserve">Segluromet </w:t>
      </w:r>
      <w:r w:rsidRPr="00F1309A">
        <w:rPr>
          <w:rFonts w:cs="Calibri"/>
        </w:rPr>
        <w:t xml:space="preserve">(ertugliflozin </w:t>
      </w:r>
      <w:r w:rsidR="00F14099" w:rsidRPr="00F1309A">
        <w:rPr>
          <w:rFonts w:cs="Calibri"/>
        </w:rPr>
        <w:t>and</w:t>
      </w:r>
      <w:r w:rsidRPr="00F1309A">
        <w:rPr>
          <w:rFonts w:cs="Calibri"/>
        </w:rPr>
        <w:t xml:space="preserve"> metformin FDC) is recommended for the following indication:</w:t>
      </w:r>
    </w:p>
    <w:p w14:paraId="6843DF84" w14:textId="77777777" w:rsidR="00C008B6" w:rsidRPr="00F1309A" w:rsidRDefault="00792F49" w:rsidP="00792F49">
      <w:pPr>
        <w:autoSpaceDE w:val="0"/>
        <w:autoSpaceDN w:val="0"/>
        <w:adjustRightInd w:val="0"/>
        <w:spacing w:line="240" w:lineRule="auto"/>
        <w:ind w:left="720"/>
        <w:rPr>
          <w:rFonts w:eastAsiaTheme="minorHAnsi" w:cs="Calibri"/>
          <w:i/>
        </w:rPr>
      </w:pPr>
      <w:r w:rsidRPr="00F1309A">
        <w:rPr>
          <w:rFonts w:eastAsiaTheme="minorHAnsi" w:cs="Calibri"/>
          <w:i/>
        </w:rPr>
        <w:t xml:space="preserve">Segluromet </w:t>
      </w:r>
      <w:r w:rsidR="00C008B6" w:rsidRPr="00F1309A">
        <w:rPr>
          <w:rFonts w:eastAsiaTheme="minorHAnsi" w:cs="Calibri"/>
          <w:i/>
        </w:rPr>
        <w:t xml:space="preserve">(ertugliflozin and metformin hydrochloride) is indicated as an adjunct to diet and exercise to improve glycaemic control in adults with type 2 diabetes mellitus </w:t>
      </w:r>
      <w:r w:rsidR="00C008B6" w:rsidRPr="00F1309A">
        <w:rPr>
          <w:rFonts w:eastAsiaTheme="minorHAnsi" w:cs="Calibri"/>
          <w:i/>
        </w:rPr>
        <w:lastRenderedPageBreak/>
        <w:t>when treatment with both ertugliflozin and metformin is appropriate. (</w:t>
      </w:r>
      <w:r w:rsidRPr="00F1309A">
        <w:rPr>
          <w:rFonts w:eastAsiaTheme="minorHAnsi" w:cs="Calibri"/>
          <w:i/>
        </w:rPr>
        <w:t>Refer Clinical Trials</w:t>
      </w:r>
      <w:r w:rsidR="00C008B6" w:rsidRPr="00F1309A">
        <w:rPr>
          <w:rFonts w:eastAsiaTheme="minorHAnsi" w:cs="Calibri"/>
          <w:i/>
        </w:rPr>
        <w:t xml:space="preserve">, </w:t>
      </w:r>
      <w:r w:rsidRPr="00F1309A">
        <w:rPr>
          <w:rFonts w:eastAsiaTheme="minorHAnsi" w:cs="Calibri"/>
          <w:i/>
        </w:rPr>
        <w:t xml:space="preserve">Dosage </w:t>
      </w:r>
      <w:r>
        <w:rPr>
          <w:rFonts w:eastAsiaTheme="minorHAnsi" w:cs="Calibri"/>
          <w:i/>
        </w:rPr>
        <w:t>a</w:t>
      </w:r>
      <w:r w:rsidRPr="00F1309A">
        <w:rPr>
          <w:rFonts w:eastAsiaTheme="minorHAnsi" w:cs="Calibri"/>
          <w:i/>
        </w:rPr>
        <w:t>nd Administration</w:t>
      </w:r>
      <w:r w:rsidR="00C008B6" w:rsidRPr="00F1309A">
        <w:rPr>
          <w:rFonts w:eastAsiaTheme="minorHAnsi" w:cs="Calibri"/>
          <w:i/>
        </w:rPr>
        <w:t>).</w:t>
      </w:r>
    </w:p>
    <w:p w14:paraId="0EE2ACAA" w14:textId="77777777" w:rsidR="00C008B6" w:rsidRPr="00F1309A" w:rsidRDefault="00C008B6" w:rsidP="00792F49">
      <w:pPr>
        <w:rPr>
          <w:lang w:eastAsia="ja-JP"/>
        </w:rPr>
      </w:pPr>
      <w:r w:rsidRPr="00F1309A">
        <w:rPr>
          <w:lang w:eastAsia="ja-JP"/>
        </w:rPr>
        <w:t>Approval for the above indicati</w:t>
      </w:r>
      <w:r>
        <w:rPr>
          <w:lang w:eastAsia="ja-JP"/>
        </w:rPr>
        <w:t>on is subject to the following:</w:t>
      </w:r>
    </w:p>
    <w:p w14:paraId="2906A3D7" w14:textId="5896CD43" w:rsidR="00C008B6" w:rsidRPr="00F1309A" w:rsidRDefault="00C008B6" w:rsidP="00792F49">
      <w:pPr>
        <w:pStyle w:val="ListBullet"/>
        <w:rPr>
          <w:lang w:eastAsia="ja-JP"/>
        </w:rPr>
      </w:pPr>
      <w:r w:rsidRPr="00F1309A">
        <w:rPr>
          <w:lang w:eastAsia="ja-JP"/>
        </w:rPr>
        <w:t xml:space="preserve">Results from the ongoing Phase B of all 7 </w:t>
      </w:r>
      <w:r w:rsidR="00F97771">
        <w:rPr>
          <w:lang w:eastAsia="ja-JP"/>
        </w:rPr>
        <w:t>Phase III</w:t>
      </w:r>
      <w:r w:rsidRPr="00F1309A">
        <w:rPr>
          <w:lang w:eastAsia="ja-JP"/>
        </w:rPr>
        <w:t xml:space="preserve"> studies should be submitted to enable assessment of long-term efficacy and safety of ertugliflozin component of the proposed FDC.</w:t>
      </w:r>
    </w:p>
    <w:p w14:paraId="7EC83DC7" w14:textId="4D628BB7" w:rsidR="00C008B6" w:rsidRPr="00F1309A" w:rsidRDefault="00C008B6" w:rsidP="00792F49">
      <w:pPr>
        <w:pStyle w:val="ListBullet"/>
        <w:rPr>
          <w:lang w:eastAsia="ja-JP"/>
        </w:rPr>
      </w:pPr>
      <w:r w:rsidRPr="00F1309A">
        <w:rPr>
          <w:rFonts w:eastAsia="TimesNewRoman" w:cs="TimesNewRoman"/>
          <w:color w:val="000000"/>
        </w:rPr>
        <w:t xml:space="preserve">Submission of results of the cardiovascular meta-analysis (CVMA) of adjudicated, confirmed CV events from the </w:t>
      </w:r>
      <w:r w:rsidR="00C3563C">
        <w:rPr>
          <w:rFonts w:eastAsia="TimesNewRoman" w:cs="TimesNewRoman"/>
          <w:color w:val="000000"/>
        </w:rPr>
        <w:t>Phase II</w:t>
      </w:r>
      <w:r w:rsidRPr="00F1309A">
        <w:rPr>
          <w:rFonts w:eastAsia="TimesNewRoman" w:cs="TimesNewRoman"/>
          <w:color w:val="000000"/>
        </w:rPr>
        <w:t>/</w:t>
      </w:r>
      <w:r w:rsidR="00792F49">
        <w:rPr>
          <w:rFonts w:eastAsia="TimesNewRoman" w:cs="TimesNewRoman"/>
          <w:color w:val="000000"/>
        </w:rPr>
        <w:t>III</w:t>
      </w:r>
      <w:r w:rsidRPr="00F1309A">
        <w:rPr>
          <w:rFonts w:eastAsia="TimesNewRoman" w:cs="TimesNewRoman"/>
          <w:color w:val="000000"/>
        </w:rPr>
        <w:t xml:space="preserve"> studies and</w:t>
      </w:r>
      <w:r w:rsidRPr="00F1309A">
        <w:rPr>
          <w:rFonts w:eastAsia="TimesNewRoman" w:cs="TimesNewRoman"/>
        </w:rPr>
        <w:t xml:space="preserve"> from the ongoing CV outcome study (</w:t>
      </w:r>
      <w:r w:rsidR="00A04509">
        <w:t>Study</w:t>
      </w:r>
      <w:r w:rsidR="00A04509" w:rsidRPr="00F1309A">
        <w:rPr>
          <w:rFonts w:eastAsia="TimesNewRoman" w:cs="TimesNewRoman"/>
        </w:rPr>
        <w:t xml:space="preserve"> </w:t>
      </w:r>
      <w:r w:rsidRPr="00F1309A">
        <w:rPr>
          <w:rFonts w:eastAsia="TimesNewRoman" w:cs="TimesNewRoman"/>
        </w:rPr>
        <w:t>P004/1021) upon completion.</w:t>
      </w:r>
    </w:p>
    <w:p w14:paraId="62F6F0DB" w14:textId="77777777" w:rsidR="008E7846" w:rsidRPr="00E41208" w:rsidRDefault="008E7846" w:rsidP="00546154">
      <w:pPr>
        <w:pStyle w:val="Heading2"/>
      </w:pPr>
      <w:bookmarkStart w:id="251" w:name="_Toc4405832"/>
      <w:r w:rsidRPr="00E41208">
        <w:t>V</w:t>
      </w:r>
      <w:r w:rsidR="00500337">
        <w:t>I</w:t>
      </w:r>
      <w:r w:rsidRPr="00E41208">
        <w:t xml:space="preserve">. Pharmacovigilance </w:t>
      </w:r>
      <w:r>
        <w:t>f</w:t>
      </w:r>
      <w:r w:rsidRPr="00E41208">
        <w:t>indings</w:t>
      </w:r>
      <w:bookmarkEnd w:id="230"/>
      <w:bookmarkEnd w:id="231"/>
      <w:bookmarkEnd w:id="251"/>
    </w:p>
    <w:p w14:paraId="3682DB40" w14:textId="374FDEB8" w:rsidR="008E7846" w:rsidRDefault="00465723" w:rsidP="00DB087D">
      <w:pPr>
        <w:pStyle w:val="Heading3"/>
        <w:rPr>
          <w:lang w:eastAsia="en-AU"/>
        </w:rPr>
      </w:pPr>
      <w:bookmarkStart w:id="252" w:name="_Toc247691526"/>
      <w:bookmarkStart w:id="253" w:name="_Toc314842509"/>
      <w:bookmarkStart w:id="254" w:name="_Toc4405833"/>
      <w:r>
        <w:rPr>
          <w:lang w:eastAsia="en-AU"/>
        </w:rPr>
        <w:t>Steglatro r</w:t>
      </w:r>
      <w:r w:rsidR="00386150">
        <w:rPr>
          <w:lang w:eastAsia="en-AU"/>
        </w:rPr>
        <w:t xml:space="preserve">isk </w:t>
      </w:r>
      <w:r w:rsidR="00386150" w:rsidRPr="00DB087D">
        <w:t>m</w:t>
      </w:r>
      <w:r w:rsidR="008E7846" w:rsidRPr="00DB087D">
        <w:t>anagement</w:t>
      </w:r>
      <w:r w:rsidR="008E7846">
        <w:rPr>
          <w:lang w:eastAsia="en-AU"/>
        </w:rPr>
        <w:t xml:space="preserve"> </w:t>
      </w:r>
      <w:r w:rsidR="00386150">
        <w:rPr>
          <w:lang w:eastAsia="en-AU"/>
        </w:rPr>
        <w:t>p</w:t>
      </w:r>
      <w:r w:rsidR="008E7846">
        <w:rPr>
          <w:lang w:eastAsia="en-AU"/>
        </w:rPr>
        <w:t>lan</w:t>
      </w:r>
      <w:bookmarkEnd w:id="252"/>
      <w:bookmarkEnd w:id="253"/>
      <w:bookmarkEnd w:id="254"/>
    </w:p>
    <w:p w14:paraId="5521E9FC" w14:textId="2C4D5EC1" w:rsidR="00AC1730" w:rsidRPr="00886C8E" w:rsidRDefault="00AC1730" w:rsidP="00DB087D">
      <w:pPr>
        <w:pStyle w:val="ListBullet"/>
      </w:pPr>
      <w:bookmarkStart w:id="255" w:name="_Toc247691527"/>
      <w:bookmarkStart w:id="256" w:name="_Toc314842510"/>
      <w:r w:rsidRPr="00DB087D">
        <w:t>Steglatro</w:t>
      </w:r>
      <w:r w:rsidRPr="00886C8E">
        <w:t xml:space="preserve"> is proposed to be used as an adjunct to diet and exercise to improve glycaemic control in adults with </w:t>
      </w:r>
      <w:r w:rsidR="00DB087D">
        <w:t>T2DM</w:t>
      </w:r>
      <w:r w:rsidRPr="00886C8E">
        <w:t xml:space="preserve"> as monotherapy when metformin is considered inappropriate due to intolerance or in combination with other anti-hyperglycaemic agents.</w:t>
      </w:r>
    </w:p>
    <w:p w14:paraId="111A4A2E" w14:textId="03EC8E01" w:rsidR="00AC1730" w:rsidRPr="003A37C5" w:rsidRDefault="00AC1730" w:rsidP="003A37C5">
      <w:pPr>
        <w:pStyle w:val="ListBullet"/>
      </w:pPr>
      <w:r w:rsidRPr="00886C8E">
        <w:t xml:space="preserve">The proposed dosing regimen of </w:t>
      </w:r>
      <w:r w:rsidRPr="00DB087D">
        <w:t>Steglatro</w:t>
      </w:r>
      <w:r w:rsidRPr="00886C8E">
        <w:t xml:space="preserve"> involves oral administration of one tablet (5</w:t>
      </w:r>
      <w:r w:rsidR="00715B39">
        <w:t> </w:t>
      </w:r>
      <w:r w:rsidR="006D7D02">
        <w:t>mg</w:t>
      </w:r>
      <w:r w:rsidRPr="00886C8E">
        <w:t>) once daily which can be increased to 15</w:t>
      </w:r>
      <w:r w:rsidR="00715B39">
        <w:t xml:space="preserve"> </w:t>
      </w:r>
      <w:r w:rsidR="006D7D02">
        <w:t>mg</w:t>
      </w:r>
      <w:r w:rsidRPr="00886C8E">
        <w:t xml:space="preserve"> once daily if additional glycaemic control is needed.</w:t>
      </w:r>
    </w:p>
    <w:p w14:paraId="389C9430" w14:textId="04B044FC" w:rsidR="00AC1730" w:rsidRPr="003A37C5" w:rsidRDefault="00DB087D" w:rsidP="003A37C5">
      <w:pPr>
        <w:pStyle w:val="ListBullet"/>
      </w:pPr>
      <w:r w:rsidRPr="003A37C5">
        <w:t>The sponsor</w:t>
      </w:r>
      <w:r w:rsidR="00AC1730" w:rsidRPr="003A37C5">
        <w:t xml:space="preserve"> has submitted EU-RMP </w:t>
      </w:r>
      <w:hyperlink r:id="rId31" w:history="1">
        <w:r w:rsidR="00AC1730" w:rsidRPr="003A37C5">
          <w:t>version 1.0</w:t>
        </w:r>
      </w:hyperlink>
      <w:r w:rsidR="00AC1730" w:rsidRPr="003A37C5">
        <w:t xml:space="preserve"> (dated 22 December 2016; D</w:t>
      </w:r>
      <w:r w:rsidRPr="003A37C5">
        <w:t xml:space="preserve">ata </w:t>
      </w:r>
      <w:r w:rsidR="00AC1730" w:rsidRPr="003A37C5">
        <w:t>L</w:t>
      </w:r>
      <w:r w:rsidRPr="003A37C5">
        <w:t xml:space="preserve">ock </w:t>
      </w:r>
      <w:r w:rsidR="00AC1730" w:rsidRPr="003A37C5">
        <w:t>P</w:t>
      </w:r>
      <w:r w:rsidRPr="003A37C5">
        <w:t>oint (DLP)</w:t>
      </w:r>
      <w:r w:rsidR="00AC1730" w:rsidRPr="003A37C5">
        <w:t xml:space="preserve"> 31 May 2016 and A</w:t>
      </w:r>
      <w:r w:rsidRPr="003A37C5">
        <w:t>ustralian Specific Annex (A</w:t>
      </w:r>
      <w:r w:rsidR="00AC1730" w:rsidRPr="003A37C5">
        <w:t>SA</w:t>
      </w:r>
      <w:r w:rsidRPr="003A37C5">
        <w:t>)</w:t>
      </w:r>
      <w:r w:rsidR="00AC1730" w:rsidRPr="003A37C5">
        <w:t xml:space="preserve"> </w:t>
      </w:r>
      <w:hyperlink r:id="rId32" w:history="1">
        <w:r w:rsidR="00AC1730" w:rsidRPr="003A37C5">
          <w:t>version 1.0</w:t>
        </w:r>
      </w:hyperlink>
      <w:r w:rsidR="00AC1730" w:rsidRPr="003A37C5">
        <w:t xml:space="preserve"> (dated April 2017) in support of this application. </w:t>
      </w:r>
      <w:r w:rsidRPr="003A37C5">
        <w:t>T</w:t>
      </w:r>
      <w:r w:rsidR="0024546B" w:rsidRPr="003A37C5">
        <w:t>he sponsor</w:t>
      </w:r>
      <w:r w:rsidR="00AC1730" w:rsidRPr="003A37C5">
        <w:t xml:space="preserve"> </w:t>
      </w:r>
      <w:r w:rsidRPr="003A37C5">
        <w:t xml:space="preserve">later </w:t>
      </w:r>
      <w:r w:rsidR="00AC1730" w:rsidRPr="003A37C5">
        <w:t xml:space="preserve">submitted EU-RMP </w:t>
      </w:r>
      <w:hyperlink r:id="rId33" w:history="1">
        <w:r w:rsidR="00AC1730" w:rsidRPr="003A37C5">
          <w:t>version 1.1</w:t>
        </w:r>
      </w:hyperlink>
      <w:r w:rsidR="00AC1730" w:rsidRPr="003A37C5">
        <w:t xml:space="preserve"> (dated 15 August 2017; DLP 31 May 2016) and ASA </w:t>
      </w:r>
      <w:hyperlink r:id="rId34" w:history="1">
        <w:r w:rsidR="00AC1730" w:rsidRPr="003A37C5">
          <w:t>version 1.1</w:t>
        </w:r>
      </w:hyperlink>
      <w:r w:rsidR="00AC1730" w:rsidRPr="003A37C5">
        <w:t xml:space="preserve"> (dated 24</w:t>
      </w:r>
      <w:r w:rsidR="00E25FFB">
        <w:t> </w:t>
      </w:r>
      <w:r w:rsidR="00AC1730" w:rsidRPr="003A37C5">
        <w:t>November</w:t>
      </w:r>
      <w:r w:rsidR="00E25FFB">
        <w:t> </w:t>
      </w:r>
      <w:r w:rsidR="00AC1730" w:rsidRPr="003A37C5">
        <w:t>2017) in support of this application.</w:t>
      </w:r>
    </w:p>
    <w:p w14:paraId="69EDC83B" w14:textId="4490FCE5" w:rsidR="00AC1730" w:rsidRDefault="00AC1730" w:rsidP="00DB087D">
      <w:pPr>
        <w:pStyle w:val="ListBullet"/>
      </w:pPr>
      <w:r w:rsidRPr="00BE4CCD">
        <w:t xml:space="preserve">The proposed Summary of Safety Concerns and their associated risk monitoring and mitigation strategies for </w:t>
      </w:r>
      <w:r w:rsidRPr="00DB087D">
        <w:t>Steglatro</w:t>
      </w:r>
      <w:r w:rsidRPr="00BE4CCD">
        <w:t xml:space="preserve"> are summarised </w:t>
      </w:r>
      <w:r w:rsidR="00A04509">
        <w:t>in Table 25, below.</w:t>
      </w:r>
    </w:p>
    <w:p w14:paraId="6227749F" w14:textId="77777777" w:rsidR="00DB087D" w:rsidRPr="00BE4CCD" w:rsidRDefault="00DB087D" w:rsidP="00E55ACA">
      <w:pPr>
        <w:pStyle w:val="TableTitle"/>
      </w:pPr>
      <w:r>
        <w:t xml:space="preserve">Table </w:t>
      </w:r>
      <w:r w:rsidR="00E55ACA">
        <w:t>25: Summary of ongoing safety concerns for Steglatro</w:t>
      </w:r>
    </w:p>
    <w:tbl>
      <w:tblPr>
        <w:tblStyle w:val="TableTGAblue"/>
        <w:tblW w:w="8642" w:type="dxa"/>
        <w:tblLayout w:type="fixed"/>
        <w:tblLook w:val="04A0" w:firstRow="1" w:lastRow="0" w:firstColumn="1" w:lastColumn="0" w:noHBand="0" w:noVBand="1"/>
      </w:tblPr>
      <w:tblGrid>
        <w:gridCol w:w="1393"/>
        <w:gridCol w:w="2684"/>
        <w:gridCol w:w="1134"/>
        <w:gridCol w:w="1418"/>
        <w:gridCol w:w="1134"/>
        <w:gridCol w:w="879"/>
      </w:tblGrid>
      <w:tr w:rsidR="00AC1730" w:rsidRPr="00DB087D" w14:paraId="66726C87" w14:textId="77777777" w:rsidTr="00A04509">
        <w:trPr>
          <w:cnfStyle w:val="100000000000" w:firstRow="1" w:lastRow="0" w:firstColumn="0" w:lastColumn="0" w:oddVBand="0" w:evenVBand="0" w:oddHBand="0" w:evenHBand="0" w:firstRowFirstColumn="0" w:firstRowLastColumn="0" w:lastRowFirstColumn="0" w:lastRowLastColumn="0"/>
          <w:cantSplit/>
          <w:trHeight w:val="130"/>
        </w:trPr>
        <w:tc>
          <w:tcPr>
            <w:tcW w:w="4077" w:type="dxa"/>
            <w:gridSpan w:val="2"/>
            <w:vMerge w:val="restart"/>
          </w:tcPr>
          <w:p w14:paraId="1EB1D4E6" w14:textId="77777777" w:rsidR="00AC1730" w:rsidRPr="00DB087D" w:rsidRDefault="00AC1730" w:rsidP="00A04509">
            <w:pPr>
              <w:ind w:left="0" w:right="0"/>
              <w:rPr>
                <w:sz w:val="18"/>
                <w:szCs w:val="18"/>
              </w:rPr>
            </w:pPr>
            <w:r w:rsidRPr="00DB087D">
              <w:rPr>
                <w:sz w:val="18"/>
                <w:szCs w:val="18"/>
              </w:rPr>
              <w:t>Summary of safety concerns</w:t>
            </w:r>
          </w:p>
        </w:tc>
        <w:tc>
          <w:tcPr>
            <w:tcW w:w="2552" w:type="dxa"/>
            <w:gridSpan w:val="2"/>
          </w:tcPr>
          <w:p w14:paraId="27414CEE" w14:textId="77777777" w:rsidR="00AC1730" w:rsidRPr="00DB087D" w:rsidRDefault="00AC1730" w:rsidP="00A04509">
            <w:pPr>
              <w:ind w:left="0" w:right="0"/>
              <w:rPr>
                <w:sz w:val="18"/>
                <w:szCs w:val="18"/>
              </w:rPr>
            </w:pPr>
            <w:r w:rsidRPr="00DB087D">
              <w:rPr>
                <w:sz w:val="18"/>
                <w:szCs w:val="18"/>
              </w:rPr>
              <w:t>Pharmacovigilance</w:t>
            </w:r>
          </w:p>
        </w:tc>
        <w:tc>
          <w:tcPr>
            <w:tcW w:w="2013" w:type="dxa"/>
            <w:gridSpan w:val="2"/>
          </w:tcPr>
          <w:p w14:paraId="0F3103FB" w14:textId="77777777" w:rsidR="00AC1730" w:rsidRPr="00DB087D" w:rsidRDefault="00AC1730" w:rsidP="00A04509">
            <w:pPr>
              <w:ind w:left="0" w:right="0"/>
              <w:rPr>
                <w:sz w:val="18"/>
                <w:szCs w:val="18"/>
              </w:rPr>
            </w:pPr>
            <w:r w:rsidRPr="00DB087D">
              <w:rPr>
                <w:sz w:val="18"/>
                <w:szCs w:val="18"/>
              </w:rPr>
              <w:t>Risk Minimisation</w:t>
            </w:r>
          </w:p>
        </w:tc>
      </w:tr>
      <w:tr w:rsidR="00E25FFB" w:rsidRPr="00DB087D" w14:paraId="684A41C9" w14:textId="77777777" w:rsidTr="00A04509">
        <w:trPr>
          <w:cantSplit/>
          <w:trHeight w:val="149"/>
        </w:trPr>
        <w:tc>
          <w:tcPr>
            <w:tcW w:w="4077" w:type="dxa"/>
            <w:gridSpan w:val="2"/>
            <w:vMerge/>
          </w:tcPr>
          <w:p w14:paraId="4EBA67A9" w14:textId="77777777" w:rsidR="00AC1730" w:rsidRPr="00DB087D" w:rsidRDefault="00AC1730" w:rsidP="00A04509">
            <w:pPr>
              <w:ind w:left="0" w:right="0"/>
              <w:rPr>
                <w:sz w:val="18"/>
                <w:szCs w:val="18"/>
              </w:rPr>
            </w:pPr>
          </w:p>
        </w:tc>
        <w:tc>
          <w:tcPr>
            <w:tcW w:w="1134" w:type="dxa"/>
          </w:tcPr>
          <w:p w14:paraId="60279875" w14:textId="77777777" w:rsidR="00AC1730" w:rsidRPr="00DB087D" w:rsidRDefault="00AC1730" w:rsidP="00A04509">
            <w:pPr>
              <w:ind w:left="0" w:right="0"/>
              <w:rPr>
                <w:sz w:val="18"/>
                <w:szCs w:val="18"/>
              </w:rPr>
            </w:pPr>
            <w:r w:rsidRPr="00DB087D">
              <w:rPr>
                <w:sz w:val="18"/>
                <w:szCs w:val="18"/>
              </w:rPr>
              <w:t>Routine</w:t>
            </w:r>
            <w:r w:rsidR="00DB087D" w:rsidRPr="00DB087D">
              <w:rPr>
                <w:sz w:val="18"/>
                <w:szCs w:val="18"/>
              </w:rPr>
              <w:t xml:space="preserve"> (R)</w:t>
            </w:r>
          </w:p>
        </w:tc>
        <w:tc>
          <w:tcPr>
            <w:tcW w:w="1418" w:type="dxa"/>
          </w:tcPr>
          <w:p w14:paraId="6A10A714" w14:textId="77777777" w:rsidR="00AC1730" w:rsidRPr="00DB087D" w:rsidRDefault="00AC1730" w:rsidP="00A04509">
            <w:pPr>
              <w:ind w:left="0" w:right="0"/>
              <w:rPr>
                <w:sz w:val="18"/>
                <w:szCs w:val="18"/>
              </w:rPr>
            </w:pPr>
            <w:r w:rsidRPr="00DB087D">
              <w:rPr>
                <w:sz w:val="18"/>
                <w:szCs w:val="18"/>
              </w:rPr>
              <w:t>Additional</w:t>
            </w:r>
            <w:r w:rsidR="00DB087D" w:rsidRPr="00DB087D">
              <w:rPr>
                <w:sz w:val="18"/>
                <w:szCs w:val="18"/>
              </w:rPr>
              <w:t xml:space="preserve"> (A)</w:t>
            </w:r>
          </w:p>
        </w:tc>
        <w:tc>
          <w:tcPr>
            <w:tcW w:w="1134" w:type="dxa"/>
          </w:tcPr>
          <w:p w14:paraId="1BE69DA8" w14:textId="77777777" w:rsidR="00AC1730" w:rsidRPr="00DB087D" w:rsidRDefault="00DB087D" w:rsidP="00A04509">
            <w:pPr>
              <w:ind w:left="0" w:right="0"/>
              <w:rPr>
                <w:sz w:val="18"/>
                <w:szCs w:val="18"/>
              </w:rPr>
            </w:pPr>
            <w:r w:rsidRPr="00DB087D">
              <w:rPr>
                <w:sz w:val="18"/>
                <w:szCs w:val="18"/>
              </w:rPr>
              <w:t>R</w:t>
            </w:r>
          </w:p>
        </w:tc>
        <w:tc>
          <w:tcPr>
            <w:tcW w:w="879" w:type="dxa"/>
          </w:tcPr>
          <w:p w14:paraId="793B0561" w14:textId="77777777" w:rsidR="00AC1730" w:rsidRPr="00DB087D" w:rsidRDefault="00DB087D" w:rsidP="00A04509">
            <w:pPr>
              <w:ind w:left="0" w:right="0"/>
              <w:rPr>
                <w:sz w:val="18"/>
                <w:szCs w:val="18"/>
              </w:rPr>
            </w:pPr>
            <w:r w:rsidRPr="00DB087D">
              <w:rPr>
                <w:sz w:val="18"/>
                <w:szCs w:val="18"/>
              </w:rPr>
              <w:t>A</w:t>
            </w:r>
          </w:p>
        </w:tc>
      </w:tr>
      <w:tr w:rsidR="00E25FFB" w:rsidRPr="00DB087D" w14:paraId="344D3BFA" w14:textId="77777777" w:rsidTr="00E25FFB">
        <w:trPr>
          <w:trHeight w:val="422"/>
        </w:trPr>
        <w:tc>
          <w:tcPr>
            <w:tcW w:w="1393" w:type="dxa"/>
            <w:vMerge w:val="restart"/>
          </w:tcPr>
          <w:p w14:paraId="03CABD46" w14:textId="77777777" w:rsidR="00AC1730" w:rsidRPr="00DB087D" w:rsidRDefault="00AC1730" w:rsidP="00A04509">
            <w:pPr>
              <w:ind w:left="0" w:right="0"/>
              <w:rPr>
                <w:sz w:val="18"/>
                <w:szCs w:val="18"/>
              </w:rPr>
            </w:pPr>
            <w:r w:rsidRPr="0091712B">
              <w:rPr>
                <w:color w:val="auto"/>
                <w:sz w:val="18"/>
                <w:szCs w:val="18"/>
              </w:rPr>
              <w:t>Important Identified Risks</w:t>
            </w:r>
          </w:p>
        </w:tc>
        <w:tc>
          <w:tcPr>
            <w:tcW w:w="2684" w:type="dxa"/>
          </w:tcPr>
          <w:p w14:paraId="13CBE692" w14:textId="77777777" w:rsidR="00AC1730" w:rsidRPr="00DB087D" w:rsidRDefault="00AC1730" w:rsidP="00A04509">
            <w:pPr>
              <w:ind w:left="0" w:right="0"/>
              <w:rPr>
                <w:sz w:val="18"/>
                <w:szCs w:val="18"/>
              </w:rPr>
            </w:pPr>
            <w:r w:rsidRPr="00DB087D">
              <w:rPr>
                <w:sz w:val="18"/>
                <w:szCs w:val="18"/>
              </w:rPr>
              <w:t>Volume depletion</w:t>
            </w:r>
          </w:p>
        </w:tc>
        <w:tc>
          <w:tcPr>
            <w:tcW w:w="1134" w:type="dxa"/>
          </w:tcPr>
          <w:p w14:paraId="1059351A" w14:textId="77777777" w:rsidR="00AC1730" w:rsidRPr="00DB087D" w:rsidRDefault="00AC1730" w:rsidP="00A04509">
            <w:pPr>
              <w:ind w:left="0" w:right="0"/>
              <w:rPr>
                <w:sz w:val="18"/>
                <w:szCs w:val="18"/>
              </w:rPr>
            </w:pPr>
            <w:r w:rsidRPr="00DB087D">
              <w:rPr>
                <w:sz w:val="18"/>
                <w:szCs w:val="18"/>
              </w:rPr>
              <w:sym w:font="Wingdings" w:char="F0FC"/>
            </w:r>
          </w:p>
        </w:tc>
        <w:tc>
          <w:tcPr>
            <w:tcW w:w="1418" w:type="dxa"/>
          </w:tcPr>
          <w:p w14:paraId="4956D38D" w14:textId="77777777" w:rsidR="00AC1730" w:rsidRPr="00DB087D" w:rsidRDefault="00AC1730" w:rsidP="00A04509">
            <w:pPr>
              <w:ind w:left="0" w:right="0"/>
              <w:rPr>
                <w:sz w:val="18"/>
                <w:szCs w:val="18"/>
              </w:rPr>
            </w:pPr>
            <w:r w:rsidRPr="00DB087D">
              <w:rPr>
                <w:sz w:val="18"/>
                <w:szCs w:val="18"/>
              </w:rPr>
              <w:sym w:font="Wingdings" w:char="F0FC"/>
            </w:r>
          </w:p>
        </w:tc>
        <w:tc>
          <w:tcPr>
            <w:tcW w:w="1134" w:type="dxa"/>
          </w:tcPr>
          <w:p w14:paraId="22FEAF67" w14:textId="77777777" w:rsidR="00AC1730" w:rsidRPr="00DB087D" w:rsidRDefault="00AC1730" w:rsidP="00A04509">
            <w:pPr>
              <w:ind w:left="0" w:right="0"/>
              <w:rPr>
                <w:sz w:val="18"/>
                <w:szCs w:val="18"/>
              </w:rPr>
            </w:pPr>
            <w:r w:rsidRPr="00DB087D">
              <w:rPr>
                <w:sz w:val="18"/>
                <w:szCs w:val="18"/>
              </w:rPr>
              <w:sym w:font="Wingdings" w:char="F0FC"/>
            </w:r>
          </w:p>
        </w:tc>
        <w:tc>
          <w:tcPr>
            <w:tcW w:w="879" w:type="dxa"/>
          </w:tcPr>
          <w:p w14:paraId="1F9BBA77" w14:textId="77777777" w:rsidR="00AC1730" w:rsidRPr="00DB087D" w:rsidRDefault="00AC1730" w:rsidP="00A04509">
            <w:pPr>
              <w:ind w:left="0" w:right="0"/>
              <w:rPr>
                <w:sz w:val="18"/>
                <w:szCs w:val="18"/>
              </w:rPr>
            </w:pPr>
            <w:r w:rsidRPr="00DB087D">
              <w:rPr>
                <w:sz w:val="18"/>
                <w:szCs w:val="18"/>
              </w:rPr>
              <w:t>–</w:t>
            </w:r>
          </w:p>
        </w:tc>
      </w:tr>
      <w:tr w:rsidR="00E25FFB" w:rsidRPr="00DB087D" w14:paraId="76312E9C" w14:textId="77777777" w:rsidTr="00E25FFB">
        <w:trPr>
          <w:trHeight w:val="186"/>
        </w:trPr>
        <w:tc>
          <w:tcPr>
            <w:tcW w:w="1393" w:type="dxa"/>
            <w:vMerge/>
          </w:tcPr>
          <w:p w14:paraId="1202AA02" w14:textId="77777777" w:rsidR="00AC1730" w:rsidRPr="00DB087D" w:rsidRDefault="00AC1730" w:rsidP="00A04509">
            <w:pPr>
              <w:ind w:left="0" w:right="0"/>
              <w:rPr>
                <w:sz w:val="18"/>
                <w:szCs w:val="18"/>
              </w:rPr>
            </w:pPr>
          </w:p>
        </w:tc>
        <w:tc>
          <w:tcPr>
            <w:tcW w:w="2684" w:type="dxa"/>
          </w:tcPr>
          <w:p w14:paraId="0B40CD72" w14:textId="76C3BA55" w:rsidR="00AC1730" w:rsidRPr="00DB087D" w:rsidRDefault="00A04509" w:rsidP="00A04509">
            <w:pPr>
              <w:ind w:left="0" w:right="0"/>
              <w:rPr>
                <w:sz w:val="18"/>
                <w:szCs w:val="18"/>
              </w:rPr>
            </w:pPr>
            <w:r w:rsidRPr="00DB087D">
              <w:rPr>
                <w:sz w:val="18"/>
                <w:szCs w:val="18"/>
              </w:rPr>
              <w:t xml:space="preserve">Diabetic </w:t>
            </w:r>
            <w:r>
              <w:rPr>
                <w:sz w:val="18"/>
                <w:szCs w:val="18"/>
              </w:rPr>
              <w:t>k</w:t>
            </w:r>
            <w:r w:rsidRPr="00DB087D">
              <w:rPr>
                <w:sz w:val="18"/>
                <w:szCs w:val="18"/>
              </w:rPr>
              <w:t xml:space="preserve">etoacidosis with </w:t>
            </w:r>
            <w:r>
              <w:rPr>
                <w:sz w:val="18"/>
                <w:szCs w:val="18"/>
              </w:rPr>
              <w:t>a</w:t>
            </w:r>
            <w:r w:rsidRPr="00DB087D">
              <w:rPr>
                <w:sz w:val="18"/>
                <w:szCs w:val="18"/>
              </w:rPr>
              <w:t xml:space="preserve">typical </w:t>
            </w:r>
            <w:r>
              <w:rPr>
                <w:sz w:val="18"/>
                <w:szCs w:val="18"/>
              </w:rPr>
              <w:t>p</w:t>
            </w:r>
            <w:r w:rsidRPr="00DB087D">
              <w:rPr>
                <w:sz w:val="18"/>
                <w:szCs w:val="18"/>
              </w:rPr>
              <w:t>resentation</w:t>
            </w:r>
          </w:p>
        </w:tc>
        <w:tc>
          <w:tcPr>
            <w:tcW w:w="1134" w:type="dxa"/>
          </w:tcPr>
          <w:p w14:paraId="5016432A" w14:textId="77777777" w:rsidR="00AC1730" w:rsidRPr="00DB087D" w:rsidRDefault="00AC1730" w:rsidP="00A04509">
            <w:pPr>
              <w:ind w:left="0" w:right="0"/>
              <w:rPr>
                <w:sz w:val="18"/>
                <w:szCs w:val="18"/>
              </w:rPr>
            </w:pPr>
            <w:r w:rsidRPr="00DB087D">
              <w:rPr>
                <w:sz w:val="18"/>
                <w:szCs w:val="18"/>
              </w:rPr>
              <w:sym w:font="Wingdings" w:char="F0FC"/>
            </w:r>
          </w:p>
        </w:tc>
        <w:tc>
          <w:tcPr>
            <w:tcW w:w="1418" w:type="dxa"/>
          </w:tcPr>
          <w:p w14:paraId="011B774E" w14:textId="77777777" w:rsidR="00AC1730" w:rsidRPr="00DB087D" w:rsidRDefault="00AC1730" w:rsidP="00A04509">
            <w:pPr>
              <w:ind w:left="0" w:right="0"/>
              <w:rPr>
                <w:sz w:val="18"/>
                <w:szCs w:val="18"/>
              </w:rPr>
            </w:pPr>
            <w:r w:rsidRPr="00DB087D">
              <w:rPr>
                <w:sz w:val="18"/>
                <w:szCs w:val="18"/>
              </w:rPr>
              <w:sym w:font="Wingdings" w:char="F0FC"/>
            </w:r>
          </w:p>
        </w:tc>
        <w:tc>
          <w:tcPr>
            <w:tcW w:w="1134" w:type="dxa"/>
          </w:tcPr>
          <w:p w14:paraId="15BCA509" w14:textId="77777777" w:rsidR="00AC1730" w:rsidRPr="00DB087D" w:rsidRDefault="00AC1730" w:rsidP="00A04509">
            <w:pPr>
              <w:ind w:left="0" w:right="0"/>
              <w:rPr>
                <w:sz w:val="18"/>
                <w:szCs w:val="18"/>
              </w:rPr>
            </w:pPr>
            <w:r w:rsidRPr="00DB087D">
              <w:rPr>
                <w:sz w:val="18"/>
                <w:szCs w:val="18"/>
              </w:rPr>
              <w:sym w:font="Wingdings" w:char="F0FC"/>
            </w:r>
          </w:p>
        </w:tc>
        <w:tc>
          <w:tcPr>
            <w:tcW w:w="879" w:type="dxa"/>
          </w:tcPr>
          <w:p w14:paraId="0113F881" w14:textId="77777777" w:rsidR="00AC1730" w:rsidRPr="00DB087D" w:rsidRDefault="00AC1730" w:rsidP="00A04509">
            <w:pPr>
              <w:ind w:left="0" w:right="0"/>
              <w:rPr>
                <w:sz w:val="18"/>
                <w:szCs w:val="18"/>
              </w:rPr>
            </w:pPr>
            <w:r w:rsidRPr="00DB087D">
              <w:rPr>
                <w:sz w:val="18"/>
                <w:szCs w:val="18"/>
              </w:rPr>
              <w:t>–</w:t>
            </w:r>
          </w:p>
        </w:tc>
      </w:tr>
      <w:tr w:rsidR="00E25FFB" w:rsidRPr="00DB087D" w14:paraId="4234636C" w14:textId="77777777" w:rsidTr="00E25FFB">
        <w:trPr>
          <w:trHeight w:val="117"/>
        </w:trPr>
        <w:tc>
          <w:tcPr>
            <w:tcW w:w="1393" w:type="dxa"/>
            <w:vMerge w:val="restart"/>
          </w:tcPr>
          <w:p w14:paraId="57D612A4" w14:textId="77777777" w:rsidR="00AC1730" w:rsidRPr="00DB087D" w:rsidRDefault="00AC1730" w:rsidP="00A04509">
            <w:pPr>
              <w:ind w:left="0" w:right="0"/>
              <w:rPr>
                <w:sz w:val="18"/>
                <w:szCs w:val="18"/>
              </w:rPr>
            </w:pPr>
            <w:r w:rsidRPr="00DB087D">
              <w:rPr>
                <w:sz w:val="18"/>
                <w:szCs w:val="18"/>
              </w:rPr>
              <w:t>Important Potential Risks</w:t>
            </w:r>
          </w:p>
        </w:tc>
        <w:tc>
          <w:tcPr>
            <w:tcW w:w="2684" w:type="dxa"/>
          </w:tcPr>
          <w:p w14:paraId="4A9603DB" w14:textId="77777777" w:rsidR="00AC1730" w:rsidRPr="00DB087D" w:rsidRDefault="00AC1730" w:rsidP="00A04509">
            <w:pPr>
              <w:ind w:left="0" w:right="0"/>
              <w:rPr>
                <w:sz w:val="18"/>
                <w:szCs w:val="18"/>
              </w:rPr>
            </w:pPr>
            <w:r w:rsidRPr="00DB087D">
              <w:rPr>
                <w:sz w:val="18"/>
                <w:szCs w:val="18"/>
              </w:rPr>
              <w:t>Renal impairment</w:t>
            </w:r>
          </w:p>
        </w:tc>
        <w:tc>
          <w:tcPr>
            <w:tcW w:w="1134" w:type="dxa"/>
          </w:tcPr>
          <w:p w14:paraId="781EC012" w14:textId="77777777" w:rsidR="00AC1730" w:rsidRPr="00DB087D" w:rsidRDefault="00AC1730" w:rsidP="00A04509">
            <w:pPr>
              <w:ind w:left="0" w:right="0"/>
              <w:rPr>
                <w:sz w:val="18"/>
                <w:szCs w:val="18"/>
              </w:rPr>
            </w:pPr>
            <w:r w:rsidRPr="00DB087D">
              <w:rPr>
                <w:sz w:val="18"/>
                <w:szCs w:val="18"/>
              </w:rPr>
              <w:sym w:font="Wingdings" w:char="F0FC"/>
            </w:r>
          </w:p>
        </w:tc>
        <w:tc>
          <w:tcPr>
            <w:tcW w:w="1418" w:type="dxa"/>
          </w:tcPr>
          <w:p w14:paraId="4EBB78BC" w14:textId="77777777" w:rsidR="00AC1730" w:rsidRPr="00DB087D" w:rsidRDefault="00AC1730" w:rsidP="00A04509">
            <w:pPr>
              <w:ind w:left="0" w:right="0"/>
              <w:rPr>
                <w:sz w:val="18"/>
                <w:szCs w:val="18"/>
              </w:rPr>
            </w:pPr>
            <w:r w:rsidRPr="00DB087D">
              <w:rPr>
                <w:sz w:val="18"/>
                <w:szCs w:val="18"/>
              </w:rPr>
              <w:sym w:font="Wingdings" w:char="F0FC"/>
            </w:r>
          </w:p>
        </w:tc>
        <w:tc>
          <w:tcPr>
            <w:tcW w:w="1134" w:type="dxa"/>
          </w:tcPr>
          <w:p w14:paraId="0913AA6E" w14:textId="77777777" w:rsidR="00AC1730" w:rsidRPr="00DB087D" w:rsidRDefault="00AC1730" w:rsidP="00A04509">
            <w:pPr>
              <w:ind w:left="0" w:right="0"/>
              <w:rPr>
                <w:sz w:val="18"/>
                <w:szCs w:val="18"/>
              </w:rPr>
            </w:pPr>
            <w:r w:rsidRPr="00DB087D">
              <w:rPr>
                <w:sz w:val="18"/>
                <w:szCs w:val="18"/>
              </w:rPr>
              <w:sym w:font="Wingdings" w:char="F0FC"/>
            </w:r>
          </w:p>
        </w:tc>
        <w:tc>
          <w:tcPr>
            <w:tcW w:w="879" w:type="dxa"/>
          </w:tcPr>
          <w:p w14:paraId="527DE12D" w14:textId="77777777" w:rsidR="00AC1730" w:rsidRPr="00DB087D" w:rsidRDefault="00AC1730" w:rsidP="00A04509">
            <w:pPr>
              <w:ind w:left="0" w:right="0"/>
              <w:rPr>
                <w:sz w:val="18"/>
                <w:szCs w:val="18"/>
              </w:rPr>
            </w:pPr>
            <w:r w:rsidRPr="00DB087D">
              <w:rPr>
                <w:sz w:val="18"/>
                <w:szCs w:val="18"/>
              </w:rPr>
              <w:t>–</w:t>
            </w:r>
          </w:p>
        </w:tc>
      </w:tr>
      <w:tr w:rsidR="00E25FFB" w:rsidRPr="00DB087D" w14:paraId="72C82919" w14:textId="77777777" w:rsidTr="00E25FFB">
        <w:trPr>
          <w:trHeight w:val="111"/>
        </w:trPr>
        <w:tc>
          <w:tcPr>
            <w:tcW w:w="1393" w:type="dxa"/>
            <w:vMerge/>
          </w:tcPr>
          <w:p w14:paraId="6ED70B89" w14:textId="77777777" w:rsidR="00AC1730" w:rsidRPr="00DB087D" w:rsidRDefault="00AC1730" w:rsidP="00A04509">
            <w:pPr>
              <w:ind w:left="0" w:right="0"/>
              <w:rPr>
                <w:sz w:val="18"/>
                <w:szCs w:val="18"/>
              </w:rPr>
            </w:pPr>
          </w:p>
        </w:tc>
        <w:tc>
          <w:tcPr>
            <w:tcW w:w="2684" w:type="dxa"/>
          </w:tcPr>
          <w:p w14:paraId="4AE276C9" w14:textId="77777777" w:rsidR="00AC1730" w:rsidRPr="00DB087D" w:rsidRDefault="00AC1730" w:rsidP="00A04509">
            <w:pPr>
              <w:ind w:left="0" w:right="0"/>
              <w:rPr>
                <w:sz w:val="18"/>
                <w:szCs w:val="18"/>
              </w:rPr>
            </w:pPr>
            <w:r w:rsidRPr="00DB087D">
              <w:rPr>
                <w:sz w:val="18"/>
                <w:szCs w:val="18"/>
              </w:rPr>
              <w:t>Bone fracture</w:t>
            </w:r>
          </w:p>
        </w:tc>
        <w:tc>
          <w:tcPr>
            <w:tcW w:w="1134" w:type="dxa"/>
          </w:tcPr>
          <w:p w14:paraId="6CF3EC23" w14:textId="77777777" w:rsidR="00AC1730" w:rsidRPr="00DB087D" w:rsidRDefault="00AC1730" w:rsidP="00A04509">
            <w:pPr>
              <w:ind w:left="0" w:right="0"/>
              <w:rPr>
                <w:sz w:val="18"/>
                <w:szCs w:val="18"/>
              </w:rPr>
            </w:pPr>
            <w:r w:rsidRPr="00DB087D">
              <w:rPr>
                <w:sz w:val="18"/>
                <w:szCs w:val="18"/>
              </w:rPr>
              <w:sym w:font="Wingdings" w:char="F0FC"/>
            </w:r>
          </w:p>
        </w:tc>
        <w:tc>
          <w:tcPr>
            <w:tcW w:w="1418" w:type="dxa"/>
          </w:tcPr>
          <w:p w14:paraId="64B6E2DD" w14:textId="77777777" w:rsidR="00AC1730" w:rsidRPr="00DB087D" w:rsidRDefault="00AC1730" w:rsidP="00A04509">
            <w:pPr>
              <w:ind w:left="0" w:right="0"/>
              <w:rPr>
                <w:sz w:val="18"/>
                <w:szCs w:val="18"/>
              </w:rPr>
            </w:pPr>
            <w:r w:rsidRPr="00DB087D">
              <w:rPr>
                <w:sz w:val="18"/>
                <w:szCs w:val="18"/>
              </w:rPr>
              <w:sym w:font="Wingdings" w:char="F0FC"/>
            </w:r>
          </w:p>
        </w:tc>
        <w:tc>
          <w:tcPr>
            <w:tcW w:w="1134" w:type="dxa"/>
          </w:tcPr>
          <w:p w14:paraId="572A248E" w14:textId="77777777" w:rsidR="00AC1730" w:rsidRPr="00DB087D" w:rsidRDefault="00AC1730" w:rsidP="00A04509">
            <w:pPr>
              <w:ind w:left="0" w:right="0"/>
              <w:rPr>
                <w:sz w:val="18"/>
                <w:szCs w:val="18"/>
              </w:rPr>
            </w:pPr>
            <w:r w:rsidRPr="00DB087D">
              <w:rPr>
                <w:sz w:val="18"/>
                <w:szCs w:val="18"/>
              </w:rPr>
              <w:t>–</w:t>
            </w:r>
          </w:p>
        </w:tc>
        <w:tc>
          <w:tcPr>
            <w:tcW w:w="879" w:type="dxa"/>
          </w:tcPr>
          <w:p w14:paraId="06C9477D" w14:textId="77777777" w:rsidR="00AC1730" w:rsidRPr="00DB087D" w:rsidRDefault="00AC1730" w:rsidP="00A04509">
            <w:pPr>
              <w:ind w:left="0" w:right="0"/>
              <w:rPr>
                <w:sz w:val="18"/>
                <w:szCs w:val="18"/>
              </w:rPr>
            </w:pPr>
            <w:r w:rsidRPr="00DB087D">
              <w:rPr>
                <w:sz w:val="18"/>
                <w:szCs w:val="18"/>
              </w:rPr>
              <w:t>–</w:t>
            </w:r>
          </w:p>
        </w:tc>
      </w:tr>
      <w:tr w:rsidR="00E25FFB" w:rsidRPr="00DB087D" w14:paraId="1B491525" w14:textId="77777777" w:rsidTr="00E25FFB">
        <w:trPr>
          <w:trHeight w:val="111"/>
        </w:trPr>
        <w:tc>
          <w:tcPr>
            <w:tcW w:w="1393" w:type="dxa"/>
            <w:vMerge/>
          </w:tcPr>
          <w:p w14:paraId="03DDA81C" w14:textId="77777777" w:rsidR="00AC1730" w:rsidRPr="00DB087D" w:rsidRDefault="00AC1730" w:rsidP="00A04509">
            <w:pPr>
              <w:ind w:left="0" w:right="0"/>
              <w:rPr>
                <w:sz w:val="18"/>
                <w:szCs w:val="18"/>
              </w:rPr>
            </w:pPr>
          </w:p>
        </w:tc>
        <w:tc>
          <w:tcPr>
            <w:tcW w:w="2684" w:type="dxa"/>
          </w:tcPr>
          <w:p w14:paraId="6986EF98" w14:textId="77777777" w:rsidR="00AC1730" w:rsidRPr="00DB087D" w:rsidRDefault="00AC1730" w:rsidP="00A04509">
            <w:pPr>
              <w:ind w:left="0" w:right="0"/>
              <w:rPr>
                <w:sz w:val="18"/>
                <w:szCs w:val="18"/>
              </w:rPr>
            </w:pPr>
            <w:r w:rsidRPr="00DB087D">
              <w:rPr>
                <w:sz w:val="18"/>
                <w:szCs w:val="18"/>
              </w:rPr>
              <w:t>Lower limb amputation*</w:t>
            </w:r>
          </w:p>
        </w:tc>
        <w:tc>
          <w:tcPr>
            <w:tcW w:w="1134" w:type="dxa"/>
          </w:tcPr>
          <w:p w14:paraId="78A2879C" w14:textId="77777777" w:rsidR="00AC1730" w:rsidRPr="00DB087D" w:rsidRDefault="00AC1730" w:rsidP="00A04509">
            <w:pPr>
              <w:ind w:left="0" w:right="0"/>
              <w:rPr>
                <w:sz w:val="18"/>
                <w:szCs w:val="18"/>
              </w:rPr>
            </w:pPr>
            <w:r w:rsidRPr="00DB087D">
              <w:rPr>
                <w:sz w:val="18"/>
                <w:szCs w:val="18"/>
              </w:rPr>
              <w:sym w:font="Wingdings" w:char="F0FC"/>
            </w:r>
          </w:p>
        </w:tc>
        <w:tc>
          <w:tcPr>
            <w:tcW w:w="1418" w:type="dxa"/>
          </w:tcPr>
          <w:p w14:paraId="0E39735F" w14:textId="77777777" w:rsidR="00AC1730" w:rsidRPr="00DB087D" w:rsidRDefault="00AC1730" w:rsidP="00A04509">
            <w:pPr>
              <w:ind w:left="0" w:right="0"/>
              <w:rPr>
                <w:sz w:val="18"/>
                <w:szCs w:val="18"/>
              </w:rPr>
            </w:pPr>
            <w:r w:rsidRPr="00DB087D">
              <w:rPr>
                <w:sz w:val="18"/>
                <w:szCs w:val="18"/>
              </w:rPr>
              <w:sym w:font="Wingdings" w:char="F0FC"/>
            </w:r>
          </w:p>
        </w:tc>
        <w:tc>
          <w:tcPr>
            <w:tcW w:w="1134" w:type="dxa"/>
          </w:tcPr>
          <w:p w14:paraId="4D0BB530" w14:textId="77777777" w:rsidR="00AC1730" w:rsidRPr="00DB087D" w:rsidRDefault="00AC1730" w:rsidP="00A04509">
            <w:pPr>
              <w:ind w:left="0" w:right="0"/>
              <w:rPr>
                <w:sz w:val="18"/>
                <w:szCs w:val="18"/>
              </w:rPr>
            </w:pPr>
            <w:r w:rsidRPr="00DB087D">
              <w:rPr>
                <w:sz w:val="18"/>
                <w:szCs w:val="18"/>
              </w:rPr>
              <w:t>–</w:t>
            </w:r>
          </w:p>
        </w:tc>
        <w:tc>
          <w:tcPr>
            <w:tcW w:w="879" w:type="dxa"/>
          </w:tcPr>
          <w:p w14:paraId="5532DCAF" w14:textId="77777777" w:rsidR="00AC1730" w:rsidRPr="00DB087D" w:rsidRDefault="00AC1730" w:rsidP="00A04509">
            <w:pPr>
              <w:ind w:left="0" w:right="0"/>
              <w:rPr>
                <w:sz w:val="18"/>
                <w:szCs w:val="18"/>
              </w:rPr>
            </w:pPr>
            <w:r w:rsidRPr="00DB087D">
              <w:rPr>
                <w:sz w:val="18"/>
                <w:szCs w:val="18"/>
              </w:rPr>
              <w:t>–</w:t>
            </w:r>
          </w:p>
        </w:tc>
      </w:tr>
      <w:tr w:rsidR="00E25FFB" w:rsidRPr="00DB087D" w14:paraId="5480BACD" w14:textId="77777777" w:rsidTr="00E25FFB">
        <w:trPr>
          <w:trHeight w:val="177"/>
        </w:trPr>
        <w:tc>
          <w:tcPr>
            <w:tcW w:w="1393" w:type="dxa"/>
            <w:vMerge w:val="restart"/>
          </w:tcPr>
          <w:p w14:paraId="5DBCF1AC" w14:textId="77777777" w:rsidR="00AC1730" w:rsidRPr="00DB087D" w:rsidRDefault="00AC1730" w:rsidP="00A04509">
            <w:pPr>
              <w:ind w:left="0" w:right="0"/>
              <w:rPr>
                <w:sz w:val="18"/>
                <w:szCs w:val="18"/>
              </w:rPr>
            </w:pPr>
            <w:r w:rsidRPr="00DB087D">
              <w:rPr>
                <w:sz w:val="18"/>
                <w:szCs w:val="18"/>
              </w:rPr>
              <w:t>Missing information</w:t>
            </w:r>
          </w:p>
        </w:tc>
        <w:tc>
          <w:tcPr>
            <w:tcW w:w="2684" w:type="dxa"/>
          </w:tcPr>
          <w:p w14:paraId="34904D65" w14:textId="0942AD71" w:rsidR="00AC1730" w:rsidRPr="00DB087D" w:rsidRDefault="00AC1730" w:rsidP="00A04509">
            <w:pPr>
              <w:ind w:left="0" w:right="0"/>
              <w:rPr>
                <w:sz w:val="18"/>
                <w:szCs w:val="18"/>
              </w:rPr>
            </w:pPr>
            <w:r w:rsidRPr="00DB087D">
              <w:rPr>
                <w:sz w:val="18"/>
                <w:szCs w:val="18"/>
              </w:rPr>
              <w:t xml:space="preserve">Use in </w:t>
            </w:r>
            <w:r w:rsidR="00E25FFB" w:rsidRPr="00DB087D">
              <w:rPr>
                <w:sz w:val="18"/>
                <w:szCs w:val="18"/>
              </w:rPr>
              <w:t>paediatric</w:t>
            </w:r>
            <w:r w:rsidRPr="00DB087D">
              <w:rPr>
                <w:sz w:val="18"/>
                <w:szCs w:val="18"/>
              </w:rPr>
              <w:t xml:space="preserve"> patients</w:t>
            </w:r>
          </w:p>
        </w:tc>
        <w:tc>
          <w:tcPr>
            <w:tcW w:w="1134" w:type="dxa"/>
          </w:tcPr>
          <w:p w14:paraId="1EF5E37A" w14:textId="77777777" w:rsidR="00AC1730" w:rsidRPr="00DB087D" w:rsidRDefault="00AC1730" w:rsidP="00A04509">
            <w:pPr>
              <w:ind w:left="0" w:right="0"/>
              <w:rPr>
                <w:sz w:val="18"/>
                <w:szCs w:val="18"/>
              </w:rPr>
            </w:pPr>
            <w:r w:rsidRPr="00DB087D">
              <w:rPr>
                <w:sz w:val="18"/>
                <w:szCs w:val="18"/>
              </w:rPr>
              <w:sym w:font="Wingdings" w:char="F0FC"/>
            </w:r>
          </w:p>
        </w:tc>
        <w:tc>
          <w:tcPr>
            <w:tcW w:w="1418" w:type="dxa"/>
          </w:tcPr>
          <w:p w14:paraId="5A24733F" w14:textId="77777777" w:rsidR="00AC1730" w:rsidRPr="00DB087D" w:rsidRDefault="00AC1730" w:rsidP="00A04509">
            <w:pPr>
              <w:ind w:left="0" w:right="0"/>
              <w:rPr>
                <w:sz w:val="18"/>
                <w:szCs w:val="18"/>
              </w:rPr>
            </w:pPr>
            <w:r w:rsidRPr="00DB087D">
              <w:rPr>
                <w:sz w:val="18"/>
                <w:szCs w:val="18"/>
              </w:rPr>
              <w:sym w:font="Wingdings" w:char="F0FC"/>
            </w:r>
          </w:p>
        </w:tc>
        <w:tc>
          <w:tcPr>
            <w:tcW w:w="1134" w:type="dxa"/>
          </w:tcPr>
          <w:p w14:paraId="43660D01" w14:textId="77777777" w:rsidR="00AC1730" w:rsidRPr="00DB087D" w:rsidRDefault="00AC1730" w:rsidP="00A04509">
            <w:pPr>
              <w:ind w:left="0" w:right="0"/>
              <w:rPr>
                <w:sz w:val="18"/>
                <w:szCs w:val="18"/>
              </w:rPr>
            </w:pPr>
            <w:r w:rsidRPr="00DB087D">
              <w:rPr>
                <w:sz w:val="18"/>
                <w:szCs w:val="18"/>
              </w:rPr>
              <w:sym w:font="Wingdings" w:char="F0FC"/>
            </w:r>
          </w:p>
        </w:tc>
        <w:tc>
          <w:tcPr>
            <w:tcW w:w="879" w:type="dxa"/>
          </w:tcPr>
          <w:p w14:paraId="3D0DC664" w14:textId="77777777" w:rsidR="00AC1730" w:rsidRPr="00DB087D" w:rsidRDefault="00AC1730" w:rsidP="00A04509">
            <w:pPr>
              <w:ind w:left="0" w:right="0"/>
              <w:rPr>
                <w:sz w:val="18"/>
                <w:szCs w:val="18"/>
              </w:rPr>
            </w:pPr>
            <w:r w:rsidRPr="00DB087D">
              <w:rPr>
                <w:sz w:val="18"/>
                <w:szCs w:val="18"/>
              </w:rPr>
              <w:t>–</w:t>
            </w:r>
          </w:p>
        </w:tc>
      </w:tr>
      <w:tr w:rsidR="00E25FFB" w:rsidRPr="00DB087D" w14:paraId="56E21A8B" w14:textId="77777777" w:rsidTr="00E25FFB">
        <w:trPr>
          <w:trHeight w:val="163"/>
        </w:trPr>
        <w:tc>
          <w:tcPr>
            <w:tcW w:w="1393" w:type="dxa"/>
            <w:vMerge/>
          </w:tcPr>
          <w:p w14:paraId="698B2775" w14:textId="77777777" w:rsidR="00AC1730" w:rsidRPr="00DB087D" w:rsidRDefault="00AC1730" w:rsidP="00A04509">
            <w:pPr>
              <w:ind w:left="0" w:right="0"/>
              <w:rPr>
                <w:sz w:val="18"/>
                <w:szCs w:val="18"/>
              </w:rPr>
            </w:pPr>
          </w:p>
        </w:tc>
        <w:tc>
          <w:tcPr>
            <w:tcW w:w="2684" w:type="dxa"/>
          </w:tcPr>
          <w:p w14:paraId="1A759D4E" w14:textId="65544688" w:rsidR="00AC1730" w:rsidRPr="00DB087D" w:rsidRDefault="00AC1730" w:rsidP="00A04509">
            <w:pPr>
              <w:ind w:left="0" w:right="0"/>
              <w:rPr>
                <w:sz w:val="18"/>
                <w:szCs w:val="18"/>
              </w:rPr>
            </w:pPr>
            <w:r w:rsidRPr="00DB087D">
              <w:rPr>
                <w:sz w:val="18"/>
                <w:szCs w:val="18"/>
              </w:rPr>
              <w:t>Use in elderly patients (≥</w:t>
            </w:r>
            <w:r w:rsidR="00E25FFB">
              <w:rPr>
                <w:sz w:val="18"/>
                <w:szCs w:val="18"/>
              </w:rPr>
              <w:t xml:space="preserve"> </w:t>
            </w:r>
            <w:r w:rsidRPr="00DB087D">
              <w:rPr>
                <w:sz w:val="18"/>
                <w:szCs w:val="18"/>
              </w:rPr>
              <w:t xml:space="preserve">75 </w:t>
            </w:r>
            <w:r w:rsidRPr="00DB087D">
              <w:rPr>
                <w:sz w:val="18"/>
                <w:szCs w:val="18"/>
              </w:rPr>
              <w:lastRenderedPageBreak/>
              <w:t>years)</w:t>
            </w:r>
          </w:p>
        </w:tc>
        <w:tc>
          <w:tcPr>
            <w:tcW w:w="1134" w:type="dxa"/>
          </w:tcPr>
          <w:p w14:paraId="2D207F18" w14:textId="77777777" w:rsidR="00AC1730" w:rsidRPr="00DB087D" w:rsidRDefault="00AC1730" w:rsidP="00A04509">
            <w:pPr>
              <w:ind w:left="0" w:right="0"/>
              <w:rPr>
                <w:sz w:val="18"/>
                <w:szCs w:val="18"/>
              </w:rPr>
            </w:pPr>
            <w:r w:rsidRPr="00DB087D">
              <w:rPr>
                <w:sz w:val="18"/>
                <w:szCs w:val="18"/>
              </w:rPr>
              <w:lastRenderedPageBreak/>
              <w:sym w:font="Wingdings" w:char="F0FC"/>
            </w:r>
          </w:p>
        </w:tc>
        <w:tc>
          <w:tcPr>
            <w:tcW w:w="1418" w:type="dxa"/>
          </w:tcPr>
          <w:p w14:paraId="52B899AE" w14:textId="77777777" w:rsidR="00AC1730" w:rsidRPr="00DB087D" w:rsidRDefault="00AC1730" w:rsidP="00A04509">
            <w:pPr>
              <w:ind w:left="0" w:right="0"/>
              <w:rPr>
                <w:sz w:val="18"/>
                <w:szCs w:val="18"/>
              </w:rPr>
            </w:pPr>
            <w:r w:rsidRPr="00DB087D">
              <w:rPr>
                <w:sz w:val="18"/>
                <w:szCs w:val="18"/>
              </w:rPr>
              <w:sym w:font="Wingdings" w:char="F0FC"/>
            </w:r>
          </w:p>
        </w:tc>
        <w:tc>
          <w:tcPr>
            <w:tcW w:w="1134" w:type="dxa"/>
          </w:tcPr>
          <w:p w14:paraId="0EEC7983" w14:textId="77777777" w:rsidR="00AC1730" w:rsidRPr="00DB087D" w:rsidRDefault="00AC1730" w:rsidP="00A04509">
            <w:pPr>
              <w:ind w:left="0" w:right="0"/>
              <w:rPr>
                <w:sz w:val="18"/>
                <w:szCs w:val="18"/>
              </w:rPr>
            </w:pPr>
            <w:r w:rsidRPr="00DB087D">
              <w:rPr>
                <w:sz w:val="18"/>
                <w:szCs w:val="18"/>
              </w:rPr>
              <w:sym w:font="Wingdings" w:char="F0FC"/>
            </w:r>
          </w:p>
        </w:tc>
        <w:tc>
          <w:tcPr>
            <w:tcW w:w="879" w:type="dxa"/>
          </w:tcPr>
          <w:p w14:paraId="20FE4D24" w14:textId="77777777" w:rsidR="00AC1730" w:rsidRPr="00DB087D" w:rsidRDefault="00AC1730" w:rsidP="00A04509">
            <w:pPr>
              <w:ind w:left="0" w:right="0"/>
              <w:rPr>
                <w:sz w:val="18"/>
                <w:szCs w:val="18"/>
              </w:rPr>
            </w:pPr>
            <w:r w:rsidRPr="00DB087D">
              <w:rPr>
                <w:sz w:val="18"/>
                <w:szCs w:val="18"/>
              </w:rPr>
              <w:t>–</w:t>
            </w:r>
          </w:p>
        </w:tc>
      </w:tr>
      <w:tr w:rsidR="00E25FFB" w:rsidRPr="00DB087D" w14:paraId="723F7ED3" w14:textId="77777777" w:rsidTr="00E25FFB">
        <w:trPr>
          <w:trHeight w:val="117"/>
        </w:trPr>
        <w:tc>
          <w:tcPr>
            <w:tcW w:w="1393" w:type="dxa"/>
            <w:vMerge/>
          </w:tcPr>
          <w:p w14:paraId="3B2136BD" w14:textId="77777777" w:rsidR="00AC1730" w:rsidRPr="00DB087D" w:rsidRDefault="00AC1730" w:rsidP="00A04509">
            <w:pPr>
              <w:ind w:left="0" w:right="0"/>
              <w:rPr>
                <w:sz w:val="18"/>
                <w:szCs w:val="18"/>
              </w:rPr>
            </w:pPr>
          </w:p>
        </w:tc>
        <w:tc>
          <w:tcPr>
            <w:tcW w:w="2684" w:type="dxa"/>
          </w:tcPr>
          <w:p w14:paraId="043DCE40" w14:textId="77777777" w:rsidR="00AC1730" w:rsidRPr="00DB087D" w:rsidRDefault="00AC1730" w:rsidP="00A04509">
            <w:pPr>
              <w:ind w:left="0" w:right="0"/>
              <w:rPr>
                <w:sz w:val="18"/>
                <w:szCs w:val="18"/>
              </w:rPr>
            </w:pPr>
            <w:r w:rsidRPr="00DB087D">
              <w:rPr>
                <w:sz w:val="18"/>
                <w:szCs w:val="18"/>
              </w:rPr>
              <w:t>Use in pregnancy and breastfeeding</w:t>
            </w:r>
          </w:p>
        </w:tc>
        <w:tc>
          <w:tcPr>
            <w:tcW w:w="1134" w:type="dxa"/>
          </w:tcPr>
          <w:p w14:paraId="521E1BB4" w14:textId="77777777" w:rsidR="00AC1730" w:rsidRPr="00DB087D" w:rsidRDefault="00AC1730" w:rsidP="00A04509">
            <w:pPr>
              <w:ind w:left="0" w:right="0"/>
              <w:rPr>
                <w:sz w:val="18"/>
                <w:szCs w:val="18"/>
              </w:rPr>
            </w:pPr>
            <w:r w:rsidRPr="00DB087D">
              <w:rPr>
                <w:sz w:val="18"/>
                <w:szCs w:val="18"/>
              </w:rPr>
              <w:sym w:font="Wingdings" w:char="F0FC"/>
            </w:r>
          </w:p>
        </w:tc>
        <w:tc>
          <w:tcPr>
            <w:tcW w:w="1418" w:type="dxa"/>
          </w:tcPr>
          <w:p w14:paraId="6819B9E8" w14:textId="77777777" w:rsidR="00AC1730" w:rsidRPr="00DB087D" w:rsidRDefault="00AC1730" w:rsidP="00A04509">
            <w:pPr>
              <w:ind w:left="0" w:right="0"/>
              <w:rPr>
                <w:sz w:val="18"/>
                <w:szCs w:val="18"/>
              </w:rPr>
            </w:pPr>
            <w:r w:rsidRPr="00DB087D">
              <w:rPr>
                <w:sz w:val="18"/>
                <w:szCs w:val="18"/>
              </w:rPr>
              <w:t>–</w:t>
            </w:r>
          </w:p>
        </w:tc>
        <w:tc>
          <w:tcPr>
            <w:tcW w:w="1134" w:type="dxa"/>
          </w:tcPr>
          <w:p w14:paraId="3DFDDA3D" w14:textId="77777777" w:rsidR="00AC1730" w:rsidRPr="00DB087D" w:rsidRDefault="00AC1730" w:rsidP="00A04509">
            <w:pPr>
              <w:ind w:left="0" w:right="0"/>
              <w:rPr>
                <w:sz w:val="18"/>
                <w:szCs w:val="18"/>
              </w:rPr>
            </w:pPr>
            <w:r w:rsidRPr="00DB087D">
              <w:rPr>
                <w:sz w:val="18"/>
                <w:szCs w:val="18"/>
              </w:rPr>
              <w:sym w:font="Wingdings" w:char="F0FC"/>
            </w:r>
          </w:p>
        </w:tc>
        <w:tc>
          <w:tcPr>
            <w:tcW w:w="879" w:type="dxa"/>
          </w:tcPr>
          <w:p w14:paraId="4EAA31A6" w14:textId="77777777" w:rsidR="00AC1730" w:rsidRPr="00DB087D" w:rsidRDefault="00AC1730" w:rsidP="00A04509">
            <w:pPr>
              <w:ind w:left="0" w:right="0"/>
              <w:rPr>
                <w:sz w:val="18"/>
                <w:szCs w:val="18"/>
              </w:rPr>
            </w:pPr>
            <w:r w:rsidRPr="00DB087D">
              <w:rPr>
                <w:sz w:val="18"/>
                <w:szCs w:val="18"/>
              </w:rPr>
              <w:t>–</w:t>
            </w:r>
          </w:p>
        </w:tc>
      </w:tr>
      <w:tr w:rsidR="00E25FFB" w:rsidRPr="00DB087D" w14:paraId="0FF4F6E3" w14:textId="77777777" w:rsidTr="00E25FFB">
        <w:trPr>
          <w:trHeight w:val="163"/>
        </w:trPr>
        <w:tc>
          <w:tcPr>
            <w:tcW w:w="1393" w:type="dxa"/>
            <w:vMerge/>
          </w:tcPr>
          <w:p w14:paraId="08F15679" w14:textId="77777777" w:rsidR="00AC1730" w:rsidRPr="00DB087D" w:rsidRDefault="00AC1730" w:rsidP="00A04509">
            <w:pPr>
              <w:ind w:left="0" w:right="0"/>
              <w:rPr>
                <w:sz w:val="18"/>
                <w:szCs w:val="18"/>
              </w:rPr>
            </w:pPr>
          </w:p>
        </w:tc>
        <w:tc>
          <w:tcPr>
            <w:tcW w:w="2684" w:type="dxa"/>
          </w:tcPr>
          <w:p w14:paraId="2D8F1023" w14:textId="77777777" w:rsidR="00AC1730" w:rsidRPr="00DB087D" w:rsidRDefault="00AC1730" w:rsidP="00A04509">
            <w:pPr>
              <w:ind w:left="0" w:right="0"/>
              <w:rPr>
                <w:sz w:val="18"/>
                <w:szCs w:val="18"/>
              </w:rPr>
            </w:pPr>
            <w:r w:rsidRPr="00DB087D">
              <w:rPr>
                <w:sz w:val="18"/>
                <w:szCs w:val="18"/>
              </w:rPr>
              <w:t>Use in patients with CHF Class II-IV</w:t>
            </w:r>
          </w:p>
        </w:tc>
        <w:tc>
          <w:tcPr>
            <w:tcW w:w="1134" w:type="dxa"/>
          </w:tcPr>
          <w:p w14:paraId="646AE0AF" w14:textId="77777777" w:rsidR="00AC1730" w:rsidRPr="00DB087D" w:rsidRDefault="00AC1730" w:rsidP="00A04509">
            <w:pPr>
              <w:ind w:left="0" w:right="0"/>
              <w:rPr>
                <w:sz w:val="18"/>
                <w:szCs w:val="18"/>
              </w:rPr>
            </w:pPr>
            <w:r w:rsidRPr="00DB087D">
              <w:rPr>
                <w:sz w:val="18"/>
                <w:szCs w:val="18"/>
              </w:rPr>
              <w:sym w:font="Wingdings" w:char="F0FC"/>
            </w:r>
          </w:p>
        </w:tc>
        <w:tc>
          <w:tcPr>
            <w:tcW w:w="1418" w:type="dxa"/>
          </w:tcPr>
          <w:p w14:paraId="733A8ED6" w14:textId="77777777" w:rsidR="00AC1730" w:rsidRPr="00DB087D" w:rsidRDefault="00AC1730" w:rsidP="00A04509">
            <w:pPr>
              <w:ind w:left="0" w:right="0"/>
              <w:rPr>
                <w:sz w:val="18"/>
                <w:szCs w:val="18"/>
              </w:rPr>
            </w:pPr>
            <w:r w:rsidRPr="00DB087D">
              <w:rPr>
                <w:sz w:val="18"/>
                <w:szCs w:val="18"/>
              </w:rPr>
              <w:sym w:font="Wingdings" w:char="F0FC"/>
            </w:r>
          </w:p>
        </w:tc>
        <w:tc>
          <w:tcPr>
            <w:tcW w:w="1134" w:type="dxa"/>
          </w:tcPr>
          <w:p w14:paraId="28868BD9" w14:textId="77777777" w:rsidR="00AC1730" w:rsidRPr="00DB087D" w:rsidRDefault="00AC1730" w:rsidP="00A04509">
            <w:pPr>
              <w:ind w:left="0" w:right="0"/>
              <w:rPr>
                <w:sz w:val="18"/>
                <w:szCs w:val="18"/>
              </w:rPr>
            </w:pPr>
            <w:r w:rsidRPr="00DB087D">
              <w:rPr>
                <w:sz w:val="18"/>
                <w:szCs w:val="18"/>
              </w:rPr>
              <w:t>–</w:t>
            </w:r>
          </w:p>
        </w:tc>
        <w:tc>
          <w:tcPr>
            <w:tcW w:w="879" w:type="dxa"/>
          </w:tcPr>
          <w:p w14:paraId="4CAFD115" w14:textId="77777777" w:rsidR="00AC1730" w:rsidRPr="00DB087D" w:rsidRDefault="00AC1730" w:rsidP="00A04509">
            <w:pPr>
              <w:ind w:left="0" w:right="0"/>
              <w:rPr>
                <w:sz w:val="18"/>
                <w:szCs w:val="18"/>
              </w:rPr>
            </w:pPr>
            <w:r w:rsidRPr="00DB087D">
              <w:rPr>
                <w:sz w:val="18"/>
                <w:szCs w:val="18"/>
              </w:rPr>
              <w:t>–</w:t>
            </w:r>
          </w:p>
        </w:tc>
      </w:tr>
      <w:tr w:rsidR="00E25FFB" w:rsidRPr="00DB087D" w14:paraId="73837F8F" w14:textId="77777777" w:rsidTr="00E25FFB">
        <w:trPr>
          <w:trHeight w:val="139"/>
        </w:trPr>
        <w:tc>
          <w:tcPr>
            <w:tcW w:w="1393" w:type="dxa"/>
            <w:vMerge/>
          </w:tcPr>
          <w:p w14:paraId="43B0174A" w14:textId="77777777" w:rsidR="00AC1730" w:rsidRPr="00DB087D" w:rsidRDefault="00AC1730" w:rsidP="00A04509">
            <w:pPr>
              <w:keepNext/>
              <w:ind w:left="0" w:right="0"/>
              <w:rPr>
                <w:sz w:val="18"/>
                <w:szCs w:val="18"/>
              </w:rPr>
            </w:pPr>
          </w:p>
        </w:tc>
        <w:tc>
          <w:tcPr>
            <w:tcW w:w="2684" w:type="dxa"/>
          </w:tcPr>
          <w:p w14:paraId="557A4DE5" w14:textId="77777777" w:rsidR="00AC1730" w:rsidRPr="00DB087D" w:rsidRDefault="00AC1730" w:rsidP="00A04509">
            <w:pPr>
              <w:keepNext/>
              <w:ind w:left="0" w:right="0"/>
              <w:rPr>
                <w:sz w:val="18"/>
                <w:szCs w:val="18"/>
              </w:rPr>
            </w:pPr>
            <w:r w:rsidRPr="00DB087D">
              <w:rPr>
                <w:sz w:val="18"/>
                <w:szCs w:val="18"/>
              </w:rPr>
              <w:t>Long-term CV Safety</w:t>
            </w:r>
          </w:p>
        </w:tc>
        <w:tc>
          <w:tcPr>
            <w:tcW w:w="1134" w:type="dxa"/>
          </w:tcPr>
          <w:p w14:paraId="500B2621" w14:textId="77777777" w:rsidR="00AC1730" w:rsidRPr="00DB087D" w:rsidRDefault="00AC1730" w:rsidP="00A04509">
            <w:pPr>
              <w:keepNext/>
              <w:ind w:left="0" w:right="0"/>
              <w:rPr>
                <w:sz w:val="18"/>
                <w:szCs w:val="18"/>
              </w:rPr>
            </w:pPr>
            <w:r w:rsidRPr="00DB087D">
              <w:rPr>
                <w:sz w:val="18"/>
                <w:szCs w:val="18"/>
              </w:rPr>
              <w:sym w:font="Wingdings" w:char="F0FC"/>
            </w:r>
          </w:p>
        </w:tc>
        <w:tc>
          <w:tcPr>
            <w:tcW w:w="1418" w:type="dxa"/>
          </w:tcPr>
          <w:p w14:paraId="56C294F5" w14:textId="77777777" w:rsidR="00AC1730" w:rsidRPr="00DB087D" w:rsidRDefault="00AC1730" w:rsidP="00A04509">
            <w:pPr>
              <w:keepNext/>
              <w:ind w:left="0" w:right="0"/>
              <w:rPr>
                <w:sz w:val="18"/>
                <w:szCs w:val="18"/>
              </w:rPr>
            </w:pPr>
            <w:r w:rsidRPr="00DB087D">
              <w:rPr>
                <w:sz w:val="18"/>
                <w:szCs w:val="18"/>
              </w:rPr>
              <w:sym w:font="Wingdings" w:char="F0FC"/>
            </w:r>
          </w:p>
        </w:tc>
        <w:tc>
          <w:tcPr>
            <w:tcW w:w="1134" w:type="dxa"/>
          </w:tcPr>
          <w:p w14:paraId="01D95419" w14:textId="77777777" w:rsidR="00AC1730" w:rsidRPr="00DB087D" w:rsidRDefault="00AC1730" w:rsidP="00A04509">
            <w:pPr>
              <w:keepNext/>
              <w:ind w:left="0" w:right="0"/>
              <w:rPr>
                <w:sz w:val="18"/>
                <w:szCs w:val="18"/>
              </w:rPr>
            </w:pPr>
            <w:r w:rsidRPr="00DB087D">
              <w:rPr>
                <w:sz w:val="18"/>
                <w:szCs w:val="18"/>
              </w:rPr>
              <w:t>–</w:t>
            </w:r>
          </w:p>
        </w:tc>
        <w:tc>
          <w:tcPr>
            <w:tcW w:w="879" w:type="dxa"/>
          </w:tcPr>
          <w:p w14:paraId="097BF570" w14:textId="77777777" w:rsidR="00AC1730" w:rsidRPr="00DB087D" w:rsidRDefault="00AC1730" w:rsidP="00A04509">
            <w:pPr>
              <w:keepNext/>
              <w:ind w:left="0" w:right="0"/>
              <w:rPr>
                <w:sz w:val="18"/>
                <w:szCs w:val="18"/>
              </w:rPr>
            </w:pPr>
            <w:r w:rsidRPr="00DB087D">
              <w:rPr>
                <w:sz w:val="18"/>
                <w:szCs w:val="18"/>
              </w:rPr>
              <w:t>–</w:t>
            </w:r>
          </w:p>
        </w:tc>
      </w:tr>
    </w:tbl>
    <w:p w14:paraId="16C198CA" w14:textId="47D35447" w:rsidR="00AC1730" w:rsidRPr="00D05643" w:rsidRDefault="00AC1730" w:rsidP="00DB087D">
      <w:pPr>
        <w:pStyle w:val="TableDescription"/>
        <w:keepNext/>
      </w:pPr>
      <w:r>
        <w:t xml:space="preserve">*Recommended by the RMP </w:t>
      </w:r>
      <w:r w:rsidRPr="00BE4CCD">
        <w:t xml:space="preserve">evaluator for all products at </w:t>
      </w:r>
      <w:r w:rsidR="00DB087D">
        <w:t>the first r</w:t>
      </w:r>
      <w:r w:rsidRPr="00BE4CCD">
        <w:t>ound and added in EU-RMP version</w:t>
      </w:r>
      <w:r w:rsidR="00A04509">
        <w:t> </w:t>
      </w:r>
      <w:r w:rsidRPr="00BE4CCD">
        <w:t xml:space="preserve">1.1 as well as the ASAs for the all the products which were submitted at </w:t>
      </w:r>
      <w:r w:rsidR="00DB087D">
        <w:t>the second r</w:t>
      </w:r>
      <w:r w:rsidRPr="00BE4CCD">
        <w:t>ound.</w:t>
      </w:r>
    </w:p>
    <w:p w14:paraId="1C0F2DB7" w14:textId="05071735" w:rsidR="00AC1730" w:rsidRPr="00433933" w:rsidRDefault="00AC1730" w:rsidP="00DB087D">
      <w:pPr>
        <w:pStyle w:val="ListBullet"/>
      </w:pPr>
      <w:r w:rsidRPr="0004560A">
        <w:t xml:space="preserve">Additional pharmacovigilance activities include </w:t>
      </w:r>
      <w:r>
        <w:t xml:space="preserve">two </w:t>
      </w:r>
      <w:r w:rsidRPr="0004560A">
        <w:t xml:space="preserve">ongoing clinical trials </w:t>
      </w:r>
      <w:r>
        <w:t>(S</w:t>
      </w:r>
      <w:r w:rsidRPr="009F2147">
        <w:t>tudy</w:t>
      </w:r>
      <w:r w:rsidR="00A04509">
        <w:t> </w:t>
      </w:r>
      <w:r w:rsidRPr="009F2147">
        <w:t xml:space="preserve">8835-004/B1521021 </w:t>
      </w:r>
      <w:r>
        <w:t xml:space="preserve">and </w:t>
      </w:r>
      <w:r w:rsidRPr="009F2147">
        <w:t>Study 8835-007/B1521017</w:t>
      </w:r>
      <w:r>
        <w:t xml:space="preserve">) </w:t>
      </w:r>
      <w:r w:rsidRPr="0004560A">
        <w:t xml:space="preserve">and two planned </w:t>
      </w:r>
      <w:r w:rsidRPr="00433933">
        <w:t>paediatric investigational plans (PIPs), which is acceptable.</w:t>
      </w:r>
    </w:p>
    <w:p w14:paraId="0D597F07" w14:textId="77777777" w:rsidR="00AC1730" w:rsidRPr="00433933" w:rsidRDefault="00AC1730" w:rsidP="00DB087D">
      <w:pPr>
        <w:pStyle w:val="ListBullet"/>
      </w:pPr>
      <w:r w:rsidRPr="00433933">
        <w:t>There are no additional risk minimisation activities which is acceptable.</w:t>
      </w:r>
    </w:p>
    <w:p w14:paraId="3D6AF633" w14:textId="77777777" w:rsidR="00AC1730" w:rsidRPr="00BE4CCD" w:rsidRDefault="003A37C5" w:rsidP="00DB087D">
      <w:pPr>
        <w:pStyle w:val="Heading4"/>
      </w:pPr>
      <w:bookmarkStart w:id="257" w:name="_Toc505777067"/>
      <w:r>
        <w:t>O</w:t>
      </w:r>
      <w:r w:rsidR="00AC1730" w:rsidRPr="00BE4CCD">
        <w:t>utstanding recommendations</w:t>
      </w:r>
      <w:bookmarkEnd w:id="257"/>
    </w:p>
    <w:p w14:paraId="4B73E761" w14:textId="77777777" w:rsidR="00AC1730" w:rsidRPr="00BE4CCD" w:rsidRDefault="00AC1730" w:rsidP="003A37C5">
      <w:r w:rsidRPr="00BE4CCD">
        <w:t>There is one outstanding issue which applies to all three products containing ertugliflozin (</w:t>
      </w:r>
      <w:r w:rsidRPr="006777B6">
        <w:t xml:space="preserve">Steglatro, </w:t>
      </w:r>
      <w:r w:rsidR="00453FBE">
        <w:t>Steglujan</w:t>
      </w:r>
      <w:r w:rsidR="006777B6">
        <w:t xml:space="preserve"> and</w:t>
      </w:r>
      <w:r w:rsidRPr="006777B6">
        <w:t xml:space="preserve"> Segluromet</w:t>
      </w:r>
      <w:r w:rsidRPr="00BE4CCD">
        <w:t>):</w:t>
      </w:r>
    </w:p>
    <w:p w14:paraId="388060CF" w14:textId="6A5A826A" w:rsidR="00AC1730" w:rsidRPr="003A37C5" w:rsidRDefault="00AC1730" w:rsidP="003A37C5">
      <w:pPr>
        <w:pStyle w:val="Heading5"/>
      </w:pPr>
      <w:r w:rsidRPr="00BE4CCD">
        <w:t xml:space="preserve">Advice to the </w:t>
      </w:r>
      <w:r w:rsidR="0091712B">
        <w:t>d</w:t>
      </w:r>
      <w:r w:rsidRPr="00BE4CCD">
        <w:t>elegate</w:t>
      </w:r>
    </w:p>
    <w:p w14:paraId="300EC69B" w14:textId="5BC2C120" w:rsidR="00AC1730" w:rsidRDefault="00AC1730" w:rsidP="003A37C5">
      <w:r>
        <w:t xml:space="preserve">The Delegate may wish to consider if a warning should be added under </w:t>
      </w:r>
      <w:r w:rsidR="006777B6">
        <w:t xml:space="preserve">Precautions </w:t>
      </w:r>
      <w:r w:rsidRPr="000D7983">
        <w:t xml:space="preserve">regarding the Important Potential Risk (recommended by the RMP </w:t>
      </w:r>
      <w:r w:rsidR="00A04509">
        <w:t>e</w:t>
      </w:r>
      <w:r w:rsidRPr="000D7983">
        <w:t xml:space="preserve">valuator): Lower limb amputations; similar to the canagliflozin PI and consistent with the recommendation by the </w:t>
      </w:r>
      <w:r w:rsidR="00D36530" w:rsidRPr="00D36530">
        <w:t>Pharmacovigilance Risk Assessment Committee (PRAC)</w:t>
      </w:r>
      <w:r w:rsidRPr="000D7983">
        <w:t xml:space="preserve"> regarding the SGLT2 inhibitors and special warnings and precautions in the </w:t>
      </w:r>
      <w:r w:rsidR="006777B6" w:rsidRPr="000D7983">
        <w:t>EU Summary of Product Characteristics</w:t>
      </w:r>
      <w:r w:rsidR="006777B6">
        <w:t xml:space="preserve"> (</w:t>
      </w:r>
      <w:r>
        <w:t>SmPC</w:t>
      </w:r>
      <w:r w:rsidR="006777B6">
        <w:t>)</w:t>
      </w:r>
      <w:r>
        <w:t>.</w:t>
      </w:r>
    </w:p>
    <w:p w14:paraId="41E6073E" w14:textId="77777777" w:rsidR="00AC1730" w:rsidRPr="00A04509" w:rsidRDefault="00060C99" w:rsidP="00A04509">
      <w:pPr>
        <w:ind w:left="720"/>
        <w:rPr>
          <w:i/>
          <w:highlight w:val="yellow"/>
        </w:rPr>
      </w:pPr>
      <w:r w:rsidRPr="00A04509">
        <w:rPr>
          <w:i/>
        </w:rPr>
        <w:t>‘</w:t>
      </w:r>
      <w:r w:rsidR="00AC1730" w:rsidRPr="00A04509">
        <w:rPr>
          <w:i/>
        </w:rPr>
        <w:t>Lower Limb amputations</w:t>
      </w:r>
      <w:r w:rsidR="003A37C5" w:rsidRPr="00A04509">
        <w:rPr>
          <w:i/>
        </w:rPr>
        <w:t xml:space="preserve">: </w:t>
      </w:r>
      <w:r w:rsidR="00AC1730" w:rsidRPr="00A04509">
        <w:rPr>
          <w:i/>
        </w:rPr>
        <w:t>An increase in cases of lower limb amputation (primarily of the toe) has been observed in ongoing long-term, clinical studies with another SGLT2 inhibitor. It is unknown whether this constitutes a class effect. Like for all diabetic patients it is important to counsel patients on routine preventative foot-care.</w:t>
      </w:r>
      <w:r w:rsidRPr="00A04509">
        <w:rPr>
          <w:i/>
        </w:rPr>
        <w:t>’</w:t>
      </w:r>
    </w:p>
    <w:p w14:paraId="30B0B4AF" w14:textId="77777777" w:rsidR="00AC1730" w:rsidRDefault="00AC1730" w:rsidP="00AC1730">
      <w:pPr>
        <w:rPr>
          <w:sz w:val="23"/>
          <w:szCs w:val="23"/>
        </w:rPr>
      </w:pPr>
      <w:r>
        <w:rPr>
          <w:sz w:val="23"/>
          <w:szCs w:val="23"/>
        </w:rPr>
        <w:t>The Delegate should note that t</w:t>
      </w:r>
      <w:r w:rsidRPr="00255492">
        <w:rPr>
          <w:sz w:val="23"/>
          <w:szCs w:val="23"/>
        </w:rPr>
        <w:t>he PI for empagliflozin (and associated combination products) now includes a warning under Precaution</w:t>
      </w:r>
      <w:r w:rsidR="006777B6">
        <w:rPr>
          <w:sz w:val="23"/>
          <w:szCs w:val="23"/>
        </w:rPr>
        <w:t>s about lower limb amputations.</w:t>
      </w:r>
    </w:p>
    <w:p w14:paraId="06106B47" w14:textId="77777777" w:rsidR="00AC1730" w:rsidRDefault="00AC1730" w:rsidP="003A37C5">
      <w:r w:rsidRPr="00255492">
        <w:t xml:space="preserve">If the Delegate considers that a warning under </w:t>
      </w:r>
      <w:r w:rsidR="006777B6" w:rsidRPr="00255492">
        <w:t xml:space="preserve">Precautions </w:t>
      </w:r>
      <w:r w:rsidRPr="00255492">
        <w:t xml:space="preserve">should be added to the PI regarding lower limb amputation (similar to the recommendation by PRAC for the SmPC) then </w:t>
      </w:r>
      <w:r w:rsidR="0024546B">
        <w:t>the sponsor</w:t>
      </w:r>
      <w:r w:rsidRPr="00255492">
        <w:t xml:space="preserve"> should align the C</w:t>
      </w:r>
      <w:r w:rsidR="006777B6">
        <w:t xml:space="preserve">onsumer </w:t>
      </w:r>
      <w:r w:rsidRPr="00255492">
        <w:t>M</w:t>
      </w:r>
      <w:r w:rsidR="006777B6">
        <w:t xml:space="preserve">edicine </w:t>
      </w:r>
      <w:r w:rsidRPr="00255492">
        <w:t>I</w:t>
      </w:r>
      <w:r w:rsidR="006777B6">
        <w:t>nformation (CMI)</w:t>
      </w:r>
      <w:r w:rsidRPr="00255492">
        <w:t xml:space="preserve"> with the PI.</w:t>
      </w:r>
    </w:p>
    <w:p w14:paraId="3EF04421" w14:textId="77777777" w:rsidR="00AC1730" w:rsidRPr="004E64B2" w:rsidRDefault="00AC1730" w:rsidP="003A37C5">
      <w:r w:rsidRPr="00C56148">
        <w:t>‘Lower limb amputations’ has been added as a safety concern</w:t>
      </w:r>
      <w:r>
        <w:t xml:space="preserve"> (important potential risk) in the EU-RMP and ASA for </w:t>
      </w:r>
      <w:r w:rsidRPr="00C56148">
        <w:t>all products.</w:t>
      </w:r>
    </w:p>
    <w:p w14:paraId="22728ED1" w14:textId="77777777" w:rsidR="00AC1730" w:rsidRPr="00460BEE" w:rsidRDefault="00AC1730" w:rsidP="006777B6">
      <w:pPr>
        <w:pStyle w:val="Heading6"/>
      </w:pPr>
      <w:bookmarkStart w:id="258" w:name="_Toc505777068"/>
      <w:r w:rsidRPr="00BE4CCD">
        <w:t>Wording for conditions of registration</w:t>
      </w:r>
      <w:bookmarkEnd w:id="258"/>
    </w:p>
    <w:p w14:paraId="1FDD9FD3" w14:textId="77777777" w:rsidR="00AC1730" w:rsidRPr="00460BEE" w:rsidRDefault="00AC1730" w:rsidP="003A37C5">
      <w:r w:rsidRPr="00460BEE">
        <w:t>Any changes to which the sponsor has agreed should be included in a revised RMP and ASA. However, irrespective of whether or not they are included in the currently available version of the RMP document, the agreed changes become part of the risk management system.</w:t>
      </w:r>
    </w:p>
    <w:p w14:paraId="14492876" w14:textId="77777777" w:rsidR="00AC1730" w:rsidRPr="00873921" w:rsidRDefault="00AC1730" w:rsidP="006777B6">
      <w:r w:rsidRPr="00873921">
        <w:t>The suggested wording is:</w:t>
      </w:r>
    </w:p>
    <w:p w14:paraId="55A2034B" w14:textId="0DD678F4" w:rsidR="00AC1730" w:rsidRPr="006777B6" w:rsidRDefault="00AC1730" w:rsidP="006777B6">
      <w:pPr>
        <w:ind w:left="720"/>
        <w:rPr>
          <w:i/>
        </w:rPr>
      </w:pPr>
      <w:r w:rsidRPr="00873921">
        <w:rPr>
          <w:i/>
        </w:rPr>
        <w:lastRenderedPageBreak/>
        <w:t xml:space="preserve">The </w:t>
      </w:r>
      <w:r w:rsidR="00F14099" w:rsidRPr="00873921">
        <w:rPr>
          <w:i/>
        </w:rPr>
        <w:t>Steglatro</w:t>
      </w:r>
      <w:r w:rsidRPr="00873921">
        <w:rPr>
          <w:i/>
          <w:smallCaps/>
        </w:rPr>
        <w:t xml:space="preserve"> </w:t>
      </w:r>
      <w:r w:rsidRPr="00873921">
        <w:rPr>
          <w:i/>
        </w:rPr>
        <w:t>EU-Risk Management Plan (RMP) (version 1.1, dated 15 August 2017, data lock point 31 May 2016), with Australian Specific Annex (version 1.1, dated 24</w:t>
      </w:r>
      <w:r w:rsidR="00A04509">
        <w:rPr>
          <w:i/>
        </w:rPr>
        <w:t> </w:t>
      </w:r>
      <w:r w:rsidRPr="00873921">
        <w:rPr>
          <w:i/>
        </w:rPr>
        <w:t>November 2017), included with submission PM-2017-01328-1-5, and any subsequent revisions, as agreed with the TGA will be implemented in Australia.</w:t>
      </w:r>
    </w:p>
    <w:p w14:paraId="43653893" w14:textId="77777777" w:rsidR="00AC1730" w:rsidRPr="00460BEE" w:rsidRDefault="00AC1730" w:rsidP="006777B6">
      <w:r w:rsidRPr="00460BEE">
        <w:t xml:space="preserve">The following wording is recommended for the </w:t>
      </w:r>
      <w:r w:rsidR="003E0A2F">
        <w:t>Periodic Safety Update Report (</w:t>
      </w:r>
      <w:r w:rsidRPr="00460BEE">
        <w:t>PSUR</w:t>
      </w:r>
      <w:r w:rsidR="003E0A2F">
        <w:t>)</w:t>
      </w:r>
      <w:r w:rsidRPr="00460BEE">
        <w:t xml:space="preserve"> requirement:</w:t>
      </w:r>
    </w:p>
    <w:p w14:paraId="1D384190" w14:textId="5977E23B" w:rsidR="00AC1730" w:rsidRPr="006777B6" w:rsidRDefault="00AC1730" w:rsidP="006777B6">
      <w:pPr>
        <w:ind w:left="720"/>
        <w:rPr>
          <w:i/>
        </w:rPr>
      </w:pPr>
      <w:r w:rsidRPr="006777B6">
        <w:rPr>
          <w:i/>
        </w:rPr>
        <w:t>An obligatory component of risk management plans is routine pharmacovigilance. Routine pharmacovigilance includes the submission of Periodic Safety Update Reports (PSURs).</w:t>
      </w:r>
    </w:p>
    <w:p w14:paraId="1237E2D8" w14:textId="77777777" w:rsidR="00AC1730" w:rsidRPr="006777B6" w:rsidRDefault="00AC1730" w:rsidP="006777B6">
      <w:pPr>
        <w:ind w:left="720"/>
        <w:rPr>
          <w:i/>
        </w:rPr>
      </w:pPr>
      <w:r w:rsidRPr="006777B6">
        <w:rPr>
          <w:i/>
        </w:rPr>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six monthly reports may be submitted separately as they become available.</w:t>
      </w:r>
    </w:p>
    <w:p w14:paraId="05062E6C" w14:textId="77777777" w:rsidR="00AC1730" w:rsidRPr="006777B6" w:rsidRDefault="00AC1730" w:rsidP="006777B6">
      <w:pPr>
        <w:ind w:left="720"/>
        <w:rPr>
          <w:i/>
        </w:rPr>
      </w:pPr>
      <w:r w:rsidRPr="006777B6">
        <w:rPr>
          <w:i/>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592F9051" w14:textId="77EAD5E5" w:rsidR="00AC1730" w:rsidRPr="00460BEE" w:rsidRDefault="00AC1730" w:rsidP="003A37C5">
      <w:r w:rsidRPr="00460BEE">
        <w:t xml:space="preserve">As </w:t>
      </w:r>
      <w:r w:rsidRPr="006777B6">
        <w:t>Steglatro</w:t>
      </w:r>
      <w:r w:rsidRPr="00460BEE">
        <w:t xml:space="preserve"> is a new chemical entity it should be included in the Black Triangle Scheme as a condition of registration. The following wording is recommended for the condition of registration:</w:t>
      </w:r>
    </w:p>
    <w:p w14:paraId="10C05E47" w14:textId="77777777" w:rsidR="00AC1730" w:rsidRDefault="00AC1730" w:rsidP="006777B6">
      <w:pPr>
        <w:ind w:left="720"/>
        <w:rPr>
          <w:i/>
        </w:rPr>
      </w:pPr>
      <w:r w:rsidRPr="006777B6">
        <w:rPr>
          <w:i/>
        </w:rPr>
        <w:t xml:space="preserve">Steglatro (Ertugliflozin) is to be included in the Black Triangle Scheme. The PI and CMI for </w:t>
      </w:r>
      <w:r w:rsidR="00F14099" w:rsidRPr="006777B6">
        <w:rPr>
          <w:i/>
        </w:rPr>
        <w:t>Steglatro</w:t>
      </w:r>
      <w:r w:rsidRPr="006777B6">
        <w:rPr>
          <w:i/>
        </w:rPr>
        <w:t xml:space="preserve"> must include the black triangle symbol and mandatory accompanying text for five years, which starts from the date that the sponsor notifies the TGA of supply of the product.</w:t>
      </w:r>
    </w:p>
    <w:p w14:paraId="3EED7E05" w14:textId="071CA74F" w:rsidR="00465723" w:rsidRDefault="00453FBE" w:rsidP="00A06ADD">
      <w:pPr>
        <w:pStyle w:val="Heading3"/>
      </w:pPr>
      <w:bookmarkStart w:id="259" w:name="_Toc505777094"/>
      <w:bookmarkStart w:id="260" w:name="_Toc4405834"/>
      <w:r>
        <w:t>Steglujan</w:t>
      </w:r>
      <w:r w:rsidR="00465723">
        <w:t xml:space="preserve"> risk </w:t>
      </w:r>
      <w:r w:rsidR="00465723" w:rsidRPr="00A06ADD">
        <w:t>management</w:t>
      </w:r>
      <w:r w:rsidR="00465723">
        <w:t xml:space="preserve"> plan (abridged)</w:t>
      </w:r>
      <w:bookmarkEnd w:id="259"/>
      <w:bookmarkEnd w:id="260"/>
    </w:p>
    <w:p w14:paraId="38085072" w14:textId="49D55A56" w:rsidR="006777B6" w:rsidRPr="00465723" w:rsidRDefault="00465723" w:rsidP="00465723">
      <w:pPr>
        <w:pStyle w:val="ListBullet"/>
      </w:pPr>
      <w:r w:rsidRPr="00465723">
        <w:rPr>
          <w:rStyle w:val="BulletlistChar"/>
          <w:rFonts w:eastAsia="Cambria"/>
        </w:rPr>
        <w:t>The sponsor</w:t>
      </w:r>
      <w:r w:rsidR="006777B6" w:rsidRPr="00465723">
        <w:t xml:space="preserve"> has submitted EU-RMP </w:t>
      </w:r>
      <w:hyperlink r:id="rId35" w:history="1">
        <w:r w:rsidR="006777B6" w:rsidRPr="00465723">
          <w:rPr>
            <w:rFonts w:asciiTheme="minorHAnsi" w:eastAsiaTheme="minorHAnsi" w:hAnsiTheme="minorHAnsi" w:cstheme="minorBidi"/>
          </w:rPr>
          <w:t>version 1.0</w:t>
        </w:r>
      </w:hyperlink>
      <w:r w:rsidR="006777B6" w:rsidRPr="00465723">
        <w:t xml:space="preserve"> (dated 11 January 2017; DLP 31</w:t>
      </w:r>
      <w:r w:rsidR="00A04509">
        <w:t> </w:t>
      </w:r>
      <w:r w:rsidR="006777B6" w:rsidRPr="00465723">
        <w:t>May</w:t>
      </w:r>
      <w:r w:rsidR="00A04509">
        <w:t> </w:t>
      </w:r>
      <w:r w:rsidR="006777B6" w:rsidRPr="00465723">
        <w:t>2016</w:t>
      </w:r>
      <w:r w:rsidR="006777B6" w:rsidRPr="00465723">
        <w:rPr>
          <w:rFonts w:asciiTheme="minorHAnsi" w:eastAsiaTheme="minorHAnsi" w:hAnsiTheme="minorHAnsi" w:cstheme="minorBidi"/>
        </w:rPr>
        <w:t xml:space="preserve"> </w:t>
      </w:r>
      <w:r w:rsidR="006777B6" w:rsidRPr="00465723">
        <w:t xml:space="preserve">and ASA </w:t>
      </w:r>
      <w:hyperlink r:id="rId36" w:history="1">
        <w:r w:rsidR="006777B6" w:rsidRPr="00465723">
          <w:rPr>
            <w:rFonts w:asciiTheme="minorHAnsi" w:eastAsiaTheme="minorHAnsi" w:hAnsiTheme="minorHAnsi" w:cstheme="minorBidi"/>
          </w:rPr>
          <w:t>version 1.0</w:t>
        </w:r>
      </w:hyperlink>
      <w:r w:rsidR="006777B6" w:rsidRPr="00465723">
        <w:t xml:space="preserve"> (dated April 2017) in support of this application. </w:t>
      </w:r>
      <w:r w:rsidRPr="00465723">
        <w:t>The s</w:t>
      </w:r>
      <w:r w:rsidR="006777B6" w:rsidRPr="00465723">
        <w:t xml:space="preserve">ponsor </w:t>
      </w:r>
      <w:r w:rsidRPr="00465723">
        <w:t xml:space="preserve">later </w:t>
      </w:r>
      <w:r w:rsidR="006777B6" w:rsidRPr="00465723">
        <w:t xml:space="preserve">submitted EU-RMP </w:t>
      </w:r>
      <w:hyperlink r:id="rId37" w:history="1">
        <w:r w:rsidR="006777B6" w:rsidRPr="00465723">
          <w:rPr>
            <w:rFonts w:asciiTheme="minorHAnsi" w:eastAsiaTheme="minorHAnsi" w:hAnsiTheme="minorHAnsi" w:cstheme="minorBidi"/>
          </w:rPr>
          <w:t>version 1.1</w:t>
        </w:r>
      </w:hyperlink>
      <w:r w:rsidR="006777B6" w:rsidRPr="00465723">
        <w:t xml:space="preserve"> (dated 15 August 2017; DLP 31</w:t>
      </w:r>
      <w:r w:rsidR="00A04509">
        <w:t> </w:t>
      </w:r>
      <w:r w:rsidR="006777B6" w:rsidRPr="00465723">
        <w:t>May</w:t>
      </w:r>
      <w:r w:rsidR="00A04509">
        <w:t> </w:t>
      </w:r>
      <w:r w:rsidR="006777B6" w:rsidRPr="00465723">
        <w:t xml:space="preserve">2016) and ASA </w:t>
      </w:r>
      <w:hyperlink r:id="rId38" w:history="1">
        <w:r w:rsidR="006777B6" w:rsidRPr="00465723">
          <w:rPr>
            <w:rFonts w:asciiTheme="minorHAnsi" w:eastAsiaTheme="minorHAnsi" w:hAnsiTheme="minorHAnsi" w:cstheme="minorBidi"/>
          </w:rPr>
          <w:t>version 1.1</w:t>
        </w:r>
      </w:hyperlink>
      <w:r w:rsidR="006777B6" w:rsidRPr="00465723">
        <w:t xml:space="preserve"> (dated 24 November 2017) in support of this application.</w:t>
      </w:r>
    </w:p>
    <w:p w14:paraId="3202FBF5" w14:textId="42880455" w:rsidR="006777B6" w:rsidRDefault="006777B6" w:rsidP="00465723">
      <w:pPr>
        <w:pStyle w:val="ListBullet"/>
      </w:pPr>
      <w:r w:rsidRPr="00BE4CCD">
        <w:t xml:space="preserve">The proposed Summary of Safety Concerns for </w:t>
      </w:r>
      <w:r w:rsidR="00453FBE">
        <w:t>Steglujan</w:t>
      </w:r>
      <w:r w:rsidRPr="00BE4CCD">
        <w:t xml:space="preserve"> and their associated risk monitoring and mitigation strategies are summarised </w:t>
      </w:r>
      <w:r w:rsidR="00EA1B90">
        <w:t>in Table 26, below.</w:t>
      </w:r>
    </w:p>
    <w:p w14:paraId="3788B7FA" w14:textId="77777777" w:rsidR="00465723" w:rsidRPr="00BE4CCD" w:rsidRDefault="00465723" w:rsidP="00F30D27">
      <w:pPr>
        <w:pStyle w:val="TableTitle"/>
      </w:pPr>
      <w:r>
        <w:t>Table</w:t>
      </w:r>
      <w:r w:rsidR="00E55ACA">
        <w:t xml:space="preserve"> 26: Summary of ongoing safety concerns for </w:t>
      </w:r>
      <w:r w:rsidR="00F14099">
        <w:t>Steglujan</w:t>
      </w:r>
    </w:p>
    <w:tbl>
      <w:tblPr>
        <w:tblStyle w:val="TableTGAblue"/>
        <w:tblW w:w="8691" w:type="dxa"/>
        <w:tblLayout w:type="fixed"/>
        <w:tblLook w:val="04A0" w:firstRow="1" w:lastRow="0" w:firstColumn="1" w:lastColumn="0" w:noHBand="0" w:noVBand="1"/>
      </w:tblPr>
      <w:tblGrid>
        <w:gridCol w:w="1531"/>
        <w:gridCol w:w="2447"/>
        <w:gridCol w:w="1289"/>
        <w:gridCol w:w="1433"/>
        <w:gridCol w:w="859"/>
        <w:gridCol w:w="1132"/>
      </w:tblGrid>
      <w:tr w:rsidR="00BC6FBA" w:rsidRPr="00465723" w14:paraId="6B30804B" w14:textId="77777777" w:rsidTr="004A4114">
        <w:trPr>
          <w:cnfStyle w:val="100000000000" w:firstRow="1" w:lastRow="0" w:firstColumn="0" w:lastColumn="0" w:oddVBand="0" w:evenVBand="0" w:oddHBand="0" w:evenHBand="0" w:firstRowFirstColumn="0" w:firstRowLastColumn="0" w:lastRowFirstColumn="0" w:lastRowLastColumn="0"/>
          <w:cantSplit/>
          <w:trHeight w:val="130"/>
        </w:trPr>
        <w:tc>
          <w:tcPr>
            <w:tcW w:w="3978" w:type="dxa"/>
            <w:gridSpan w:val="2"/>
            <w:vMerge w:val="restart"/>
          </w:tcPr>
          <w:p w14:paraId="1306C0B9" w14:textId="77777777" w:rsidR="00465723" w:rsidRPr="00465723" w:rsidRDefault="00465723" w:rsidP="00EA1B90">
            <w:pPr>
              <w:ind w:left="0" w:right="0"/>
              <w:rPr>
                <w:sz w:val="18"/>
                <w:szCs w:val="18"/>
              </w:rPr>
            </w:pPr>
            <w:r w:rsidRPr="00465723">
              <w:rPr>
                <w:sz w:val="18"/>
                <w:szCs w:val="18"/>
              </w:rPr>
              <w:t>Summary of safety concerns</w:t>
            </w:r>
          </w:p>
        </w:tc>
        <w:tc>
          <w:tcPr>
            <w:tcW w:w="2722" w:type="dxa"/>
            <w:gridSpan w:val="2"/>
          </w:tcPr>
          <w:p w14:paraId="051C36F4" w14:textId="77777777" w:rsidR="00465723" w:rsidRPr="00465723" w:rsidRDefault="00465723" w:rsidP="00EA1B90">
            <w:pPr>
              <w:ind w:left="0" w:right="0"/>
              <w:rPr>
                <w:sz w:val="18"/>
                <w:szCs w:val="18"/>
              </w:rPr>
            </w:pPr>
            <w:r w:rsidRPr="00465723">
              <w:rPr>
                <w:sz w:val="18"/>
                <w:szCs w:val="18"/>
              </w:rPr>
              <w:t>Pharmacovigilance</w:t>
            </w:r>
          </w:p>
        </w:tc>
        <w:tc>
          <w:tcPr>
            <w:tcW w:w="1991" w:type="dxa"/>
            <w:gridSpan w:val="2"/>
          </w:tcPr>
          <w:p w14:paraId="2674D588" w14:textId="77777777" w:rsidR="00465723" w:rsidRPr="00465723" w:rsidRDefault="00465723" w:rsidP="00EA1B90">
            <w:pPr>
              <w:ind w:left="0" w:right="0"/>
              <w:rPr>
                <w:sz w:val="18"/>
                <w:szCs w:val="18"/>
              </w:rPr>
            </w:pPr>
            <w:r w:rsidRPr="00465723">
              <w:rPr>
                <w:sz w:val="18"/>
                <w:szCs w:val="18"/>
              </w:rPr>
              <w:t>Risk Minimisation</w:t>
            </w:r>
          </w:p>
        </w:tc>
      </w:tr>
      <w:tr w:rsidR="00465723" w:rsidRPr="00465723" w14:paraId="34A55828" w14:textId="77777777" w:rsidTr="004A4114">
        <w:trPr>
          <w:cantSplit/>
          <w:trHeight w:val="219"/>
        </w:trPr>
        <w:tc>
          <w:tcPr>
            <w:tcW w:w="3978" w:type="dxa"/>
            <w:gridSpan w:val="2"/>
            <w:vMerge/>
          </w:tcPr>
          <w:p w14:paraId="3EB6BECC" w14:textId="77777777" w:rsidR="00465723" w:rsidRPr="00465723" w:rsidRDefault="00465723" w:rsidP="00EA1B90">
            <w:pPr>
              <w:pStyle w:val="Tabletext"/>
              <w:ind w:left="0" w:right="0"/>
              <w:rPr>
                <w:b/>
                <w:sz w:val="18"/>
                <w:szCs w:val="18"/>
              </w:rPr>
            </w:pPr>
          </w:p>
        </w:tc>
        <w:tc>
          <w:tcPr>
            <w:tcW w:w="1289" w:type="dxa"/>
          </w:tcPr>
          <w:p w14:paraId="03C27433" w14:textId="77777777" w:rsidR="00465723" w:rsidRPr="00465723" w:rsidRDefault="00465723" w:rsidP="00EA1B90">
            <w:pPr>
              <w:pStyle w:val="Tabletext"/>
              <w:ind w:left="0" w:right="0"/>
              <w:rPr>
                <w:sz w:val="18"/>
                <w:szCs w:val="18"/>
              </w:rPr>
            </w:pPr>
            <w:r w:rsidRPr="00465723">
              <w:rPr>
                <w:sz w:val="18"/>
                <w:szCs w:val="18"/>
              </w:rPr>
              <w:t>Routine (R)</w:t>
            </w:r>
          </w:p>
        </w:tc>
        <w:tc>
          <w:tcPr>
            <w:tcW w:w="1433" w:type="dxa"/>
          </w:tcPr>
          <w:p w14:paraId="55F08512" w14:textId="77777777" w:rsidR="00465723" w:rsidRPr="00465723" w:rsidRDefault="00465723" w:rsidP="00EA1B90">
            <w:pPr>
              <w:pStyle w:val="Tabletext"/>
              <w:ind w:left="0" w:right="0"/>
              <w:rPr>
                <w:sz w:val="18"/>
                <w:szCs w:val="18"/>
              </w:rPr>
            </w:pPr>
            <w:r w:rsidRPr="00465723">
              <w:rPr>
                <w:sz w:val="18"/>
                <w:szCs w:val="18"/>
              </w:rPr>
              <w:t>Additional (A)</w:t>
            </w:r>
          </w:p>
        </w:tc>
        <w:tc>
          <w:tcPr>
            <w:tcW w:w="859" w:type="dxa"/>
          </w:tcPr>
          <w:p w14:paraId="072DD464" w14:textId="77777777" w:rsidR="00465723" w:rsidRPr="00465723" w:rsidRDefault="00465723" w:rsidP="00EA1B90">
            <w:pPr>
              <w:ind w:left="0" w:right="0"/>
              <w:rPr>
                <w:sz w:val="18"/>
                <w:szCs w:val="18"/>
              </w:rPr>
            </w:pPr>
            <w:r w:rsidRPr="00465723">
              <w:rPr>
                <w:sz w:val="18"/>
                <w:szCs w:val="18"/>
              </w:rPr>
              <w:t>A</w:t>
            </w:r>
          </w:p>
        </w:tc>
        <w:tc>
          <w:tcPr>
            <w:tcW w:w="1132" w:type="dxa"/>
          </w:tcPr>
          <w:p w14:paraId="0439B36F" w14:textId="77777777" w:rsidR="00465723" w:rsidRPr="00465723" w:rsidRDefault="00465723" w:rsidP="00EA1B90">
            <w:pPr>
              <w:ind w:left="0" w:right="0"/>
              <w:rPr>
                <w:sz w:val="18"/>
                <w:szCs w:val="18"/>
              </w:rPr>
            </w:pPr>
            <w:r w:rsidRPr="00465723">
              <w:rPr>
                <w:sz w:val="18"/>
                <w:szCs w:val="18"/>
              </w:rPr>
              <w:t>R</w:t>
            </w:r>
          </w:p>
        </w:tc>
      </w:tr>
      <w:tr w:rsidR="00465723" w:rsidRPr="00465723" w14:paraId="40D82BFD" w14:textId="77777777" w:rsidTr="004A4114">
        <w:trPr>
          <w:trHeight w:val="163"/>
        </w:trPr>
        <w:tc>
          <w:tcPr>
            <w:tcW w:w="1531" w:type="dxa"/>
            <w:vMerge w:val="restart"/>
          </w:tcPr>
          <w:p w14:paraId="4633BE2A" w14:textId="1251B119" w:rsidR="006777B6" w:rsidRPr="00465723" w:rsidRDefault="00EA1B90" w:rsidP="00EA1B90">
            <w:pPr>
              <w:pStyle w:val="Tabletext"/>
              <w:ind w:left="0" w:right="0"/>
              <w:rPr>
                <w:b/>
                <w:sz w:val="18"/>
                <w:szCs w:val="18"/>
              </w:rPr>
            </w:pPr>
            <w:r>
              <w:rPr>
                <w:b/>
                <w:sz w:val="18"/>
                <w:szCs w:val="18"/>
              </w:rPr>
              <w:t>Important identified risks</w:t>
            </w:r>
          </w:p>
        </w:tc>
        <w:tc>
          <w:tcPr>
            <w:tcW w:w="2447" w:type="dxa"/>
          </w:tcPr>
          <w:p w14:paraId="4A131D9C" w14:textId="77777777" w:rsidR="006777B6" w:rsidRPr="00465723" w:rsidRDefault="006777B6" w:rsidP="00EA1B90">
            <w:pPr>
              <w:pStyle w:val="Tabletext"/>
              <w:ind w:left="0" w:right="0"/>
              <w:rPr>
                <w:sz w:val="18"/>
                <w:szCs w:val="18"/>
              </w:rPr>
            </w:pPr>
            <w:r w:rsidRPr="00465723">
              <w:rPr>
                <w:sz w:val="18"/>
                <w:szCs w:val="18"/>
              </w:rPr>
              <w:t>Volume depletion</w:t>
            </w:r>
          </w:p>
        </w:tc>
        <w:tc>
          <w:tcPr>
            <w:tcW w:w="1289" w:type="dxa"/>
          </w:tcPr>
          <w:p w14:paraId="5A63C708"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1433" w:type="dxa"/>
          </w:tcPr>
          <w:p w14:paraId="40D7642F"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859" w:type="dxa"/>
          </w:tcPr>
          <w:p w14:paraId="222B3698"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1132" w:type="dxa"/>
          </w:tcPr>
          <w:p w14:paraId="6EDA1EB0" w14:textId="77777777" w:rsidR="006777B6" w:rsidRPr="00465723" w:rsidRDefault="006777B6" w:rsidP="00EA1B90">
            <w:pPr>
              <w:pStyle w:val="Tabletext"/>
              <w:ind w:left="0" w:right="0"/>
              <w:jc w:val="center"/>
              <w:rPr>
                <w:sz w:val="18"/>
                <w:szCs w:val="18"/>
              </w:rPr>
            </w:pPr>
            <w:r w:rsidRPr="00465723">
              <w:rPr>
                <w:sz w:val="18"/>
                <w:szCs w:val="18"/>
              </w:rPr>
              <w:t>–</w:t>
            </w:r>
          </w:p>
        </w:tc>
      </w:tr>
      <w:tr w:rsidR="00465723" w:rsidRPr="00465723" w14:paraId="6AF44C32" w14:textId="77777777" w:rsidTr="004A4114">
        <w:trPr>
          <w:trHeight w:val="82"/>
        </w:trPr>
        <w:tc>
          <w:tcPr>
            <w:tcW w:w="1531" w:type="dxa"/>
            <w:vMerge/>
          </w:tcPr>
          <w:p w14:paraId="401C71E3" w14:textId="77777777" w:rsidR="006777B6" w:rsidRPr="00465723" w:rsidRDefault="006777B6" w:rsidP="00EA1B90">
            <w:pPr>
              <w:pStyle w:val="Tabletext"/>
              <w:ind w:left="0" w:right="0"/>
              <w:rPr>
                <w:b/>
                <w:sz w:val="18"/>
                <w:szCs w:val="18"/>
              </w:rPr>
            </w:pPr>
          </w:p>
        </w:tc>
        <w:tc>
          <w:tcPr>
            <w:tcW w:w="2447" w:type="dxa"/>
          </w:tcPr>
          <w:p w14:paraId="1E49D74D" w14:textId="77777777" w:rsidR="006777B6" w:rsidRPr="00465723" w:rsidRDefault="006777B6" w:rsidP="00EA1B90">
            <w:pPr>
              <w:pStyle w:val="Tabletext"/>
              <w:ind w:left="0" w:right="0"/>
              <w:rPr>
                <w:sz w:val="18"/>
                <w:szCs w:val="18"/>
              </w:rPr>
            </w:pPr>
            <w:r w:rsidRPr="00465723">
              <w:rPr>
                <w:sz w:val="18"/>
                <w:szCs w:val="18"/>
              </w:rPr>
              <w:t xml:space="preserve">Diabetic ketoacidosis with </w:t>
            </w:r>
            <w:r w:rsidRPr="00465723">
              <w:rPr>
                <w:sz w:val="18"/>
                <w:szCs w:val="18"/>
              </w:rPr>
              <w:lastRenderedPageBreak/>
              <w:t>atypical presentation</w:t>
            </w:r>
          </w:p>
        </w:tc>
        <w:tc>
          <w:tcPr>
            <w:tcW w:w="1289" w:type="dxa"/>
          </w:tcPr>
          <w:p w14:paraId="11D5638A" w14:textId="77777777" w:rsidR="006777B6" w:rsidRPr="00465723" w:rsidRDefault="006777B6" w:rsidP="00EA1B90">
            <w:pPr>
              <w:pStyle w:val="Tabletext"/>
              <w:ind w:left="0" w:right="0"/>
              <w:jc w:val="center"/>
              <w:rPr>
                <w:sz w:val="18"/>
                <w:szCs w:val="18"/>
              </w:rPr>
            </w:pPr>
            <w:r w:rsidRPr="00465723">
              <w:rPr>
                <w:sz w:val="18"/>
                <w:szCs w:val="18"/>
              </w:rPr>
              <w:lastRenderedPageBreak/>
              <w:sym w:font="Wingdings" w:char="F0FC"/>
            </w:r>
          </w:p>
        </w:tc>
        <w:tc>
          <w:tcPr>
            <w:tcW w:w="1433" w:type="dxa"/>
          </w:tcPr>
          <w:p w14:paraId="4258724F"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859" w:type="dxa"/>
          </w:tcPr>
          <w:p w14:paraId="56261DFC"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1132" w:type="dxa"/>
          </w:tcPr>
          <w:p w14:paraId="0F592BDC" w14:textId="77777777" w:rsidR="006777B6" w:rsidRPr="00465723" w:rsidRDefault="006777B6" w:rsidP="00EA1B90">
            <w:pPr>
              <w:pStyle w:val="Tabletext"/>
              <w:ind w:left="0" w:right="0"/>
              <w:jc w:val="center"/>
              <w:rPr>
                <w:sz w:val="18"/>
                <w:szCs w:val="18"/>
              </w:rPr>
            </w:pPr>
            <w:r w:rsidRPr="00465723">
              <w:rPr>
                <w:sz w:val="18"/>
                <w:szCs w:val="18"/>
              </w:rPr>
              <w:t>–</w:t>
            </w:r>
          </w:p>
        </w:tc>
      </w:tr>
      <w:tr w:rsidR="00465723" w:rsidRPr="00465723" w14:paraId="34A1E615" w14:textId="77777777" w:rsidTr="004A4114">
        <w:trPr>
          <w:trHeight w:val="190"/>
        </w:trPr>
        <w:tc>
          <w:tcPr>
            <w:tcW w:w="1531" w:type="dxa"/>
            <w:vMerge/>
          </w:tcPr>
          <w:p w14:paraId="391BF9A0" w14:textId="77777777" w:rsidR="006777B6" w:rsidRPr="00465723" w:rsidRDefault="006777B6" w:rsidP="00EA1B90">
            <w:pPr>
              <w:pStyle w:val="Tabletext"/>
              <w:ind w:left="0" w:right="0"/>
              <w:rPr>
                <w:b/>
                <w:sz w:val="18"/>
                <w:szCs w:val="18"/>
              </w:rPr>
            </w:pPr>
          </w:p>
        </w:tc>
        <w:tc>
          <w:tcPr>
            <w:tcW w:w="2447" w:type="dxa"/>
          </w:tcPr>
          <w:p w14:paraId="01443257" w14:textId="77777777" w:rsidR="006777B6" w:rsidRPr="00465723" w:rsidRDefault="006777B6" w:rsidP="00EA1B90">
            <w:pPr>
              <w:pStyle w:val="Tabletext"/>
              <w:ind w:left="0" w:right="0"/>
              <w:rPr>
                <w:sz w:val="18"/>
                <w:szCs w:val="18"/>
              </w:rPr>
            </w:pPr>
            <w:r w:rsidRPr="00465723">
              <w:rPr>
                <w:sz w:val="18"/>
                <w:szCs w:val="18"/>
              </w:rPr>
              <w:t>Hypersensitivity reactions, including anaphylactic reaction, angioedema, rash, urticaria, cutaneous vasculitis, skin exfoliation, and Stevens-Johnson syndrome</w:t>
            </w:r>
          </w:p>
        </w:tc>
        <w:tc>
          <w:tcPr>
            <w:tcW w:w="1289" w:type="dxa"/>
          </w:tcPr>
          <w:p w14:paraId="304BE476"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1433" w:type="dxa"/>
          </w:tcPr>
          <w:p w14:paraId="6A8846D3" w14:textId="77777777" w:rsidR="006777B6" w:rsidRPr="00465723" w:rsidRDefault="006777B6" w:rsidP="00EA1B90">
            <w:pPr>
              <w:pStyle w:val="Tabletext"/>
              <w:ind w:left="0" w:right="0"/>
              <w:jc w:val="center"/>
              <w:rPr>
                <w:sz w:val="18"/>
                <w:szCs w:val="18"/>
              </w:rPr>
            </w:pPr>
            <w:r w:rsidRPr="00465723">
              <w:rPr>
                <w:sz w:val="18"/>
                <w:szCs w:val="18"/>
              </w:rPr>
              <w:t>–</w:t>
            </w:r>
          </w:p>
        </w:tc>
        <w:tc>
          <w:tcPr>
            <w:tcW w:w="859" w:type="dxa"/>
          </w:tcPr>
          <w:p w14:paraId="09120EB2"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1132" w:type="dxa"/>
          </w:tcPr>
          <w:p w14:paraId="14CA6C1A" w14:textId="77777777" w:rsidR="006777B6" w:rsidRPr="00465723" w:rsidRDefault="006777B6" w:rsidP="00EA1B90">
            <w:pPr>
              <w:pStyle w:val="Tabletext"/>
              <w:ind w:left="0" w:right="0"/>
              <w:jc w:val="center"/>
              <w:rPr>
                <w:sz w:val="18"/>
                <w:szCs w:val="18"/>
              </w:rPr>
            </w:pPr>
            <w:r w:rsidRPr="00465723">
              <w:rPr>
                <w:sz w:val="18"/>
                <w:szCs w:val="18"/>
              </w:rPr>
              <w:t>–</w:t>
            </w:r>
          </w:p>
        </w:tc>
      </w:tr>
      <w:tr w:rsidR="00465723" w:rsidRPr="00465723" w14:paraId="789E5C8C" w14:textId="77777777" w:rsidTr="004A4114">
        <w:trPr>
          <w:trHeight w:val="154"/>
        </w:trPr>
        <w:tc>
          <w:tcPr>
            <w:tcW w:w="1531" w:type="dxa"/>
            <w:vMerge/>
          </w:tcPr>
          <w:p w14:paraId="420475CA" w14:textId="77777777" w:rsidR="006777B6" w:rsidRPr="00465723" w:rsidRDefault="006777B6" w:rsidP="00EA1B90">
            <w:pPr>
              <w:pStyle w:val="Tabletext"/>
              <w:ind w:left="0" w:right="0"/>
              <w:rPr>
                <w:b/>
                <w:sz w:val="18"/>
                <w:szCs w:val="18"/>
              </w:rPr>
            </w:pPr>
          </w:p>
        </w:tc>
        <w:tc>
          <w:tcPr>
            <w:tcW w:w="2447" w:type="dxa"/>
          </w:tcPr>
          <w:p w14:paraId="4D7682A4" w14:textId="09687D24" w:rsidR="006777B6" w:rsidRPr="00465723" w:rsidRDefault="006777B6" w:rsidP="00EA1B90">
            <w:r w:rsidRPr="00E25FFB">
              <w:rPr>
                <w:sz w:val="18"/>
                <w:szCs w:val="18"/>
              </w:rPr>
              <w:t>Gastrointestinal disorders: nausea, vomiting,</w:t>
            </w:r>
            <w:r w:rsidR="00E25FFB" w:rsidRPr="00E25FFB">
              <w:rPr>
                <w:sz w:val="18"/>
                <w:szCs w:val="18"/>
              </w:rPr>
              <w:t xml:space="preserve"> </w:t>
            </w:r>
            <w:r w:rsidRPr="00E25FFB">
              <w:rPr>
                <w:sz w:val="18"/>
                <w:szCs w:val="18"/>
              </w:rPr>
              <w:t xml:space="preserve">constipation, </w:t>
            </w:r>
            <w:r w:rsidR="004A4114" w:rsidRPr="00E25FFB">
              <w:rPr>
                <w:sz w:val="18"/>
                <w:szCs w:val="18"/>
              </w:rPr>
              <w:t>diarrhoea</w:t>
            </w:r>
            <w:r w:rsidRPr="00E25FFB">
              <w:rPr>
                <w:sz w:val="18"/>
                <w:szCs w:val="18"/>
              </w:rPr>
              <w:t>, abdominal pain, flatulence, abdominal pain upper, and related terms (dyspepsia and gastritis)</w:t>
            </w:r>
          </w:p>
        </w:tc>
        <w:tc>
          <w:tcPr>
            <w:tcW w:w="1289" w:type="dxa"/>
          </w:tcPr>
          <w:p w14:paraId="567EBEDE"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1433" w:type="dxa"/>
          </w:tcPr>
          <w:p w14:paraId="576D3D10" w14:textId="77777777" w:rsidR="006777B6" w:rsidRPr="00465723" w:rsidRDefault="006777B6" w:rsidP="00EA1B90">
            <w:pPr>
              <w:pStyle w:val="Tabletext"/>
              <w:ind w:left="0" w:right="0"/>
              <w:jc w:val="center"/>
              <w:rPr>
                <w:sz w:val="18"/>
                <w:szCs w:val="18"/>
              </w:rPr>
            </w:pPr>
            <w:r w:rsidRPr="00465723">
              <w:rPr>
                <w:sz w:val="18"/>
                <w:szCs w:val="18"/>
              </w:rPr>
              <w:t>–</w:t>
            </w:r>
          </w:p>
        </w:tc>
        <w:tc>
          <w:tcPr>
            <w:tcW w:w="859" w:type="dxa"/>
          </w:tcPr>
          <w:p w14:paraId="14CC76AB"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1132" w:type="dxa"/>
          </w:tcPr>
          <w:p w14:paraId="02F12829" w14:textId="77777777" w:rsidR="006777B6" w:rsidRPr="00465723" w:rsidRDefault="006777B6" w:rsidP="00EA1B90">
            <w:pPr>
              <w:pStyle w:val="Tabletext"/>
              <w:ind w:left="0" w:right="0"/>
              <w:jc w:val="center"/>
              <w:rPr>
                <w:sz w:val="18"/>
                <w:szCs w:val="18"/>
              </w:rPr>
            </w:pPr>
            <w:r w:rsidRPr="00465723">
              <w:rPr>
                <w:sz w:val="18"/>
                <w:szCs w:val="18"/>
              </w:rPr>
              <w:t>–</w:t>
            </w:r>
          </w:p>
        </w:tc>
      </w:tr>
      <w:tr w:rsidR="00465723" w:rsidRPr="00465723" w14:paraId="74C372CE" w14:textId="77777777" w:rsidTr="004A4114">
        <w:trPr>
          <w:trHeight w:val="118"/>
        </w:trPr>
        <w:tc>
          <w:tcPr>
            <w:tcW w:w="1531" w:type="dxa"/>
            <w:vMerge/>
          </w:tcPr>
          <w:p w14:paraId="6E5154C7" w14:textId="77777777" w:rsidR="006777B6" w:rsidRPr="00465723" w:rsidRDefault="006777B6" w:rsidP="00EA1B90">
            <w:pPr>
              <w:pStyle w:val="Tabletext"/>
              <w:ind w:left="0" w:right="0"/>
              <w:rPr>
                <w:b/>
                <w:sz w:val="18"/>
                <w:szCs w:val="18"/>
              </w:rPr>
            </w:pPr>
          </w:p>
        </w:tc>
        <w:tc>
          <w:tcPr>
            <w:tcW w:w="2447" w:type="dxa"/>
          </w:tcPr>
          <w:p w14:paraId="412E590B" w14:textId="77777777" w:rsidR="006777B6" w:rsidRPr="00465723" w:rsidRDefault="006777B6" w:rsidP="00EA1B90">
            <w:pPr>
              <w:pStyle w:val="Tabletext"/>
              <w:ind w:left="0" w:right="0"/>
              <w:rPr>
                <w:sz w:val="18"/>
                <w:szCs w:val="18"/>
              </w:rPr>
            </w:pPr>
            <w:r w:rsidRPr="00465723">
              <w:rPr>
                <w:sz w:val="18"/>
                <w:szCs w:val="18"/>
              </w:rPr>
              <w:t>Musculoskeletal disorders: osteoarthritis, pain in</w:t>
            </w:r>
          </w:p>
          <w:p w14:paraId="2A1AD37D" w14:textId="008D9B66" w:rsidR="006777B6" w:rsidRPr="00465723" w:rsidRDefault="006777B6" w:rsidP="004A4114">
            <w:pPr>
              <w:pStyle w:val="Tabletext"/>
              <w:ind w:left="0" w:right="0"/>
              <w:rPr>
                <w:sz w:val="18"/>
                <w:szCs w:val="18"/>
              </w:rPr>
            </w:pPr>
            <w:r w:rsidRPr="00465723">
              <w:rPr>
                <w:sz w:val="18"/>
                <w:szCs w:val="18"/>
              </w:rPr>
              <w:t>extremity, and related terms (</w:t>
            </w:r>
            <w:r w:rsidR="004A4114">
              <w:rPr>
                <w:sz w:val="18"/>
                <w:szCs w:val="18"/>
              </w:rPr>
              <w:t>for example</w:t>
            </w:r>
            <w:r w:rsidRPr="00465723">
              <w:rPr>
                <w:sz w:val="18"/>
                <w:szCs w:val="18"/>
              </w:rPr>
              <w:t>, arthralgia, myalgia, myopathy)</w:t>
            </w:r>
          </w:p>
        </w:tc>
        <w:tc>
          <w:tcPr>
            <w:tcW w:w="1289" w:type="dxa"/>
          </w:tcPr>
          <w:p w14:paraId="623029BD"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1433" w:type="dxa"/>
          </w:tcPr>
          <w:p w14:paraId="6CBE34DD" w14:textId="77777777" w:rsidR="006777B6" w:rsidRPr="00465723" w:rsidRDefault="006777B6" w:rsidP="00EA1B90">
            <w:pPr>
              <w:pStyle w:val="Tabletext"/>
              <w:ind w:left="0" w:right="0"/>
              <w:jc w:val="center"/>
              <w:rPr>
                <w:sz w:val="18"/>
                <w:szCs w:val="18"/>
              </w:rPr>
            </w:pPr>
            <w:r w:rsidRPr="00465723">
              <w:rPr>
                <w:sz w:val="18"/>
                <w:szCs w:val="18"/>
              </w:rPr>
              <w:t>–</w:t>
            </w:r>
          </w:p>
        </w:tc>
        <w:tc>
          <w:tcPr>
            <w:tcW w:w="859" w:type="dxa"/>
          </w:tcPr>
          <w:p w14:paraId="57FEF021"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1132" w:type="dxa"/>
          </w:tcPr>
          <w:p w14:paraId="6A4F06C4" w14:textId="77777777" w:rsidR="006777B6" w:rsidRPr="00465723" w:rsidRDefault="006777B6" w:rsidP="00EA1B90">
            <w:pPr>
              <w:pStyle w:val="Tabletext"/>
              <w:ind w:left="0" w:right="0"/>
              <w:jc w:val="center"/>
              <w:rPr>
                <w:sz w:val="18"/>
                <w:szCs w:val="18"/>
              </w:rPr>
            </w:pPr>
            <w:r w:rsidRPr="00465723">
              <w:rPr>
                <w:sz w:val="18"/>
                <w:szCs w:val="18"/>
              </w:rPr>
              <w:t>–</w:t>
            </w:r>
          </w:p>
        </w:tc>
      </w:tr>
      <w:tr w:rsidR="00465723" w:rsidRPr="00465723" w14:paraId="54476487" w14:textId="77777777" w:rsidTr="004A4114">
        <w:trPr>
          <w:trHeight w:val="186"/>
        </w:trPr>
        <w:tc>
          <w:tcPr>
            <w:tcW w:w="1531" w:type="dxa"/>
            <w:vMerge/>
          </w:tcPr>
          <w:p w14:paraId="09182E5E" w14:textId="77777777" w:rsidR="006777B6" w:rsidRPr="00465723" w:rsidRDefault="006777B6" w:rsidP="00EA1B90">
            <w:pPr>
              <w:pStyle w:val="Tabletext"/>
              <w:ind w:left="0" w:right="0"/>
              <w:rPr>
                <w:b/>
                <w:sz w:val="18"/>
                <w:szCs w:val="18"/>
              </w:rPr>
            </w:pPr>
          </w:p>
        </w:tc>
        <w:tc>
          <w:tcPr>
            <w:tcW w:w="2447" w:type="dxa"/>
          </w:tcPr>
          <w:p w14:paraId="7FB7846B" w14:textId="77777777" w:rsidR="006777B6" w:rsidRPr="00465723" w:rsidRDefault="006777B6" w:rsidP="00EA1B90">
            <w:pPr>
              <w:pStyle w:val="Tabletext"/>
              <w:ind w:left="0" w:right="0"/>
              <w:rPr>
                <w:sz w:val="18"/>
                <w:szCs w:val="18"/>
              </w:rPr>
            </w:pPr>
            <w:r w:rsidRPr="00465723">
              <w:rPr>
                <w:sz w:val="18"/>
                <w:szCs w:val="18"/>
              </w:rPr>
              <w:t>Pancreatitis</w:t>
            </w:r>
          </w:p>
        </w:tc>
        <w:tc>
          <w:tcPr>
            <w:tcW w:w="1289" w:type="dxa"/>
          </w:tcPr>
          <w:p w14:paraId="3E5FE685"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1433" w:type="dxa"/>
          </w:tcPr>
          <w:p w14:paraId="001B5A81" w14:textId="77777777" w:rsidR="006777B6" w:rsidRPr="00465723" w:rsidRDefault="006777B6" w:rsidP="00EA1B90">
            <w:pPr>
              <w:pStyle w:val="Tabletext"/>
              <w:ind w:left="0" w:right="0"/>
              <w:jc w:val="center"/>
              <w:rPr>
                <w:sz w:val="18"/>
                <w:szCs w:val="18"/>
              </w:rPr>
            </w:pPr>
            <w:r w:rsidRPr="00465723">
              <w:rPr>
                <w:sz w:val="18"/>
                <w:szCs w:val="18"/>
              </w:rPr>
              <w:t>–</w:t>
            </w:r>
          </w:p>
        </w:tc>
        <w:tc>
          <w:tcPr>
            <w:tcW w:w="859" w:type="dxa"/>
          </w:tcPr>
          <w:p w14:paraId="346BC6B4"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1132" w:type="dxa"/>
          </w:tcPr>
          <w:p w14:paraId="25B2B7F1" w14:textId="77777777" w:rsidR="006777B6" w:rsidRPr="00465723" w:rsidRDefault="006777B6" w:rsidP="00EA1B90">
            <w:pPr>
              <w:pStyle w:val="Tabletext"/>
              <w:ind w:left="0" w:right="0"/>
              <w:jc w:val="center"/>
              <w:rPr>
                <w:sz w:val="18"/>
                <w:szCs w:val="18"/>
              </w:rPr>
            </w:pPr>
            <w:r w:rsidRPr="00465723">
              <w:rPr>
                <w:sz w:val="18"/>
                <w:szCs w:val="18"/>
              </w:rPr>
              <w:t>–</w:t>
            </w:r>
          </w:p>
        </w:tc>
      </w:tr>
      <w:tr w:rsidR="00465723" w:rsidRPr="00465723" w14:paraId="47C574D6" w14:textId="77777777" w:rsidTr="004A4114">
        <w:trPr>
          <w:trHeight w:val="82"/>
        </w:trPr>
        <w:tc>
          <w:tcPr>
            <w:tcW w:w="1531" w:type="dxa"/>
            <w:vMerge/>
          </w:tcPr>
          <w:p w14:paraId="51E86FED" w14:textId="77777777" w:rsidR="006777B6" w:rsidRPr="00465723" w:rsidRDefault="006777B6" w:rsidP="00EA1B90">
            <w:pPr>
              <w:pStyle w:val="Tabletext"/>
              <w:ind w:left="0" w:right="0"/>
              <w:rPr>
                <w:b/>
                <w:sz w:val="18"/>
                <w:szCs w:val="18"/>
              </w:rPr>
            </w:pPr>
          </w:p>
        </w:tc>
        <w:tc>
          <w:tcPr>
            <w:tcW w:w="2447" w:type="dxa"/>
          </w:tcPr>
          <w:p w14:paraId="5D1AAB9E" w14:textId="77777777" w:rsidR="006777B6" w:rsidRPr="00465723" w:rsidRDefault="006777B6" w:rsidP="00EA1B90">
            <w:pPr>
              <w:pStyle w:val="Tabletext"/>
              <w:ind w:left="0" w:right="0"/>
              <w:rPr>
                <w:sz w:val="18"/>
                <w:szCs w:val="18"/>
              </w:rPr>
            </w:pPr>
            <w:r w:rsidRPr="00465723">
              <w:rPr>
                <w:sz w:val="18"/>
                <w:szCs w:val="18"/>
              </w:rPr>
              <w:t>Infections: URTI, nasopharyngitis, and related terms (bronchitis, acute bronchitis, pharyngitis, sinusitis, and rhinitis)</w:t>
            </w:r>
          </w:p>
        </w:tc>
        <w:tc>
          <w:tcPr>
            <w:tcW w:w="1289" w:type="dxa"/>
          </w:tcPr>
          <w:p w14:paraId="6336A20A"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1433" w:type="dxa"/>
          </w:tcPr>
          <w:p w14:paraId="41F34B13" w14:textId="77777777" w:rsidR="006777B6" w:rsidRPr="00465723" w:rsidRDefault="006777B6" w:rsidP="00EA1B90">
            <w:pPr>
              <w:pStyle w:val="Tabletext"/>
              <w:ind w:left="0" w:right="0"/>
              <w:jc w:val="center"/>
              <w:rPr>
                <w:sz w:val="18"/>
                <w:szCs w:val="18"/>
              </w:rPr>
            </w:pPr>
            <w:r w:rsidRPr="00465723">
              <w:rPr>
                <w:sz w:val="18"/>
                <w:szCs w:val="18"/>
              </w:rPr>
              <w:t>–</w:t>
            </w:r>
          </w:p>
        </w:tc>
        <w:tc>
          <w:tcPr>
            <w:tcW w:w="859" w:type="dxa"/>
          </w:tcPr>
          <w:p w14:paraId="2D93F1E5"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1132" w:type="dxa"/>
          </w:tcPr>
          <w:p w14:paraId="1FB39770" w14:textId="77777777" w:rsidR="006777B6" w:rsidRPr="00465723" w:rsidRDefault="006777B6" w:rsidP="00EA1B90">
            <w:pPr>
              <w:pStyle w:val="Tabletext"/>
              <w:ind w:left="0" w:right="0"/>
              <w:jc w:val="center"/>
              <w:rPr>
                <w:sz w:val="18"/>
                <w:szCs w:val="18"/>
              </w:rPr>
            </w:pPr>
            <w:r w:rsidRPr="00465723">
              <w:rPr>
                <w:sz w:val="18"/>
                <w:szCs w:val="18"/>
              </w:rPr>
              <w:t>–</w:t>
            </w:r>
          </w:p>
        </w:tc>
      </w:tr>
      <w:tr w:rsidR="00465723" w:rsidRPr="00465723" w14:paraId="14E69EC6" w14:textId="77777777" w:rsidTr="004A4114">
        <w:trPr>
          <w:trHeight w:val="100"/>
        </w:trPr>
        <w:tc>
          <w:tcPr>
            <w:tcW w:w="1531" w:type="dxa"/>
            <w:vMerge/>
          </w:tcPr>
          <w:p w14:paraId="7D2004B7" w14:textId="77777777" w:rsidR="006777B6" w:rsidRPr="00465723" w:rsidRDefault="006777B6" w:rsidP="00EA1B90">
            <w:pPr>
              <w:pStyle w:val="Tabletext"/>
              <w:ind w:left="0" w:right="0"/>
              <w:rPr>
                <w:b/>
                <w:sz w:val="18"/>
                <w:szCs w:val="18"/>
              </w:rPr>
            </w:pPr>
          </w:p>
        </w:tc>
        <w:tc>
          <w:tcPr>
            <w:tcW w:w="2447" w:type="dxa"/>
          </w:tcPr>
          <w:p w14:paraId="5061CB8D" w14:textId="77777777" w:rsidR="006777B6" w:rsidRPr="00465723" w:rsidRDefault="006777B6" w:rsidP="00EA1B90">
            <w:pPr>
              <w:pStyle w:val="Tabletext"/>
              <w:ind w:left="0" w:right="0"/>
              <w:rPr>
                <w:sz w:val="18"/>
                <w:szCs w:val="18"/>
              </w:rPr>
            </w:pPr>
            <w:r w:rsidRPr="00465723">
              <w:rPr>
                <w:sz w:val="18"/>
                <w:szCs w:val="18"/>
              </w:rPr>
              <w:t>Impaired renal function, including acute renal failure (sometimes requiring dialysis)</w:t>
            </w:r>
          </w:p>
        </w:tc>
        <w:tc>
          <w:tcPr>
            <w:tcW w:w="1289" w:type="dxa"/>
          </w:tcPr>
          <w:p w14:paraId="52CACFCA"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1433" w:type="dxa"/>
          </w:tcPr>
          <w:p w14:paraId="499263FB"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859" w:type="dxa"/>
          </w:tcPr>
          <w:p w14:paraId="101267BB"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1132" w:type="dxa"/>
          </w:tcPr>
          <w:p w14:paraId="2D2238B7" w14:textId="77777777" w:rsidR="006777B6" w:rsidRPr="00465723" w:rsidRDefault="006777B6" w:rsidP="00EA1B90">
            <w:pPr>
              <w:pStyle w:val="Tabletext"/>
              <w:ind w:left="0" w:right="0"/>
              <w:jc w:val="center"/>
              <w:rPr>
                <w:sz w:val="18"/>
                <w:szCs w:val="18"/>
              </w:rPr>
            </w:pPr>
            <w:r w:rsidRPr="00465723">
              <w:rPr>
                <w:sz w:val="18"/>
                <w:szCs w:val="18"/>
              </w:rPr>
              <w:t>–</w:t>
            </w:r>
          </w:p>
        </w:tc>
      </w:tr>
      <w:tr w:rsidR="00465723" w:rsidRPr="00465723" w14:paraId="4FB55D0A" w14:textId="77777777" w:rsidTr="004A4114">
        <w:trPr>
          <w:trHeight w:val="190"/>
        </w:trPr>
        <w:tc>
          <w:tcPr>
            <w:tcW w:w="1531" w:type="dxa"/>
            <w:vMerge/>
          </w:tcPr>
          <w:p w14:paraId="6E65C0AF" w14:textId="77777777" w:rsidR="006777B6" w:rsidRPr="00465723" w:rsidRDefault="006777B6" w:rsidP="00EA1B90">
            <w:pPr>
              <w:pStyle w:val="Tabletext"/>
              <w:ind w:left="0" w:right="0"/>
              <w:rPr>
                <w:b/>
                <w:sz w:val="18"/>
                <w:szCs w:val="18"/>
              </w:rPr>
            </w:pPr>
          </w:p>
        </w:tc>
        <w:tc>
          <w:tcPr>
            <w:tcW w:w="2447" w:type="dxa"/>
          </w:tcPr>
          <w:p w14:paraId="509DE09A" w14:textId="77777777" w:rsidR="006777B6" w:rsidRPr="00465723" w:rsidRDefault="006777B6" w:rsidP="00EA1B90">
            <w:pPr>
              <w:pStyle w:val="Tabletext"/>
              <w:ind w:left="0" w:right="0"/>
              <w:rPr>
                <w:sz w:val="18"/>
                <w:szCs w:val="18"/>
              </w:rPr>
            </w:pPr>
            <w:r w:rsidRPr="00465723">
              <w:rPr>
                <w:sz w:val="18"/>
                <w:szCs w:val="18"/>
              </w:rPr>
              <w:t>Lower Limb Amputations</w:t>
            </w:r>
          </w:p>
        </w:tc>
        <w:tc>
          <w:tcPr>
            <w:tcW w:w="1289" w:type="dxa"/>
          </w:tcPr>
          <w:p w14:paraId="53BE447E"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1433" w:type="dxa"/>
          </w:tcPr>
          <w:p w14:paraId="455679BA"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859" w:type="dxa"/>
          </w:tcPr>
          <w:p w14:paraId="2188BA40"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1132" w:type="dxa"/>
          </w:tcPr>
          <w:p w14:paraId="155DEF63" w14:textId="77777777" w:rsidR="006777B6" w:rsidRPr="00465723" w:rsidRDefault="006777B6" w:rsidP="00EA1B90">
            <w:pPr>
              <w:pStyle w:val="Tabletext"/>
              <w:ind w:left="0" w:right="0"/>
              <w:jc w:val="center"/>
              <w:rPr>
                <w:sz w:val="18"/>
                <w:szCs w:val="18"/>
              </w:rPr>
            </w:pPr>
            <w:r w:rsidRPr="00465723">
              <w:rPr>
                <w:sz w:val="18"/>
                <w:szCs w:val="18"/>
              </w:rPr>
              <w:t>–</w:t>
            </w:r>
          </w:p>
        </w:tc>
      </w:tr>
      <w:tr w:rsidR="00465723" w:rsidRPr="00465723" w14:paraId="0F4230A3" w14:textId="77777777" w:rsidTr="004A4114">
        <w:trPr>
          <w:trHeight w:val="190"/>
        </w:trPr>
        <w:tc>
          <w:tcPr>
            <w:tcW w:w="1531" w:type="dxa"/>
            <w:vMerge/>
          </w:tcPr>
          <w:p w14:paraId="7BBF2BAF" w14:textId="77777777" w:rsidR="006777B6" w:rsidRPr="00465723" w:rsidRDefault="006777B6" w:rsidP="00EA1B90">
            <w:pPr>
              <w:pStyle w:val="Tabletext"/>
              <w:ind w:left="0" w:right="0"/>
              <w:rPr>
                <w:b/>
                <w:sz w:val="18"/>
                <w:szCs w:val="18"/>
              </w:rPr>
            </w:pPr>
          </w:p>
        </w:tc>
        <w:tc>
          <w:tcPr>
            <w:tcW w:w="2447" w:type="dxa"/>
          </w:tcPr>
          <w:p w14:paraId="6FFBDDB8" w14:textId="77777777" w:rsidR="006777B6" w:rsidRPr="00465723" w:rsidRDefault="006777B6" w:rsidP="00EA1B90">
            <w:pPr>
              <w:pStyle w:val="Tabletext"/>
              <w:ind w:left="0" w:right="0"/>
              <w:rPr>
                <w:sz w:val="18"/>
                <w:szCs w:val="18"/>
              </w:rPr>
            </w:pPr>
            <w:r w:rsidRPr="00465723">
              <w:rPr>
                <w:sz w:val="18"/>
                <w:szCs w:val="18"/>
              </w:rPr>
              <w:t>Bone fracture</w:t>
            </w:r>
          </w:p>
        </w:tc>
        <w:tc>
          <w:tcPr>
            <w:tcW w:w="1289" w:type="dxa"/>
          </w:tcPr>
          <w:p w14:paraId="2C75D381"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1433" w:type="dxa"/>
          </w:tcPr>
          <w:p w14:paraId="3F3FD8DA"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859" w:type="dxa"/>
          </w:tcPr>
          <w:p w14:paraId="0F6EE6A2" w14:textId="77777777" w:rsidR="006777B6" w:rsidRPr="00465723" w:rsidRDefault="006777B6" w:rsidP="00EA1B90">
            <w:pPr>
              <w:pStyle w:val="Tabletext"/>
              <w:ind w:left="0" w:right="0"/>
              <w:jc w:val="center"/>
              <w:rPr>
                <w:sz w:val="18"/>
                <w:szCs w:val="18"/>
              </w:rPr>
            </w:pPr>
            <w:r w:rsidRPr="00465723">
              <w:rPr>
                <w:sz w:val="18"/>
                <w:szCs w:val="18"/>
              </w:rPr>
              <w:t>–</w:t>
            </w:r>
          </w:p>
        </w:tc>
        <w:tc>
          <w:tcPr>
            <w:tcW w:w="1132" w:type="dxa"/>
          </w:tcPr>
          <w:p w14:paraId="2C929A9C" w14:textId="77777777" w:rsidR="006777B6" w:rsidRPr="00465723" w:rsidRDefault="006777B6" w:rsidP="00EA1B90">
            <w:pPr>
              <w:pStyle w:val="Tabletext"/>
              <w:ind w:left="0" w:right="0"/>
              <w:jc w:val="center"/>
              <w:rPr>
                <w:sz w:val="18"/>
                <w:szCs w:val="18"/>
              </w:rPr>
            </w:pPr>
            <w:r w:rsidRPr="00465723">
              <w:rPr>
                <w:sz w:val="18"/>
                <w:szCs w:val="18"/>
              </w:rPr>
              <w:t>–</w:t>
            </w:r>
          </w:p>
        </w:tc>
      </w:tr>
      <w:tr w:rsidR="00465723" w:rsidRPr="00465723" w14:paraId="62F867EC" w14:textId="77777777" w:rsidTr="004A4114">
        <w:trPr>
          <w:trHeight w:val="100"/>
        </w:trPr>
        <w:tc>
          <w:tcPr>
            <w:tcW w:w="1531" w:type="dxa"/>
            <w:vMerge/>
          </w:tcPr>
          <w:p w14:paraId="79508825" w14:textId="77777777" w:rsidR="006777B6" w:rsidRPr="00465723" w:rsidRDefault="006777B6" w:rsidP="00EA1B90">
            <w:pPr>
              <w:pStyle w:val="Tabletext"/>
              <w:ind w:left="0" w:right="0"/>
              <w:rPr>
                <w:b/>
                <w:sz w:val="18"/>
                <w:szCs w:val="18"/>
              </w:rPr>
            </w:pPr>
          </w:p>
        </w:tc>
        <w:tc>
          <w:tcPr>
            <w:tcW w:w="2447" w:type="dxa"/>
          </w:tcPr>
          <w:p w14:paraId="2183F6B8" w14:textId="77777777" w:rsidR="006777B6" w:rsidRPr="00465723" w:rsidRDefault="006777B6" w:rsidP="00EA1B90">
            <w:pPr>
              <w:pStyle w:val="Tabletext"/>
              <w:ind w:left="0" w:right="0"/>
              <w:rPr>
                <w:sz w:val="18"/>
                <w:szCs w:val="18"/>
              </w:rPr>
            </w:pPr>
            <w:r w:rsidRPr="00465723">
              <w:rPr>
                <w:sz w:val="18"/>
                <w:szCs w:val="18"/>
              </w:rPr>
              <w:t>Neurotoxicity: tremor, ataxia, and balance disorders</w:t>
            </w:r>
          </w:p>
        </w:tc>
        <w:tc>
          <w:tcPr>
            <w:tcW w:w="1289" w:type="dxa"/>
          </w:tcPr>
          <w:p w14:paraId="5E9CAD4F"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1433" w:type="dxa"/>
          </w:tcPr>
          <w:p w14:paraId="3BB19FF1" w14:textId="77777777" w:rsidR="006777B6" w:rsidRPr="00465723" w:rsidRDefault="006777B6" w:rsidP="00EA1B90">
            <w:pPr>
              <w:pStyle w:val="Tabletext"/>
              <w:ind w:left="0" w:right="0"/>
              <w:jc w:val="center"/>
              <w:rPr>
                <w:sz w:val="18"/>
                <w:szCs w:val="18"/>
              </w:rPr>
            </w:pPr>
            <w:r w:rsidRPr="00465723">
              <w:rPr>
                <w:sz w:val="18"/>
                <w:szCs w:val="18"/>
              </w:rPr>
              <w:t>–</w:t>
            </w:r>
          </w:p>
        </w:tc>
        <w:tc>
          <w:tcPr>
            <w:tcW w:w="859" w:type="dxa"/>
          </w:tcPr>
          <w:p w14:paraId="2851BE23" w14:textId="77777777" w:rsidR="006777B6" w:rsidRPr="00465723" w:rsidRDefault="006777B6" w:rsidP="00EA1B90">
            <w:pPr>
              <w:pStyle w:val="Tabletext"/>
              <w:ind w:left="0" w:right="0"/>
              <w:jc w:val="center"/>
              <w:rPr>
                <w:sz w:val="18"/>
                <w:szCs w:val="18"/>
              </w:rPr>
            </w:pPr>
            <w:r w:rsidRPr="00465723">
              <w:rPr>
                <w:sz w:val="18"/>
                <w:szCs w:val="18"/>
              </w:rPr>
              <w:t>–</w:t>
            </w:r>
          </w:p>
        </w:tc>
        <w:tc>
          <w:tcPr>
            <w:tcW w:w="1132" w:type="dxa"/>
          </w:tcPr>
          <w:p w14:paraId="62F81988" w14:textId="77777777" w:rsidR="006777B6" w:rsidRPr="00465723" w:rsidRDefault="006777B6" w:rsidP="00EA1B90">
            <w:pPr>
              <w:pStyle w:val="Tabletext"/>
              <w:ind w:left="0" w:right="0"/>
              <w:jc w:val="center"/>
              <w:rPr>
                <w:sz w:val="18"/>
                <w:szCs w:val="18"/>
              </w:rPr>
            </w:pPr>
            <w:r w:rsidRPr="00465723">
              <w:rPr>
                <w:sz w:val="18"/>
                <w:szCs w:val="18"/>
              </w:rPr>
              <w:t>–</w:t>
            </w:r>
          </w:p>
        </w:tc>
      </w:tr>
      <w:tr w:rsidR="00465723" w:rsidRPr="00465723" w14:paraId="7D8C7EA4" w14:textId="77777777" w:rsidTr="004A4114">
        <w:trPr>
          <w:trHeight w:val="136"/>
        </w:trPr>
        <w:tc>
          <w:tcPr>
            <w:tcW w:w="1531" w:type="dxa"/>
            <w:vMerge/>
          </w:tcPr>
          <w:p w14:paraId="6EB7A9B0" w14:textId="77777777" w:rsidR="006777B6" w:rsidRPr="00465723" w:rsidRDefault="006777B6" w:rsidP="00EA1B90">
            <w:pPr>
              <w:pStyle w:val="Tabletext"/>
              <w:ind w:left="0" w:right="0"/>
              <w:rPr>
                <w:b/>
                <w:sz w:val="18"/>
                <w:szCs w:val="18"/>
              </w:rPr>
            </w:pPr>
          </w:p>
        </w:tc>
        <w:tc>
          <w:tcPr>
            <w:tcW w:w="2447" w:type="dxa"/>
          </w:tcPr>
          <w:p w14:paraId="16F5C6CB" w14:textId="77777777" w:rsidR="006777B6" w:rsidRPr="00465723" w:rsidRDefault="006777B6" w:rsidP="00EA1B90">
            <w:pPr>
              <w:pStyle w:val="Tabletext"/>
              <w:ind w:left="0" w:right="0"/>
              <w:rPr>
                <w:sz w:val="18"/>
                <w:szCs w:val="18"/>
              </w:rPr>
            </w:pPr>
            <w:r w:rsidRPr="00465723">
              <w:rPr>
                <w:sz w:val="18"/>
                <w:szCs w:val="18"/>
              </w:rPr>
              <w:t>Suicidal ideation, suicide and depression</w:t>
            </w:r>
          </w:p>
        </w:tc>
        <w:tc>
          <w:tcPr>
            <w:tcW w:w="1289" w:type="dxa"/>
          </w:tcPr>
          <w:p w14:paraId="6DD804FA"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1433" w:type="dxa"/>
          </w:tcPr>
          <w:p w14:paraId="1343E39C" w14:textId="77777777" w:rsidR="006777B6" w:rsidRPr="00465723" w:rsidRDefault="006777B6" w:rsidP="00EA1B90">
            <w:pPr>
              <w:pStyle w:val="Tabletext"/>
              <w:ind w:left="0" w:right="0"/>
              <w:jc w:val="center"/>
              <w:rPr>
                <w:sz w:val="18"/>
                <w:szCs w:val="18"/>
              </w:rPr>
            </w:pPr>
            <w:r w:rsidRPr="00465723">
              <w:rPr>
                <w:sz w:val="18"/>
                <w:szCs w:val="18"/>
              </w:rPr>
              <w:t>–</w:t>
            </w:r>
          </w:p>
        </w:tc>
        <w:tc>
          <w:tcPr>
            <w:tcW w:w="859" w:type="dxa"/>
          </w:tcPr>
          <w:p w14:paraId="2E7F83A8" w14:textId="77777777" w:rsidR="006777B6" w:rsidRPr="00465723" w:rsidRDefault="006777B6" w:rsidP="00EA1B90">
            <w:pPr>
              <w:pStyle w:val="Tabletext"/>
              <w:ind w:left="0" w:right="0"/>
              <w:jc w:val="center"/>
              <w:rPr>
                <w:sz w:val="18"/>
                <w:szCs w:val="18"/>
              </w:rPr>
            </w:pPr>
            <w:r w:rsidRPr="00465723">
              <w:rPr>
                <w:sz w:val="18"/>
                <w:szCs w:val="18"/>
              </w:rPr>
              <w:t>–</w:t>
            </w:r>
          </w:p>
        </w:tc>
        <w:tc>
          <w:tcPr>
            <w:tcW w:w="1132" w:type="dxa"/>
          </w:tcPr>
          <w:p w14:paraId="6CEA8F68" w14:textId="77777777" w:rsidR="006777B6" w:rsidRPr="00465723" w:rsidRDefault="006777B6" w:rsidP="00EA1B90">
            <w:pPr>
              <w:pStyle w:val="Tabletext"/>
              <w:ind w:left="0" w:right="0"/>
              <w:jc w:val="center"/>
              <w:rPr>
                <w:sz w:val="18"/>
                <w:szCs w:val="18"/>
              </w:rPr>
            </w:pPr>
            <w:r w:rsidRPr="00465723">
              <w:rPr>
                <w:sz w:val="18"/>
                <w:szCs w:val="18"/>
              </w:rPr>
              <w:t>–</w:t>
            </w:r>
          </w:p>
        </w:tc>
      </w:tr>
      <w:tr w:rsidR="00465723" w:rsidRPr="00465723" w14:paraId="1A0B63A5" w14:textId="77777777" w:rsidTr="004A4114">
        <w:trPr>
          <w:trHeight w:val="145"/>
        </w:trPr>
        <w:tc>
          <w:tcPr>
            <w:tcW w:w="1531" w:type="dxa"/>
            <w:vMerge/>
          </w:tcPr>
          <w:p w14:paraId="11E34F25" w14:textId="77777777" w:rsidR="006777B6" w:rsidRPr="00465723" w:rsidRDefault="006777B6" w:rsidP="00EA1B90">
            <w:pPr>
              <w:pStyle w:val="Tabletext"/>
              <w:ind w:left="0" w:right="0"/>
              <w:rPr>
                <w:b/>
                <w:sz w:val="18"/>
                <w:szCs w:val="18"/>
              </w:rPr>
            </w:pPr>
          </w:p>
        </w:tc>
        <w:tc>
          <w:tcPr>
            <w:tcW w:w="2447" w:type="dxa"/>
          </w:tcPr>
          <w:p w14:paraId="585FF1C4" w14:textId="77777777" w:rsidR="006777B6" w:rsidRPr="00465723" w:rsidRDefault="006777B6" w:rsidP="00EA1B90">
            <w:pPr>
              <w:pStyle w:val="Tabletext"/>
              <w:ind w:left="0" w:right="0"/>
              <w:rPr>
                <w:sz w:val="18"/>
                <w:szCs w:val="18"/>
              </w:rPr>
            </w:pPr>
            <w:r w:rsidRPr="00465723">
              <w:rPr>
                <w:sz w:val="18"/>
                <w:szCs w:val="18"/>
              </w:rPr>
              <w:t>Skin reactions: contact dermatitis</w:t>
            </w:r>
          </w:p>
        </w:tc>
        <w:tc>
          <w:tcPr>
            <w:tcW w:w="1289" w:type="dxa"/>
          </w:tcPr>
          <w:p w14:paraId="73CAD64C"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1433" w:type="dxa"/>
          </w:tcPr>
          <w:p w14:paraId="478C299B" w14:textId="77777777" w:rsidR="006777B6" w:rsidRPr="00465723" w:rsidRDefault="006777B6" w:rsidP="00EA1B90">
            <w:pPr>
              <w:pStyle w:val="Tabletext"/>
              <w:ind w:left="0" w:right="0"/>
              <w:jc w:val="center"/>
              <w:rPr>
                <w:sz w:val="18"/>
                <w:szCs w:val="18"/>
              </w:rPr>
            </w:pPr>
            <w:r w:rsidRPr="00465723">
              <w:rPr>
                <w:sz w:val="18"/>
                <w:szCs w:val="18"/>
              </w:rPr>
              <w:t>–</w:t>
            </w:r>
          </w:p>
        </w:tc>
        <w:tc>
          <w:tcPr>
            <w:tcW w:w="859" w:type="dxa"/>
          </w:tcPr>
          <w:p w14:paraId="6724ECDB" w14:textId="77777777" w:rsidR="006777B6" w:rsidRPr="00465723" w:rsidRDefault="006777B6" w:rsidP="00EA1B90">
            <w:pPr>
              <w:pStyle w:val="Tabletext"/>
              <w:ind w:left="0" w:right="0"/>
              <w:jc w:val="center"/>
              <w:rPr>
                <w:sz w:val="18"/>
                <w:szCs w:val="18"/>
              </w:rPr>
            </w:pPr>
            <w:r w:rsidRPr="00465723">
              <w:rPr>
                <w:sz w:val="18"/>
                <w:szCs w:val="18"/>
              </w:rPr>
              <w:t>–</w:t>
            </w:r>
          </w:p>
        </w:tc>
        <w:tc>
          <w:tcPr>
            <w:tcW w:w="1132" w:type="dxa"/>
          </w:tcPr>
          <w:p w14:paraId="0E9F8DB0" w14:textId="77777777" w:rsidR="006777B6" w:rsidRPr="00465723" w:rsidRDefault="006777B6" w:rsidP="00EA1B90">
            <w:pPr>
              <w:pStyle w:val="Tabletext"/>
              <w:ind w:left="0" w:right="0"/>
              <w:jc w:val="center"/>
              <w:rPr>
                <w:sz w:val="18"/>
                <w:szCs w:val="18"/>
              </w:rPr>
            </w:pPr>
            <w:r w:rsidRPr="00465723">
              <w:rPr>
                <w:sz w:val="18"/>
                <w:szCs w:val="18"/>
              </w:rPr>
              <w:t>–</w:t>
            </w:r>
          </w:p>
        </w:tc>
      </w:tr>
      <w:tr w:rsidR="00465723" w:rsidRPr="00465723" w14:paraId="0D6D8E44" w14:textId="77777777" w:rsidTr="004A4114">
        <w:trPr>
          <w:trHeight w:val="127"/>
        </w:trPr>
        <w:tc>
          <w:tcPr>
            <w:tcW w:w="1531" w:type="dxa"/>
            <w:vMerge/>
          </w:tcPr>
          <w:p w14:paraId="41FA6817" w14:textId="77777777" w:rsidR="006777B6" w:rsidRPr="00465723" w:rsidRDefault="006777B6" w:rsidP="00EA1B90">
            <w:pPr>
              <w:pStyle w:val="Tabletext"/>
              <w:ind w:left="0" w:right="0"/>
              <w:rPr>
                <w:b/>
                <w:sz w:val="18"/>
                <w:szCs w:val="18"/>
              </w:rPr>
            </w:pPr>
          </w:p>
        </w:tc>
        <w:tc>
          <w:tcPr>
            <w:tcW w:w="2447" w:type="dxa"/>
          </w:tcPr>
          <w:p w14:paraId="3E780835" w14:textId="77777777" w:rsidR="006777B6" w:rsidRPr="00465723" w:rsidRDefault="006777B6" w:rsidP="00EA1B90">
            <w:pPr>
              <w:pStyle w:val="Tabletext"/>
              <w:ind w:left="0" w:right="0"/>
              <w:rPr>
                <w:sz w:val="18"/>
                <w:szCs w:val="18"/>
              </w:rPr>
            </w:pPr>
            <w:r w:rsidRPr="00465723">
              <w:rPr>
                <w:sz w:val="18"/>
                <w:szCs w:val="18"/>
              </w:rPr>
              <w:t>Pancreatic cancer</w:t>
            </w:r>
          </w:p>
        </w:tc>
        <w:tc>
          <w:tcPr>
            <w:tcW w:w="1289" w:type="dxa"/>
          </w:tcPr>
          <w:p w14:paraId="1DDFA888"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1433" w:type="dxa"/>
          </w:tcPr>
          <w:p w14:paraId="285123A1" w14:textId="77777777" w:rsidR="006777B6" w:rsidRPr="00465723" w:rsidRDefault="006777B6" w:rsidP="00EA1B90">
            <w:pPr>
              <w:pStyle w:val="Tabletext"/>
              <w:ind w:left="0" w:right="0"/>
              <w:jc w:val="center"/>
              <w:rPr>
                <w:sz w:val="18"/>
                <w:szCs w:val="18"/>
              </w:rPr>
            </w:pPr>
            <w:r w:rsidRPr="00465723">
              <w:rPr>
                <w:sz w:val="18"/>
                <w:szCs w:val="18"/>
              </w:rPr>
              <w:t>–</w:t>
            </w:r>
          </w:p>
        </w:tc>
        <w:tc>
          <w:tcPr>
            <w:tcW w:w="859" w:type="dxa"/>
          </w:tcPr>
          <w:p w14:paraId="4BD09022" w14:textId="77777777" w:rsidR="006777B6" w:rsidRPr="00465723" w:rsidRDefault="006777B6" w:rsidP="00EA1B90">
            <w:pPr>
              <w:pStyle w:val="Tabletext"/>
              <w:ind w:left="0" w:right="0"/>
              <w:jc w:val="center"/>
              <w:rPr>
                <w:sz w:val="18"/>
                <w:szCs w:val="18"/>
              </w:rPr>
            </w:pPr>
            <w:r w:rsidRPr="00465723">
              <w:rPr>
                <w:sz w:val="18"/>
                <w:szCs w:val="18"/>
              </w:rPr>
              <w:t>–</w:t>
            </w:r>
          </w:p>
        </w:tc>
        <w:tc>
          <w:tcPr>
            <w:tcW w:w="1132" w:type="dxa"/>
          </w:tcPr>
          <w:p w14:paraId="1B364E7B" w14:textId="77777777" w:rsidR="006777B6" w:rsidRPr="00465723" w:rsidRDefault="006777B6" w:rsidP="00EA1B90">
            <w:pPr>
              <w:pStyle w:val="Tabletext"/>
              <w:ind w:left="0" w:right="0"/>
              <w:jc w:val="center"/>
              <w:rPr>
                <w:sz w:val="18"/>
                <w:szCs w:val="18"/>
              </w:rPr>
            </w:pPr>
            <w:r w:rsidRPr="00465723">
              <w:rPr>
                <w:sz w:val="18"/>
                <w:szCs w:val="18"/>
              </w:rPr>
              <w:t>–</w:t>
            </w:r>
          </w:p>
        </w:tc>
      </w:tr>
      <w:tr w:rsidR="00465723" w:rsidRPr="00465723" w14:paraId="608FF415" w14:textId="77777777" w:rsidTr="004A4114">
        <w:trPr>
          <w:trHeight w:val="112"/>
        </w:trPr>
        <w:tc>
          <w:tcPr>
            <w:tcW w:w="1531" w:type="dxa"/>
            <w:vMerge/>
          </w:tcPr>
          <w:p w14:paraId="3EF7886A" w14:textId="77777777" w:rsidR="006777B6" w:rsidRPr="00465723" w:rsidRDefault="006777B6" w:rsidP="00EA1B90">
            <w:pPr>
              <w:pStyle w:val="Tabletext"/>
              <w:ind w:left="0" w:right="0"/>
              <w:rPr>
                <w:b/>
                <w:sz w:val="18"/>
                <w:szCs w:val="18"/>
              </w:rPr>
            </w:pPr>
          </w:p>
        </w:tc>
        <w:tc>
          <w:tcPr>
            <w:tcW w:w="2447" w:type="dxa"/>
          </w:tcPr>
          <w:p w14:paraId="39392FD0" w14:textId="77777777" w:rsidR="006777B6" w:rsidRPr="00465723" w:rsidRDefault="006777B6" w:rsidP="00EA1B90">
            <w:pPr>
              <w:pStyle w:val="Tabletext"/>
              <w:ind w:left="0" w:right="0"/>
              <w:rPr>
                <w:sz w:val="18"/>
                <w:szCs w:val="18"/>
              </w:rPr>
            </w:pPr>
            <w:r w:rsidRPr="00465723">
              <w:rPr>
                <w:sz w:val="18"/>
                <w:szCs w:val="18"/>
              </w:rPr>
              <w:t>Rhabdomyolysis</w:t>
            </w:r>
          </w:p>
        </w:tc>
        <w:tc>
          <w:tcPr>
            <w:tcW w:w="1289" w:type="dxa"/>
          </w:tcPr>
          <w:p w14:paraId="61EC0837"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1433" w:type="dxa"/>
          </w:tcPr>
          <w:p w14:paraId="37041506" w14:textId="77777777" w:rsidR="006777B6" w:rsidRPr="00465723" w:rsidRDefault="006777B6" w:rsidP="00EA1B90">
            <w:pPr>
              <w:pStyle w:val="Tabletext"/>
              <w:ind w:left="0" w:right="0"/>
              <w:jc w:val="center"/>
              <w:rPr>
                <w:sz w:val="18"/>
                <w:szCs w:val="18"/>
              </w:rPr>
            </w:pPr>
            <w:r w:rsidRPr="00465723">
              <w:rPr>
                <w:sz w:val="18"/>
                <w:szCs w:val="18"/>
              </w:rPr>
              <w:t>–</w:t>
            </w:r>
          </w:p>
        </w:tc>
        <w:tc>
          <w:tcPr>
            <w:tcW w:w="859" w:type="dxa"/>
          </w:tcPr>
          <w:p w14:paraId="32A7685D" w14:textId="77777777" w:rsidR="006777B6" w:rsidRPr="00465723" w:rsidRDefault="006777B6" w:rsidP="00EA1B90">
            <w:pPr>
              <w:pStyle w:val="Tabletext"/>
              <w:ind w:left="0" w:right="0"/>
              <w:jc w:val="center"/>
              <w:rPr>
                <w:sz w:val="18"/>
                <w:szCs w:val="18"/>
              </w:rPr>
            </w:pPr>
            <w:r w:rsidRPr="00465723">
              <w:rPr>
                <w:sz w:val="18"/>
                <w:szCs w:val="18"/>
              </w:rPr>
              <w:t>–</w:t>
            </w:r>
          </w:p>
        </w:tc>
        <w:tc>
          <w:tcPr>
            <w:tcW w:w="1132" w:type="dxa"/>
          </w:tcPr>
          <w:p w14:paraId="5B5B81D0" w14:textId="77777777" w:rsidR="006777B6" w:rsidRPr="00465723" w:rsidRDefault="006777B6" w:rsidP="00EA1B90">
            <w:pPr>
              <w:pStyle w:val="Tabletext"/>
              <w:ind w:left="0" w:right="0"/>
              <w:jc w:val="center"/>
              <w:rPr>
                <w:sz w:val="18"/>
                <w:szCs w:val="18"/>
              </w:rPr>
            </w:pPr>
            <w:r w:rsidRPr="00465723">
              <w:rPr>
                <w:sz w:val="18"/>
                <w:szCs w:val="18"/>
              </w:rPr>
              <w:t>–</w:t>
            </w:r>
          </w:p>
        </w:tc>
      </w:tr>
      <w:tr w:rsidR="00465723" w:rsidRPr="00465723" w14:paraId="118EF2B6" w14:textId="77777777" w:rsidTr="004A4114">
        <w:trPr>
          <w:trHeight w:val="177"/>
        </w:trPr>
        <w:tc>
          <w:tcPr>
            <w:tcW w:w="1531" w:type="dxa"/>
            <w:vMerge w:val="restart"/>
          </w:tcPr>
          <w:p w14:paraId="0D93BC93" w14:textId="77777777" w:rsidR="006777B6" w:rsidRPr="00465723" w:rsidRDefault="006777B6" w:rsidP="00EA1B90">
            <w:pPr>
              <w:pStyle w:val="Tabletext"/>
              <w:ind w:left="0" w:right="0"/>
              <w:rPr>
                <w:b/>
                <w:sz w:val="18"/>
                <w:szCs w:val="18"/>
              </w:rPr>
            </w:pPr>
            <w:r w:rsidRPr="00465723">
              <w:rPr>
                <w:b/>
                <w:sz w:val="18"/>
                <w:szCs w:val="18"/>
              </w:rPr>
              <w:t>Missing information</w:t>
            </w:r>
          </w:p>
        </w:tc>
        <w:tc>
          <w:tcPr>
            <w:tcW w:w="2447" w:type="dxa"/>
          </w:tcPr>
          <w:p w14:paraId="77B5F8F0" w14:textId="3D36980C" w:rsidR="006777B6" w:rsidRPr="00465723" w:rsidRDefault="006777B6" w:rsidP="00EA1B90">
            <w:pPr>
              <w:pStyle w:val="Tabletext"/>
              <w:ind w:left="0" w:right="0"/>
              <w:rPr>
                <w:sz w:val="18"/>
                <w:szCs w:val="18"/>
              </w:rPr>
            </w:pPr>
            <w:r w:rsidRPr="00465723">
              <w:rPr>
                <w:sz w:val="18"/>
                <w:szCs w:val="18"/>
              </w:rPr>
              <w:t xml:space="preserve">Use in </w:t>
            </w:r>
            <w:r w:rsidR="00EA1B90" w:rsidRPr="00465723">
              <w:rPr>
                <w:sz w:val="18"/>
                <w:szCs w:val="18"/>
              </w:rPr>
              <w:t>paediatric</w:t>
            </w:r>
            <w:r w:rsidRPr="00465723">
              <w:rPr>
                <w:sz w:val="18"/>
                <w:szCs w:val="18"/>
              </w:rPr>
              <w:t xml:space="preserve"> patients (patients below 18 years of age)</w:t>
            </w:r>
          </w:p>
        </w:tc>
        <w:tc>
          <w:tcPr>
            <w:tcW w:w="1289" w:type="dxa"/>
          </w:tcPr>
          <w:p w14:paraId="1B1C0F78"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1433" w:type="dxa"/>
          </w:tcPr>
          <w:p w14:paraId="1E8A20DF"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859" w:type="dxa"/>
          </w:tcPr>
          <w:p w14:paraId="341BE048"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1132" w:type="dxa"/>
          </w:tcPr>
          <w:p w14:paraId="2C77F8C2" w14:textId="77777777" w:rsidR="006777B6" w:rsidRPr="00465723" w:rsidRDefault="006777B6" w:rsidP="00EA1B90">
            <w:pPr>
              <w:pStyle w:val="Tabletext"/>
              <w:ind w:left="0" w:right="0"/>
              <w:jc w:val="center"/>
              <w:rPr>
                <w:sz w:val="18"/>
                <w:szCs w:val="18"/>
              </w:rPr>
            </w:pPr>
            <w:r w:rsidRPr="00465723">
              <w:rPr>
                <w:sz w:val="18"/>
                <w:szCs w:val="18"/>
              </w:rPr>
              <w:t>–</w:t>
            </w:r>
          </w:p>
        </w:tc>
      </w:tr>
      <w:tr w:rsidR="00465723" w:rsidRPr="00465723" w14:paraId="271CCA1F" w14:textId="77777777" w:rsidTr="004A4114">
        <w:trPr>
          <w:trHeight w:val="73"/>
        </w:trPr>
        <w:tc>
          <w:tcPr>
            <w:tcW w:w="1531" w:type="dxa"/>
            <w:vMerge/>
          </w:tcPr>
          <w:p w14:paraId="3401E77E" w14:textId="77777777" w:rsidR="006777B6" w:rsidRPr="00465723" w:rsidRDefault="006777B6" w:rsidP="00EA1B90">
            <w:pPr>
              <w:pStyle w:val="Tabletext"/>
              <w:ind w:left="0" w:right="0"/>
              <w:rPr>
                <w:sz w:val="18"/>
                <w:szCs w:val="18"/>
              </w:rPr>
            </w:pPr>
          </w:p>
        </w:tc>
        <w:tc>
          <w:tcPr>
            <w:tcW w:w="2447" w:type="dxa"/>
          </w:tcPr>
          <w:p w14:paraId="481A892A" w14:textId="77777777" w:rsidR="006777B6" w:rsidRPr="00465723" w:rsidRDefault="006777B6" w:rsidP="00EA1B90">
            <w:pPr>
              <w:pStyle w:val="Tabletext"/>
              <w:ind w:left="0" w:right="0"/>
              <w:rPr>
                <w:sz w:val="18"/>
                <w:szCs w:val="18"/>
              </w:rPr>
            </w:pPr>
            <w:r w:rsidRPr="00465723">
              <w:rPr>
                <w:sz w:val="18"/>
                <w:szCs w:val="18"/>
              </w:rPr>
              <w:t>Use in elderly patients (≥75 years)</w:t>
            </w:r>
          </w:p>
        </w:tc>
        <w:tc>
          <w:tcPr>
            <w:tcW w:w="1289" w:type="dxa"/>
          </w:tcPr>
          <w:p w14:paraId="3D0CF988"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1433" w:type="dxa"/>
          </w:tcPr>
          <w:p w14:paraId="35CDB81D"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859" w:type="dxa"/>
          </w:tcPr>
          <w:p w14:paraId="301D04FB"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1132" w:type="dxa"/>
          </w:tcPr>
          <w:p w14:paraId="6454DFDB" w14:textId="77777777" w:rsidR="006777B6" w:rsidRPr="00465723" w:rsidRDefault="006777B6" w:rsidP="00EA1B90">
            <w:pPr>
              <w:pStyle w:val="Tabletext"/>
              <w:ind w:left="0" w:right="0"/>
              <w:jc w:val="center"/>
              <w:rPr>
                <w:sz w:val="18"/>
                <w:szCs w:val="18"/>
              </w:rPr>
            </w:pPr>
            <w:r w:rsidRPr="00465723">
              <w:rPr>
                <w:sz w:val="18"/>
                <w:szCs w:val="18"/>
              </w:rPr>
              <w:t>–</w:t>
            </w:r>
          </w:p>
        </w:tc>
      </w:tr>
      <w:tr w:rsidR="00465723" w:rsidRPr="00465723" w14:paraId="6EC3E352" w14:textId="77777777" w:rsidTr="004A4114">
        <w:trPr>
          <w:trHeight w:val="209"/>
        </w:trPr>
        <w:tc>
          <w:tcPr>
            <w:tcW w:w="1531" w:type="dxa"/>
            <w:vMerge/>
          </w:tcPr>
          <w:p w14:paraId="1682E0E1" w14:textId="77777777" w:rsidR="006777B6" w:rsidRPr="00465723" w:rsidRDefault="006777B6" w:rsidP="00EA1B90">
            <w:pPr>
              <w:pStyle w:val="Tabletext"/>
              <w:ind w:left="0" w:right="0"/>
              <w:rPr>
                <w:sz w:val="18"/>
                <w:szCs w:val="18"/>
              </w:rPr>
            </w:pPr>
          </w:p>
        </w:tc>
        <w:tc>
          <w:tcPr>
            <w:tcW w:w="2447" w:type="dxa"/>
          </w:tcPr>
          <w:p w14:paraId="35F9D482" w14:textId="77777777" w:rsidR="006777B6" w:rsidRPr="00465723" w:rsidRDefault="006777B6" w:rsidP="00EA1B90">
            <w:pPr>
              <w:pStyle w:val="Tabletext"/>
              <w:ind w:left="0" w:right="0"/>
              <w:rPr>
                <w:sz w:val="18"/>
                <w:szCs w:val="18"/>
              </w:rPr>
            </w:pPr>
            <w:r w:rsidRPr="00465723">
              <w:rPr>
                <w:sz w:val="18"/>
                <w:szCs w:val="18"/>
              </w:rPr>
              <w:t>Use in pregnancy and breastfeeding</w:t>
            </w:r>
          </w:p>
        </w:tc>
        <w:tc>
          <w:tcPr>
            <w:tcW w:w="1289" w:type="dxa"/>
          </w:tcPr>
          <w:p w14:paraId="4C5A3E9E"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1433" w:type="dxa"/>
          </w:tcPr>
          <w:p w14:paraId="3D210080" w14:textId="77777777" w:rsidR="006777B6" w:rsidRPr="00465723" w:rsidRDefault="006777B6" w:rsidP="00EA1B90">
            <w:pPr>
              <w:pStyle w:val="Tabletext"/>
              <w:ind w:left="0" w:right="0"/>
              <w:jc w:val="center"/>
              <w:rPr>
                <w:sz w:val="18"/>
                <w:szCs w:val="18"/>
              </w:rPr>
            </w:pPr>
            <w:r w:rsidRPr="00465723">
              <w:rPr>
                <w:sz w:val="18"/>
                <w:szCs w:val="18"/>
              </w:rPr>
              <w:t>–</w:t>
            </w:r>
          </w:p>
        </w:tc>
        <w:tc>
          <w:tcPr>
            <w:tcW w:w="859" w:type="dxa"/>
          </w:tcPr>
          <w:p w14:paraId="361D04D1"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1132" w:type="dxa"/>
          </w:tcPr>
          <w:p w14:paraId="124EA95C" w14:textId="77777777" w:rsidR="006777B6" w:rsidRPr="00465723" w:rsidRDefault="006777B6" w:rsidP="00EA1B90">
            <w:pPr>
              <w:pStyle w:val="Tabletext"/>
              <w:ind w:left="0" w:right="0"/>
              <w:jc w:val="center"/>
              <w:rPr>
                <w:sz w:val="18"/>
                <w:szCs w:val="18"/>
              </w:rPr>
            </w:pPr>
            <w:r w:rsidRPr="00465723">
              <w:rPr>
                <w:sz w:val="18"/>
                <w:szCs w:val="18"/>
              </w:rPr>
              <w:t>–</w:t>
            </w:r>
          </w:p>
        </w:tc>
      </w:tr>
      <w:tr w:rsidR="00465723" w:rsidRPr="00465723" w14:paraId="0CE89F17" w14:textId="77777777" w:rsidTr="004A4114">
        <w:trPr>
          <w:trHeight w:val="154"/>
        </w:trPr>
        <w:tc>
          <w:tcPr>
            <w:tcW w:w="1531" w:type="dxa"/>
            <w:vMerge/>
          </w:tcPr>
          <w:p w14:paraId="6BF4A3C4" w14:textId="77777777" w:rsidR="006777B6" w:rsidRPr="00465723" w:rsidRDefault="006777B6" w:rsidP="00EA1B90">
            <w:pPr>
              <w:pStyle w:val="Tabletext"/>
              <w:ind w:left="0" w:right="0"/>
              <w:rPr>
                <w:sz w:val="18"/>
                <w:szCs w:val="18"/>
              </w:rPr>
            </w:pPr>
          </w:p>
        </w:tc>
        <w:tc>
          <w:tcPr>
            <w:tcW w:w="2447" w:type="dxa"/>
          </w:tcPr>
          <w:p w14:paraId="233B9476" w14:textId="77777777" w:rsidR="006777B6" w:rsidRPr="00465723" w:rsidRDefault="006777B6" w:rsidP="00EA1B90">
            <w:pPr>
              <w:pStyle w:val="Tabletext"/>
              <w:ind w:left="0" w:right="0"/>
              <w:rPr>
                <w:sz w:val="18"/>
                <w:szCs w:val="18"/>
              </w:rPr>
            </w:pPr>
            <w:r w:rsidRPr="00465723">
              <w:rPr>
                <w:sz w:val="18"/>
                <w:szCs w:val="18"/>
              </w:rPr>
              <w:t>Use in patients with CHF Class II-IV</w:t>
            </w:r>
          </w:p>
        </w:tc>
        <w:tc>
          <w:tcPr>
            <w:tcW w:w="1289" w:type="dxa"/>
          </w:tcPr>
          <w:p w14:paraId="3FBB28E4"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1433" w:type="dxa"/>
          </w:tcPr>
          <w:p w14:paraId="0A1C8B3F"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859" w:type="dxa"/>
          </w:tcPr>
          <w:p w14:paraId="0416B041" w14:textId="77777777" w:rsidR="006777B6" w:rsidRPr="00465723" w:rsidRDefault="006777B6" w:rsidP="00EA1B90">
            <w:pPr>
              <w:pStyle w:val="Tabletext"/>
              <w:ind w:left="0" w:right="0"/>
              <w:jc w:val="center"/>
              <w:rPr>
                <w:sz w:val="18"/>
                <w:szCs w:val="18"/>
              </w:rPr>
            </w:pPr>
            <w:r w:rsidRPr="00465723">
              <w:rPr>
                <w:sz w:val="18"/>
                <w:szCs w:val="18"/>
              </w:rPr>
              <w:t>–</w:t>
            </w:r>
          </w:p>
        </w:tc>
        <w:tc>
          <w:tcPr>
            <w:tcW w:w="1132" w:type="dxa"/>
          </w:tcPr>
          <w:p w14:paraId="75746236" w14:textId="77777777" w:rsidR="006777B6" w:rsidRPr="00465723" w:rsidRDefault="006777B6" w:rsidP="00EA1B90">
            <w:pPr>
              <w:pStyle w:val="Tabletext"/>
              <w:ind w:left="0" w:right="0"/>
              <w:jc w:val="center"/>
              <w:rPr>
                <w:sz w:val="18"/>
                <w:szCs w:val="18"/>
              </w:rPr>
            </w:pPr>
            <w:r w:rsidRPr="00465723">
              <w:rPr>
                <w:sz w:val="18"/>
                <w:szCs w:val="18"/>
              </w:rPr>
              <w:t>–</w:t>
            </w:r>
          </w:p>
        </w:tc>
      </w:tr>
      <w:tr w:rsidR="00465723" w:rsidRPr="00465723" w14:paraId="70AC7302" w14:textId="77777777" w:rsidTr="004A4114">
        <w:trPr>
          <w:trHeight w:val="181"/>
        </w:trPr>
        <w:tc>
          <w:tcPr>
            <w:tcW w:w="1531" w:type="dxa"/>
            <w:vMerge/>
          </w:tcPr>
          <w:p w14:paraId="532BF75E" w14:textId="77777777" w:rsidR="006777B6" w:rsidRPr="00465723" w:rsidRDefault="006777B6" w:rsidP="00EA1B90">
            <w:pPr>
              <w:pStyle w:val="Tabletext"/>
              <w:ind w:left="0" w:right="0"/>
              <w:rPr>
                <w:sz w:val="18"/>
                <w:szCs w:val="18"/>
              </w:rPr>
            </w:pPr>
          </w:p>
        </w:tc>
        <w:tc>
          <w:tcPr>
            <w:tcW w:w="2447" w:type="dxa"/>
          </w:tcPr>
          <w:p w14:paraId="58BDABF6" w14:textId="77777777" w:rsidR="006777B6" w:rsidRPr="00465723" w:rsidRDefault="006777B6" w:rsidP="00EA1B90">
            <w:pPr>
              <w:pStyle w:val="Tabletext"/>
              <w:ind w:left="0" w:right="0"/>
              <w:rPr>
                <w:sz w:val="18"/>
                <w:szCs w:val="18"/>
              </w:rPr>
            </w:pPr>
            <w:r w:rsidRPr="00465723">
              <w:rPr>
                <w:sz w:val="18"/>
                <w:szCs w:val="18"/>
              </w:rPr>
              <w:t>Long-term CV Safety</w:t>
            </w:r>
          </w:p>
        </w:tc>
        <w:tc>
          <w:tcPr>
            <w:tcW w:w="1289" w:type="dxa"/>
          </w:tcPr>
          <w:p w14:paraId="7F7ADBE6"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1433" w:type="dxa"/>
          </w:tcPr>
          <w:p w14:paraId="2752F719"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859" w:type="dxa"/>
          </w:tcPr>
          <w:p w14:paraId="34DE4D2E" w14:textId="77777777" w:rsidR="006777B6" w:rsidRPr="00465723" w:rsidRDefault="006777B6" w:rsidP="00EA1B90">
            <w:pPr>
              <w:pStyle w:val="Tabletext"/>
              <w:ind w:left="0" w:right="0"/>
              <w:jc w:val="center"/>
              <w:rPr>
                <w:sz w:val="18"/>
                <w:szCs w:val="18"/>
              </w:rPr>
            </w:pPr>
            <w:r w:rsidRPr="00465723">
              <w:rPr>
                <w:sz w:val="18"/>
                <w:szCs w:val="18"/>
              </w:rPr>
              <w:t>–</w:t>
            </w:r>
          </w:p>
        </w:tc>
        <w:tc>
          <w:tcPr>
            <w:tcW w:w="1132" w:type="dxa"/>
          </w:tcPr>
          <w:p w14:paraId="4F43A20C" w14:textId="77777777" w:rsidR="006777B6" w:rsidRPr="00465723" w:rsidRDefault="006777B6" w:rsidP="00EA1B90">
            <w:pPr>
              <w:pStyle w:val="Tabletext"/>
              <w:ind w:left="0" w:right="0"/>
              <w:jc w:val="center"/>
              <w:rPr>
                <w:sz w:val="18"/>
                <w:szCs w:val="18"/>
              </w:rPr>
            </w:pPr>
            <w:r w:rsidRPr="00465723">
              <w:rPr>
                <w:sz w:val="18"/>
                <w:szCs w:val="18"/>
              </w:rPr>
              <w:t>–</w:t>
            </w:r>
          </w:p>
        </w:tc>
      </w:tr>
      <w:tr w:rsidR="00465723" w:rsidRPr="00465723" w14:paraId="7D5F8C1F" w14:textId="77777777" w:rsidTr="004A4114">
        <w:trPr>
          <w:trHeight w:val="139"/>
        </w:trPr>
        <w:tc>
          <w:tcPr>
            <w:tcW w:w="1531" w:type="dxa"/>
            <w:vMerge/>
          </w:tcPr>
          <w:p w14:paraId="22C50CF6" w14:textId="77777777" w:rsidR="006777B6" w:rsidRPr="00465723" w:rsidRDefault="006777B6" w:rsidP="00EA1B90">
            <w:pPr>
              <w:pStyle w:val="Tabletext"/>
              <w:ind w:left="0" w:right="0"/>
              <w:rPr>
                <w:sz w:val="18"/>
                <w:szCs w:val="18"/>
              </w:rPr>
            </w:pPr>
          </w:p>
        </w:tc>
        <w:tc>
          <w:tcPr>
            <w:tcW w:w="2447" w:type="dxa"/>
          </w:tcPr>
          <w:p w14:paraId="7C8F0F28" w14:textId="77777777" w:rsidR="006777B6" w:rsidRPr="00465723" w:rsidRDefault="006777B6" w:rsidP="00EA1B90">
            <w:pPr>
              <w:pStyle w:val="Tabletext"/>
              <w:ind w:left="0" w:right="0"/>
              <w:rPr>
                <w:sz w:val="18"/>
                <w:szCs w:val="18"/>
              </w:rPr>
            </w:pPr>
            <w:r w:rsidRPr="00465723">
              <w:rPr>
                <w:sz w:val="18"/>
                <w:szCs w:val="18"/>
              </w:rPr>
              <w:t>Theoretic carcinogenic potential</w:t>
            </w:r>
          </w:p>
        </w:tc>
        <w:tc>
          <w:tcPr>
            <w:tcW w:w="1289" w:type="dxa"/>
          </w:tcPr>
          <w:p w14:paraId="174570EA" w14:textId="77777777" w:rsidR="006777B6" w:rsidRPr="00465723" w:rsidRDefault="006777B6" w:rsidP="00EA1B90">
            <w:pPr>
              <w:pStyle w:val="Tabletext"/>
              <w:ind w:left="0" w:right="0"/>
              <w:jc w:val="center"/>
              <w:rPr>
                <w:sz w:val="18"/>
                <w:szCs w:val="18"/>
              </w:rPr>
            </w:pPr>
            <w:r w:rsidRPr="00465723">
              <w:rPr>
                <w:sz w:val="18"/>
                <w:szCs w:val="18"/>
              </w:rPr>
              <w:sym w:font="Wingdings" w:char="F0FC"/>
            </w:r>
          </w:p>
        </w:tc>
        <w:tc>
          <w:tcPr>
            <w:tcW w:w="1433" w:type="dxa"/>
          </w:tcPr>
          <w:p w14:paraId="5E096C64" w14:textId="77777777" w:rsidR="006777B6" w:rsidRPr="00465723" w:rsidRDefault="006777B6" w:rsidP="00EA1B90">
            <w:pPr>
              <w:pStyle w:val="Tabletext"/>
              <w:ind w:left="0" w:right="0"/>
              <w:jc w:val="center"/>
              <w:rPr>
                <w:sz w:val="18"/>
                <w:szCs w:val="18"/>
              </w:rPr>
            </w:pPr>
            <w:r w:rsidRPr="00465723">
              <w:rPr>
                <w:sz w:val="18"/>
                <w:szCs w:val="18"/>
              </w:rPr>
              <w:t>–</w:t>
            </w:r>
          </w:p>
        </w:tc>
        <w:tc>
          <w:tcPr>
            <w:tcW w:w="859" w:type="dxa"/>
          </w:tcPr>
          <w:p w14:paraId="2A9018B0" w14:textId="77777777" w:rsidR="006777B6" w:rsidRPr="00465723" w:rsidRDefault="006777B6" w:rsidP="00EA1B90">
            <w:pPr>
              <w:pStyle w:val="Tabletext"/>
              <w:ind w:left="0" w:right="0"/>
              <w:jc w:val="center"/>
              <w:rPr>
                <w:sz w:val="18"/>
                <w:szCs w:val="18"/>
              </w:rPr>
            </w:pPr>
            <w:r w:rsidRPr="00465723">
              <w:rPr>
                <w:sz w:val="18"/>
                <w:szCs w:val="18"/>
              </w:rPr>
              <w:t>–</w:t>
            </w:r>
          </w:p>
        </w:tc>
        <w:tc>
          <w:tcPr>
            <w:tcW w:w="1132" w:type="dxa"/>
          </w:tcPr>
          <w:p w14:paraId="750FE20A" w14:textId="77777777" w:rsidR="006777B6" w:rsidRPr="00465723" w:rsidRDefault="006777B6" w:rsidP="00EA1B90">
            <w:pPr>
              <w:pStyle w:val="Tabletext"/>
              <w:ind w:left="0" w:right="0"/>
              <w:jc w:val="center"/>
              <w:rPr>
                <w:sz w:val="18"/>
                <w:szCs w:val="18"/>
              </w:rPr>
            </w:pPr>
            <w:r w:rsidRPr="00465723">
              <w:rPr>
                <w:sz w:val="18"/>
                <w:szCs w:val="18"/>
              </w:rPr>
              <w:t>–</w:t>
            </w:r>
          </w:p>
        </w:tc>
      </w:tr>
    </w:tbl>
    <w:p w14:paraId="558F7014" w14:textId="77777777" w:rsidR="006777B6" w:rsidRPr="00EC625A" w:rsidRDefault="006777B6" w:rsidP="00BC6FBA">
      <w:pPr>
        <w:pStyle w:val="ListBullet"/>
      </w:pPr>
      <w:r w:rsidRPr="00EC625A">
        <w:t>The additional pharmacovigilance activities are the same as what is proposed for ertugliflozin (two ongoing clini</w:t>
      </w:r>
      <w:r w:rsidR="00BC6FBA">
        <w:t xml:space="preserve">cal trials and two planned PIPs; </w:t>
      </w:r>
      <w:r w:rsidRPr="00BC6FBA">
        <w:t>Steglatro</w:t>
      </w:r>
      <w:r>
        <w:t>)</w:t>
      </w:r>
      <w:r w:rsidRPr="00EC625A">
        <w:t>.</w:t>
      </w:r>
    </w:p>
    <w:p w14:paraId="7ACBA1FA" w14:textId="77777777" w:rsidR="006777B6" w:rsidRPr="00BE5FED" w:rsidRDefault="006777B6" w:rsidP="00BC6FBA">
      <w:pPr>
        <w:pStyle w:val="ListBullet"/>
      </w:pPr>
      <w:r w:rsidRPr="00BE5FED">
        <w:t>There are no additional risk minimisation activities as per the application for ertugliflozin.</w:t>
      </w:r>
    </w:p>
    <w:p w14:paraId="7111F78B" w14:textId="77777777" w:rsidR="006777B6" w:rsidRPr="00BE4CCD" w:rsidRDefault="00BC6FBA" w:rsidP="00BC6FBA">
      <w:pPr>
        <w:pStyle w:val="Heading4"/>
      </w:pPr>
      <w:bookmarkStart w:id="261" w:name="_Toc505777096"/>
      <w:bookmarkStart w:id="262" w:name="_Toc485992914"/>
      <w:r>
        <w:t>O</w:t>
      </w:r>
      <w:r w:rsidR="006777B6" w:rsidRPr="00BE4CCD">
        <w:t>utstanding recommendations</w:t>
      </w:r>
      <w:bookmarkEnd w:id="261"/>
    </w:p>
    <w:p w14:paraId="595275C6" w14:textId="77777777" w:rsidR="006777B6" w:rsidRPr="003C624B" w:rsidRDefault="006777B6" w:rsidP="00BC6FBA">
      <w:r w:rsidRPr="00BE4CCD">
        <w:t xml:space="preserve">There are no other outstanding issues at </w:t>
      </w:r>
      <w:r w:rsidR="00BC6FBA">
        <w:t>the second r</w:t>
      </w:r>
      <w:r w:rsidRPr="00BE4CCD">
        <w:t>ound.</w:t>
      </w:r>
    </w:p>
    <w:p w14:paraId="4B7D0485" w14:textId="77777777" w:rsidR="006777B6" w:rsidRPr="00AA53B0" w:rsidRDefault="006777B6" w:rsidP="00BC6FBA">
      <w:pPr>
        <w:pStyle w:val="Heading4"/>
      </w:pPr>
      <w:bookmarkStart w:id="263" w:name="_Toc485992920"/>
      <w:bookmarkStart w:id="264" w:name="_Toc505777097"/>
      <w:bookmarkEnd w:id="262"/>
      <w:r w:rsidRPr="00AA53B0">
        <w:t>Wording for conditions of registration</w:t>
      </w:r>
      <w:bookmarkEnd w:id="263"/>
      <w:bookmarkEnd w:id="264"/>
    </w:p>
    <w:p w14:paraId="1623491F" w14:textId="77777777" w:rsidR="006777B6" w:rsidRPr="00AA53B0" w:rsidRDefault="006777B6" w:rsidP="003A37C5">
      <w:r w:rsidRPr="00AA53B0">
        <w:t>Any changes to which the sponsor has agreed should be included in a revised RMP and ASA. However, irrespective of whether or not they are included in the currently available version of the RMP document, the agreed changes become part of the risk management system.</w:t>
      </w:r>
    </w:p>
    <w:p w14:paraId="62B8E5D4" w14:textId="77777777" w:rsidR="006777B6" w:rsidRPr="00AA53B0" w:rsidRDefault="00BC6FBA" w:rsidP="003A37C5">
      <w:r>
        <w:t>The suggested wording is:</w:t>
      </w:r>
    </w:p>
    <w:p w14:paraId="6A55DF5D" w14:textId="6303D057" w:rsidR="006777B6" w:rsidRPr="00BC6FBA" w:rsidRDefault="006777B6" w:rsidP="00BC6FBA">
      <w:pPr>
        <w:ind w:left="720"/>
        <w:rPr>
          <w:i/>
        </w:rPr>
      </w:pPr>
      <w:r w:rsidRPr="00BC6FBA">
        <w:rPr>
          <w:i/>
        </w:rPr>
        <w:t xml:space="preserve">The </w:t>
      </w:r>
      <w:r w:rsidR="00453FBE">
        <w:rPr>
          <w:i/>
        </w:rPr>
        <w:t>Steglujan</w:t>
      </w:r>
      <w:r w:rsidRPr="00BC6FBA">
        <w:rPr>
          <w:i/>
        </w:rPr>
        <w:t xml:space="preserve"> EU-Risk Management Plan (RMP) (version 1.1, dated 15 August 2017, data lock point 31 May 2016), with Australian Specific Annex (version 1.1, dated 24</w:t>
      </w:r>
      <w:r w:rsidR="006140EA">
        <w:rPr>
          <w:i/>
        </w:rPr>
        <w:t> </w:t>
      </w:r>
      <w:r w:rsidRPr="00E25FFB">
        <w:rPr>
          <w:i/>
        </w:rPr>
        <w:t>November</w:t>
      </w:r>
      <w:r w:rsidR="00E25FFB" w:rsidRPr="00E25FFB">
        <w:rPr>
          <w:i/>
        </w:rPr>
        <w:t xml:space="preserve"> 2</w:t>
      </w:r>
      <w:r w:rsidR="00E25FFB">
        <w:rPr>
          <w:i/>
        </w:rPr>
        <w:t>017</w:t>
      </w:r>
      <w:r w:rsidRPr="00BC6FBA">
        <w:rPr>
          <w:i/>
        </w:rPr>
        <w:t>), included with submission PM-2017-01329-1-5, and any subsequent revisions, as agreed with the TGA will be implemented in Australia.</w:t>
      </w:r>
    </w:p>
    <w:p w14:paraId="7B66DB75" w14:textId="77777777" w:rsidR="006777B6" w:rsidRPr="00AA53B0" w:rsidRDefault="006777B6" w:rsidP="003A37C5">
      <w:r w:rsidRPr="00AA53B0">
        <w:t>The following wording is recommended for the PSUR requirement:</w:t>
      </w:r>
    </w:p>
    <w:p w14:paraId="33FE0E31" w14:textId="245C85A7" w:rsidR="006777B6" w:rsidRPr="00BC6FBA" w:rsidRDefault="006777B6" w:rsidP="00BC6FBA">
      <w:pPr>
        <w:ind w:left="720"/>
        <w:rPr>
          <w:i/>
        </w:rPr>
      </w:pPr>
      <w:r w:rsidRPr="00BC6FBA">
        <w:rPr>
          <w:i/>
        </w:rPr>
        <w:t>An obligatory component of risk management plans is routine pharmacovigilance. Routine pharmacovigilance includes the submission of Periodic Safety Update Reports (PSURs).</w:t>
      </w:r>
    </w:p>
    <w:p w14:paraId="34733CDA" w14:textId="77777777" w:rsidR="006777B6" w:rsidRPr="00BC6FBA" w:rsidRDefault="006777B6" w:rsidP="00BC6FBA">
      <w:pPr>
        <w:ind w:left="720"/>
        <w:rPr>
          <w:i/>
        </w:rPr>
      </w:pPr>
      <w:r w:rsidRPr="00BC6FBA">
        <w:rPr>
          <w:i/>
        </w:rPr>
        <w:t xml:space="preserve">Unless agreed separately between the supplier who is the recipient of the approval and the TGA, the first report must be submitted to TGA no later than 15 calendar months after the date of this approval letter. The subsequent reports must be </w:t>
      </w:r>
      <w:r w:rsidRPr="00BC6FBA">
        <w:rPr>
          <w:i/>
        </w:rPr>
        <w:lastRenderedPageBreak/>
        <w:t>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six monthly reports may be submitted separately as they become available.</w:t>
      </w:r>
    </w:p>
    <w:p w14:paraId="43F242DF" w14:textId="77777777" w:rsidR="006777B6" w:rsidRPr="00BC6FBA" w:rsidRDefault="006777B6" w:rsidP="00BC6FBA">
      <w:pPr>
        <w:ind w:left="720"/>
        <w:rPr>
          <w:i/>
        </w:rPr>
      </w:pPr>
      <w:r w:rsidRPr="00BC6FBA">
        <w:rPr>
          <w:i/>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3FFC5062" w14:textId="77777777" w:rsidR="006777B6" w:rsidRPr="00AA53B0" w:rsidRDefault="006777B6" w:rsidP="003A37C5">
      <w:r w:rsidRPr="00AA53B0">
        <w:t xml:space="preserve">As </w:t>
      </w:r>
      <w:r w:rsidR="00453FBE">
        <w:t>Steglujan</w:t>
      </w:r>
      <w:r w:rsidRPr="00AA53B0">
        <w:t xml:space="preserve"> is a new chemical entity it should be included in the Black Triangle Scheme as a condition of registration. The following wording is recommended for the condition of registration:</w:t>
      </w:r>
    </w:p>
    <w:p w14:paraId="4DA4A49B" w14:textId="77777777" w:rsidR="006777B6" w:rsidRDefault="00453FBE" w:rsidP="007465A0">
      <w:pPr>
        <w:ind w:left="720"/>
        <w:rPr>
          <w:i/>
        </w:rPr>
      </w:pPr>
      <w:r>
        <w:rPr>
          <w:i/>
        </w:rPr>
        <w:t>Steglujan</w:t>
      </w:r>
      <w:r w:rsidR="006777B6" w:rsidRPr="007465A0">
        <w:rPr>
          <w:i/>
        </w:rPr>
        <w:t xml:space="preserve"> (Ertugliflozin with sitagliptin) is to be included in the Black Triangle Scheme. The PI and CMI for </w:t>
      </w:r>
      <w:r>
        <w:rPr>
          <w:i/>
        </w:rPr>
        <w:t>Steglujan</w:t>
      </w:r>
      <w:r w:rsidR="006777B6" w:rsidRPr="007465A0">
        <w:rPr>
          <w:i/>
          <w:smallCaps/>
        </w:rPr>
        <w:t xml:space="preserve"> </w:t>
      </w:r>
      <w:r w:rsidR="006777B6" w:rsidRPr="007465A0">
        <w:rPr>
          <w:i/>
        </w:rPr>
        <w:t>must include the black triangle symbol and mandatory accompanying text for five years, which starts from the date that the sponsor notifies the TGA of supply of the product.</w:t>
      </w:r>
    </w:p>
    <w:p w14:paraId="404BA274" w14:textId="77777777" w:rsidR="007465A0" w:rsidRDefault="007465A0" w:rsidP="00A06ADD">
      <w:pPr>
        <w:pStyle w:val="Heading3"/>
      </w:pPr>
      <w:bookmarkStart w:id="265" w:name="_Toc505777101"/>
      <w:bookmarkStart w:id="266" w:name="_Toc4405835"/>
      <w:r>
        <w:t>Segluromet risk management plan (abridged)</w:t>
      </w:r>
      <w:bookmarkEnd w:id="265"/>
      <w:bookmarkEnd w:id="266"/>
    </w:p>
    <w:p w14:paraId="30A4154E" w14:textId="4CBCB798" w:rsidR="007465A0" w:rsidRDefault="007465A0" w:rsidP="007465A0">
      <w:pPr>
        <w:pStyle w:val="ListBullet"/>
      </w:pPr>
      <w:r w:rsidRPr="00D9578D">
        <w:t xml:space="preserve">The proposed dosing regimen involves </w:t>
      </w:r>
      <w:r>
        <w:t xml:space="preserve">twice daily oral administration with individualisation of the starting dose of </w:t>
      </w:r>
      <w:r w:rsidRPr="007465A0">
        <w:t>Segluromet</w:t>
      </w:r>
      <w:r>
        <w:rPr>
          <w:smallCaps/>
        </w:rPr>
        <w:t xml:space="preserve"> </w:t>
      </w:r>
      <w:r w:rsidRPr="00286460">
        <w:t>based on the patient’s current regimen</w:t>
      </w:r>
      <w:r>
        <w:t>.</w:t>
      </w:r>
    </w:p>
    <w:p w14:paraId="21D23106" w14:textId="2C8ADED0" w:rsidR="007465A0" w:rsidRDefault="007465A0" w:rsidP="007465A0">
      <w:pPr>
        <w:pStyle w:val="ListBullet2"/>
      </w:pPr>
      <w:r>
        <w:t xml:space="preserve">In patients on metformin, switch to </w:t>
      </w:r>
      <w:r w:rsidRPr="007465A0">
        <w:t>Segluromet</w:t>
      </w:r>
      <w:r>
        <w:t xml:space="preserve"> tablets containing 2.5</w:t>
      </w:r>
      <w:r w:rsidR="00715B39">
        <w:t xml:space="preserve"> </w:t>
      </w:r>
      <w:r w:rsidR="006D7D02">
        <w:t>mg</w:t>
      </w:r>
      <w:r>
        <w:t xml:space="preserve"> ertugliflozin, with a similar total daily dose of metformin.</w:t>
      </w:r>
    </w:p>
    <w:p w14:paraId="17AF64EF" w14:textId="242DDB70" w:rsidR="007465A0" w:rsidRDefault="007465A0" w:rsidP="007465A0">
      <w:pPr>
        <w:pStyle w:val="ListBullet2"/>
      </w:pPr>
      <w:r>
        <w:t xml:space="preserve">In patients on ertugliflozin, switch to </w:t>
      </w:r>
      <w:r w:rsidRPr="007465A0">
        <w:t>Segluromet</w:t>
      </w:r>
      <w:r>
        <w:t xml:space="preserve"> tablets containing 500</w:t>
      </w:r>
      <w:r w:rsidR="00715B39">
        <w:t xml:space="preserve"> </w:t>
      </w:r>
      <w:r w:rsidR="006D7D02">
        <w:t>mg</w:t>
      </w:r>
      <w:r>
        <w:t xml:space="preserve"> metformin, with a similar total daily dose of ertugliflozin.</w:t>
      </w:r>
    </w:p>
    <w:p w14:paraId="3EBFEFAE" w14:textId="77777777" w:rsidR="007465A0" w:rsidRPr="00BE4CCD" w:rsidRDefault="007465A0" w:rsidP="007465A0">
      <w:pPr>
        <w:pStyle w:val="ListBullet2"/>
      </w:pPr>
      <w:r>
        <w:t xml:space="preserve">In patients already treated with ertugliflozin and metformin, switch to </w:t>
      </w:r>
      <w:r w:rsidRPr="007465A0">
        <w:t>Segluromet</w:t>
      </w:r>
      <w:r>
        <w:t xml:space="preserve"> tablets containing the same total daily dose of ertugliflozin and a </w:t>
      </w:r>
      <w:r w:rsidRPr="00BE4CCD">
        <w:t>similar daily dose of metformin.</w:t>
      </w:r>
    </w:p>
    <w:p w14:paraId="645AAB4B" w14:textId="1806F813" w:rsidR="007465A0" w:rsidRDefault="007465A0" w:rsidP="007465A0">
      <w:pPr>
        <w:pStyle w:val="ListBullet"/>
      </w:pPr>
      <w:r w:rsidRPr="00BE4CCD">
        <w:t xml:space="preserve">The proposed Summary of Safety Concerns for </w:t>
      </w:r>
      <w:r w:rsidRPr="007465A0">
        <w:t>Segluromet</w:t>
      </w:r>
      <w:r w:rsidRPr="00BE4CCD">
        <w:t xml:space="preserve"> and their associated risk monitoring and mitigation strategies are summarised </w:t>
      </w:r>
      <w:r w:rsidR="00EA1B90">
        <w:t xml:space="preserve">in Table 27 </w:t>
      </w:r>
      <w:r w:rsidRPr="00BE4CCD">
        <w:t>below</w:t>
      </w:r>
      <w:r w:rsidR="00EA1B90">
        <w:t>.</w:t>
      </w:r>
    </w:p>
    <w:p w14:paraId="056A4839" w14:textId="77777777" w:rsidR="007465A0" w:rsidRPr="00BE4CCD" w:rsidRDefault="007465A0" w:rsidP="00F30D27">
      <w:pPr>
        <w:pStyle w:val="TableTitle"/>
      </w:pPr>
      <w:r>
        <w:t>Table</w:t>
      </w:r>
      <w:r w:rsidR="00F30D27">
        <w:t xml:space="preserve"> 27: Summary of ongoing safety concerns for Segluromet</w:t>
      </w:r>
    </w:p>
    <w:tbl>
      <w:tblPr>
        <w:tblStyle w:val="TableTGAblue"/>
        <w:tblW w:w="8608" w:type="dxa"/>
        <w:tblLayout w:type="fixed"/>
        <w:tblLook w:val="04A0" w:firstRow="1" w:lastRow="0" w:firstColumn="1" w:lastColumn="0" w:noHBand="0" w:noVBand="1"/>
      </w:tblPr>
      <w:tblGrid>
        <w:gridCol w:w="1387"/>
        <w:gridCol w:w="2832"/>
        <w:gridCol w:w="1276"/>
        <w:gridCol w:w="1433"/>
        <w:gridCol w:w="902"/>
        <w:gridCol w:w="778"/>
      </w:tblGrid>
      <w:tr w:rsidR="007465A0" w:rsidRPr="0011726C" w14:paraId="6998E7F4" w14:textId="77777777" w:rsidTr="00EA1B90">
        <w:trPr>
          <w:cnfStyle w:val="100000000000" w:firstRow="1" w:lastRow="0" w:firstColumn="0" w:lastColumn="0" w:oddVBand="0" w:evenVBand="0" w:oddHBand="0" w:evenHBand="0" w:firstRowFirstColumn="0" w:firstRowLastColumn="0" w:lastRowFirstColumn="0" w:lastRowLastColumn="0"/>
          <w:cantSplit/>
          <w:trHeight w:val="130"/>
        </w:trPr>
        <w:tc>
          <w:tcPr>
            <w:tcW w:w="4219" w:type="dxa"/>
            <w:gridSpan w:val="2"/>
            <w:vMerge w:val="restart"/>
          </w:tcPr>
          <w:p w14:paraId="59615C5E" w14:textId="77777777" w:rsidR="007465A0" w:rsidRPr="007465A0" w:rsidRDefault="007465A0" w:rsidP="00EA1B90">
            <w:pPr>
              <w:ind w:left="0" w:right="0"/>
              <w:rPr>
                <w:b w:val="0"/>
                <w:sz w:val="18"/>
                <w:szCs w:val="18"/>
              </w:rPr>
            </w:pPr>
            <w:r w:rsidRPr="007465A0">
              <w:rPr>
                <w:sz w:val="18"/>
                <w:szCs w:val="18"/>
              </w:rPr>
              <w:t>Summary of safety concerns</w:t>
            </w:r>
          </w:p>
        </w:tc>
        <w:tc>
          <w:tcPr>
            <w:tcW w:w="2709" w:type="dxa"/>
            <w:gridSpan w:val="2"/>
          </w:tcPr>
          <w:p w14:paraId="07215BB1" w14:textId="77777777" w:rsidR="007465A0" w:rsidRPr="007465A0" w:rsidRDefault="007465A0" w:rsidP="00EA1B90">
            <w:pPr>
              <w:ind w:left="0" w:right="0"/>
              <w:rPr>
                <w:b w:val="0"/>
                <w:sz w:val="18"/>
                <w:szCs w:val="18"/>
              </w:rPr>
            </w:pPr>
            <w:r w:rsidRPr="007465A0">
              <w:rPr>
                <w:sz w:val="18"/>
                <w:szCs w:val="18"/>
              </w:rPr>
              <w:t>Pharmacovigilance</w:t>
            </w:r>
          </w:p>
        </w:tc>
        <w:tc>
          <w:tcPr>
            <w:tcW w:w="1680" w:type="dxa"/>
            <w:gridSpan w:val="2"/>
          </w:tcPr>
          <w:p w14:paraId="25C74B1A" w14:textId="77777777" w:rsidR="007465A0" w:rsidRPr="007465A0" w:rsidRDefault="007465A0" w:rsidP="00EA1B90">
            <w:pPr>
              <w:ind w:left="0" w:right="0"/>
              <w:rPr>
                <w:b w:val="0"/>
                <w:sz w:val="18"/>
                <w:szCs w:val="18"/>
              </w:rPr>
            </w:pPr>
            <w:r w:rsidRPr="007465A0">
              <w:rPr>
                <w:sz w:val="18"/>
                <w:szCs w:val="18"/>
              </w:rPr>
              <w:t>Risk Minimisation</w:t>
            </w:r>
          </w:p>
        </w:tc>
      </w:tr>
      <w:tr w:rsidR="007465A0" w:rsidRPr="0011726C" w14:paraId="4C247F59" w14:textId="77777777" w:rsidTr="00EA1B90">
        <w:trPr>
          <w:cantSplit/>
          <w:trHeight w:val="149"/>
        </w:trPr>
        <w:tc>
          <w:tcPr>
            <w:tcW w:w="4219" w:type="dxa"/>
            <w:gridSpan w:val="2"/>
            <w:vMerge/>
          </w:tcPr>
          <w:p w14:paraId="2A076EBB" w14:textId="77777777" w:rsidR="007465A0" w:rsidRPr="007465A0" w:rsidRDefault="007465A0" w:rsidP="00EA1B90">
            <w:pPr>
              <w:ind w:left="0" w:right="0"/>
              <w:rPr>
                <w:b/>
                <w:sz w:val="18"/>
                <w:szCs w:val="18"/>
              </w:rPr>
            </w:pPr>
          </w:p>
        </w:tc>
        <w:tc>
          <w:tcPr>
            <w:tcW w:w="1276" w:type="dxa"/>
          </w:tcPr>
          <w:p w14:paraId="7A2FD5C5" w14:textId="77777777" w:rsidR="007465A0" w:rsidRPr="007465A0" w:rsidRDefault="007465A0" w:rsidP="00EA1B90">
            <w:pPr>
              <w:ind w:left="0" w:right="0"/>
              <w:rPr>
                <w:sz w:val="18"/>
                <w:szCs w:val="18"/>
              </w:rPr>
            </w:pPr>
            <w:r w:rsidRPr="007465A0">
              <w:rPr>
                <w:sz w:val="18"/>
                <w:szCs w:val="18"/>
              </w:rPr>
              <w:t>Routine (R)</w:t>
            </w:r>
          </w:p>
        </w:tc>
        <w:tc>
          <w:tcPr>
            <w:tcW w:w="1433" w:type="dxa"/>
          </w:tcPr>
          <w:p w14:paraId="1828DE9B" w14:textId="77777777" w:rsidR="007465A0" w:rsidRPr="007465A0" w:rsidRDefault="007465A0" w:rsidP="00EA1B90">
            <w:pPr>
              <w:ind w:left="0" w:right="0"/>
              <w:rPr>
                <w:sz w:val="18"/>
                <w:szCs w:val="18"/>
              </w:rPr>
            </w:pPr>
            <w:r w:rsidRPr="007465A0">
              <w:rPr>
                <w:sz w:val="18"/>
                <w:szCs w:val="18"/>
              </w:rPr>
              <w:t>Additional (A)</w:t>
            </w:r>
          </w:p>
        </w:tc>
        <w:tc>
          <w:tcPr>
            <w:tcW w:w="902" w:type="dxa"/>
          </w:tcPr>
          <w:p w14:paraId="72F09355" w14:textId="77777777" w:rsidR="007465A0" w:rsidRPr="007465A0" w:rsidRDefault="007465A0" w:rsidP="00EA1B90">
            <w:pPr>
              <w:ind w:left="0" w:right="0"/>
              <w:rPr>
                <w:sz w:val="18"/>
                <w:szCs w:val="18"/>
              </w:rPr>
            </w:pPr>
            <w:r w:rsidRPr="007465A0">
              <w:rPr>
                <w:sz w:val="18"/>
                <w:szCs w:val="18"/>
              </w:rPr>
              <w:t>R</w:t>
            </w:r>
          </w:p>
        </w:tc>
        <w:tc>
          <w:tcPr>
            <w:tcW w:w="778" w:type="dxa"/>
          </w:tcPr>
          <w:p w14:paraId="12511878" w14:textId="77777777" w:rsidR="007465A0" w:rsidRPr="007465A0" w:rsidRDefault="007465A0" w:rsidP="00EA1B90">
            <w:pPr>
              <w:ind w:left="0" w:right="0"/>
              <w:rPr>
                <w:sz w:val="18"/>
                <w:szCs w:val="18"/>
              </w:rPr>
            </w:pPr>
            <w:r w:rsidRPr="007465A0">
              <w:rPr>
                <w:sz w:val="18"/>
                <w:szCs w:val="18"/>
              </w:rPr>
              <w:t>A</w:t>
            </w:r>
          </w:p>
        </w:tc>
      </w:tr>
      <w:tr w:rsidR="007465A0" w:rsidRPr="00853749" w14:paraId="3F920AF8" w14:textId="77777777" w:rsidTr="00EA1B90">
        <w:trPr>
          <w:trHeight w:val="163"/>
        </w:trPr>
        <w:tc>
          <w:tcPr>
            <w:tcW w:w="1387" w:type="dxa"/>
            <w:vMerge w:val="restart"/>
          </w:tcPr>
          <w:p w14:paraId="2F364550" w14:textId="77777777" w:rsidR="007465A0" w:rsidRPr="007465A0" w:rsidRDefault="00393AE0" w:rsidP="00EA1B90">
            <w:pPr>
              <w:ind w:left="0" w:right="0"/>
              <w:rPr>
                <w:sz w:val="18"/>
                <w:szCs w:val="18"/>
              </w:rPr>
            </w:pPr>
            <w:r w:rsidRPr="00393AE0">
              <w:rPr>
                <w:sz w:val="18"/>
                <w:szCs w:val="18"/>
              </w:rPr>
              <w:t>Important identified risks</w:t>
            </w:r>
          </w:p>
        </w:tc>
        <w:tc>
          <w:tcPr>
            <w:tcW w:w="2832" w:type="dxa"/>
          </w:tcPr>
          <w:p w14:paraId="500DC895" w14:textId="77777777" w:rsidR="007465A0" w:rsidRPr="007465A0" w:rsidRDefault="007465A0" w:rsidP="00EA1B90">
            <w:pPr>
              <w:ind w:left="0" w:right="0"/>
              <w:rPr>
                <w:sz w:val="18"/>
                <w:szCs w:val="18"/>
              </w:rPr>
            </w:pPr>
            <w:r w:rsidRPr="007465A0">
              <w:rPr>
                <w:sz w:val="18"/>
                <w:szCs w:val="18"/>
              </w:rPr>
              <w:t>Volume depletion</w:t>
            </w:r>
          </w:p>
        </w:tc>
        <w:tc>
          <w:tcPr>
            <w:tcW w:w="1276" w:type="dxa"/>
          </w:tcPr>
          <w:p w14:paraId="3BD4D0A6" w14:textId="77777777" w:rsidR="007465A0" w:rsidRPr="007465A0" w:rsidRDefault="007465A0" w:rsidP="00EA1B90">
            <w:pPr>
              <w:ind w:left="0" w:right="0"/>
              <w:rPr>
                <w:sz w:val="18"/>
                <w:szCs w:val="18"/>
              </w:rPr>
            </w:pPr>
            <w:r w:rsidRPr="007465A0">
              <w:rPr>
                <w:sz w:val="18"/>
                <w:szCs w:val="18"/>
              </w:rPr>
              <w:sym w:font="Wingdings" w:char="F0FC"/>
            </w:r>
          </w:p>
        </w:tc>
        <w:tc>
          <w:tcPr>
            <w:tcW w:w="1433" w:type="dxa"/>
          </w:tcPr>
          <w:p w14:paraId="6E5545F2" w14:textId="77777777" w:rsidR="007465A0" w:rsidRPr="007465A0" w:rsidRDefault="007465A0" w:rsidP="00EA1B90">
            <w:pPr>
              <w:ind w:left="0" w:right="0"/>
              <w:rPr>
                <w:sz w:val="18"/>
                <w:szCs w:val="18"/>
              </w:rPr>
            </w:pPr>
            <w:r w:rsidRPr="007465A0">
              <w:rPr>
                <w:sz w:val="18"/>
                <w:szCs w:val="18"/>
              </w:rPr>
              <w:sym w:font="Wingdings" w:char="F0FC"/>
            </w:r>
          </w:p>
        </w:tc>
        <w:tc>
          <w:tcPr>
            <w:tcW w:w="902" w:type="dxa"/>
          </w:tcPr>
          <w:p w14:paraId="5869465B" w14:textId="77777777" w:rsidR="007465A0" w:rsidRPr="007465A0" w:rsidRDefault="007465A0" w:rsidP="00EA1B90">
            <w:pPr>
              <w:ind w:left="0" w:right="0"/>
              <w:rPr>
                <w:sz w:val="18"/>
                <w:szCs w:val="18"/>
              </w:rPr>
            </w:pPr>
            <w:r w:rsidRPr="007465A0">
              <w:rPr>
                <w:sz w:val="18"/>
                <w:szCs w:val="18"/>
              </w:rPr>
              <w:sym w:font="Wingdings" w:char="F0FC"/>
            </w:r>
          </w:p>
        </w:tc>
        <w:tc>
          <w:tcPr>
            <w:tcW w:w="778" w:type="dxa"/>
          </w:tcPr>
          <w:p w14:paraId="59BCEB0C" w14:textId="77777777" w:rsidR="007465A0" w:rsidRPr="007465A0" w:rsidRDefault="007465A0" w:rsidP="00EA1B90">
            <w:pPr>
              <w:ind w:left="0" w:right="0"/>
              <w:rPr>
                <w:sz w:val="18"/>
                <w:szCs w:val="18"/>
              </w:rPr>
            </w:pPr>
            <w:r w:rsidRPr="007465A0">
              <w:rPr>
                <w:sz w:val="18"/>
                <w:szCs w:val="18"/>
              </w:rPr>
              <w:t>–</w:t>
            </w:r>
          </w:p>
        </w:tc>
      </w:tr>
      <w:tr w:rsidR="007465A0" w:rsidRPr="00853749" w14:paraId="78BC5AAA" w14:textId="77777777" w:rsidTr="00EA1B90">
        <w:trPr>
          <w:trHeight w:val="82"/>
        </w:trPr>
        <w:tc>
          <w:tcPr>
            <w:tcW w:w="1387" w:type="dxa"/>
            <w:vMerge/>
          </w:tcPr>
          <w:p w14:paraId="60BB9D3D" w14:textId="77777777" w:rsidR="007465A0" w:rsidRPr="007465A0" w:rsidRDefault="007465A0" w:rsidP="00EA1B90">
            <w:pPr>
              <w:ind w:left="0" w:right="0"/>
              <w:rPr>
                <w:sz w:val="18"/>
                <w:szCs w:val="18"/>
              </w:rPr>
            </w:pPr>
          </w:p>
        </w:tc>
        <w:tc>
          <w:tcPr>
            <w:tcW w:w="2832" w:type="dxa"/>
          </w:tcPr>
          <w:p w14:paraId="188C2280" w14:textId="77777777" w:rsidR="007465A0" w:rsidRPr="007465A0" w:rsidRDefault="007465A0" w:rsidP="00EA1B90">
            <w:pPr>
              <w:ind w:left="0" w:right="0"/>
              <w:rPr>
                <w:sz w:val="18"/>
                <w:szCs w:val="18"/>
              </w:rPr>
            </w:pPr>
            <w:r w:rsidRPr="007465A0">
              <w:rPr>
                <w:sz w:val="18"/>
                <w:szCs w:val="18"/>
              </w:rPr>
              <w:t>Diabetic ketoacidosis with atypical presentation</w:t>
            </w:r>
          </w:p>
        </w:tc>
        <w:tc>
          <w:tcPr>
            <w:tcW w:w="1276" w:type="dxa"/>
          </w:tcPr>
          <w:p w14:paraId="53144D35" w14:textId="77777777" w:rsidR="007465A0" w:rsidRPr="007465A0" w:rsidRDefault="007465A0" w:rsidP="00EA1B90">
            <w:pPr>
              <w:ind w:left="0" w:right="0"/>
              <w:rPr>
                <w:sz w:val="18"/>
                <w:szCs w:val="18"/>
              </w:rPr>
            </w:pPr>
            <w:r w:rsidRPr="007465A0">
              <w:rPr>
                <w:sz w:val="18"/>
                <w:szCs w:val="18"/>
              </w:rPr>
              <w:sym w:font="Wingdings" w:char="F0FC"/>
            </w:r>
          </w:p>
        </w:tc>
        <w:tc>
          <w:tcPr>
            <w:tcW w:w="1433" w:type="dxa"/>
          </w:tcPr>
          <w:p w14:paraId="4CE2D9BF" w14:textId="77777777" w:rsidR="007465A0" w:rsidRPr="007465A0" w:rsidRDefault="007465A0" w:rsidP="00EA1B90">
            <w:pPr>
              <w:ind w:left="0" w:right="0"/>
              <w:rPr>
                <w:sz w:val="18"/>
                <w:szCs w:val="18"/>
              </w:rPr>
            </w:pPr>
            <w:r w:rsidRPr="007465A0">
              <w:rPr>
                <w:sz w:val="18"/>
                <w:szCs w:val="18"/>
              </w:rPr>
              <w:sym w:font="Wingdings" w:char="F0FC"/>
            </w:r>
          </w:p>
        </w:tc>
        <w:tc>
          <w:tcPr>
            <w:tcW w:w="902" w:type="dxa"/>
          </w:tcPr>
          <w:p w14:paraId="35C85904" w14:textId="77777777" w:rsidR="007465A0" w:rsidRPr="007465A0" w:rsidRDefault="007465A0" w:rsidP="00EA1B90">
            <w:pPr>
              <w:ind w:left="0" w:right="0"/>
              <w:rPr>
                <w:sz w:val="18"/>
                <w:szCs w:val="18"/>
              </w:rPr>
            </w:pPr>
            <w:r w:rsidRPr="007465A0">
              <w:rPr>
                <w:sz w:val="18"/>
                <w:szCs w:val="18"/>
              </w:rPr>
              <w:sym w:font="Wingdings" w:char="F0FC"/>
            </w:r>
          </w:p>
        </w:tc>
        <w:tc>
          <w:tcPr>
            <w:tcW w:w="778" w:type="dxa"/>
          </w:tcPr>
          <w:p w14:paraId="620BC61E" w14:textId="77777777" w:rsidR="007465A0" w:rsidRPr="007465A0" w:rsidRDefault="007465A0" w:rsidP="00EA1B90">
            <w:pPr>
              <w:ind w:left="0" w:right="0"/>
              <w:rPr>
                <w:sz w:val="18"/>
                <w:szCs w:val="18"/>
              </w:rPr>
            </w:pPr>
            <w:r w:rsidRPr="007465A0">
              <w:rPr>
                <w:sz w:val="18"/>
                <w:szCs w:val="18"/>
              </w:rPr>
              <w:t>–</w:t>
            </w:r>
          </w:p>
        </w:tc>
      </w:tr>
      <w:tr w:rsidR="007465A0" w:rsidRPr="00853749" w14:paraId="03A0D2D4" w14:textId="77777777" w:rsidTr="00EA1B90">
        <w:trPr>
          <w:trHeight w:val="190"/>
        </w:trPr>
        <w:tc>
          <w:tcPr>
            <w:tcW w:w="1387" w:type="dxa"/>
            <w:vMerge/>
          </w:tcPr>
          <w:p w14:paraId="6CEF2FEE" w14:textId="77777777" w:rsidR="007465A0" w:rsidRPr="007465A0" w:rsidRDefault="007465A0" w:rsidP="00EA1B90">
            <w:pPr>
              <w:ind w:left="0" w:right="0"/>
              <w:rPr>
                <w:sz w:val="18"/>
                <w:szCs w:val="18"/>
              </w:rPr>
            </w:pPr>
          </w:p>
        </w:tc>
        <w:tc>
          <w:tcPr>
            <w:tcW w:w="2832" w:type="dxa"/>
          </w:tcPr>
          <w:p w14:paraId="2F0EA730" w14:textId="77777777" w:rsidR="007465A0" w:rsidRPr="007465A0" w:rsidRDefault="007465A0" w:rsidP="00EA1B90">
            <w:pPr>
              <w:ind w:left="0" w:right="0"/>
              <w:rPr>
                <w:sz w:val="18"/>
                <w:szCs w:val="18"/>
              </w:rPr>
            </w:pPr>
            <w:r w:rsidRPr="007465A0">
              <w:rPr>
                <w:sz w:val="18"/>
                <w:szCs w:val="18"/>
              </w:rPr>
              <w:t>Lactic acidosis</w:t>
            </w:r>
          </w:p>
        </w:tc>
        <w:tc>
          <w:tcPr>
            <w:tcW w:w="1276" w:type="dxa"/>
          </w:tcPr>
          <w:p w14:paraId="60309B4D" w14:textId="77777777" w:rsidR="007465A0" w:rsidRPr="007465A0" w:rsidRDefault="007465A0" w:rsidP="00EA1B90">
            <w:pPr>
              <w:ind w:left="0" w:right="0"/>
              <w:rPr>
                <w:sz w:val="18"/>
                <w:szCs w:val="18"/>
              </w:rPr>
            </w:pPr>
            <w:r w:rsidRPr="007465A0">
              <w:rPr>
                <w:sz w:val="18"/>
                <w:szCs w:val="18"/>
              </w:rPr>
              <w:sym w:font="Wingdings" w:char="F0FC"/>
            </w:r>
          </w:p>
        </w:tc>
        <w:tc>
          <w:tcPr>
            <w:tcW w:w="1433" w:type="dxa"/>
          </w:tcPr>
          <w:p w14:paraId="43C2C206" w14:textId="77777777" w:rsidR="007465A0" w:rsidRPr="007465A0" w:rsidRDefault="007465A0" w:rsidP="00EA1B90">
            <w:pPr>
              <w:ind w:left="0" w:right="0"/>
              <w:rPr>
                <w:sz w:val="18"/>
                <w:szCs w:val="18"/>
              </w:rPr>
            </w:pPr>
            <w:r w:rsidRPr="007465A0">
              <w:rPr>
                <w:sz w:val="18"/>
                <w:szCs w:val="18"/>
              </w:rPr>
              <w:t>–</w:t>
            </w:r>
          </w:p>
        </w:tc>
        <w:tc>
          <w:tcPr>
            <w:tcW w:w="902" w:type="dxa"/>
          </w:tcPr>
          <w:p w14:paraId="219A2CFC" w14:textId="77777777" w:rsidR="007465A0" w:rsidRPr="007465A0" w:rsidRDefault="007465A0" w:rsidP="00EA1B90">
            <w:pPr>
              <w:ind w:left="0" w:right="0"/>
              <w:rPr>
                <w:sz w:val="18"/>
                <w:szCs w:val="18"/>
              </w:rPr>
            </w:pPr>
            <w:r w:rsidRPr="007465A0">
              <w:rPr>
                <w:sz w:val="18"/>
                <w:szCs w:val="18"/>
              </w:rPr>
              <w:sym w:font="Wingdings" w:char="F0FC"/>
            </w:r>
          </w:p>
        </w:tc>
        <w:tc>
          <w:tcPr>
            <w:tcW w:w="778" w:type="dxa"/>
          </w:tcPr>
          <w:p w14:paraId="32BC79FE" w14:textId="77777777" w:rsidR="007465A0" w:rsidRPr="007465A0" w:rsidRDefault="007465A0" w:rsidP="00EA1B90">
            <w:pPr>
              <w:ind w:left="0" w:right="0"/>
              <w:rPr>
                <w:sz w:val="18"/>
                <w:szCs w:val="18"/>
              </w:rPr>
            </w:pPr>
            <w:r w:rsidRPr="007465A0">
              <w:rPr>
                <w:sz w:val="18"/>
                <w:szCs w:val="18"/>
              </w:rPr>
              <w:t>–</w:t>
            </w:r>
          </w:p>
        </w:tc>
      </w:tr>
      <w:tr w:rsidR="00393AE0" w:rsidRPr="00853749" w14:paraId="6871A678" w14:textId="77777777" w:rsidTr="00EA1B90">
        <w:trPr>
          <w:trHeight w:val="177"/>
        </w:trPr>
        <w:tc>
          <w:tcPr>
            <w:tcW w:w="1387" w:type="dxa"/>
            <w:vMerge w:val="restart"/>
          </w:tcPr>
          <w:p w14:paraId="4BC4C26B" w14:textId="77777777" w:rsidR="00393AE0" w:rsidRPr="007465A0" w:rsidRDefault="00393AE0" w:rsidP="00EA1B90">
            <w:pPr>
              <w:ind w:left="0" w:right="0"/>
              <w:rPr>
                <w:sz w:val="18"/>
                <w:szCs w:val="18"/>
              </w:rPr>
            </w:pPr>
            <w:r w:rsidRPr="00393AE0">
              <w:rPr>
                <w:sz w:val="18"/>
                <w:szCs w:val="18"/>
              </w:rPr>
              <w:t xml:space="preserve">Important </w:t>
            </w:r>
            <w:r w:rsidRPr="00393AE0">
              <w:rPr>
                <w:sz w:val="18"/>
                <w:szCs w:val="18"/>
              </w:rPr>
              <w:lastRenderedPageBreak/>
              <w:t>potential risks</w:t>
            </w:r>
          </w:p>
        </w:tc>
        <w:tc>
          <w:tcPr>
            <w:tcW w:w="2832" w:type="dxa"/>
          </w:tcPr>
          <w:p w14:paraId="56634D93" w14:textId="77777777" w:rsidR="00393AE0" w:rsidRPr="00393AE0" w:rsidRDefault="00393AE0" w:rsidP="00EA1B90">
            <w:pPr>
              <w:ind w:left="0" w:right="0"/>
              <w:rPr>
                <w:sz w:val="18"/>
                <w:szCs w:val="18"/>
              </w:rPr>
            </w:pPr>
            <w:r w:rsidRPr="00393AE0">
              <w:rPr>
                <w:sz w:val="18"/>
                <w:szCs w:val="18"/>
              </w:rPr>
              <w:lastRenderedPageBreak/>
              <w:t>Renal Impairment</w:t>
            </w:r>
          </w:p>
        </w:tc>
        <w:tc>
          <w:tcPr>
            <w:tcW w:w="1276" w:type="dxa"/>
          </w:tcPr>
          <w:p w14:paraId="3AA3DDEA" w14:textId="77777777" w:rsidR="00393AE0" w:rsidRPr="007465A0" w:rsidRDefault="00393AE0" w:rsidP="00EA1B90">
            <w:pPr>
              <w:ind w:left="0" w:right="0"/>
              <w:rPr>
                <w:sz w:val="18"/>
                <w:szCs w:val="18"/>
              </w:rPr>
            </w:pPr>
            <w:r w:rsidRPr="007465A0">
              <w:rPr>
                <w:sz w:val="18"/>
                <w:szCs w:val="18"/>
              </w:rPr>
              <w:sym w:font="Wingdings" w:char="F0FC"/>
            </w:r>
          </w:p>
        </w:tc>
        <w:tc>
          <w:tcPr>
            <w:tcW w:w="1433" w:type="dxa"/>
          </w:tcPr>
          <w:p w14:paraId="3B8527DC" w14:textId="77777777" w:rsidR="00393AE0" w:rsidRPr="007465A0" w:rsidRDefault="00393AE0" w:rsidP="00EA1B90">
            <w:pPr>
              <w:ind w:left="0" w:right="0"/>
              <w:rPr>
                <w:sz w:val="18"/>
                <w:szCs w:val="18"/>
              </w:rPr>
            </w:pPr>
            <w:r w:rsidRPr="007465A0">
              <w:rPr>
                <w:sz w:val="18"/>
                <w:szCs w:val="18"/>
              </w:rPr>
              <w:sym w:font="Wingdings" w:char="F0FC"/>
            </w:r>
          </w:p>
        </w:tc>
        <w:tc>
          <w:tcPr>
            <w:tcW w:w="902" w:type="dxa"/>
          </w:tcPr>
          <w:p w14:paraId="7E56F231" w14:textId="77777777" w:rsidR="00393AE0" w:rsidRPr="007465A0" w:rsidRDefault="00393AE0" w:rsidP="00EA1B90">
            <w:pPr>
              <w:ind w:left="0" w:right="0"/>
              <w:rPr>
                <w:sz w:val="18"/>
                <w:szCs w:val="18"/>
              </w:rPr>
            </w:pPr>
            <w:r w:rsidRPr="007465A0">
              <w:rPr>
                <w:sz w:val="18"/>
                <w:szCs w:val="18"/>
              </w:rPr>
              <w:sym w:font="Wingdings" w:char="F0FC"/>
            </w:r>
          </w:p>
        </w:tc>
        <w:tc>
          <w:tcPr>
            <w:tcW w:w="778" w:type="dxa"/>
          </w:tcPr>
          <w:p w14:paraId="689648BF" w14:textId="77777777" w:rsidR="00393AE0" w:rsidRPr="007465A0" w:rsidRDefault="00393AE0" w:rsidP="00EA1B90">
            <w:pPr>
              <w:ind w:left="0" w:right="0"/>
              <w:rPr>
                <w:sz w:val="18"/>
                <w:szCs w:val="18"/>
              </w:rPr>
            </w:pPr>
            <w:r w:rsidRPr="007465A0">
              <w:rPr>
                <w:sz w:val="18"/>
                <w:szCs w:val="18"/>
              </w:rPr>
              <w:t>–</w:t>
            </w:r>
          </w:p>
        </w:tc>
      </w:tr>
      <w:tr w:rsidR="00393AE0" w:rsidRPr="00853749" w14:paraId="6FED6D26" w14:textId="77777777" w:rsidTr="00EA1B90">
        <w:trPr>
          <w:trHeight w:val="177"/>
        </w:trPr>
        <w:tc>
          <w:tcPr>
            <w:tcW w:w="1387" w:type="dxa"/>
            <w:vMerge/>
          </w:tcPr>
          <w:p w14:paraId="6B0C36B0" w14:textId="77777777" w:rsidR="00393AE0" w:rsidRPr="00393AE0" w:rsidRDefault="00393AE0" w:rsidP="00EA1B90">
            <w:pPr>
              <w:ind w:left="0" w:right="0"/>
              <w:rPr>
                <w:sz w:val="18"/>
                <w:szCs w:val="18"/>
              </w:rPr>
            </w:pPr>
          </w:p>
        </w:tc>
        <w:tc>
          <w:tcPr>
            <w:tcW w:w="2832" w:type="dxa"/>
          </w:tcPr>
          <w:p w14:paraId="4E9AE9C2" w14:textId="77777777" w:rsidR="00393AE0" w:rsidRPr="007465A0" w:rsidRDefault="00393AE0" w:rsidP="00EA1B90">
            <w:pPr>
              <w:ind w:left="0" w:right="0"/>
              <w:rPr>
                <w:sz w:val="18"/>
                <w:szCs w:val="18"/>
              </w:rPr>
            </w:pPr>
            <w:r w:rsidRPr="007465A0">
              <w:rPr>
                <w:sz w:val="18"/>
                <w:szCs w:val="18"/>
              </w:rPr>
              <w:t>Lower limb amputations</w:t>
            </w:r>
          </w:p>
        </w:tc>
        <w:tc>
          <w:tcPr>
            <w:tcW w:w="1276" w:type="dxa"/>
          </w:tcPr>
          <w:p w14:paraId="2806A001" w14:textId="77777777" w:rsidR="00393AE0" w:rsidRPr="007465A0" w:rsidRDefault="00393AE0" w:rsidP="00EA1B90">
            <w:pPr>
              <w:ind w:left="0" w:right="0"/>
              <w:rPr>
                <w:sz w:val="18"/>
                <w:szCs w:val="18"/>
              </w:rPr>
            </w:pPr>
            <w:r w:rsidRPr="007465A0">
              <w:rPr>
                <w:sz w:val="18"/>
                <w:szCs w:val="18"/>
              </w:rPr>
              <w:sym w:font="Wingdings" w:char="F0FC"/>
            </w:r>
          </w:p>
        </w:tc>
        <w:tc>
          <w:tcPr>
            <w:tcW w:w="1433" w:type="dxa"/>
          </w:tcPr>
          <w:p w14:paraId="213508C1" w14:textId="77777777" w:rsidR="00393AE0" w:rsidRPr="007465A0" w:rsidRDefault="00393AE0" w:rsidP="00EA1B90">
            <w:pPr>
              <w:ind w:left="0" w:right="0"/>
              <w:rPr>
                <w:sz w:val="18"/>
                <w:szCs w:val="18"/>
              </w:rPr>
            </w:pPr>
            <w:r w:rsidRPr="007465A0">
              <w:rPr>
                <w:sz w:val="18"/>
                <w:szCs w:val="18"/>
              </w:rPr>
              <w:sym w:font="Wingdings" w:char="F0FC"/>
            </w:r>
          </w:p>
        </w:tc>
        <w:tc>
          <w:tcPr>
            <w:tcW w:w="902" w:type="dxa"/>
          </w:tcPr>
          <w:p w14:paraId="0A9D850C" w14:textId="77777777" w:rsidR="00393AE0" w:rsidRPr="007465A0" w:rsidRDefault="00393AE0" w:rsidP="00EA1B90">
            <w:pPr>
              <w:ind w:left="0" w:right="0"/>
              <w:rPr>
                <w:sz w:val="18"/>
                <w:szCs w:val="18"/>
              </w:rPr>
            </w:pPr>
            <w:r w:rsidRPr="007465A0">
              <w:rPr>
                <w:sz w:val="18"/>
                <w:szCs w:val="18"/>
              </w:rPr>
              <w:sym w:font="Wingdings" w:char="F0FC"/>
            </w:r>
          </w:p>
        </w:tc>
        <w:tc>
          <w:tcPr>
            <w:tcW w:w="778" w:type="dxa"/>
          </w:tcPr>
          <w:p w14:paraId="5805C1EC" w14:textId="77777777" w:rsidR="00393AE0" w:rsidRPr="007465A0" w:rsidRDefault="00393AE0" w:rsidP="00EA1B90">
            <w:pPr>
              <w:ind w:left="0" w:right="0"/>
              <w:rPr>
                <w:sz w:val="18"/>
                <w:szCs w:val="18"/>
              </w:rPr>
            </w:pPr>
            <w:r w:rsidRPr="007465A0">
              <w:rPr>
                <w:sz w:val="18"/>
                <w:szCs w:val="18"/>
              </w:rPr>
              <w:t>–</w:t>
            </w:r>
          </w:p>
        </w:tc>
      </w:tr>
      <w:tr w:rsidR="00393AE0" w:rsidRPr="00853749" w14:paraId="3A9B377E" w14:textId="77777777" w:rsidTr="00EA1B90">
        <w:trPr>
          <w:trHeight w:val="177"/>
        </w:trPr>
        <w:tc>
          <w:tcPr>
            <w:tcW w:w="1387" w:type="dxa"/>
            <w:vMerge/>
          </w:tcPr>
          <w:p w14:paraId="028132A9" w14:textId="77777777" w:rsidR="00393AE0" w:rsidRPr="00393AE0" w:rsidRDefault="00393AE0" w:rsidP="00EA1B90">
            <w:pPr>
              <w:ind w:left="0" w:right="0"/>
              <w:rPr>
                <w:sz w:val="18"/>
                <w:szCs w:val="18"/>
              </w:rPr>
            </w:pPr>
          </w:p>
        </w:tc>
        <w:tc>
          <w:tcPr>
            <w:tcW w:w="2832" w:type="dxa"/>
          </w:tcPr>
          <w:p w14:paraId="3181276E" w14:textId="77777777" w:rsidR="00393AE0" w:rsidRPr="007465A0" w:rsidRDefault="00393AE0" w:rsidP="00EA1B90">
            <w:pPr>
              <w:ind w:left="0" w:right="0"/>
              <w:rPr>
                <w:sz w:val="18"/>
                <w:szCs w:val="18"/>
              </w:rPr>
            </w:pPr>
            <w:r w:rsidRPr="007465A0">
              <w:rPr>
                <w:sz w:val="18"/>
                <w:szCs w:val="18"/>
              </w:rPr>
              <w:t>Bone fracture</w:t>
            </w:r>
          </w:p>
        </w:tc>
        <w:tc>
          <w:tcPr>
            <w:tcW w:w="1276" w:type="dxa"/>
          </w:tcPr>
          <w:p w14:paraId="42D27CFB" w14:textId="77777777" w:rsidR="00393AE0" w:rsidRPr="007465A0" w:rsidRDefault="00393AE0" w:rsidP="00EA1B90">
            <w:pPr>
              <w:ind w:left="0" w:right="0"/>
              <w:rPr>
                <w:sz w:val="18"/>
                <w:szCs w:val="18"/>
              </w:rPr>
            </w:pPr>
            <w:r w:rsidRPr="007465A0">
              <w:rPr>
                <w:sz w:val="18"/>
                <w:szCs w:val="18"/>
              </w:rPr>
              <w:sym w:font="Wingdings" w:char="F0FC"/>
            </w:r>
          </w:p>
        </w:tc>
        <w:tc>
          <w:tcPr>
            <w:tcW w:w="1433" w:type="dxa"/>
          </w:tcPr>
          <w:p w14:paraId="201187BF" w14:textId="77777777" w:rsidR="00393AE0" w:rsidRPr="007465A0" w:rsidRDefault="00393AE0" w:rsidP="00EA1B90">
            <w:pPr>
              <w:ind w:left="0" w:right="0"/>
              <w:rPr>
                <w:sz w:val="18"/>
                <w:szCs w:val="18"/>
              </w:rPr>
            </w:pPr>
            <w:r w:rsidRPr="007465A0">
              <w:rPr>
                <w:sz w:val="18"/>
                <w:szCs w:val="18"/>
              </w:rPr>
              <w:sym w:font="Wingdings" w:char="F0FC"/>
            </w:r>
          </w:p>
        </w:tc>
        <w:tc>
          <w:tcPr>
            <w:tcW w:w="902" w:type="dxa"/>
          </w:tcPr>
          <w:p w14:paraId="5B9166B4" w14:textId="77777777" w:rsidR="00393AE0" w:rsidRPr="007465A0" w:rsidRDefault="00393AE0" w:rsidP="00EA1B90">
            <w:pPr>
              <w:ind w:left="0" w:right="0"/>
              <w:rPr>
                <w:sz w:val="18"/>
                <w:szCs w:val="18"/>
              </w:rPr>
            </w:pPr>
            <w:r w:rsidRPr="007465A0">
              <w:rPr>
                <w:sz w:val="18"/>
                <w:szCs w:val="18"/>
              </w:rPr>
              <w:t>–</w:t>
            </w:r>
          </w:p>
        </w:tc>
        <w:tc>
          <w:tcPr>
            <w:tcW w:w="778" w:type="dxa"/>
          </w:tcPr>
          <w:p w14:paraId="741DE9B2" w14:textId="77777777" w:rsidR="00393AE0" w:rsidRPr="007465A0" w:rsidRDefault="00393AE0" w:rsidP="00EA1B90">
            <w:pPr>
              <w:ind w:left="0" w:right="0"/>
              <w:rPr>
                <w:sz w:val="18"/>
                <w:szCs w:val="18"/>
              </w:rPr>
            </w:pPr>
            <w:r w:rsidRPr="007465A0">
              <w:rPr>
                <w:sz w:val="18"/>
                <w:szCs w:val="18"/>
              </w:rPr>
              <w:t>–</w:t>
            </w:r>
          </w:p>
        </w:tc>
      </w:tr>
      <w:tr w:rsidR="00393AE0" w:rsidRPr="00853749" w14:paraId="597861D6" w14:textId="77777777" w:rsidTr="00EA1B90">
        <w:trPr>
          <w:trHeight w:val="177"/>
        </w:trPr>
        <w:tc>
          <w:tcPr>
            <w:tcW w:w="1387" w:type="dxa"/>
            <w:vMerge w:val="restart"/>
          </w:tcPr>
          <w:p w14:paraId="6FACB0EA" w14:textId="77777777" w:rsidR="00393AE0" w:rsidRPr="007465A0" w:rsidRDefault="00393AE0" w:rsidP="00EA1B90">
            <w:pPr>
              <w:ind w:left="0" w:right="0"/>
              <w:rPr>
                <w:sz w:val="18"/>
                <w:szCs w:val="18"/>
              </w:rPr>
            </w:pPr>
            <w:r w:rsidRPr="007465A0">
              <w:rPr>
                <w:sz w:val="18"/>
                <w:szCs w:val="18"/>
              </w:rPr>
              <w:t>Missing information</w:t>
            </w:r>
          </w:p>
        </w:tc>
        <w:tc>
          <w:tcPr>
            <w:tcW w:w="2832" w:type="dxa"/>
          </w:tcPr>
          <w:p w14:paraId="4F0C0089" w14:textId="741AB6DA" w:rsidR="00393AE0" w:rsidRPr="007465A0" w:rsidRDefault="00393AE0" w:rsidP="00EA1B90">
            <w:pPr>
              <w:ind w:left="0" w:right="0"/>
              <w:rPr>
                <w:sz w:val="18"/>
                <w:szCs w:val="18"/>
              </w:rPr>
            </w:pPr>
            <w:r w:rsidRPr="007465A0">
              <w:rPr>
                <w:sz w:val="18"/>
                <w:szCs w:val="18"/>
              </w:rPr>
              <w:t>Use</w:t>
            </w:r>
            <w:r>
              <w:rPr>
                <w:sz w:val="18"/>
                <w:szCs w:val="18"/>
              </w:rPr>
              <w:t xml:space="preserve"> in </w:t>
            </w:r>
            <w:r w:rsidR="00EA1B90">
              <w:rPr>
                <w:sz w:val="18"/>
                <w:szCs w:val="18"/>
              </w:rPr>
              <w:t>paediatric</w:t>
            </w:r>
            <w:r>
              <w:rPr>
                <w:sz w:val="18"/>
                <w:szCs w:val="18"/>
              </w:rPr>
              <w:t xml:space="preserve"> patients</w:t>
            </w:r>
          </w:p>
        </w:tc>
        <w:tc>
          <w:tcPr>
            <w:tcW w:w="1276" w:type="dxa"/>
          </w:tcPr>
          <w:p w14:paraId="1A7D6775" w14:textId="77777777" w:rsidR="00393AE0" w:rsidRPr="007465A0" w:rsidRDefault="00393AE0" w:rsidP="00EA1B90">
            <w:pPr>
              <w:ind w:left="0" w:right="0"/>
              <w:rPr>
                <w:sz w:val="18"/>
                <w:szCs w:val="18"/>
              </w:rPr>
            </w:pPr>
            <w:r w:rsidRPr="007465A0">
              <w:rPr>
                <w:sz w:val="18"/>
                <w:szCs w:val="18"/>
              </w:rPr>
              <w:sym w:font="Wingdings" w:char="F0FC"/>
            </w:r>
          </w:p>
        </w:tc>
        <w:tc>
          <w:tcPr>
            <w:tcW w:w="1433" w:type="dxa"/>
          </w:tcPr>
          <w:p w14:paraId="57F6A541" w14:textId="77777777" w:rsidR="00393AE0" w:rsidRPr="007465A0" w:rsidRDefault="00393AE0" w:rsidP="00EA1B90">
            <w:pPr>
              <w:ind w:left="0" w:right="0"/>
              <w:rPr>
                <w:sz w:val="18"/>
                <w:szCs w:val="18"/>
              </w:rPr>
            </w:pPr>
            <w:r w:rsidRPr="007465A0">
              <w:rPr>
                <w:sz w:val="18"/>
                <w:szCs w:val="18"/>
              </w:rPr>
              <w:sym w:font="Wingdings" w:char="F0FC"/>
            </w:r>
          </w:p>
        </w:tc>
        <w:tc>
          <w:tcPr>
            <w:tcW w:w="902" w:type="dxa"/>
          </w:tcPr>
          <w:p w14:paraId="2C2E9FD5" w14:textId="77777777" w:rsidR="00393AE0" w:rsidRPr="007465A0" w:rsidRDefault="00393AE0" w:rsidP="00EA1B90">
            <w:pPr>
              <w:ind w:left="0" w:right="0"/>
              <w:rPr>
                <w:sz w:val="18"/>
                <w:szCs w:val="18"/>
              </w:rPr>
            </w:pPr>
            <w:r w:rsidRPr="007465A0">
              <w:rPr>
                <w:sz w:val="18"/>
                <w:szCs w:val="18"/>
              </w:rPr>
              <w:sym w:font="Wingdings" w:char="F0FC"/>
            </w:r>
          </w:p>
        </w:tc>
        <w:tc>
          <w:tcPr>
            <w:tcW w:w="778" w:type="dxa"/>
          </w:tcPr>
          <w:p w14:paraId="13B67377" w14:textId="77777777" w:rsidR="00393AE0" w:rsidRPr="007465A0" w:rsidRDefault="00393AE0" w:rsidP="00EA1B90">
            <w:pPr>
              <w:ind w:left="0" w:right="0"/>
              <w:rPr>
                <w:sz w:val="18"/>
                <w:szCs w:val="18"/>
              </w:rPr>
            </w:pPr>
            <w:r w:rsidRPr="007465A0">
              <w:rPr>
                <w:sz w:val="18"/>
                <w:szCs w:val="18"/>
              </w:rPr>
              <w:t>–</w:t>
            </w:r>
          </w:p>
        </w:tc>
      </w:tr>
      <w:tr w:rsidR="00393AE0" w:rsidRPr="00853749" w14:paraId="2459E104" w14:textId="77777777" w:rsidTr="00EA1B90">
        <w:trPr>
          <w:trHeight w:val="73"/>
        </w:trPr>
        <w:tc>
          <w:tcPr>
            <w:tcW w:w="1387" w:type="dxa"/>
            <w:vMerge/>
          </w:tcPr>
          <w:p w14:paraId="7A4E4520" w14:textId="77777777" w:rsidR="00393AE0" w:rsidRPr="007465A0" w:rsidRDefault="00393AE0" w:rsidP="00EA1B90">
            <w:pPr>
              <w:ind w:left="0" w:right="0"/>
              <w:rPr>
                <w:sz w:val="18"/>
                <w:szCs w:val="18"/>
              </w:rPr>
            </w:pPr>
          </w:p>
        </w:tc>
        <w:tc>
          <w:tcPr>
            <w:tcW w:w="2832" w:type="dxa"/>
          </w:tcPr>
          <w:p w14:paraId="27BEDC88" w14:textId="3926AB0A" w:rsidR="00393AE0" w:rsidRPr="007465A0" w:rsidRDefault="00393AE0" w:rsidP="00EA1B90">
            <w:pPr>
              <w:ind w:left="0" w:right="0"/>
              <w:rPr>
                <w:sz w:val="18"/>
                <w:szCs w:val="18"/>
              </w:rPr>
            </w:pPr>
            <w:r w:rsidRPr="007465A0">
              <w:rPr>
                <w:sz w:val="18"/>
                <w:szCs w:val="18"/>
              </w:rPr>
              <w:t>Use in elderly patients (≥</w:t>
            </w:r>
            <w:r w:rsidR="004A4114">
              <w:rPr>
                <w:sz w:val="18"/>
                <w:szCs w:val="18"/>
              </w:rPr>
              <w:t xml:space="preserve"> </w:t>
            </w:r>
            <w:r w:rsidRPr="007465A0">
              <w:rPr>
                <w:sz w:val="18"/>
                <w:szCs w:val="18"/>
              </w:rPr>
              <w:t>75 years)</w:t>
            </w:r>
          </w:p>
        </w:tc>
        <w:tc>
          <w:tcPr>
            <w:tcW w:w="1276" w:type="dxa"/>
          </w:tcPr>
          <w:p w14:paraId="601F0347" w14:textId="77777777" w:rsidR="00393AE0" w:rsidRPr="007465A0" w:rsidRDefault="00393AE0" w:rsidP="00EA1B90">
            <w:pPr>
              <w:ind w:left="0" w:right="0"/>
              <w:rPr>
                <w:sz w:val="18"/>
                <w:szCs w:val="18"/>
              </w:rPr>
            </w:pPr>
            <w:r w:rsidRPr="007465A0">
              <w:rPr>
                <w:sz w:val="18"/>
                <w:szCs w:val="18"/>
              </w:rPr>
              <w:sym w:font="Wingdings" w:char="F0FC"/>
            </w:r>
          </w:p>
        </w:tc>
        <w:tc>
          <w:tcPr>
            <w:tcW w:w="1433" w:type="dxa"/>
          </w:tcPr>
          <w:p w14:paraId="20CDABA3" w14:textId="77777777" w:rsidR="00393AE0" w:rsidRPr="007465A0" w:rsidRDefault="00393AE0" w:rsidP="00EA1B90">
            <w:pPr>
              <w:ind w:left="0" w:right="0"/>
              <w:rPr>
                <w:sz w:val="18"/>
                <w:szCs w:val="18"/>
              </w:rPr>
            </w:pPr>
            <w:r w:rsidRPr="007465A0">
              <w:rPr>
                <w:sz w:val="18"/>
                <w:szCs w:val="18"/>
              </w:rPr>
              <w:sym w:font="Wingdings" w:char="F0FC"/>
            </w:r>
          </w:p>
        </w:tc>
        <w:tc>
          <w:tcPr>
            <w:tcW w:w="902" w:type="dxa"/>
          </w:tcPr>
          <w:p w14:paraId="0D3E54D3" w14:textId="77777777" w:rsidR="00393AE0" w:rsidRPr="007465A0" w:rsidRDefault="00393AE0" w:rsidP="00EA1B90">
            <w:pPr>
              <w:ind w:left="0" w:right="0"/>
              <w:rPr>
                <w:sz w:val="18"/>
                <w:szCs w:val="18"/>
              </w:rPr>
            </w:pPr>
            <w:r w:rsidRPr="007465A0">
              <w:rPr>
                <w:sz w:val="18"/>
                <w:szCs w:val="18"/>
              </w:rPr>
              <w:sym w:font="Wingdings" w:char="F0FC"/>
            </w:r>
          </w:p>
        </w:tc>
        <w:tc>
          <w:tcPr>
            <w:tcW w:w="778" w:type="dxa"/>
          </w:tcPr>
          <w:p w14:paraId="2B48D681" w14:textId="77777777" w:rsidR="00393AE0" w:rsidRPr="007465A0" w:rsidRDefault="00393AE0" w:rsidP="00EA1B90">
            <w:pPr>
              <w:ind w:left="0" w:right="0"/>
              <w:rPr>
                <w:sz w:val="18"/>
                <w:szCs w:val="18"/>
              </w:rPr>
            </w:pPr>
            <w:r w:rsidRPr="007465A0">
              <w:rPr>
                <w:sz w:val="18"/>
                <w:szCs w:val="18"/>
              </w:rPr>
              <w:t>–</w:t>
            </w:r>
          </w:p>
        </w:tc>
      </w:tr>
      <w:tr w:rsidR="00393AE0" w:rsidRPr="00853749" w14:paraId="05CEC42C" w14:textId="77777777" w:rsidTr="00EA1B90">
        <w:trPr>
          <w:trHeight w:val="209"/>
        </w:trPr>
        <w:tc>
          <w:tcPr>
            <w:tcW w:w="1387" w:type="dxa"/>
            <w:vMerge/>
          </w:tcPr>
          <w:p w14:paraId="271A1B3D" w14:textId="77777777" w:rsidR="00393AE0" w:rsidRPr="007465A0" w:rsidRDefault="00393AE0" w:rsidP="00EA1B90">
            <w:pPr>
              <w:ind w:left="0" w:right="0"/>
              <w:rPr>
                <w:sz w:val="18"/>
                <w:szCs w:val="18"/>
              </w:rPr>
            </w:pPr>
          </w:p>
        </w:tc>
        <w:tc>
          <w:tcPr>
            <w:tcW w:w="2832" w:type="dxa"/>
          </w:tcPr>
          <w:p w14:paraId="2F93C343" w14:textId="77777777" w:rsidR="00393AE0" w:rsidRPr="007465A0" w:rsidRDefault="00393AE0" w:rsidP="00EA1B90">
            <w:pPr>
              <w:ind w:left="0" w:right="0"/>
              <w:rPr>
                <w:sz w:val="18"/>
                <w:szCs w:val="18"/>
              </w:rPr>
            </w:pPr>
            <w:r w:rsidRPr="007465A0">
              <w:rPr>
                <w:sz w:val="18"/>
                <w:szCs w:val="18"/>
              </w:rPr>
              <w:t>Use in pregnancy and breastfeeding</w:t>
            </w:r>
          </w:p>
        </w:tc>
        <w:tc>
          <w:tcPr>
            <w:tcW w:w="1276" w:type="dxa"/>
          </w:tcPr>
          <w:p w14:paraId="52B69B7C" w14:textId="77777777" w:rsidR="00393AE0" w:rsidRPr="007465A0" w:rsidRDefault="00393AE0" w:rsidP="00EA1B90">
            <w:pPr>
              <w:ind w:left="0" w:right="0"/>
              <w:rPr>
                <w:sz w:val="18"/>
                <w:szCs w:val="18"/>
              </w:rPr>
            </w:pPr>
            <w:r w:rsidRPr="007465A0">
              <w:rPr>
                <w:sz w:val="18"/>
                <w:szCs w:val="18"/>
              </w:rPr>
              <w:sym w:font="Wingdings" w:char="F0FC"/>
            </w:r>
          </w:p>
        </w:tc>
        <w:tc>
          <w:tcPr>
            <w:tcW w:w="1433" w:type="dxa"/>
          </w:tcPr>
          <w:p w14:paraId="4277BC16" w14:textId="77777777" w:rsidR="00393AE0" w:rsidRPr="007465A0" w:rsidRDefault="00393AE0" w:rsidP="00EA1B90">
            <w:pPr>
              <w:ind w:left="0" w:right="0"/>
              <w:rPr>
                <w:sz w:val="18"/>
                <w:szCs w:val="18"/>
              </w:rPr>
            </w:pPr>
            <w:r w:rsidRPr="007465A0">
              <w:rPr>
                <w:sz w:val="18"/>
                <w:szCs w:val="18"/>
              </w:rPr>
              <w:t>–</w:t>
            </w:r>
          </w:p>
        </w:tc>
        <w:tc>
          <w:tcPr>
            <w:tcW w:w="902" w:type="dxa"/>
          </w:tcPr>
          <w:p w14:paraId="0677823F" w14:textId="77777777" w:rsidR="00393AE0" w:rsidRPr="007465A0" w:rsidRDefault="00393AE0" w:rsidP="00EA1B90">
            <w:pPr>
              <w:ind w:left="0" w:right="0"/>
              <w:rPr>
                <w:sz w:val="18"/>
                <w:szCs w:val="18"/>
              </w:rPr>
            </w:pPr>
            <w:r w:rsidRPr="007465A0">
              <w:rPr>
                <w:sz w:val="18"/>
                <w:szCs w:val="18"/>
              </w:rPr>
              <w:sym w:font="Wingdings" w:char="F0FC"/>
            </w:r>
          </w:p>
        </w:tc>
        <w:tc>
          <w:tcPr>
            <w:tcW w:w="778" w:type="dxa"/>
          </w:tcPr>
          <w:p w14:paraId="31CC4DBB" w14:textId="77777777" w:rsidR="00393AE0" w:rsidRPr="007465A0" w:rsidRDefault="00393AE0" w:rsidP="00EA1B90">
            <w:pPr>
              <w:ind w:left="0" w:right="0"/>
              <w:rPr>
                <w:sz w:val="18"/>
                <w:szCs w:val="18"/>
              </w:rPr>
            </w:pPr>
            <w:r w:rsidRPr="007465A0">
              <w:rPr>
                <w:sz w:val="18"/>
                <w:szCs w:val="18"/>
              </w:rPr>
              <w:t>–</w:t>
            </w:r>
          </w:p>
        </w:tc>
      </w:tr>
      <w:tr w:rsidR="00393AE0" w:rsidRPr="00853749" w14:paraId="1FF64DCC" w14:textId="77777777" w:rsidTr="00EA1B90">
        <w:trPr>
          <w:trHeight w:val="154"/>
        </w:trPr>
        <w:tc>
          <w:tcPr>
            <w:tcW w:w="1387" w:type="dxa"/>
            <w:vMerge/>
          </w:tcPr>
          <w:p w14:paraId="6848792A" w14:textId="77777777" w:rsidR="00393AE0" w:rsidRPr="007465A0" w:rsidRDefault="00393AE0" w:rsidP="00EA1B90">
            <w:pPr>
              <w:ind w:left="0" w:right="0"/>
              <w:rPr>
                <w:sz w:val="18"/>
                <w:szCs w:val="18"/>
              </w:rPr>
            </w:pPr>
          </w:p>
        </w:tc>
        <w:tc>
          <w:tcPr>
            <w:tcW w:w="2832" w:type="dxa"/>
          </w:tcPr>
          <w:p w14:paraId="3F5D2E67" w14:textId="77777777" w:rsidR="00393AE0" w:rsidRPr="007465A0" w:rsidRDefault="00393AE0" w:rsidP="00EA1B90">
            <w:pPr>
              <w:ind w:left="0" w:right="0"/>
              <w:rPr>
                <w:sz w:val="18"/>
                <w:szCs w:val="18"/>
              </w:rPr>
            </w:pPr>
            <w:r w:rsidRPr="007465A0">
              <w:rPr>
                <w:sz w:val="18"/>
                <w:szCs w:val="18"/>
              </w:rPr>
              <w:t>Use in patients with CHF Class II-IV</w:t>
            </w:r>
          </w:p>
        </w:tc>
        <w:tc>
          <w:tcPr>
            <w:tcW w:w="1276" w:type="dxa"/>
          </w:tcPr>
          <w:p w14:paraId="74C9FFB4" w14:textId="77777777" w:rsidR="00393AE0" w:rsidRPr="007465A0" w:rsidRDefault="00393AE0" w:rsidP="00EA1B90">
            <w:pPr>
              <w:ind w:left="0" w:right="0"/>
              <w:rPr>
                <w:sz w:val="18"/>
                <w:szCs w:val="18"/>
              </w:rPr>
            </w:pPr>
            <w:r w:rsidRPr="007465A0">
              <w:rPr>
                <w:sz w:val="18"/>
                <w:szCs w:val="18"/>
              </w:rPr>
              <w:sym w:font="Wingdings" w:char="F0FC"/>
            </w:r>
          </w:p>
        </w:tc>
        <w:tc>
          <w:tcPr>
            <w:tcW w:w="1433" w:type="dxa"/>
          </w:tcPr>
          <w:p w14:paraId="046397E0" w14:textId="77777777" w:rsidR="00393AE0" w:rsidRPr="007465A0" w:rsidRDefault="00393AE0" w:rsidP="00EA1B90">
            <w:pPr>
              <w:ind w:left="0" w:right="0"/>
              <w:rPr>
                <w:sz w:val="18"/>
                <w:szCs w:val="18"/>
              </w:rPr>
            </w:pPr>
            <w:r w:rsidRPr="007465A0">
              <w:rPr>
                <w:sz w:val="18"/>
                <w:szCs w:val="18"/>
              </w:rPr>
              <w:sym w:font="Wingdings" w:char="F0FC"/>
            </w:r>
          </w:p>
        </w:tc>
        <w:tc>
          <w:tcPr>
            <w:tcW w:w="902" w:type="dxa"/>
          </w:tcPr>
          <w:p w14:paraId="7BC62D09" w14:textId="77777777" w:rsidR="00393AE0" w:rsidRPr="007465A0" w:rsidRDefault="00393AE0" w:rsidP="00EA1B90">
            <w:pPr>
              <w:ind w:left="0" w:right="0"/>
              <w:rPr>
                <w:sz w:val="18"/>
                <w:szCs w:val="18"/>
              </w:rPr>
            </w:pPr>
            <w:r w:rsidRPr="007465A0">
              <w:rPr>
                <w:sz w:val="18"/>
                <w:szCs w:val="18"/>
              </w:rPr>
              <w:t>–</w:t>
            </w:r>
          </w:p>
        </w:tc>
        <w:tc>
          <w:tcPr>
            <w:tcW w:w="778" w:type="dxa"/>
          </w:tcPr>
          <w:p w14:paraId="7CBAA91A" w14:textId="77777777" w:rsidR="00393AE0" w:rsidRPr="007465A0" w:rsidRDefault="00393AE0" w:rsidP="00EA1B90">
            <w:pPr>
              <w:ind w:left="0" w:right="0"/>
              <w:rPr>
                <w:sz w:val="18"/>
                <w:szCs w:val="18"/>
              </w:rPr>
            </w:pPr>
            <w:r w:rsidRPr="007465A0">
              <w:rPr>
                <w:sz w:val="18"/>
                <w:szCs w:val="18"/>
              </w:rPr>
              <w:t>–</w:t>
            </w:r>
          </w:p>
        </w:tc>
      </w:tr>
      <w:tr w:rsidR="00393AE0" w:rsidRPr="00853749" w14:paraId="2ED4A5F3" w14:textId="77777777" w:rsidTr="00EA1B90">
        <w:trPr>
          <w:trHeight w:val="181"/>
        </w:trPr>
        <w:tc>
          <w:tcPr>
            <w:tcW w:w="1387" w:type="dxa"/>
            <w:vMerge/>
          </w:tcPr>
          <w:p w14:paraId="47134E9F" w14:textId="77777777" w:rsidR="00393AE0" w:rsidRPr="007465A0" w:rsidRDefault="00393AE0" w:rsidP="00EA1B90">
            <w:pPr>
              <w:ind w:left="0" w:right="0"/>
              <w:rPr>
                <w:sz w:val="18"/>
                <w:szCs w:val="18"/>
              </w:rPr>
            </w:pPr>
          </w:p>
        </w:tc>
        <w:tc>
          <w:tcPr>
            <w:tcW w:w="2832" w:type="dxa"/>
          </w:tcPr>
          <w:p w14:paraId="4ABBF67D" w14:textId="77777777" w:rsidR="00393AE0" w:rsidRPr="007465A0" w:rsidRDefault="00393AE0" w:rsidP="00EA1B90">
            <w:pPr>
              <w:ind w:left="0" w:right="0"/>
              <w:rPr>
                <w:sz w:val="18"/>
                <w:szCs w:val="18"/>
              </w:rPr>
            </w:pPr>
            <w:r w:rsidRPr="007465A0">
              <w:rPr>
                <w:sz w:val="18"/>
                <w:szCs w:val="18"/>
              </w:rPr>
              <w:t>Long-term CV Safety</w:t>
            </w:r>
          </w:p>
        </w:tc>
        <w:tc>
          <w:tcPr>
            <w:tcW w:w="1276" w:type="dxa"/>
          </w:tcPr>
          <w:p w14:paraId="27EBF340" w14:textId="77777777" w:rsidR="00393AE0" w:rsidRPr="007465A0" w:rsidRDefault="00393AE0" w:rsidP="00EA1B90">
            <w:pPr>
              <w:ind w:left="0" w:right="0"/>
              <w:rPr>
                <w:sz w:val="18"/>
                <w:szCs w:val="18"/>
              </w:rPr>
            </w:pPr>
            <w:r w:rsidRPr="007465A0">
              <w:rPr>
                <w:sz w:val="18"/>
                <w:szCs w:val="18"/>
              </w:rPr>
              <w:sym w:font="Wingdings" w:char="F0FC"/>
            </w:r>
          </w:p>
        </w:tc>
        <w:tc>
          <w:tcPr>
            <w:tcW w:w="1433" w:type="dxa"/>
          </w:tcPr>
          <w:p w14:paraId="21DFAFED" w14:textId="77777777" w:rsidR="00393AE0" w:rsidRPr="007465A0" w:rsidRDefault="00393AE0" w:rsidP="00EA1B90">
            <w:pPr>
              <w:ind w:left="0" w:right="0"/>
              <w:rPr>
                <w:sz w:val="18"/>
                <w:szCs w:val="18"/>
              </w:rPr>
            </w:pPr>
            <w:r w:rsidRPr="007465A0">
              <w:rPr>
                <w:sz w:val="18"/>
                <w:szCs w:val="18"/>
              </w:rPr>
              <w:sym w:font="Wingdings" w:char="F0FC"/>
            </w:r>
          </w:p>
        </w:tc>
        <w:tc>
          <w:tcPr>
            <w:tcW w:w="902" w:type="dxa"/>
          </w:tcPr>
          <w:p w14:paraId="1D6CCA20" w14:textId="77777777" w:rsidR="00393AE0" w:rsidRPr="007465A0" w:rsidRDefault="00393AE0" w:rsidP="00EA1B90">
            <w:pPr>
              <w:ind w:left="0" w:right="0"/>
              <w:rPr>
                <w:sz w:val="18"/>
                <w:szCs w:val="18"/>
              </w:rPr>
            </w:pPr>
            <w:r w:rsidRPr="007465A0">
              <w:rPr>
                <w:sz w:val="18"/>
                <w:szCs w:val="18"/>
              </w:rPr>
              <w:t>–</w:t>
            </w:r>
          </w:p>
        </w:tc>
        <w:tc>
          <w:tcPr>
            <w:tcW w:w="778" w:type="dxa"/>
          </w:tcPr>
          <w:p w14:paraId="7192FBD9" w14:textId="77777777" w:rsidR="00393AE0" w:rsidRPr="007465A0" w:rsidRDefault="00393AE0" w:rsidP="00EA1B90">
            <w:pPr>
              <w:ind w:left="0" w:right="0"/>
              <w:rPr>
                <w:sz w:val="18"/>
                <w:szCs w:val="18"/>
              </w:rPr>
            </w:pPr>
            <w:r w:rsidRPr="007465A0">
              <w:rPr>
                <w:sz w:val="18"/>
                <w:szCs w:val="18"/>
              </w:rPr>
              <w:t>–</w:t>
            </w:r>
          </w:p>
        </w:tc>
      </w:tr>
    </w:tbl>
    <w:p w14:paraId="2EEF2755" w14:textId="77777777" w:rsidR="008E7846" w:rsidRPr="00792A32" w:rsidRDefault="008E7846" w:rsidP="008E7846">
      <w:pPr>
        <w:pStyle w:val="Heading2"/>
      </w:pPr>
      <w:bookmarkStart w:id="267" w:name="_Toc4405836"/>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232"/>
      <w:bookmarkEnd w:id="255"/>
      <w:bookmarkEnd w:id="256"/>
      <w:bookmarkEnd w:id="267"/>
    </w:p>
    <w:p w14:paraId="27C4A95E" w14:textId="77777777" w:rsidR="008E7846" w:rsidRDefault="008E7846" w:rsidP="008E7846">
      <w:bookmarkStart w:id="268" w:name="_Toc247691528"/>
      <w:r>
        <w:t xml:space="preserve">The </w:t>
      </w:r>
      <w:r w:rsidR="004A7ED8">
        <w:t xml:space="preserve">main </w:t>
      </w:r>
      <w:r>
        <w:t xml:space="preserve">submission </w:t>
      </w:r>
      <w:r w:rsidR="004A7ED8">
        <w:t xml:space="preserve">(Steglatro) </w:t>
      </w:r>
      <w:r>
        <w:t xml:space="preserve">was summarised in the following </w:t>
      </w:r>
      <w:r w:rsidRPr="00EF5C48">
        <w:t xml:space="preserve">Delegate’s </w:t>
      </w:r>
      <w:r>
        <w:t>overview</w:t>
      </w:r>
      <w:r w:rsidRPr="00EF5C48">
        <w:t xml:space="preserve"> and recommendation</w:t>
      </w:r>
      <w:r>
        <w:t>s:</w:t>
      </w:r>
    </w:p>
    <w:p w14:paraId="3EA24B8C" w14:textId="77777777" w:rsidR="008E7846" w:rsidRDefault="008E7846" w:rsidP="008E7846">
      <w:pPr>
        <w:pStyle w:val="Heading3"/>
      </w:pPr>
      <w:bookmarkStart w:id="269" w:name="_Toc314842511"/>
      <w:bookmarkStart w:id="270" w:name="_Toc4405837"/>
      <w:r>
        <w:t>Quality</w:t>
      </w:r>
      <w:bookmarkEnd w:id="268"/>
      <w:bookmarkEnd w:id="269"/>
      <w:bookmarkEnd w:id="270"/>
    </w:p>
    <w:p w14:paraId="73390FE0" w14:textId="77777777" w:rsidR="00B51DF2" w:rsidRPr="00D666BA" w:rsidRDefault="00B51DF2" w:rsidP="00B51DF2">
      <w:r w:rsidRPr="00D666BA">
        <w:t>Approval is recommended from a pharmaceutical chemistry and quality control perspective.</w:t>
      </w:r>
    </w:p>
    <w:p w14:paraId="6F22F24B" w14:textId="77777777" w:rsidR="00B51DF2" w:rsidRPr="00D666BA" w:rsidRDefault="00B51DF2" w:rsidP="00B51DF2">
      <w:r w:rsidRPr="00D666BA">
        <w:t>However, it should be noted that whilst the pharmaceutical aspects of the PI documents and Product labelling for each submission are considered acceptable, they are yet to be finalised due to issues with the proposed trade names.</w:t>
      </w:r>
    </w:p>
    <w:p w14:paraId="2AB61312" w14:textId="3FE5AFB3" w:rsidR="00B51DF2" w:rsidRPr="00B51DF2" w:rsidRDefault="00B51DF2" w:rsidP="00B51DF2">
      <w:r w:rsidRPr="00873921">
        <w:t>Whilst the inclusion of the tablet strengths in the trade names is desired, the sponsor has chosen to include the units (in ‘</w:t>
      </w:r>
      <w:r w:rsidR="006D7D02">
        <w:t>mg</w:t>
      </w:r>
      <w:r w:rsidRPr="00873921">
        <w:t>’) as part of the trade name, which is not desirable.</w:t>
      </w:r>
    </w:p>
    <w:p w14:paraId="26065BB4" w14:textId="77777777" w:rsidR="008E7846" w:rsidRDefault="008E7846" w:rsidP="008E7846">
      <w:pPr>
        <w:pStyle w:val="Heading3"/>
      </w:pPr>
      <w:bookmarkStart w:id="271" w:name="_Toc314842512"/>
      <w:bookmarkStart w:id="272" w:name="_Toc4405838"/>
      <w:r>
        <w:t>Nonclinical</w:t>
      </w:r>
      <w:bookmarkEnd w:id="271"/>
      <w:bookmarkEnd w:id="272"/>
    </w:p>
    <w:p w14:paraId="5CF8CAC7" w14:textId="69922C15" w:rsidR="00332981" w:rsidRPr="00B51DF2" w:rsidRDefault="00332981" w:rsidP="00B51DF2">
      <w:pPr>
        <w:pStyle w:val="ListBullet"/>
      </w:pPr>
      <w:r w:rsidRPr="00B51DF2">
        <w:t>The nonclinical dossier contained no critical deficiencies.</w:t>
      </w:r>
    </w:p>
    <w:p w14:paraId="4F880B95" w14:textId="27B21B77" w:rsidR="00332981" w:rsidRPr="00B51DF2" w:rsidRDefault="00332981" w:rsidP="00B51DF2">
      <w:pPr>
        <w:pStyle w:val="ListBullet"/>
      </w:pPr>
      <w:r w:rsidRPr="00B51DF2">
        <w:t xml:space="preserve">Primary pharmacology studies, showing inhibition of SGLT2 in vitro and increased urinary glucose excretion in vivo, offer support for the proposed use of the drug in the treatment of </w:t>
      </w:r>
      <w:r w:rsidR="002B426E" w:rsidRPr="00B51DF2">
        <w:t>T2DM</w:t>
      </w:r>
      <w:r w:rsidRPr="00B51DF2">
        <w:t>.</w:t>
      </w:r>
    </w:p>
    <w:p w14:paraId="3131446C" w14:textId="76D4650A" w:rsidR="00332981" w:rsidRPr="00B51DF2" w:rsidRDefault="00332981" w:rsidP="00B51DF2">
      <w:pPr>
        <w:pStyle w:val="ListBullet"/>
      </w:pPr>
      <w:r w:rsidRPr="00B51DF2">
        <w:t>Ertugliflozin is not predicted to produce clinically significant enzyme or transporter inhibition in patients to give rise to pharmacokinetic drug interactions.</w:t>
      </w:r>
    </w:p>
    <w:p w14:paraId="4A1AAF49" w14:textId="4D353568" w:rsidR="00332981" w:rsidRPr="00B51DF2" w:rsidRDefault="00332981" w:rsidP="00B51DF2">
      <w:pPr>
        <w:pStyle w:val="ListBullet"/>
      </w:pPr>
      <w:r w:rsidRPr="00B51DF2">
        <w:t>The toxicological profile of ertugliflozin is typical of the SGLT2 inhibitor class.</w:t>
      </w:r>
    </w:p>
    <w:p w14:paraId="7CC36B5E" w14:textId="0D4EAB87" w:rsidR="00332981" w:rsidRPr="00C566F3" w:rsidRDefault="00332981" w:rsidP="00127692">
      <w:pPr>
        <w:pStyle w:val="ListBullet"/>
        <w:pageBreakBefore/>
        <w:ind w:left="357" w:right="-284" w:hanging="357"/>
      </w:pPr>
      <w:r w:rsidRPr="00C566F3">
        <w:lastRenderedPageBreak/>
        <w:t xml:space="preserve">The kidney, adrenal gland, bone and stomach were identified as targets for toxicity in repeat-dose studies in rats. These effects are largely seen to be related to osmotic diuresis (caused by glucosuria due to SGLT2 inhibition) and altered calcium homeostasis (secondary to carbohydrate malabsorption due to SGLT1 inhibition in the intestine). Supporting limited human relevance, histopathological changes in these tissues were not seen in dogs at very high multiples of the clinical exposure (up to </w:t>
      </w:r>
      <w:r w:rsidR="00D87593" w:rsidRPr="00C566F3">
        <w:t xml:space="preserve">approximately </w:t>
      </w:r>
      <w:r w:rsidRPr="00C566F3">
        <w:t>380</w:t>
      </w:r>
      <w:r w:rsidR="002B426E" w:rsidRPr="00C566F3">
        <w:t xml:space="preserve"> </w:t>
      </w:r>
      <w:r w:rsidRPr="00C566F3">
        <w:t>fold).</w:t>
      </w:r>
    </w:p>
    <w:p w14:paraId="6FFAEBE8" w14:textId="77777777" w:rsidR="00332981" w:rsidRPr="00C566F3" w:rsidRDefault="00332981" w:rsidP="00C566F3">
      <w:pPr>
        <w:pStyle w:val="ListBullet"/>
      </w:pPr>
      <w:r w:rsidRPr="00C566F3">
        <w:t>Ertugliflozin was not genotoxic. The finding of increased phaeochromocytomas in male rats is not considered to indicate that ertugliflozin poses a particular carcinogenic risk to patients.</w:t>
      </w:r>
    </w:p>
    <w:p w14:paraId="08391FBE" w14:textId="103BCCAE" w:rsidR="00332981" w:rsidRPr="00C566F3" w:rsidRDefault="00332981" w:rsidP="00C566F3">
      <w:pPr>
        <w:pStyle w:val="ListBullet"/>
      </w:pPr>
      <w:r w:rsidRPr="00C566F3">
        <w:t>Like other members of this class, concerns exist for potential irreversible effects of ertugliflozin on the developing kidney. Treatment in the juvenile animal study commenced after renal anatomical maturation; other earlier developmental studies did not include microscopic examination of the kidney. Concern is greatest for drug exposure prior to this stage (</w:t>
      </w:r>
      <w:r w:rsidR="002B426E" w:rsidRPr="00C566F3">
        <w:t xml:space="preserve">that is, </w:t>
      </w:r>
      <w:r w:rsidRPr="00C566F3">
        <w:t xml:space="preserve">in utero in humans and prior to postnatal </w:t>
      </w:r>
      <w:r w:rsidR="00EA1B90">
        <w:t>D</w:t>
      </w:r>
      <w:r w:rsidRPr="00C566F3">
        <w:t>ay 21 in rats). Ertugliflozin should be assigned Pregnancy Category D, rather than Category C as the sponsor proposes.</w:t>
      </w:r>
    </w:p>
    <w:p w14:paraId="12836443" w14:textId="77777777" w:rsidR="00332981" w:rsidRPr="002B426E" w:rsidRDefault="00332981" w:rsidP="00C566F3">
      <w:pPr>
        <w:pStyle w:val="ListBullet"/>
      </w:pPr>
      <w:r w:rsidRPr="00C566F3">
        <w:t xml:space="preserve">There are no nonclinical objections to the registration of </w:t>
      </w:r>
      <w:r w:rsidR="002B426E" w:rsidRPr="00C566F3">
        <w:t>Steglatro</w:t>
      </w:r>
      <w:r w:rsidRPr="00C566F3">
        <w:t xml:space="preserve"> for the proposed indication provided that the Product Information is</w:t>
      </w:r>
      <w:r w:rsidRPr="00B51DF2">
        <w:t xml:space="preserve"> amended</w:t>
      </w:r>
      <w:r w:rsidRPr="002B426E">
        <w:t xml:space="preserve"> as directed.</w:t>
      </w:r>
    </w:p>
    <w:p w14:paraId="55AA2692" w14:textId="77777777" w:rsidR="008E7846" w:rsidRDefault="008E7846" w:rsidP="008E7846">
      <w:pPr>
        <w:pStyle w:val="Heading3"/>
      </w:pPr>
      <w:bookmarkStart w:id="273" w:name="_Toc247691530"/>
      <w:bookmarkStart w:id="274" w:name="_Toc314842513"/>
      <w:bookmarkStart w:id="275" w:name="_Toc4405839"/>
      <w:r>
        <w:t>Clinical</w:t>
      </w:r>
      <w:bookmarkEnd w:id="273"/>
      <w:bookmarkEnd w:id="274"/>
      <w:bookmarkEnd w:id="275"/>
    </w:p>
    <w:p w14:paraId="7B968CC5" w14:textId="77777777" w:rsidR="00966864" w:rsidRDefault="00966864" w:rsidP="002B426E">
      <w:pPr>
        <w:pStyle w:val="Heading4"/>
      </w:pPr>
      <w:r w:rsidRPr="003F08CF">
        <w:t>Pharmacology</w:t>
      </w:r>
    </w:p>
    <w:p w14:paraId="59A36AAF" w14:textId="28D27691" w:rsidR="00966864" w:rsidRPr="007A2055" w:rsidRDefault="00966864" w:rsidP="002B426E">
      <w:r>
        <w:t>Ertugliflozin</w:t>
      </w:r>
      <w:r w:rsidRPr="007A2055">
        <w:t xml:space="preserve"> tablets contain 6.48 or 19.43</w:t>
      </w:r>
      <w:r w:rsidR="00715B39">
        <w:t xml:space="preserve"> </w:t>
      </w:r>
      <w:r w:rsidR="006D7D02">
        <w:t>mg</w:t>
      </w:r>
      <w:r w:rsidRPr="007A2055">
        <w:t xml:space="preserve"> of </w:t>
      </w:r>
      <w:r w:rsidR="00070EA0">
        <w:t>e</w:t>
      </w:r>
      <w:r>
        <w:t>rtugliflozin</w:t>
      </w:r>
      <w:r w:rsidRPr="007A2055">
        <w:t xml:space="preserve"> pyroglutamic acid, which is equivalent to 5 and 15</w:t>
      </w:r>
      <w:r w:rsidR="00715B39">
        <w:t xml:space="preserve"> </w:t>
      </w:r>
      <w:r w:rsidR="006D7D02">
        <w:t>mg</w:t>
      </w:r>
      <w:r w:rsidRPr="007A2055">
        <w:t xml:space="preserve"> of the active ingredient </w:t>
      </w:r>
      <w:r w:rsidR="00070EA0">
        <w:t>e</w:t>
      </w:r>
      <w:r>
        <w:t>rtugliflozin</w:t>
      </w:r>
      <w:r w:rsidRPr="007A2055">
        <w:t>.</w:t>
      </w:r>
    </w:p>
    <w:p w14:paraId="6D40A4D9" w14:textId="77777777" w:rsidR="00966864" w:rsidRPr="007A2055" w:rsidRDefault="00966864" w:rsidP="002B426E">
      <w:r>
        <w:t>Ertugliflozin</w:t>
      </w:r>
      <w:r w:rsidRPr="007A2055">
        <w:t xml:space="preserve"> tablets contain the inactive ingredients: microcrystalline cellulose, lactose monohydrate, sodium starch glycollate Type A and magnesium stearate. The film coating contains hypromellose, lactose monohydrate, macrogol 3350, triacetin, titanium dioxide and iron oxide red.</w:t>
      </w:r>
    </w:p>
    <w:p w14:paraId="6400FA89" w14:textId="77777777" w:rsidR="00966864" w:rsidRDefault="002B426E" w:rsidP="002B426E">
      <w:pPr>
        <w:pStyle w:val="Heading4"/>
      </w:pPr>
      <w:r>
        <w:t>Pharmacokinetics</w:t>
      </w:r>
    </w:p>
    <w:p w14:paraId="14985494" w14:textId="77777777" w:rsidR="00966864" w:rsidRDefault="00966864" w:rsidP="00C566F3">
      <w:r>
        <w:t xml:space="preserve">Following oral administration, the mean </w:t>
      </w:r>
      <w:r w:rsidR="00E700A6">
        <w:t>T</w:t>
      </w:r>
      <w:r w:rsidR="00E700A6" w:rsidRPr="00E700A6">
        <w:rPr>
          <w:vertAlign w:val="subscript"/>
        </w:rPr>
        <w:t>max</w:t>
      </w:r>
      <w:r>
        <w:t xml:space="preserve"> was 1 </w:t>
      </w:r>
      <w:r w:rsidR="0007636A">
        <w:t>h</w:t>
      </w:r>
      <w:r>
        <w:t xml:space="preserve"> and T</w:t>
      </w:r>
      <w:r w:rsidRPr="007A2055">
        <w:rPr>
          <w:vertAlign w:val="subscript"/>
        </w:rPr>
        <w:t xml:space="preserve">1/2 </w:t>
      </w:r>
      <w:r>
        <w:t>12.2</w:t>
      </w:r>
      <w:r w:rsidR="00070EA0">
        <w:t xml:space="preserve"> to </w:t>
      </w:r>
      <w:r>
        <w:t xml:space="preserve">12.6 </w:t>
      </w:r>
      <w:r w:rsidR="0007636A">
        <w:t>h</w:t>
      </w:r>
      <w:r>
        <w:t>.</w:t>
      </w:r>
    </w:p>
    <w:p w14:paraId="32F18071" w14:textId="77777777" w:rsidR="00966864" w:rsidRDefault="00966864" w:rsidP="00C566F3">
      <w:r w:rsidRPr="00830CAA">
        <w:t>The oral bioavailability was 100%</w:t>
      </w:r>
      <w:r>
        <w:t>.</w:t>
      </w:r>
    </w:p>
    <w:p w14:paraId="75D93E3F" w14:textId="77777777" w:rsidR="00966864" w:rsidRDefault="00966864" w:rsidP="00C566F3">
      <w:r>
        <w:t>Food had no effect on AUC</w:t>
      </w:r>
      <w:r w:rsidR="00070EA0">
        <w:t xml:space="preserve"> but</w:t>
      </w:r>
      <w:r>
        <w:t xml:space="preserve"> </w:t>
      </w:r>
      <w:r w:rsidR="00E700A6">
        <w:t>C</w:t>
      </w:r>
      <w:r w:rsidR="00E700A6" w:rsidRPr="00E700A6">
        <w:rPr>
          <w:vertAlign w:val="subscript"/>
        </w:rPr>
        <w:t>max</w:t>
      </w:r>
      <w:r>
        <w:t xml:space="preserve"> was reduced by 29%.</w:t>
      </w:r>
    </w:p>
    <w:p w14:paraId="2A35F6DE" w14:textId="215504A3" w:rsidR="00966864" w:rsidRDefault="00070EA0" w:rsidP="00C566F3">
      <w:r>
        <w:t>The p</w:t>
      </w:r>
      <w:r w:rsidR="00966864">
        <w:t xml:space="preserve">harmacokinetics </w:t>
      </w:r>
      <w:r w:rsidR="00F14099">
        <w:t>was</w:t>
      </w:r>
      <w:r w:rsidR="00966864">
        <w:t xml:space="preserve"> linear in the dose range 0.5</w:t>
      </w:r>
      <w:r>
        <w:t xml:space="preserve"> to 3</w:t>
      </w:r>
      <w:r w:rsidR="00966864">
        <w:t>0</w:t>
      </w:r>
      <w:r w:rsidR="006C336C">
        <w:t>0</w:t>
      </w:r>
      <w:r w:rsidR="00715B39">
        <w:t xml:space="preserve"> </w:t>
      </w:r>
      <w:r w:rsidR="006D7D02">
        <w:t>mg</w:t>
      </w:r>
      <w:r w:rsidR="00966864">
        <w:t xml:space="preserve"> in healthy subjects.</w:t>
      </w:r>
    </w:p>
    <w:p w14:paraId="734C5F6A" w14:textId="77777777" w:rsidR="00966864" w:rsidRDefault="00966864" w:rsidP="00C566F3">
      <w:r>
        <w:t xml:space="preserve">The AUC was similar when dosed daily or twice daily, but </w:t>
      </w:r>
      <w:r w:rsidR="00E700A6">
        <w:t>C</w:t>
      </w:r>
      <w:r w:rsidR="00E700A6" w:rsidRPr="00E700A6">
        <w:rPr>
          <w:vertAlign w:val="subscript"/>
        </w:rPr>
        <w:t>max</w:t>
      </w:r>
      <w:r>
        <w:t xml:space="preserve"> higher when given daily.</w:t>
      </w:r>
    </w:p>
    <w:p w14:paraId="53F54B42" w14:textId="77777777" w:rsidR="00966864" w:rsidRDefault="00966864" w:rsidP="00C566F3">
      <w:r>
        <w:t xml:space="preserve">Volume of distribution was 215.3L. Ertugliflozin is highly bound to plasma proteins. There are 8 metabolites. </w:t>
      </w:r>
      <w:r w:rsidR="00C3563C">
        <w:t>Phase I</w:t>
      </w:r>
      <w:r>
        <w:t xml:space="preserve"> metabolism was minimal. The two main metabolites are pharmacologically inactive. About 50% of the oral dose is recovered from the urine.</w:t>
      </w:r>
    </w:p>
    <w:p w14:paraId="04551672" w14:textId="6127F62B" w:rsidR="00966864" w:rsidRDefault="00966864" w:rsidP="00C566F3">
      <w:r>
        <w:t xml:space="preserve">There was no difference in plasma concentration when </w:t>
      </w:r>
      <w:r w:rsidR="00070EA0">
        <w:t>e</w:t>
      </w:r>
      <w:r>
        <w:t xml:space="preserve">rtugliflozin was co-administered with metformin or sitagliptin or </w:t>
      </w:r>
      <w:r w:rsidR="00873921">
        <w:t>g</w:t>
      </w:r>
      <w:r w:rsidR="00873921" w:rsidRPr="00873921">
        <w:t>limepiride</w:t>
      </w:r>
      <w:r w:rsidR="00070EA0">
        <w:t>.</w:t>
      </w:r>
    </w:p>
    <w:p w14:paraId="4F4AC35E" w14:textId="77777777" w:rsidR="00966864" w:rsidRDefault="00966864" w:rsidP="00C566F3">
      <w:r>
        <w:t xml:space="preserve">In patients with moderate hepatic impairment, there was a 13% decrease in AUC and 22% decrease in </w:t>
      </w:r>
      <w:r w:rsidR="00E700A6">
        <w:t>C</w:t>
      </w:r>
      <w:r w:rsidR="00E700A6" w:rsidRPr="00E700A6">
        <w:rPr>
          <w:vertAlign w:val="subscript"/>
        </w:rPr>
        <w:t>max</w:t>
      </w:r>
      <w:r>
        <w:t>. Ertugliflozin has not been studied in severe hepatic impairment.</w:t>
      </w:r>
    </w:p>
    <w:p w14:paraId="0235D095" w14:textId="77777777" w:rsidR="00966864" w:rsidRPr="002B426E" w:rsidRDefault="00966864" w:rsidP="00C566F3">
      <w:r w:rsidRPr="002B426E">
        <w:lastRenderedPageBreak/>
        <w:t xml:space="preserve">In popPK studies, the AUC for </w:t>
      </w:r>
      <w:r w:rsidR="00070EA0">
        <w:t>e</w:t>
      </w:r>
      <w:r w:rsidRPr="002B426E">
        <w:t>rtugliflozin in mild, moderate and severe renal impairment was estimated using log-linear regression to be</w:t>
      </w:r>
      <w:r w:rsidR="002B426E">
        <w:t xml:space="preserve"> </w:t>
      </w:r>
      <w:r w:rsidRPr="002B426E">
        <w:t>approximately 1.2, 1.4 and 1.7</w:t>
      </w:r>
      <w:r w:rsidR="00070EA0">
        <w:t xml:space="preserve"> </w:t>
      </w:r>
      <w:r w:rsidRPr="002B426E">
        <w:t xml:space="preserve">fold higher than </w:t>
      </w:r>
      <w:r w:rsidR="00E700A6">
        <w:t>AUC</w:t>
      </w:r>
      <w:r w:rsidR="00E700A6" w:rsidRPr="00E700A6">
        <w:rPr>
          <w:vertAlign w:val="subscript"/>
        </w:rPr>
        <w:t>inf</w:t>
      </w:r>
      <w:r w:rsidRPr="002B426E">
        <w:t xml:space="preserve"> values in subj</w:t>
      </w:r>
      <w:r w:rsidR="002B426E">
        <w:t>ects with normal renal function</w:t>
      </w:r>
      <w:r w:rsidRPr="002B426E">
        <w:t>.</w:t>
      </w:r>
    </w:p>
    <w:p w14:paraId="658F9907" w14:textId="77777777" w:rsidR="00966864" w:rsidRPr="002B426E" w:rsidRDefault="00C566F3" w:rsidP="00C566F3">
      <w:r>
        <w:t>The e</w:t>
      </w:r>
      <w:r w:rsidR="00966864" w:rsidRPr="002B426E">
        <w:t>valuator note</w:t>
      </w:r>
      <w:r>
        <w:t>d that a</w:t>
      </w:r>
      <w:r w:rsidR="00966864" w:rsidRPr="002B426E">
        <w:t xml:space="preserve">lthough </w:t>
      </w:r>
      <w:r w:rsidR="00070EA0">
        <w:t>e</w:t>
      </w:r>
      <w:r w:rsidR="00966864" w:rsidRPr="002B426E">
        <w:t xml:space="preserve">rtugliflozin did not induce or inhibit a range of CYP enzymes, it is in part a substrate for both CYP3A4 and CYP3A5; however, no studies have examined the effects of a strong CYP3A inhibitor, such as clarithromycin or itraconazole, on the PKs of </w:t>
      </w:r>
      <w:r w:rsidR="00070EA0">
        <w:t>e</w:t>
      </w:r>
      <w:r w:rsidR="00966864" w:rsidRPr="002B426E">
        <w:t xml:space="preserve">rtugliflozin. Furthermore, pharmacokinetic interactions between </w:t>
      </w:r>
      <w:r w:rsidR="00070EA0">
        <w:t>e</w:t>
      </w:r>
      <w:r w:rsidR="00966864" w:rsidRPr="002B426E">
        <w:t xml:space="preserve">rtugliflozin and other commonly administered drugs in this patient population such as diuretics, warfarin, </w:t>
      </w:r>
      <w:r w:rsidR="00F14099" w:rsidRPr="002B426E">
        <w:t>and digoxin</w:t>
      </w:r>
      <w:r w:rsidR="00966864" w:rsidRPr="002B426E">
        <w:t xml:space="preserve"> </w:t>
      </w:r>
      <w:r w:rsidR="00070EA0">
        <w:t>and so on</w:t>
      </w:r>
      <w:r w:rsidR="00966864" w:rsidRPr="002B426E">
        <w:t xml:space="preserve"> were not evaluated. The effect of smoking and alcohol use on </w:t>
      </w:r>
      <w:r w:rsidR="00070EA0">
        <w:t>e</w:t>
      </w:r>
      <w:r w:rsidR="00966864" w:rsidRPr="002B426E">
        <w:t>rtugliflozin PKs was also not specifically studied</w:t>
      </w:r>
      <w:r w:rsidR="00070EA0">
        <w:t>.</w:t>
      </w:r>
    </w:p>
    <w:p w14:paraId="50EE8486" w14:textId="77777777" w:rsidR="00966864" w:rsidRDefault="002B426E" w:rsidP="002B426E">
      <w:pPr>
        <w:pStyle w:val="Heading4"/>
      </w:pPr>
      <w:r>
        <w:t>Pharmacodynamics</w:t>
      </w:r>
    </w:p>
    <w:p w14:paraId="695EF77F" w14:textId="653E059D" w:rsidR="00966864" w:rsidRDefault="00966864" w:rsidP="00C566F3">
      <w:r>
        <w:t xml:space="preserve">In healthy subjects, there was a plateau of urinary glucose excretion of around 58-65 grams/day for doses of </w:t>
      </w:r>
      <w:r w:rsidR="00AD51CF">
        <w:t xml:space="preserve">&gt; </w:t>
      </w:r>
      <w:r>
        <w:t>3</w:t>
      </w:r>
      <w:r w:rsidR="006C336C">
        <w:t>0</w:t>
      </w:r>
      <w:r w:rsidR="00715B39">
        <w:t xml:space="preserve"> </w:t>
      </w:r>
      <w:r w:rsidR="006D7D02">
        <w:t>mg</w:t>
      </w:r>
      <w:r>
        <w:t xml:space="preserve"> </w:t>
      </w:r>
      <w:r w:rsidR="00070EA0">
        <w:t>e</w:t>
      </w:r>
      <w:r>
        <w:t>rtugliflozin in a fasted state. UGE increased when patients were fed a high caloric meal. There was no change in serum glucose levels.</w:t>
      </w:r>
    </w:p>
    <w:p w14:paraId="7B49B5C6" w14:textId="4AD2BA9F" w:rsidR="00966864" w:rsidRDefault="00966864" w:rsidP="00C566F3">
      <w:r w:rsidRPr="00D33F38">
        <w:t xml:space="preserve">In patients with T2DM, </w:t>
      </w:r>
      <w:r w:rsidR="00070EA0">
        <w:t>P</w:t>
      </w:r>
      <w:r w:rsidRPr="00D33F38">
        <w:t xml:space="preserve">hase </w:t>
      </w:r>
      <w:r w:rsidR="00070EA0">
        <w:t>II</w:t>
      </w:r>
      <w:r w:rsidRPr="00D33F38">
        <w:t xml:space="preserve"> studies examined 2 and 4</w:t>
      </w:r>
      <w:r w:rsidR="006D7D02">
        <w:t xml:space="preserve"> mg</w:t>
      </w:r>
      <w:r w:rsidRPr="00D33F38">
        <w:t xml:space="preserve"> doses and found cumulative increase in AUC of UGE of 70g and 80.5g respectively. The </w:t>
      </w:r>
      <w:r w:rsidR="006C336C">
        <w:t>5</w:t>
      </w:r>
      <w:r w:rsidR="00715B39">
        <w:t xml:space="preserve"> </w:t>
      </w:r>
      <w:r w:rsidR="006D7D02">
        <w:t>mg</w:t>
      </w:r>
      <w:r w:rsidRPr="00D33F38">
        <w:t xml:space="preserve"> and 1</w:t>
      </w:r>
      <w:r w:rsidR="006C336C">
        <w:t>5</w:t>
      </w:r>
      <w:r w:rsidR="00715B39">
        <w:t xml:space="preserve"> </w:t>
      </w:r>
      <w:r w:rsidR="006D7D02">
        <w:t>mg</w:t>
      </w:r>
      <w:r w:rsidRPr="00D33F38">
        <w:t xml:space="preserve"> doses were not evaluated.</w:t>
      </w:r>
    </w:p>
    <w:p w14:paraId="55CF69AF" w14:textId="77777777" w:rsidR="00966864" w:rsidRPr="00245C23" w:rsidRDefault="00966864" w:rsidP="00C566F3">
      <w:r>
        <w:t xml:space="preserve">No effect on QTc or urinary electrolytes. </w:t>
      </w:r>
      <w:r w:rsidRPr="00D33F38">
        <w:t>Markers of bone resorption increased</w:t>
      </w:r>
      <w:r>
        <w:t>.</w:t>
      </w:r>
    </w:p>
    <w:p w14:paraId="1116490D" w14:textId="0C151354" w:rsidR="00966864" w:rsidRPr="007E3991" w:rsidRDefault="00966864" w:rsidP="00C566F3">
      <w:pPr>
        <w:rPr>
          <w:rFonts w:cs="Cambria"/>
        </w:rPr>
      </w:pPr>
      <w:r>
        <w:rPr>
          <w:rFonts w:cs="Cambria"/>
        </w:rPr>
        <w:t>There was a similar UGE with 5 and 1</w:t>
      </w:r>
      <w:r w:rsidR="006C336C">
        <w:rPr>
          <w:rFonts w:cs="Cambria"/>
        </w:rPr>
        <w:t>5</w:t>
      </w:r>
      <w:r w:rsidR="00715B39">
        <w:rPr>
          <w:rFonts w:cs="Cambria"/>
        </w:rPr>
        <w:t xml:space="preserve"> </w:t>
      </w:r>
      <w:r w:rsidR="006D7D02">
        <w:rPr>
          <w:rFonts w:cs="Cambria"/>
        </w:rPr>
        <w:t>mg</w:t>
      </w:r>
      <w:r>
        <w:rPr>
          <w:rFonts w:cs="Cambria"/>
        </w:rPr>
        <w:t xml:space="preserve"> in patients with T2DM.</w:t>
      </w:r>
      <w:r w:rsidR="009A3F68">
        <w:rPr>
          <w:rFonts w:cs="Cambria"/>
        </w:rPr>
        <w:t xml:space="preserve"> </w:t>
      </w:r>
      <w:r>
        <w:rPr>
          <w:rFonts w:eastAsia="TimesNewRoman" w:cs="Cambria"/>
        </w:rPr>
        <w:t>Urinary glucose excretion decreases with decreasing eGFR.</w:t>
      </w:r>
      <w:r w:rsidR="009A3F68">
        <w:rPr>
          <w:rFonts w:eastAsia="TimesNewRoman" w:cs="Cambria"/>
        </w:rPr>
        <w:t xml:space="preserve"> </w:t>
      </w:r>
      <w:r>
        <w:rPr>
          <w:rFonts w:eastAsia="TimesNewRoman" w:cs="Cambria"/>
        </w:rPr>
        <w:t>The</w:t>
      </w:r>
      <w:r w:rsidR="009A3F68">
        <w:rPr>
          <w:rFonts w:eastAsia="TimesNewRoman" w:cs="Cambria"/>
        </w:rPr>
        <w:t xml:space="preserve"> </w:t>
      </w:r>
      <w:r w:rsidR="00731A2E">
        <w:t>UGE</w:t>
      </w:r>
      <w:r w:rsidR="00731A2E" w:rsidRPr="00731A2E">
        <w:rPr>
          <w:vertAlign w:val="subscript"/>
        </w:rPr>
        <w:t>0-24</w:t>
      </w:r>
      <w:r w:rsidR="006D7D02">
        <w:t xml:space="preserve"> </w:t>
      </w:r>
      <w:r w:rsidRPr="000F1BFD">
        <w:rPr>
          <w:rFonts w:eastAsia="TimesNewRoman" w:cs="Cambria"/>
        </w:rPr>
        <w:t>values on Day 1 in the mild, moderate and severe renal impairment groups were 49.75% (90% CI: 27.22%, 90.93%), 38.10% (90% CI: 20.85%, 69.64%), and 13.95% (90% CI: 7.32%, 26.58%) compared to subjects with T2DM but</w:t>
      </w:r>
      <w:r>
        <w:rPr>
          <w:rFonts w:eastAsia="TimesNewRoman" w:cs="Cambria"/>
        </w:rPr>
        <w:t xml:space="preserve"> normal function group (72.31 g).</w:t>
      </w:r>
    </w:p>
    <w:p w14:paraId="7212EDD3" w14:textId="6905EFA5" w:rsidR="00966864" w:rsidRPr="00245A4E" w:rsidRDefault="00966864" w:rsidP="00EA1B90">
      <w:pPr>
        <w:pStyle w:val="Heading4"/>
      </w:pPr>
      <w:r>
        <w:t>E</w:t>
      </w:r>
      <w:r w:rsidRPr="003F08CF">
        <w:t>fficacy</w:t>
      </w:r>
      <w:r w:rsidR="00EA1B90">
        <w:t xml:space="preserve"> (m</w:t>
      </w:r>
      <w:r w:rsidRPr="00DE6973">
        <w:t>onotherapy</w:t>
      </w:r>
      <w:r w:rsidR="00EA1B90">
        <w:t>)</w:t>
      </w:r>
    </w:p>
    <w:p w14:paraId="1819A645" w14:textId="23C76A61" w:rsidR="006140EA" w:rsidRDefault="006140EA" w:rsidP="00EA1B90">
      <w:pPr>
        <w:pStyle w:val="Heading5"/>
      </w:pPr>
      <w:r>
        <w:t xml:space="preserve">Study </w:t>
      </w:r>
      <w:r w:rsidR="00966864" w:rsidRPr="00D33F38">
        <w:t>P003/1022</w:t>
      </w:r>
    </w:p>
    <w:p w14:paraId="5B3AB2AF" w14:textId="0685873E" w:rsidR="00966864" w:rsidRPr="00EA1B90" w:rsidRDefault="00966864" w:rsidP="00EA1B90">
      <w:r w:rsidRPr="00EA1B90">
        <w:t xml:space="preserve">A </w:t>
      </w:r>
      <w:r w:rsidR="00F97771" w:rsidRPr="00EA1B90">
        <w:t>Phase III</w:t>
      </w:r>
      <w:r w:rsidR="006140EA" w:rsidRPr="00EA1B90">
        <w:t>, randomised, double</w:t>
      </w:r>
      <w:r w:rsidR="006140EA">
        <w:t xml:space="preserve"> </w:t>
      </w:r>
      <w:r w:rsidR="006140EA" w:rsidRPr="006D0B19">
        <w:t xml:space="preserve">blind, placebo </w:t>
      </w:r>
      <w:proofErr w:type="gramStart"/>
      <w:r w:rsidR="006140EA" w:rsidRPr="006D0B19">
        <w:t>controlled,</w:t>
      </w:r>
      <w:proofErr w:type="gramEnd"/>
      <w:r w:rsidR="006140EA" w:rsidRPr="006D0B19">
        <w:t xml:space="preserve"> 26 week multicentre study with a 26</w:t>
      </w:r>
      <w:r w:rsidR="006140EA" w:rsidRPr="004875DA">
        <w:t xml:space="preserve"> week extension to evaluate the efficacy and safety of ertugliflozin monotherapy in the treatment of subjects </w:t>
      </w:r>
      <w:r w:rsidRPr="00EA1B90">
        <w:t xml:space="preserve">with T2DM and </w:t>
      </w:r>
      <w:r w:rsidR="006140EA" w:rsidRPr="00EA1B90">
        <w:t>inadequate glycaemic control despite diet and exercise.</w:t>
      </w:r>
    </w:p>
    <w:p w14:paraId="75E5C727" w14:textId="4BA211B1" w:rsidR="00966864" w:rsidRDefault="00966864" w:rsidP="002B426E">
      <w:r>
        <w:t>Only 26 week placebo controlled part of the study was complete at the time of submission. The study had a 1 week screening period, 8 week diet/exercise period where other medication was discontinued and 2 week placebo run in period.</w:t>
      </w:r>
    </w:p>
    <w:p w14:paraId="0B160C5F" w14:textId="5F411490" w:rsidR="00966864" w:rsidRDefault="00966864" w:rsidP="002B426E">
      <w:r>
        <w:t xml:space="preserve">Inclusion criteria were patients with T2DM aged </w:t>
      </w:r>
      <w:r w:rsidR="00AD51CF">
        <w:t xml:space="preserve">&gt; </w:t>
      </w:r>
      <w:r>
        <w:t xml:space="preserve">18 years and BMI </w:t>
      </w:r>
      <w:r w:rsidR="00AD51CF">
        <w:t xml:space="preserve">&gt; </w:t>
      </w:r>
      <w:r>
        <w:t>18kg/m</w:t>
      </w:r>
      <w:r w:rsidRPr="008D1E43">
        <w:rPr>
          <w:vertAlign w:val="superscript"/>
        </w:rPr>
        <w:t>2</w:t>
      </w:r>
      <w:r>
        <w:t>,</w:t>
      </w:r>
      <w:r w:rsidR="009A3F68">
        <w:t xml:space="preserve"> </w:t>
      </w:r>
      <w:r w:rsidR="003F2DE3">
        <w:t>Hb</w:t>
      </w:r>
      <w:r w:rsidR="00A04B32">
        <w:t>A1c</w:t>
      </w:r>
      <w:r>
        <w:t xml:space="preserve"> 7</w:t>
      </w:r>
      <w:r w:rsidR="006140EA">
        <w:t xml:space="preserve"> to </w:t>
      </w:r>
      <w:r>
        <w:t>10.5% on no medicines or 6.5</w:t>
      </w:r>
      <w:r w:rsidR="00C566F3">
        <w:t xml:space="preserve"> to </w:t>
      </w:r>
      <w:r>
        <w:t>9.5% on metformin, DPP-</w:t>
      </w:r>
      <w:r w:rsidR="003F2DE3">
        <w:t>4</w:t>
      </w:r>
      <w:r>
        <w:t>, glinide or alpha glucosidase inhibitor (stopped prior to treatment).</w:t>
      </w:r>
    </w:p>
    <w:p w14:paraId="67E54CE2" w14:textId="74C61273" w:rsidR="00966864" w:rsidRDefault="00966864" w:rsidP="002B426E">
      <w:r>
        <w:t>Treatment was 5 or 1</w:t>
      </w:r>
      <w:r w:rsidR="006C336C">
        <w:t>5</w:t>
      </w:r>
      <w:r w:rsidR="00715B39">
        <w:t xml:space="preserve"> </w:t>
      </w:r>
      <w:r w:rsidR="006D7D02">
        <w:t>mg</w:t>
      </w:r>
      <w:r>
        <w:t xml:space="preserve"> ertugliflozin or placebo. Glycaemic rescue was given with metformin if fasting BGL was </w:t>
      </w:r>
      <w:r w:rsidR="00AD51CF">
        <w:t xml:space="preserve">&gt; </w:t>
      </w:r>
      <w:r>
        <w:t>15</w:t>
      </w:r>
      <w:r w:rsidR="00C566F3">
        <w:t xml:space="preserve"> mmol/L from baseline to W</w:t>
      </w:r>
      <w:r>
        <w:t xml:space="preserve">eek 6, fasting BGL </w:t>
      </w:r>
      <w:r w:rsidR="00AD51CF">
        <w:t>&gt;</w:t>
      </w:r>
      <w:r w:rsidR="006140EA">
        <w:t> </w:t>
      </w:r>
      <w:r>
        <w:t xml:space="preserve">13.3mmol/L from </w:t>
      </w:r>
      <w:r w:rsidR="00C566F3">
        <w:t>W</w:t>
      </w:r>
      <w:r>
        <w:t>eek</w:t>
      </w:r>
      <w:r w:rsidR="00C566F3">
        <w:t>s</w:t>
      </w:r>
      <w:r>
        <w:t xml:space="preserve"> 6</w:t>
      </w:r>
      <w:r w:rsidR="006140EA">
        <w:t xml:space="preserve"> to </w:t>
      </w:r>
      <w:r>
        <w:t xml:space="preserve">12, fasting BGL </w:t>
      </w:r>
      <w:r w:rsidR="00AD51CF">
        <w:t>&gt;</w:t>
      </w:r>
      <w:r w:rsidR="006140EA">
        <w:t xml:space="preserve"> </w:t>
      </w:r>
      <w:r w:rsidR="00C566F3">
        <w:t>11.1 after W</w:t>
      </w:r>
      <w:r>
        <w:t>eek 12.</w:t>
      </w:r>
    </w:p>
    <w:p w14:paraId="62C37907" w14:textId="57ED0F80" w:rsidR="00966864" w:rsidRDefault="00966864" w:rsidP="002B426E">
      <w:r w:rsidRPr="002768F2">
        <w:t xml:space="preserve">The primary efficacy analyses compared the efficacy of </w:t>
      </w:r>
      <w:r>
        <w:t>ertugliflozin</w:t>
      </w:r>
      <w:r w:rsidRPr="002768F2">
        <w:t xml:space="preserve"> relative to placebo in change from baseline in </w:t>
      </w:r>
      <w:r w:rsidR="003F2DE3">
        <w:t>Hb</w:t>
      </w:r>
      <w:r w:rsidR="00A04B32">
        <w:t>A1c</w:t>
      </w:r>
      <w:r w:rsidRPr="002768F2">
        <w:t xml:space="preserve"> at Week 26, excluding data obtained after the initiation of glycaemic rescue therapy or after bariatric surgery.</w:t>
      </w:r>
    </w:p>
    <w:p w14:paraId="0006F636" w14:textId="73FE3756" w:rsidR="00966864" w:rsidRDefault="00966864" w:rsidP="002B426E">
      <w:r w:rsidRPr="002768F2">
        <w:t xml:space="preserve">The mean changes from baseline in </w:t>
      </w:r>
      <w:r w:rsidR="003F2DE3">
        <w:t>Hb</w:t>
      </w:r>
      <w:r w:rsidR="00A04B32">
        <w:t>A1c</w:t>
      </w:r>
      <w:r w:rsidRPr="002768F2">
        <w:t xml:space="preserve"> at Week 26 for the </w:t>
      </w:r>
      <w:r>
        <w:t>ertugliflozin</w:t>
      </w:r>
      <w:r w:rsidRPr="002768F2">
        <w:t xml:space="preserve"> groups were compared to the mean changes in the placebo group using the estimated treatment differences via a c</w:t>
      </w:r>
      <w:r w:rsidR="003E0A2F">
        <w:t xml:space="preserve">onstrained </w:t>
      </w:r>
      <w:r w:rsidRPr="002768F2">
        <w:t xml:space="preserve">LDA </w:t>
      </w:r>
      <w:r w:rsidR="003E0A2F">
        <w:t xml:space="preserve">(cLDA) </w:t>
      </w:r>
      <w:r w:rsidRPr="002768F2">
        <w:t xml:space="preserve">model, proposed by Liang and Zeger. The statistical model included terms for treatment (categorical), time (categorical), the </w:t>
      </w:r>
      <w:r w:rsidRPr="002768F2">
        <w:lastRenderedPageBreak/>
        <w:t>treatment by time interaction, AHA status at study entry (binary</w:t>
      </w:r>
      <w:r w:rsidR="006140EA">
        <w:t>;</w:t>
      </w:r>
      <w:r w:rsidRPr="002768F2">
        <w:t xml:space="preserve"> yes/no), and baseline eGFR (continuous). No imputation of missing data was performed. </w:t>
      </w:r>
      <w:r>
        <w:t>(This form of analysis is similar to ANOVA but also adjusts for baseline risk factors)</w:t>
      </w:r>
      <w:r w:rsidR="00C566F3">
        <w:t>.</w:t>
      </w:r>
    </w:p>
    <w:p w14:paraId="262021FA" w14:textId="77777777" w:rsidR="00966864" w:rsidRPr="00D33F38" w:rsidRDefault="00966864" w:rsidP="002B426E">
      <w:pPr>
        <w:pStyle w:val="Heading6"/>
      </w:pPr>
      <w:r w:rsidRPr="00D33F38">
        <w:t>Results</w:t>
      </w:r>
    </w:p>
    <w:p w14:paraId="39C43BAE" w14:textId="77777777" w:rsidR="00966864" w:rsidRDefault="00966864" w:rsidP="00EA1B90">
      <w:r>
        <w:t>More patients discontinued in the placebo group due to hyperglycaemia or lack of efficacy.</w:t>
      </w:r>
    </w:p>
    <w:p w14:paraId="38324ABE" w14:textId="147CF7D3" w:rsidR="00966864" w:rsidRDefault="00966864" w:rsidP="00EA1B90">
      <w:r>
        <w:t>Mean age was 56.4years, 14.3% were &lt;</w:t>
      </w:r>
      <w:r w:rsidR="00C566F3">
        <w:t> </w:t>
      </w:r>
      <w:r>
        <w:t xml:space="preserve">45 years and 26% were </w:t>
      </w:r>
      <w:r w:rsidR="00AD51CF">
        <w:t>&gt;</w:t>
      </w:r>
      <w:r w:rsidR="006140EA">
        <w:t xml:space="preserve"> </w:t>
      </w:r>
      <w:r>
        <w:t>65 years</w:t>
      </w:r>
      <w:r w:rsidR="00F14099">
        <w:t>;</w:t>
      </w:r>
      <w:r>
        <w:t xml:space="preserve"> 84% </w:t>
      </w:r>
      <w:r w:rsidR="00C566F3">
        <w:t>W</w:t>
      </w:r>
      <w:r>
        <w:t>hite, 8.5% Asian</w:t>
      </w:r>
      <w:r w:rsidR="003E0A2F">
        <w:t xml:space="preserve"> and</w:t>
      </w:r>
      <w:r>
        <w:t xml:space="preserve"> 6.3% Black or African American. Mean BMI 33kg/m</w:t>
      </w:r>
      <w:r w:rsidRPr="00D33F38">
        <w:rPr>
          <w:vertAlign w:val="superscript"/>
        </w:rPr>
        <w:t>2</w:t>
      </w:r>
      <w:r>
        <w:t xml:space="preserve">. Mean </w:t>
      </w:r>
      <w:r w:rsidR="003F2DE3">
        <w:t>Hb</w:t>
      </w:r>
      <w:r w:rsidR="00A04B32">
        <w:t>A1c</w:t>
      </w:r>
      <w:r>
        <w:t xml:space="preserve"> 8.2%. Mean duration of diabetes 5 years. 5</w:t>
      </w:r>
      <w:r w:rsidR="005E3DCE">
        <w:t>2</w:t>
      </w:r>
      <w:r>
        <w:t>% were on previous anti-hyperglycaemic therapy.</w:t>
      </w:r>
    </w:p>
    <w:p w14:paraId="7C6A2E44" w14:textId="2F4682DE" w:rsidR="00966864" w:rsidRDefault="00966864" w:rsidP="002B426E">
      <w:r w:rsidRPr="008D10B8">
        <w:t xml:space="preserve">Compared with placebo, the LS mean reductions from baseline in </w:t>
      </w:r>
      <w:r w:rsidR="003F2DE3">
        <w:t>Hb</w:t>
      </w:r>
      <w:r w:rsidR="00A04B32">
        <w:t>A1c</w:t>
      </w:r>
      <w:r w:rsidRPr="008D10B8">
        <w:t xml:space="preserve"> at Week 26 were significantly greater in the </w:t>
      </w:r>
      <w:r>
        <w:t>ertugliflozin</w:t>
      </w:r>
      <w:r w:rsidRPr="008D10B8">
        <w:t xml:space="preserve"> 5</w:t>
      </w:r>
      <w:r w:rsidR="00715B39">
        <w:t xml:space="preserve"> </w:t>
      </w:r>
      <w:r w:rsidR="006D7D02">
        <w:t>mg</w:t>
      </w:r>
      <w:r w:rsidRPr="008D10B8">
        <w:t xml:space="preserve"> </w:t>
      </w:r>
      <w:r w:rsidR="006140EA" w:rsidRPr="008D10B8">
        <w:t>(</w:t>
      </w:r>
      <w:r w:rsidR="006140EA">
        <w:noBreakHyphen/>
      </w:r>
      <w:r w:rsidRPr="008D10B8">
        <w:t xml:space="preserve">0.99, 95% CI: </w:t>
      </w:r>
      <w:r w:rsidR="006140EA">
        <w:noBreakHyphen/>
      </w:r>
      <w:r w:rsidRPr="008D10B8">
        <w:t xml:space="preserve">1.22, </w:t>
      </w:r>
      <w:r w:rsidR="006140EA">
        <w:noBreakHyphen/>
      </w:r>
      <w:r w:rsidRPr="008D10B8">
        <w:t>0.76) and 15</w:t>
      </w:r>
      <w:r w:rsidR="00715B39">
        <w:t xml:space="preserve"> </w:t>
      </w:r>
      <w:r w:rsidR="006D7D02">
        <w:t>mg</w:t>
      </w:r>
      <w:r w:rsidRPr="008D10B8">
        <w:t xml:space="preserve"> (</w:t>
      </w:r>
      <w:r w:rsidR="00070EA0">
        <w:noBreakHyphen/>
      </w:r>
      <w:r w:rsidRPr="008D10B8">
        <w:t xml:space="preserve">1.16, 95% CI: </w:t>
      </w:r>
      <w:r w:rsidR="00ED354C">
        <w:noBreakHyphen/>
      </w:r>
      <w:r w:rsidRPr="008D10B8">
        <w:t xml:space="preserve">1.39, </w:t>
      </w:r>
      <w:r w:rsidR="00ED354C">
        <w:noBreakHyphen/>
      </w:r>
      <w:r w:rsidRPr="008D10B8">
        <w:t>0.93) groups</w:t>
      </w:r>
      <w:r>
        <w:t xml:space="preserve"> (p</w:t>
      </w:r>
      <w:r w:rsidR="006140EA">
        <w:t xml:space="preserve"> </w:t>
      </w:r>
      <w:r>
        <w:t>&lt;</w:t>
      </w:r>
      <w:r w:rsidR="006140EA">
        <w:t xml:space="preserve"> </w:t>
      </w:r>
      <w:r>
        <w:t>0.001 for both comparisons).</w:t>
      </w:r>
    </w:p>
    <w:p w14:paraId="107DDF57" w14:textId="7E7F3B82" w:rsidR="00966864" w:rsidRDefault="002B426E" w:rsidP="00215E21">
      <w:pPr>
        <w:pStyle w:val="FigureTitle"/>
      </w:pPr>
      <w:r>
        <w:t>Figure</w:t>
      </w:r>
      <w:r w:rsidR="00025C4D">
        <w:t xml:space="preserve"> </w:t>
      </w:r>
      <w:r w:rsidR="00F30D27">
        <w:t xml:space="preserve">4: </w:t>
      </w:r>
      <w:r w:rsidR="00025C4D">
        <w:t>Mean change in</w:t>
      </w:r>
      <w:r w:rsidR="003F2DE3">
        <w:t>Hb</w:t>
      </w:r>
      <w:r w:rsidR="00A04B32">
        <w:t>A1c</w:t>
      </w:r>
      <w:r w:rsidR="00025C4D">
        <w:t xml:space="preserve"> from baseline from Baseline to Week 26</w:t>
      </w:r>
    </w:p>
    <w:p w14:paraId="47EDD104" w14:textId="77777777" w:rsidR="00966864" w:rsidRDefault="00966864" w:rsidP="004A4114">
      <w:pPr>
        <w:rPr>
          <w:color w:val="000000"/>
        </w:rPr>
      </w:pPr>
      <w:r w:rsidRPr="00C738A2">
        <w:rPr>
          <w:noProof/>
          <w:lang w:eastAsia="en-AU"/>
        </w:rPr>
        <w:drawing>
          <wp:inline distT="0" distB="0" distL="0" distR="0" wp14:anchorId="345A505D" wp14:editId="07C9C4B9">
            <wp:extent cx="4394192" cy="3607950"/>
            <wp:effectExtent l="0" t="0" r="6985" b="0"/>
            <wp:docPr id="244" name="Picture 244" descr="Mean change in A1c from baseline from Baseline to We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lum bright="-20000" contrast="40000"/>
                      <a:extLst>
                        <a:ext uri="{28A0092B-C50C-407E-A947-70E740481C1C}">
                          <a14:useLocalDpi xmlns:a14="http://schemas.microsoft.com/office/drawing/2010/main" val="0"/>
                        </a:ext>
                      </a:extLst>
                    </a:blip>
                    <a:srcRect/>
                    <a:stretch>
                      <a:fillRect/>
                    </a:stretch>
                  </pic:blipFill>
                  <pic:spPr bwMode="auto">
                    <a:xfrm>
                      <a:off x="0" y="0"/>
                      <a:ext cx="4398854" cy="3611778"/>
                    </a:xfrm>
                    <a:prstGeom prst="rect">
                      <a:avLst/>
                    </a:prstGeom>
                    <a:noFill/>
                    <a:ln>
                      <a:noFill/>
                    </a:ln>
                  </pic:spPr>
                </pic:pic>
              </a:graphicData>
            </a:graphic>
          </wp:inline>
        </w:drawing>
      </w:r>
    </w:p>
    <w:p w14:paraId="09785A14" w14:textId="0DD9CD20" w:rsidR="00966864" w:rsidRDefault="00966864" w:rsidP="00215E21">
      <w:r>
        <w:t>Compared with placebo, t</w:t>
      </w:r>
      <w:r w:rsidRPr="00E27D9C">
        <w:t>he raw proportions</w:t>
      </w:r>
      <w:r>
        <w:t xml:space="preserve"> </w:t>
      </w:r>
      <w:r w:rsidRPr="00E27D9C">
        <w:t xml:space="preserve">of subjects with an </w:t>
      </w:r>
      <w:r w:rsidR="003F2DE3">
        <w:t>Hb</w:t>
      </w:r>
      <w:r w:rsidR="00A04B32">
        <w:t>A1c</w:t>
      </w:r>
      <w:r w:rsidRPr="00E27D9C">
        <w:t xml:space="preserve"> &lt;</w:t>
      </w:r>
      <w:r w:rsidR="006140EA">
        <w:t xml:space="preserve"> </w:t>
      </w:r>
      <w:r w:rsidRPr="00E27D9C">
        <w:t xml:space="preserve">7.0% </w:t>
      </w:r>
      <w:r>
        <w:t>were 2 and 3</w:t>
      </w:r>
      <w:r w:rsidR="005E3DCE">
        <w:t xml:space="preserve"> </w:t>
      </w:r>
      <w:r>
        <w:t xml:space="preserve">times </w:t>
      </w:r>
      <w:r w:rsidRPr="00E27D9C">
        <w:t>greater</w:t>
      </w:r>
      <w:r>
        <w:t xml:space="preserve"> </w:t>
      </w:r>
      <w:r w:rsidRPr="00E27D9C">
        <w:t xml:space="preserve">in the </w:t>
      </w:r>
      <w:r>
        <w:t>ertugliflozin</w:t>
      </w:r>
      <w:r w:rsidRPr="00E27D9C">
        <w:t xml:space="preserve"> 5</w:t>
      </w:r>
      <w:r w:rsidR="00715B39">
        <w:t xml:space="preserve"> </w:t>
      </w:r>
      <w:r w:rsidR="006D7D02">
        <w:t>mg</w:t>
      </w:r>
      <w:r>
        <w:t xml:space="preserve"> and 1</w:t>
      </w:r>
      <w:r w:rsidR="006C336C">
        <w:t>5</w:t>
      </w:r>
      <w:r w:rsidR="00715B39">
        <w:t xml:space="preserve"> </w:t>
      </w:r>
      <w:r w:rsidR="006D7D02">
        <w:t>mg</w:t>
      </w:r>
      <w:r>
        <w:t xml:space="preserve"> groups</w:t>
      </w:r>
      <w:r w:rsidRPr="00E27D9C">
        <w:t>, respectively</w:t>
      </w:r>
      <w:r>
        <w:t xml:space="preserve"> </w:t>
      </w:r>
      <w:r w:rsidRPr="00E27D9C">
        <w:t>(</w:t>
      </w:r>
      <w:r>
        <w:t xml:space="preserve">28.2%, 35.8% and </w:t>
      </w:r>
      <w:r w:rsidRPr="00E27D9C">
        <w:t>13.1%</w:t>
      </w:r>
      <w:r>
        <w:t xml:space="preserve"> in the ertugliflozin </w:t>
      </w:r>
      <w:r w:rsidR="006C336C">
        <w:t>5</w:t>
      </w:r>
      <w:r w:rsidR="00715B39">
        <w:t xml:space="preserve"> </w:t>
      </w:r>
      <w:r w:rsidR="006D7D02">
        <w:t>mg</w:t>
      </w:r>
      <w:r>
        <w:t>, 1</w:t>
      </w:r>
      <w:r w:rsidR="006C336C">
        <w:t>5</w:t>
      </w:r>
      <w:r w:rsidR="00715B39">
        <w:t xml:space="preserve"> </w:t>
      </w:r>
      <w:r w:rsidR="006D7D02">
        <w:t>mg</w:t>
      </w:r>
      <w:r>
        <w:t xml:space="preserve"> and placebo groups, respectively)</w:t>
      </w:r>
      <w:r w:rsidRPr="00E27D9C">
        <w:t>.</w:t>
      </w:r>
    </w:p>
    <w:p w14:paraId="692459A6" w14:textId="5DC3A918" w:rsidR="00966864" w:rsidRDefault="00966864" w:rsidP="00215E21">
      <w:r w:rsidRPr="008D10B8">
        <w:t>The LS mean reductions from baseline in FPG at Week 26 were significantly (p</w:t>
      </w:r>
      <w:r w:rsidR="006140EA">
        <w:t xml:space="preserve"> </w:t>
      </w:r>
      <w:r w:rsidRPr="008D10B8">
        <w:t>&lt;</w:t>
      </w:r>
      <w:r w:rsidR="006140EA">
        <w:t xml:space="preserve"> </w:t>
      </w:r>
      <w:r w:rsidRPr="008D10B8">
        <w:t xml:space="preserve">0.001 for both comparisons) greater in the </w:t>
      </w:r>
      <w:r>
        <w:t>ertugliflozin</w:t>
      </w:r>
      <w:r w:rsidRPr="008D10B8">
        <w:t xml:space="preserve"> 5</w:t>
      </w:r>
      <w:r w:rsidR="00715B39">
        <w:t xml:space="preserve"> </w:t>
      </w:r>
      <w:r w:rsidR="006D7D02">
        <w:t>mg</w:t>
      </w:r>
      <w:r w:rsidRPr="008D10B8">
        <w:t xml:space="preserve"> and 15</w:t>
      </w:r>
      <w:r w:rsidR="00715B39">
        <w:t xml:space="preserve"> </w:t>
      </w:r>
      <w:r w:rsidR="006D7D02">
        <w:t>mg</w:t>
      </w:r>
      <w:r w:rsidRPr="008D10B8">
        <w:t xml:space="preserve"> groups compared to the placebo group </w:t>
      </w:r>
      <w:r w:rsidR="006140EA">
        <w:t>(</w:t>
      </w:r>
      <w:r w:rsidR="006140EA">
        <w:noBreakHyphen/>
      </w:r>
      <w:r w:rsidRPr="008D10B8">
        <w:t xml:space="preserve">1.88, </w:t>
      </w:r>
      <w:r w:rsidR="006140EA">
        <w:noBreakHyphen/>
      </w:r>
      <w:r w:rsidRPr="008D10B8">
        <w:t>2.41 and +0.03mmol/L, respectively)</w:t>
      </w:r>
      <w:r>
        <w:t>.</w:t>
      </w:r>
    </w:p>
    <w:p w14:paraId="329031D6" w14:textId="4330C9CC" w:rsidR="00966864" w:rsidRDefault="00215E21" w:rsidP="00215E21">
      <w:r>
        <w:t>A</w:t>
      </w:r>
      <w:r w:rsidR="00966864">
        <w:t xml:space="preserve">t </w:t>
      </w:r>
      <w:r w:rsidR="00C566F3">
        <w:t>W</w:t>
      </w:r>
      <w:r w:rsidR="00966864">
        <w:t>eek 26, 25</w:t>
      </w:r>
      <w:r w:rsidR="005E3DCE">
        <w:t>.5</w:t>
      </w:r>
      <w:r w:rsidR="00966864">
        <w:t xml:space="preserve">% of patients in the placebo group, 1.9% of patients in the </w:t>
      </w:r>
      <w:r w:rsidR="006C336C">
        <w:t>5</w:t>
      </w:r>
      <w:r w:rsidR="00715B39">
        <w:t xml:space="preserve"> </w:t>
      </w:r>
      <w:r w:rsidR="006D7D02">
        <w:t>mg</w:t>
      </w:r>
      <w:r w:rsidR="00966864">
        <w:t xml:space="preserve"> group and 2.6% of patients in the 1</w:t>
      </w:r>
      <w:r w:rsidR="006C336C">
        <w:t>5</w:t>
      </w:r>
      <w:r w:rsidR="00715B39">
        <w:t xml:space="preserve"> </w:t>
      </w:r>
      <w:r w:rsidR="006D7D02">
        <w:t>mg</w:t>
      </w:r>
      <w:r w:rsidR="00966864">
        <w:t xml:space="preserve"> were taking rescue medication.</w:t>
      </w:r>
    </w:p>
    <w:p w14:paraId="1BABCAA8" w14:textId="7453736B" w:rsidR="00584262" w:rsidRDefault="00584262" w:rsidP="00584262">
      <w:pPr>
        <w:pStyle w:val="Heading4"/>
      </w:pPr>
      <w:r>
        <w:lastRenderedPageBreak/>
        <w:t>Efficacy</w:t>
      </w:r>
      <w:r w:rsidR="006140EA">
        <w:t xml:space="preserve"> </w:t>
      </w:r>
      <w:r>
        <w:t>(c</w:t>
      </w:r>
      <w:r w:rsidR="00966864" w:rsidRPr="00DE6973">
        <w:t>ombination with other anti-hyperglycaemic agents)</w:t>
      </w:r>
    </w:p>
    <w:p w14:paraId="5B13454D" w14:textId="78C68E71" w:rsidR="00966864" w:rsidRPr="001F0053" w:rsidRDefault="00966864" w:rsidP="00584262">
      <w:pPr>
        <w:pStyle w:val="Heading5"/>
      </w:pPr>
      <w:r w:rsidRPr="001F0053">
        <w:t>Add-on to metformin</w:t>
      </w:r>
    </w:p>
    <w:p w14:paraId="78018F56" w14:textId="48BC3EEB" w:rsidR="006140EA" w:rsidRDefault="006140EA" w:rsidP="00584262">
      <w:pPr>
        <w:pStyle w:val="Heading6"/>
      </w:pPr>
      <w:r>
        <w:t xml:space="preserve">Study </w:t>
      </w:r>
      <w:r w:rsidR="00966864" w:rsidRPr="006E141A">
        <w:t>P007/1017</w:t>
      </w:r>
    </w:p>
    <w:p w14:paraId="0D567D35" w14:textId="5BCBC009" w:rsidR="00966864" w:rsidRPr="006E141A" w:rsidRDefault="00966864" w:rsidP="00584262">
      <w:r w:rsidRPr="006E141A">
        <w:t xml:space="preserve">A </w:t>
      </w:r>
      <w:r w:rsidR="00F97771">
        <w:t>Phase III</w:t>
      </w:r>
      <w:r w:rsidRPr="006E141A">
        <w:t xml:space="preserve">, </w:t>
      </w:r>
      <w:r w:rsidR="006140EA" w:rsidRPr="006E141A">
        <w:t>randomised, double</w:t>
      </w:r>
      <w:r w:rsidR="006140EA">
        <w:t xml:space="preserve"> </w:t>
      </w:r>
      <w:r w:rsidR="006140EA" w:rsidRPr="006E141A">
        <w:t xml:space="preserve">blind, placebo </w:t>
      </w:r>
      <w:proofErr w:type="gramStart"/>
      <w:r w:rsidR="006140EA" w:rsidRPr="006E141A">
        <w:t>controlled,</w:t>
      </w:r>
      <w:proofErr w:type="gramEnd"/>
      <w:r w:rsidR="006140EA" w:rsidRPr="006E141A">
        <w:t xml:space="preserve"> 26</w:t>
      </w:r>
      <w:r w:rsidR="006140EA">
        <w:t xml:space="preserve"> </w:t>
      </w:r>
      <w:r w:rsidR="006140EA" w:rsidRPr="006E141A">
        <w:t>week multicentre study with a 78 week extension to evaluate</w:t>
      </w:r>
      <w:r w:rsidR="006140EA">
        <w:t xml:space="preserve"> </w:t>
      </w:r>
      <w:r w:rsidR="006140EA" w:rsidRPr="006E141A">
        <w:t xml:space="preserve">the efficacy and safety of </w:t>
      </w:r>
      <w:r w:rsidR="006140EA">
        <w:t>ertugliflozin</w:t>
      </w:r>
      <w:r w:rsidR="006140EA" w:rsidRPr="006E141A">
        <w:t xml:space="preserve"> in subjects with</w:t>
      </w:r>
      <w:r w:rsidRPr="006E141A">
        <w:t xml:space="preserve"> T2DM and </w:t>
      </w:r>
      <w:r w:rsidR="00922E23" w:rsidRPr="006E141A">
        <w:t>inadequate glycaemic control on metformin monotherapy</w:t>
      </w:r>
      <w:r w:rsidRPr="006E141A">
        <w:t>.</w:t>
      </w:r>
    </w:p>
    <w:p w14:paraId="4A0E12C0" w14:textId="28C34D91" w:rsidR="00966864" w:rsidRDefault="00966864" w:rsidP="00215E21">
      <w:r w:rsidRPr="00F668CF">
        <w:t>This is a 104</w:t>
      </w:r>
      <w:r w:rsidR="00C566F3">
        <w:t xml:space="preserve"> </w:t>
      </w:r>
      <w:r w:rsidRPr="00F668CF">
        <w:t>week, multicentre, randomised, parallel</w:t>
      </w:r>
      <w:r w:rsidR="00C566F3">
        <w:t xml:space="preserve"> </w:t>
      </w:r>
      <w:r w:rsidRPr="00F668CF">
        <w:t>group study with a 26</w:t>
      </w:r>
      <w:r w:rsidR="00C566F3">
        <w:t xml:space="preserve"> </w:t>
      </w:r>
      <w:r w:rsidRPr="00F668CF">
        <w:t>week, double</w:t>
      </w:r>
      <w:r w:rsidR="00C566F3">
        <w:t xml:space="preserve"> </w:t>
      </w:r>
      <w:r w:rsidRPr="00F668CF">
        <w:t>blind, placebo</w:t>
      </w:r>
      <w:r w:rsidR="00C566F3">
        <w:t xml:space="preserve"> </w:t>
      </w:r>
      <w:r w:rsidRPr="00F668CF">
        <w:t>controlled treatment period (Phase A) followed by a 78</w:t>
      </w:r>
      <w:r w:rsidR="00C566F3">
        <w:t xml:space="preserve"> </w:t>
      </w:r>
      <w:r w:rsidRPr="00F668CF">
        <w:t>week active</w:t>
      </w:r>
      <w:r w:rsidR="00922E23">
        <w:t xml:space="preserve"> </w:t>
      </w:r>
      <w:r w:rsidRPr="00F668CF">
        <w:t>controlled treatment period (Phase B) in adults with T2DM, diagnosed in accordance with the ADA guidelines and inadequate glycaemic control (</w:t>
      </w:r>
      <w:r w:rsidR="003F2DE3">
        <w:t>Hb</w:t>
      </w:r>
      <w:r w:rsidR="00A04B32">
        <w:t>A1c</w:t>
      </w:r>
      <w:r w:rsidRPr="00F668CF">
        <w:t xml:space="preserve"> 7.0</w:t>
      </w:r>
      <w:r w:rsidR="00922E23">
        <w:t xml:space="preserve"> to </w:t>
      </w:r>
      <w:r w:rsidRPr="00F668CF">
        <w:t xml:space="preserve">10.5% inclusive) on metformin monotherapy at a dose </w:t>
      </w:r>
      <w:r w:rsidR="00EB55BF">
        <w:rPr>
          <w:rFonts w:eastAsia="SymbolMT" w:cs="SymbolMT"/>
        </w:rPr>
        <w:t xml:space="preserve">≥ </w:t>
      </w:r>
      <w:r w:rsidRPr="00F668CF">
        <w:t>1500</w:t>
      </w:r>
      <w:r w:rsidR="00715B39">
        <w:t xml:space="preserve"> </w:t>
      </w:r>
      <w:r w:rsidR="006D7D02">
        <w:t>mg</w:t>
      </w:r>
      <w:r w:rsidRPr="00F668CF">
        <w:t>/day</w:t>
      </w:r>
      <w:r>
        <w:t xml:space="preserve">. </w:t>
      </w:r>
      <w:r w:rsidRPr="00F668CF">
        <w:t>The study includes a screening period of 1 week, a minimum 8</w:t>
      </w:r>
      <w:r w:rsidR="00C566F3">
        <w:t xml:space="preserve"> </w:t>
      </w:r>
      <w:r w:rsidRPr="00F668CF">
        <w:t>week metformin stable dose period (when subjects discontinued and remained off any previous allowable background diabetes therapy except for metformin), and a 2</w:t>
      </w:r>
      <w:r w:rsidR="00C566F3">
        <w:t xml:space="preserve"> </w:t>
      </w:r>
      <w:r w:rsidRPr="00F668CF">
        <w:t>week single</w:t>
      </w:r>
      <w:r w:rsidR="00922E23">
        <w:t xml:space="preserve"> </w:t>
      </w:r>
      <w:r w:rsidRPr="00F668CF">
        <w:t>blind placebo run-in period prior to randomisation</w:t>
      </w:r>
      <w:r>
        <w:t>. Only the 26 week treatment phase was available for evaluation.</w:t>
      </w:r>
    </w:p>
    <w:p w14:paraId="18F227F1" w14:textId="3B1E268B" w:rsidR="00966864" w:rsidRDefault="00966864" w:rsidP="00215E21">
      <w:r>
        <w:t xml:space="preserve">Patients were included if they were </w:t>
      </w:r>
      <w:r w:rsidR="00AD51CF">
        <w:t>&gt;</w:t>
      </w:r>
      <w:r w:rsidR="00922E23">
        <w:t xml:space="preserve"> </w:t>
      </w:r>
      <w:r>
        <w:t>18 years, BMI 18</w:t>
      </w:r>
      <w:r w:rsidR="00922E23">
        <w:t xml:space="preserve"> to </w:t>
      </w:r>
      <w:r>
        <w:t>40</w:t>
      </w:r>
      <w:r w:rsidR="00922E23">
        <w:t xml:space="preserve"> </w:t>
      </w:r>
      <w:r>
        <w:t>kg/m</w:t>
      </w:r>
      <w:r w:rsidRPr="007E3991">
        <w:rPr>
          <w:vertAlign w:val="superscript"/>
        </w:rPr>
        <w:t>2</w:t>
      </w:r>
      <w:r>
        <w:t xml:space="preserve"> and had </w:t>
      </w:r>
      <w:r w:rsidR="00F14099">
        <w:t>an</w:t>
      </w:r>
      <w:r>
        <w:t xml:space="preserve"> </w:t>
      </w:r>
      <w:r w:rsidR="003F2DE3">
        <w:t>Hb</w:t>
      </w:r>
      <w:r w:rsidR="00A04B32">
        <w:t>A1c</w:t>
      </w:r>
      <w:r>
        <w:t xml:space="preserve"> within the following range</w:t>
      </w:r>
      <w:r w:rsidR="00025C4D">
        <w:t xml:space="preserve"> (</w:t>
      </w:r>
      <w:r w:rsidR="00584262">
        <w:t>see Table 28, below</w:t>
      </w:r>
      <w:r w:rsidR="00025C4D">
        <w:t>):</w:t>
      </w:r>
    </w:p>
    <w:p w14:paraId="1CF31A60" w14:textId="7A31DFF3" w:rsidR="00215E21" w:rsidRDefault="00215E21" w:rsidP="00215E21">
      <w:pPr>
        <w:pStyle w:val="TableTitle"/>
      </w:pPr>
      <w:r>
        <w:t>Table</w:t>
      </w:r>
      <w:r w:rsidR="00025C4D">
        <w:t xml:space="preserve"> </w:t>
      </w:r>
      <w:r w:rsidR="00F30D27">
        <w:t xml:space="preserve">28: </w:t>
      </w:r>
      <w:r w:rsidR="003F2DE3">
        <w:t>Hb</w:t>
      </w:r>
      <w:r w:rsidR="00A04B32">
        <w:t>A1c</w:t>
      </w:r>
      <w:r w:rsidR="00025C4D">
        <w:t xml:space="preserve"> inclusion criteria</w:t>
      </w:r>
    </w:p>
    <w:p w14:paraId="354795D7" w14:textId="77777777" w:rsidR="00966864" w:rsidRDefault="00966864" w:rsidP="00215E21">
      <w:r w:rsidRPr="00F668CF">
        <w:rPr>
          <w:noProof/>
          <w:lang w:eastAsia="en-AU"/>
        </w:rPr>
        <w:drawing>
          <wp:inline distT="0" distB="0" distL="0" distR="0" wp14:anchorId="628CA4E1" wp14:editId="489E2401">
            <wp:extent cx="5400040" cy="837587"/>
            <wp:effectExtent l="0" t="0" r="0" b="635"/>
            <wp:docPr id="8" name="Picture 8" descr="HbA1c inclusion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lum bright="-20000" contrast="40000"/>
                      <a:extLst>
                        <a:ext uri="{28A0092B-C50C-407E-A947-70E740481C1C}">
                          <a14:useLocalDpi xmlns:a14="http://schemas.microsoft.com/office/drawing/2010/main" val="0"/>
                        </a:ext>
                      </a:extLst>
                    </a:blip>
                    <a:srcRect/>
                    <a:stretch>
                      <a:fillRect/>
                    </a:stretch>
                  </pic:blipFill>
                  <pic:spPr bwMode="auto">
                    <a:xfrm>
                      <a:off x="0" y="0"/>
                      <a:ext cx="5400040" cy="837587"/>
                    </a:xfrm>
                    <a:prstGeom prst="rect">
                      <a:avLst/>
                    </a:prstGeom>
                    <a:noFill/>
                    <a:ln>
                      <a:noFill/>
                    </a:ln>
                  </pic:spPr>
                </pic:pic>
              </a:graphicData>
            </a:graphic>
          </wp:inline>
        </w:drawing>
      </w:r>
    </w:p>
    <w:p w14:paraId="164C1F17" w14:textId="7446A8B0" w:rsidR="00966864" w:rsidRDefault="00966864" w:rsidP="00215E21">
      <w:r w:rsidRPr="00F668CF">
        <w:t xml:space="preserve">Subjects were prescribed </w:t>
      </w:r>
      <w:r w:rsidR="00AD51CF">
        <w:t>open label</w:t>
      </w:r>
      <w:r w:rsidRPr="00F668CF">
        <w:t xml:space="preserve"> glycaemic rescue therapy and dosed according to physician judgment if they met specific, progressively more stringent, glycaemic criteria based on a repeated, confirmed FPG or </w:t>
      </w:r>
      <w:r w:rsidR="003F2DE3">
        <w:t>Hb</w:t>
      </w:r>
      <w:r w:rsidR="00A04B32">
        <w:t>A1c</w:t>
      </w:r>
      <w:r w:rsidRPr="00F668CF">
        <w:t xml:space="preserve"> measured by the central laboratory</w:t>
      </w:r>
      <w:r>
        <w:t>. Glycaemic rescue therapy was initially with glimepiride and if that was insufficient basal insulin.</w:t>
      </w:r>
    </w:p>
    <w:p w14:paraId="015181DD" w14:textId="77777777" w:rsidR="00966864" w:rsidRDefault="00966864" w:rsidP="00215E21">
      <w:r>
        <w:t>Randomisation was stratified so that at least 50% of the population was post-menopausal (so as to get sufficient high risk patients for fracture outcomes).</w:t>
      </w:r>
    </w:p>
    <w:p w14:paraId="2EEF99DB" w14:textId="77777777" w:rsidR="00966864" w:rsidRDefault="00966864" w:rsidP="00215E21">
      <w:r>
        <w:t>Patients were censored if they had glycaemic rescue therapy or bariatric surgery (except for glycaemic control endpoints).</w:t>
      </w:r>
    </w:p>
    <w:p w14:paraId="38EE4498" w14:textId="1D3EE8F8" w:rsidR="00966864" w:rsidRDefault="00966864" w:rsidP="00215E21">
      <w:r w:rsidRPr="00C62936">
        <w:rPr>
          <w:color w:val="000000"/>
        </w:rPr>
        <w:t>The overall mean and median dose of metformin at randomisation was approximately 2000</w:t>
      </w:r>
      <w:r w:rsidR="00715B39">
        <w:rPr>
          <w:color w:val="000000"/>
        </w:rPr>
        <w:t xml:space="preserve"> </w:t>
      </w:r>
      <w:r w:rsidR="006D7D02">
        <w:rPr>
          <w:color w:val="000000"/>
        </w:rPr>
        <w:t>mg</w:t>
      </w:r>
      <w:r w:rsidRPr="00C62936">
        <w:rPr>
          <w:color w:val="000000"/>
        </w:rPr>
        <w:t xml:space="preserve">/day and was similar across all groups. </w:t>
      </w:r>
      <w:r>
        <w:rPr>
          <w:color w:val="000000"/>
        </w:rPr>
        <w:t>In this study there were a greater proportion of subjects of Asian 16% or Black 10.3% racial origin. Mean BMI 30.9mk/m</w:t>
      </w:r>
      <w:r w:rsidRPr="006E141A">
        <w:rPr>
          <w:color w:val="000000"/>
          <w:vertAlign w:val="superscript"/>
        </w:rPr>
        <w:t>2</w:t>
      </w:r>
      <w:r>
        <w:rPr>
          <w:color w:val="000000"/>
        </w:rPr>
        <w:t xml:space="preserve">. Mean </w:t>
      </w:r>
      <w:r w:rsidR="003F2DE3">
        <w:t>Hb</w:t>
      </w:r>
      <w:r w:rsidR="00A04B32">
        <w:t>A1c</w:t>
      </w:r>
      <w:r>
        <w:rPr>
          <w:color w:val="000000"/>
        </w:rPr>
        <w:t xml:space="preserve"> 8.2%. Mean duration of diabetes</w:t>
      </w:r>
      <w:r w:rsidR="00EB55BF">
        <w:rPr>
          <w:color w:val="000000"/>
        </w:rPr>
        <w:t xml:space="preserve"> was</w:t>
      </w:r>
      <w:r>
        <w:rPr>
          <w:color w:val="000000"/>
        </w:rPr>
        <w:t xml:space="preserve"> 8 years</w:t>
      </w:r>
      <w:r w:rsidR="00EB55BF">
        <w:rPr>
          <w:color w:val="000000"/>
        </w:rPr>
        <w:t>.</w:t>
      </w:r>
    </w:p>
    <w:p w14:paraId="27CA5EFD" w14:textId="6574A448" w:rsidR="00966864" w:rsidRDefault="00966864" w:rsidP="00215E21">
      <w:pPr>
        <w:rPr>
          <w:color w:val="000000"/>
        </w:rPr>
      </w:pPr>
      <w:r w:rsidRPr="000F3BD4">
        <w:rPr>
          <w:color w:val="000000"/>
        </w:rPr>
        <w:t xml:space="preserve">Compared with placebo, the LS mean reduction from baseline in </w:t>
      </w:r>
      <w:r w:rsidR="003F2DE3">
        <w:t>Hb</w:t>
      </w:r>
      <w:r w:rsidR="00A04B32">
        <w:t>A1c</w:t>
      </w:r>
      <w:r w:rsidRPr="000F3BD4">
        <w:rPr>
          <w:color w:val="000000"/>
        </w:rPr>
        <w:t xml:space="preserve"> at Week 26 was significantly greater (p</w:t>
      </w:r>
      <w:r w:rsidR="00922E23">
        <w:rPr>
          <w:color w:val="000000"/>
        </w:rPr>
        <w:t xml:space="preserve"> </w:t>
      </w:r>
      <w:r w:rsidRPr="000F3BD4">
        <w:rPr>
          <w:color w:val="000000"/>
        </w:rPr>
        <w:t>&lt;</w:t>
      </w:r>
      <w:r w:rsidR="00ED354C">
        <w:rPr>
          <w:color w:val="000000"/>
        </w:rPr>
        <w:t> 0</w:t>
      </w:r>
      <w:r w:rsidR="00EB55BF">
        <w:rPr>
          <w:color w:val="000000"/>
        </w:rPr>
        <w:t>.001</w:t>
      </w:r>
      <w:r w:rsidRPr="000F3BD4">
        <w:rPr>
          <w:color w:val="000000"/>
        </w:rPr>
        <w:t xml:space="preserve">) for both </w:t>
      </w:r>
      <w:r>
        <w:rPr>
          <w:color w:val="000000"/>
        </w:rPr>
        <w:t>ertugliflozin</w:t>
      </w:r>
      <w:r w:rsidRPr="000F3BD4">
        <w:rPr>
          <w:color w:val="000000"/>
        </w:rPr>
        <w:t xml:space="preserve"> </w:t>
      </w:r>
      <w:r w:rsidR="006C336C">
        <w:rPr>
          <w:color w:val="000000"/>
        </w:rPr>
        <w:t>5</w:t>
      </w:r>
      <w:r w:rsidR="00715B39">
        <w:rPr>
          <w:color w:val="000000"/>
        </w:rPr>
        <w:t xml:space="preserve"> </w:t>
      </w:r>
      <w:r w:rsidR="006D7D02">
        <w:rPr>
          <w:color w:val="000000"/>
        </w:rPr>
        <w:t>mg</w:t>
      </w:r>
      <w:r w:rsidRPr="000F3BD4">
        <w:rPr>
          <w:color w:val="000000"/>
        </w:rPr>
        <w:t xml:space="preserve"> (placebo subtracted difference </w:t>
      </w:r>
      <w:r w:rsidR="00922E23">
        <w:rPr>
          <w:color w:val="000000"/>
        </w:rPr>
        <w:t>(</w:t>
      </w:r>
      <w:r w:rsidR="00922E23">
        <w:noBreakHyphen/>
      </w:r>
      <w:r w:rsidRPr="000F3BD4">
        <w:t xml:space="preserve">0.70, 95% CI: </w:t>
      </w:r>
      <w:r w:rsidR="00922E23">
        <w:noBreakHyphen/>
      </w:r>
      <w:r w:rsidRPr="000F3BD4">
        <w:t xml:space="preserve">0.87, </w:t>
      </w:r>
      <w:r w:rsidR="00922E23">
        <w:noBreakHyphen/>
      </w:r>
      <w:r w:rsidRPr="000F3BD4">
        <w:t>0.53) and 1</w:t>
      </w:r>
      <w:r w:rsidR="006C336C">
        <w:t>5</w:t>
      </w:r>
      <w:r w:rsidR="00715B39">
        <w:t xml:space="preserve"> </w:t>
      </w:r>
      <w:r w:rsidR="006D7D02">
        <w:t>mg</w:t>
      </w:r>
      <w:r w:rsidRPr="000F3BD4">
        <w:t xml:space="preserve"> </w:t>
      </w:r>
      <w:r w:rsidR="00922E23" w:rsidRPr="000F3BD4">
        <w:t>(</w:t>
      </w:r>
      <w:r w:rsidR="00922E23">
        <w:noBreakHyphen/>
      </w:r>
      <w:r w:rsidRPr="000F3BD4">
        <w:t xml:space="preserve">0.88, 95% CI: </w:t>
      </w:r>
      <w:r w:rsidR="00922E23">
        <w:noBreakHyphen/>
      </w:r>
      <w:r w:rsidRPr="000F3BD4">
        <w:t xml:space="preserve">1.05, </w:t>
      </w:r>
      <w:r w:rsidR="00922E23">
        <w:noBreakHyphen/>
      </w:r>
      <w:r w:rsidRPr="000F3BD4">
        <w:t>0.71)</w:t>
      </w:r>
      <w:r w:rsidRPr="000F3BD4">
        <w:rPr>
          <w:color w:val="000000"/>
        </w:rPr>
        <w:t xml:space="preserve"> groups</w:t>
      </w:r>
      <w:r>
        <w:rPr>
          <w:color w:val="000000"/>
        </w:rPr>
        <w:t>.</w:t>
      </w:r>
    </w:p>
    <w:p w14:paraId="19AAD107" w14:textId="1BBA28BA" w:rsidR="00966864" w:rsidRDefault="00966864" w:rsidP="00215E21">
      <w:r w:rsidRPr="000F3BD4">
        <w:t>The raw proportions of subjects with an</w:t>
      </w:r>
      <w:r w:rsidR="003F2DE3">
        <w:t>Hb</w:t>
      </w:r>
      <w:r w:rsidR="00A04B32">
        <w:t>A1c</w:t>
      </w:r>
      <w:r w:rsidRPr="000F3BD4">
        <w:t xml:space="preserve"> &lt;</w:t>
      </w:r>
      <w:r w:rsidR="00922E23">
        <w:t xml:space="preserve"> </w:t>
      </w:r>
      <w:r w:rsidRPr="000F3BD4">
        <w:t xml:space="preserve">7.0% were approximately 2.5-times greater in the </w:t>
      </w:r>
      <w:r>
        <w:t>ertugliflozin</w:t>
      </w:r>
      <w:r w:rsidRPr="000F3BD4">
        <w:t xml:space="preserve"> </w:t>
      </w:r>
      <w:r w:rsidR="006C336C">
        <w:t>5</w:t>
      </w:r>
      <w:r w:rsidR="00715B39">
        <w:t xml:space="preserve"> </w:t>
      </w:r>
      <w:r w:rsidR="006D7D02">
        <w:t>mg</w:t>
      </w:r>
      <w:r w:rsidRPr="000F3BD4">
        <w:t xml:space="preserve"> and 15</w:t>
      </w:r>
      <w:r w:rsidR="00715B39">
        <w:t xml:space="preserve"> </w:t>
      </w:r>
      <w:r w:rsidR="006D7D02">
        <w:t>mg</w:t>
      </w:r>
      <w:r w:rsidRPr="000F3BD4">
        <w:t xml:space="preserve"> groups than in the placebo group (35.3%, 40% and 15.8% in th</w:t>
      </w:r>
      <w:r>
        <w:t>e</w:t>
      </w:r>
      <w:r w:rsidRPr="000F3BD4">
        <w:t xml:space="preserve"> </w:t>
      </w:r>
      <w:r>
        <w:t>ertugliflozin</w:t>
      </w:r>
      <w:r w:rsidRPr="000F3BD4">
        <w:t xml:space="preserve"> </w:t>
      </w:r>
      <w:r w:rsidR="006C336C">
        <w:t>5</w:t>
      </w:r>
      <w:r w:rsidR="00715B39">
        <w:t xml:space="preserve"> </w:t>
      </w:r>
      <w:r w:rsidR="006D7D02">
        <w:t>mg</w:t>
      </w:r>
      <w:r w:rsidRPr="000F3BD4">
        <w:t>, 1</w:t>
      </w:r>
      <w:r w:rsidR="006C336C">
        <w:t>5</w:t>
      </w:r>
      <w:r w:rsidR="00715B39">
        <w:t xml:space="preserve"> </w:t>
      </w:r>
      <w:r w:rsidR="006D7D02">
        <w:t>mg</w:t>
      </w:r>
      <w:r w:rsidRPr="000F3BD4">
        <w:t xml:space="preserve"> and placebo group, respectively).</w:t>
      </w:r>
    </w:p>
    <w:p w14:paraId="4921A719" w14:textId="31C4353B" w:rsidR="00966864" w:rsidRDefault="00966864" w:rsidP="00215E21">
      <w:r w:rsidRPr="000F3BD4">
        <w:t>Compared with placebo, the LS mean reductions from baseline in FPG at Week 26 were significantly (p</w:t>
      </w:r>
      <w:r w:rsidR="00922E23">
        <w:t xml:space="preserve"> </w:t>
      </w:r>
      <w:r w:rsidRPr="000F3BD4">
        <w:t>&lt;</w:t>
      </w:r>
      <w:r w:rsidR="00922E23">
        <w:t xml:space="preserve"> </w:t>
      </w:r>
      <w:r w:rsidRPr="000F3BD4">
        <w:t xml:space="preserve">0.001) greater in the </w:t>
      </w:r>
      <w:r w:rsidR="006C336C">
        <w:t>5</w:t>
      </w:r>
      <w:r w:rsidR="00715B39">
        <w:t xml:space="preserve"> </w:t>
      </w:r>
      <w:r w:rsidR="006D7D02">
        <w:t>mg</w:t>
      </w:r>
      <w:r>
        <w:t xml:space="preserve"> and 1</w:t>
      </w:r>
      <w:r w:rsidR="006C336C">
        <w:t>5</w:t>
      </w:r>
      <w:r w:rsidR="00715B39">
        <w:t xml:space="preserve"> </w:t>
      </w:r>
      <w:r w:rsidR="006D7D02">
        <w:t>mg</w:t>
      </w:r>
      <w:r>
        <w:t xml:space="preserve"> ertugliflozin groups </w:t>
      </w:r>
      <w:r w:rsidR="00922E23">
        <w:t>(</w:t>
      </w:r>
      <w:r w:rsidR="00922E23">
        <w:noBreakHyphen/>
      </w:r>
      <w:r w:rsidRPr="000F3BD4">
        <w:t xml:space="preserve">1.5, </w:t>
      </w:r>
      <w:r w:rsidR="00922E23">
        <w:noBreakHyphen/>
      </w:r>
      <w:r w:rsidRPr="000F3BD4">
        <w:t xml:space="preserve">2.2 and </w:t>
      </w:r>
      <w:r w:rsidR="00EB55BF">
        <w:noBreakHyphen/>
      </w:r>
      <w:r w:rsidRPr="000F3BD4">
        <w:t>0.05mmol/L, respectively)</w:t>
      </w:r>
      <w:r>
        <w:t>.</w:t>
      </w:r>
    </w:p>
    <w:p w14:paraId="2B1454B5" w14:textId="0DCB3240" w:rsidR="00966864" w:rsidRDefault="00966864" w:rsidP="00215E21">
      <w:pPr>
        <w:rPr>
          <w:color w:val="000000"/>
        </w:rPr>
      </w:pPr>
      <w:r w:rsidRPr="000F3BD4">
        <w:rPr>
          <w:color w:val="000000"/>
        </w:rPr>
        <w:lastRenderedPageBreak/>
        <w:t>Compared with placebo, the LS mean reductions from baseline in body weight at Week 26 were significantly (p</w:t>
      </w:r>
      <w:r w:rsidR="00922E23">
        <w:rPr>
          <w:color w:val="000000"/>
        </w:rPr>
        <w:t xml:space="preserve"> </w:t>
      </w:r>
      <w:r w:rsidRPr="000F3BD4">
        <w:rPr>
          <w:color w:val="000000"/>
        </w:rPr>
        <w:t>&lt;</w:t>
      </w:r>
      <w:r w:rsidR="00922E23">
        <w:rPr>
          <w:color w:val="000000"/>
        </w:rPr>
        <w:t xml:space="preserve"> </w:t>
      </w:r>
      <w:r w:rsidRPr="000F3BD4">
        <w:rPr>
          <w:color w:val="000000"/>
        </w:rPr>
        <w:t xml:space="preserve">0.001) greater in the </w:t>
      </w:r>
      <w:r w:rsidR="00EB55BF">
        <w:rPr>
          <w:color w:val="000000"/>
        </w:rPr>
        <w:t>e</w:t>
      </w:r>
      <w:r>
        <w:rPr>
          <w:color w:val="000000"/>
        </w:rPr>
        <w:t>rtugliflozin</w:t>
      </w:r>
      <w:r w:rsidRPr="000F3BD4">
        <w:rPr>
          <w:color w:val="000000"/>
        </w:rPr>
        <w:t xml:space="preserve"> groups </w:t>
      </w:r>
      <w:r w:rsidR="00922E23" w:rsidRPr="000F3BD4">
        <w:rPr>
          <w:color w:val="000000"/>
        </w:rPr>
        <w:t>(</w:t>
      </w:r>
      <w:r w:rsidR="00922E23">
        <w:rPr>
          <w:color w:val="000000"/>
        </w:rPr>
        <w:noBreakHyphen/>
      </w:r>
      <w:r w:rsidRPr="000F3BD4">
        <w:rPr>
          <w:color w:val="000000"/>
        </w:rPr>
        <w:t xml:space="preserve">3.0, </w:t>
      </w:r>
      <w:r w:rsidR="00922E23">
        <w:rPr>
          <w:color w:val="000000"/>
        </w:rPr>
        <w:noBreakHyphen/>
      </w:r>
      <w:r w:rsidRPr="000F3BD4">
        <w:rPr>
          <w:color w:val="000000"/>
        </w:rPr>
        <w:t xml:space="preserve">2.9 and </w:t>
      </w:r>
      <w:r w:rsidR="00922E23">
        <w:rPr>
          <w:color w:val="000000"/>
        </w:rPr>
        <w:noBreakHyphen/>
      </w:r>
      <w:r w:rsidRPr="000F3BD4">
        <w:rPr>
          <w:color w:val="000000"/>
        </w:rPr>
        <w:t>1.3kg, respectively)</w:t>
      </w:r>
      <w:r w:rsidR="00922E23">
        <w:rPr>
          <w:color w:val="000000"/>
        </w:rPr>
        <w:t>.</w:t>
      </w:r>
    </w:p>
    <w:p w14:paraId="46026970" w14:textId="6BCE3174" w:rsidR="00966864" w:rsidRDefault="00966864" w:rsidP="00215E21">
      <w:pPr>
        <w:rPr>
          <w:color w:val="000000"/>
        </w:rPr>
      </w:pPr>
      <w:r w:rsidRPr="000F3BD4">
        <w:rPr>
          <w:color w:val="000000"/>
        </w:rPr>
        <w:t xml:space="preserve">Compared with placebo, the LS mean reductions from baseline in sitting SBP at Week 26 were significantly greater in the </w:t>
      </w:r>
      <w:r>
        <w:rPr>
          <w:color w:val="000000"/>
        </w:rPr>
        <w:t>ertugliflozin</w:t>
      </w:r>
      <w:r w:rsidRPr="000F3BD4">
        <w:rPr>
          <w:color w:val="000000"/>
        </w:rPr>
        <w:t xml:space="preserve"> </w:t>
      </w:r>
      <w:r w:rsidR="006C336C">
        <w:rPr>
          <w:color w:val="000000"/>
        </w:rPr>
        <w:t>5</w:t>
      </w:r>
      <w:r w:rsidR="00715B39">
        <w:rPr>
          <w:color w:val="000000"/>
        </w:rPr>
        <w:t xml:space="preserve"> </w:t>
      </w:r>
      <w:r w:rsidR="006D7D02">
        <w:rPr>
          <w:color w:val="000000"/>
        </w:rPr>
        <w:t>mg</w:t>
      </w:r>
      <w:r w:rsidRPr="000F3BD4">
        <w:rPr>
          <w:color w:val="000000"/>
        </w:rPr>
        <w:t xml:space="preserve"> and 15</w:t>
      </w:r>
      <w:r w:rsidR="00715B39">
        <w:rPr>
          <w:color w:val="000000"/>
        </w:rPr>
        <w:t xml:space="preserve"> </w:t>
      </w:r>
      <w:r w:rsidR="006D7D02">
        <w:rPr>
          <w:color w:val="000000"/>
        </w:rPr>
        <w:t>mg</w:t>
      </w:r>
      <w:r w:rsidRPr="000F3BD4">
        <w:rPr>
          <w:color w:val="000000"/>
        </w:rPr>
        <w:t xml:space="preserve"> </w:t>
      </w:r>
      <w:r>
        <w:rPr>
          <w:color w:val="000000"/>
        </w:rPr>
        <w:t xml:space="preserve">groups </w:t>
      </w:r>
      <w:r w:rsidR="00922E23">
        <w:rPr>
          <w:color w:val="000000"/>
        </w:rPr>
        <w:t>(</w:t>
      </w:r>
      <w:r w:rsidR="00922E23">
        <w:rPr>
          <w:color w:val="000000"/>
        </w:rPr>
        <w:noBreakHyphen/>
      </w:r>
      <w:r>
        <w:rPr>
          <w:color w:val="000000"/>
        </w:rPr>
        <w:t xml:space="preserve">4.4, </w:t>
      </w:r>
      <w:r w:rsidR="00922E23">
        <w:rPr>
          <w:color w:val="000000"/>
        </w:rPr>
        <w:noBreakHyphen/>
      </w:r>
      <w:r>
        <w:rPr>
          <w:color w:val="000000"/>
        </w:rPr>
        <w:t xml:space="preserve">5.2 and </w:t>
      </w:r>
      <w:r w:rsidR="00EB55BF">
        <w:rPr>
          <w:color w:val="000000"/>
        </w:rPr>
        <w:noBreakHyphen/>
      </w:r>
      <w:r>
        <w:rPr>
          <w:color w:val="000000"/>
        </w:rPr>
        <w:t>0.7</w:t>
      </w:r>
      <w:r w:rsidR="00922E23">
        <w:rPr>
          <w:color w:val="000000"/>
        </w:rPr>
        <w:t> </w:t>
      </w:r>
      <w:r>
        <w:rPr>
          <w:color w:val="000000"/>
        </w:rPr>
        <w:t>mmHg</w:t>
      </w:r>
      <w:r w:rsidRPr="000F3BD4">
        <w:rPr>
          <w:color w:val="000000"/>
        </w:rPr>
        <w:t xml:space="preserve">). The LS mean reductions from baseline in sitting DBP at Week 26 were also significantly greater in the </w:t>
      </w:r>
      <w:r>
        <w:rPr>
          <w:color w:val="000000"/>
        </w:rPr>
        <w:t>ertugliflozin</w:t>
      </w:r>
      <w:r w:rsidRPr="000F3BD4">
        <w:rPr>
          <w:color w:val="000000"/>
        </w:rPr>
        <w:t xml:space="preserve"> </w:t>
      </w:r>
      <w:r w:rsidR="006C336C">
        <w:rPr>
          <w:color w:val="000000"/>
        </w:rPr>
        <w:t>5</w:t>
      </w:r>
      <w:r w:rsidR="00715B39">
        <w:rPr>
          <w:color w:val="000000"/>
        </w:rPr>
        <w:t xml:space="preserve"> </w:t>
      </w:r>
      <w:r w:rsidR="006D7D02">
        <w:rPr>
          <w:color w:val="000000"/>
        </w:rPr>
        <w:t>mg</w:t>
      </w:r>
      <w:r w:rsidRPr="000F3BD4">
        <w:rPr>
          <w:color w:val="000000"/>
        </w:rPr>
        <w:t xml:space="preserve"> and 15</w:t>
      </w:r>
      <w:r w:rsidR="00715B39">
        <w:rPr>
          <w:color w:val="000000"/>
        </w:rPr>
        <w:t xml:space="preserve"> </w:t>
      </w:r>
      <w:r w:rsidR="006D7D02">
        <w:rPr>
          <w:color w:val="000000"/>
        </w:rPr>
        <w:t>mg</w:t>
      </w:r>
      <w:r w:rsidRPr="000F3BD4">
        <w:rPr>
          <w:color w:val="000000"/>
        </w:rPr>
        <w:t xml:space="preserve"> groups </w:t>
      </w:r>
      <w:r w:rsidR="00922E23" w:rsidRPr="000F3BD4">
        <w:rPr>
          <w:color w:val="000000"/>
        </w:rPr>
        <w:t>(</w:t>
      </w:r>
      <w:r w:rsidR="00922E23">
        <w:rPr>
          <w:color w:val="000000"/>
        </w:rPr>
        <w:noBreakHyphen/>
      </w:r>
      <w:r w:rsidRPr="000F3BD4">
        <w:rPr>
          <w:color w:val="000000"/>
        </w:rPr>
        <w:t xml:space="preserve">1.6, </w:t>
      </w:r>
      <w:r w:rsidR="00922E23">
        <w:rPr>
          <w:color w:val="000000"/>
        </w:rPr>
        <w:noBreakHyphen/>
      </w:r>
      <w:r w:rsidRPr="000F3BD4">
        <w:rPr>
          <w:color w:val="000000"/>
        </w:rPr>
        <w:t>2.2 and +0.23</w:t>
      </w:r>
      <w:r w:rsidR="00922E23">
        <w:rPr>
          <w:color w:val="000000"/>
        </w:rPr>
        <w:t> </w:t>
      </w:r>
      <w:r w:rsidRPr="000F3BD4">
        <w:rPr>
          <w:color w:val="000000"/>
        </w:rPr>
        <w:t>mmHg,).</w:t>
      </w:r>
    </w:p>
    <w:p w14:paraId="59A8AE55" w14:textId="604C1378" w:rsidR="00922E23" w:rsidRDefault="00922E23" w:rsidP="00584262">
      <w:pPr>
        <w:pStyle w:val="Heading6"/>
      </w:pPr>
      <w:r>
        <w:t xml:space="preserve">Study </w:t>
      </w:r>
      <w:r w:rsidR="00966864" w:rsidRPr="006E141A">
        <w:t>P002/1013</w:t>
      </w:r>
    </w:p>
    <w:p w14:paraId="6593C4AD" w14:textId="1E26B88E" w:rsidR="00966864" w:rsidRPr="006E141A" w:rsidRDefault="00966864" w:rsidP="00584262">
      <w:r w:rsidRPr="006E141A">
        <w:t xml:space="preserve">A Phase III, </w:t>
      </w:r>
      <w:r w:rsidR="00922E23" w:rsidRPr="006E141A">
        <w:t xml:space="preserve">multicentre, randomised, double blind, </w:t>
      </w:r>
      <w:proofErr w:type="gramStart"/>
      <w:r w:rsidR="00922E23" w:rsidRPr="006E141A">
        <w:t>active</w:t>
      </w:r>
      <w:proofErr w:type="gramEnd"/>
      <w:r w:rsidR="00922E23">
        <w:t xml:space="preserve"> </w:t>
      </w:r>
      <w:r w:rsidR="00922E23" w:rsidRPr="006E141A">
        <w:t xml:space="preserve">comparator controlled clinical trial to study the safety and efficacy of the addition of </w:t>
      </w:r>
      <w:r w:rsidR="00922E23">
        <w:t>ertugliflozin</w:t>
      </w:r>
      <w:r w:rsidR="00922E23" w:rsidRPr="006E141A">
        <w:t xml:space="preserve"> </w:t>
      </w:r>
      <w:r w:rsidRPr="006E141A">
        <w:t xml:space="preserve">(MK-8835/PF-04971729) </w:t>
      </w:r>
      <w:r w:rsidR="00922E23" w:rsidRPr="006E141A">
        <w:t xml:space="preserve">compared with the addition of glimepiride in subjects with </w:t>
      </w:r>
      <w:r w:rsidRPr="006E141A">
        <w:t xml:space="preserve">T2DM </w:t>
      </w:r>
      <w:r w:rsidR="00922E23" w:rsidRPr="006E141A">
        <w:t>who have inadequate glycaemic control on metformin</w:t>
      </w:r>
      <w:r w:rsidRPr="006E141A">
        <w:t>.</w:t>
      </w:r>
    </w:p>
    <w:p w14:paraId="70ED1CA0" w14:textId="36703FFE" w:rsidR="00966864" w:rsidRDefault="00966864" w:rsidP="00215E21">
      <w:r>
        <w:t>The study population included</w:t>
      </w:r>
      <w:r w:rsidRPr="000F3BD4">
        <w:t xml:space="preserve"> in adults with T2DM and inadequate glycaemic control</w:t>
      </w:r>
      <w:r>
        <w:t>, defined as</w:t>
      </w:r>
      <w:r w:rsidR="003F2DE3">
        <w:t>Hb</w:t>
      </w:r>
      <w:r w:rsidR="00A04B32">
        <w:t>A1c</w:t>
      </w:r>
      <w:r w:rsidRPr="000F3BD4">
        <w:t xml:space="preserve"> </w:t>
      </w:r>
      <w:r w:rsidR="00EB55BF">
        <w:t>≥ </w:t>
      </w:r>
      <w:r w:rsidRPr="000F3BD4">
        <w:t>7.0% and ≤</w:t>
      </w:r>
      <w:r w:rsidR="00EB55BF">
        <w:t> </w:t>
      </w:r>
      <w:r w:rsidRPr="000F3BD4">
        <w:t xml:space="preserve">9.0% on </w:t>
      </w:r>
      <w:r w:rsidR="00EB55BF">
        <w:t xml:space="preserve">≥ </w:t>
      </w:r>
      <w:r w:rsidRPr="000F3BD4">
        <w:t>1500</w:t>
      </w:r>
      <w:r w:rsidR="00715B39">
        <w:t xml:space="preserve"> </w:t>
      </w:r>
      <w:r w:rsidR="006D7D02">
        <w:t>mg</w:t>
      </w:r>
      <w:r w:rsidRPr="000F3BD4">
        <w:t>/day metformin monotherapy for at least 8 weeks. The double</w:t>
      </w:r>
      <w:r w:rsidR="00EB55BF">
        <w:t xml:space="preserve"> </w:t>
      </w:r>
      <w:r w:rsidRPr="000F3BD4">
        <w:t>blind treatment period was 104 weeks in duration and divided into two 52</w:t>
      </w:r>
      <w:r w:rsidR="00EB55BF">
        <w:t xml:space="preserve"> </w:t>
      </w:r>
      <w:r w:rsidRPr="000F3BD4">
        <w:t>week phases (Phase A</w:t>
      </w:r>
      <w:r w:rsidR="00750F6F">
        <w:t>;</w:t>
      </w:r>
      <w:r w:rsidR="004A4114">
        <w:t xml:space="preserve"> Weeks 0 to </w:t>
      </w:r>
      <w:r w:rsidRPr="000F3BD4">
        <w:t>52; Phase B</w:t>
      </w:r>
      <w:r w:rsidR="00750F6F">
        <w:t xml:space="preserve">; </w:t>
      </w:r>
      <w:r w:rsidRPr="000F3BD4">
        <w:t>Weeks</w:t>
      </w:r>
      <w:r w:rsidR="009A3F68">
        <w:t xml:space="preserve"> </w:t>
      </w:r>
      <w:r w:rsidRPr="000F3BD4">
        <w:t>52</w:t>
      </w:r>
      <w:r w:rsidR="00750F6F">
        <w:t xml:space="preserve"> to </w:t>
      </w:r>
      <w:r w:rsidRPr="000F3BD4">
        <w:t>104) and only Phase</w:t>
      </w:r>
      <w:r w:rsidR="00750F6F">
        <w:t> </w:t>
      </w:r>
      <w:proofErr w:type="gramStart"/>
      <w:r w:rsidRPr="000F3BD4">
        <w:t>A</w:t>
      </w:r>
      <w:proofErr w:type="gramEnd"/>
      <w:r w:rsidRPr="000F3BD4">
        <w:t xml:space="preserve"> results were provided in submitted dossier</w:t>
      </w:r>
      <w:r w:rsidR="00750F6F">
        <w:t>.</w:t>
      </w:r>
    </w:p>
    <w:p w14:paraId="53702906" w14:textId="4E899D9B" w:rsidR="00966864" w:rsidRDefault="00966864" w:rsidP="00215E21">
      <w:r>
        <w:t xml:space="preserve">The comparative treatments were ertugliflozin </w:t>
      </w:r>
      <w:r w:rsidR="006C336C">
        <w:t>5</w:t>
      </w:r>
      <w:r w:rsidR="00715B39">
        <w:t xml:space="preserve"> </w:t>
      </w:r>
      <w:r w:rsidR="006D7D02">
        <w:t>mg</w:t>
      </w:r>
      <w:r>
        <w:t>, 1</w:t>
      </w:r>
      <w:r w:rsidR="006C336C">
        <w:t>5</w:t>
      </w:r>
      <w:r w:rsidR="00715B39">
        <w:t xml:space="preserve"> </w:t>
      </w:r>
      <w:r w:rsidR="006D7D02">
        <w:t>mg</w:t>
      </w:r>
      <w:r w:rsidR="004A4114">
        <w:t xml:space="preserve"> and glimepiride (1 to </w:t>
      </w:r>
      <w:r>
        <w:t>8</w:t>
      </w:r>
      <w:r w:rsidR="00715B39">
        <w:t xml:space="preserve"> </w:t>
      </w:r>
      <w:r w:rsidR="006D7D02">
        <w:t>mg</w:t>
      </w:r>
      <w:r>
        <w:t>). Open labelled sitagliptin was used for patients who had poor glycaemic control. The study was designed as a non-inferiority study.</w:t>
      </w:r>
    </w:p>
    <w:p w14:paraId="10E2B19C" w14:textId="4D06D0AF" w:rsidR="00966864" w:rsidRDefault="00966864" w:rsidP="00215E21">
      <w:r>
        <w:rPr>
          <w:color w:val="000000"/>
        </w:rPr>
        <w:t>There was a high drop</w:t>
      </w:r>
      <w:r w:rsidR="00ED354C">
        <w:rPr>
          <w:color w:val="000000"/>
        </w:rPr>
        <w:t>-</w:t>
      </w:r>
      <w:r>
        <w:rPr>
          <w:color w:val="000000"/>
        </w:rPr>
        <w:t xml:space="preserve">out rate for a non-inferiority study. </w:t>
      </w:r>
      <w:r w:rsidRPr="00661B52">
        <w:rPr>
          <w:color w:val="000000"/>
        </w:rPr>
        <w:t xml:space="preserve">Overall, 448, 441 and 437 subjects were randomised to </w:t>
      </w:r>
      <w:r>
        <w:rPr>
          <w:color w:val="000000"/>
        </w:rPr>
        <w:t>ertugliflozin</w:t>
      </w:r>
      <w:r w:rsidRPr="00661B52">
        <w:rPr>
          <w:color w:val="000000"/>
        </w:rPr>
        <w:t xml:space="preserve"> </w:t>
      </w:r>
      <w:r w:rsidR="006C336C">
        <w:rPr>
          <w:color w:val="000000"/>
        </w:rPr>
        <w:t>5</w:t>
      </w:r>
      <w:r w:rsidR="00715B39">
        <w:rPr>
          <w:color w:val="000000"/>
        </w:rPr>
        <w:t xml:space="preserve"> </w:t>
      </w:r>
      <w:r w:rsidR="006D7D02">
        <w:rPr>
          <w:color w:val="000000"/>
        </w:rPr>
        <w:t>mg</w:t>
      </w:r>
      <w:r w:rsidRPr="00661B52">
        <w:rPr>
          <w:color w:val="000000"/>
        </w:rPr>
        <w:t xml:space="preserve">, </w:t>
      </w:r>
      <w:r>
        <w:rPr>
          <w:color w:val="000000"/>
        </w:rPr>
        <w:t>ertugliflozin</w:t>
      </w:r>
      <w:r w:rsidRPr="00661B52">
        <w:rPr>
          <w:color w:val="000000"/>
        </w:rPr>
        <w:t xml:space="preserve"> 1</w:t>
      </w:r>
      <w:r w:rsidR="006C336C">
        <w:rPr>
          <w:color w:val="000000"/>
        </w:rPr>
        <w:t>5</w:t>
      </w:r>
      <w:r w:rsidR="00715B39">
        <w:rPr>
          <w:color w:val="000000"/>
        </w:rPr>
        <w:t xml:space="preserve"> </w:t>
      </w:r>
      <w:r w:rsidR="006D7D02">
        <w:rPr>
          <w:color w:val="000000"/>
        </w:rPr>
        <w:t>mg</w:t>
      </w:r>
      <w:r w:rsidRPr="00661B52">
        <w:rPr>
          <w:color w:val="000000"/>
        </w:rPr>
        <w:t xml:space="preserve"> and glimepiride, respectively</w:t>
      </w:r>
      <w:r>
        <w:rPr>
          <w:color w:val="000000"/>
        </w:rPr>
        <w:t xml:space="preserve">. </w:t>
      </w:r>
      <w:r w:rsidRPr="00661B52">
        <w:t xml:space="preserve">The proportion of subjects who discontinued study medication in Phase A was 24.1%, 18.8% and 20.4% in </w:t>
      </w:r>
      <w:r>
        <w:t>ertugliflozin</w:t>
      </w:r>
      <w:r w:rsidRPr="00661B52">
        <w:t xml:space="preserve"> </w:t>
      </w:r>
      <w:r w:rsidR="006C336C">
        <w:t>5</w:t>
      </w:r>
      <w:r w:rsidR="00715B39">
        <w:t xml:space="preserve"> </w:t>
      </w:r>
      <w:r w:rsidR="006D7D02">
        <w:t>mg</w:t>
      </w:r>
      <w:r w:rsidRPr="00661B52">
        <w:t>, 1</w:t>
      </w:r>
      <w:r w:rsidR="006C336C">
        <w:t>5</w:t>
      </w:r>
      <w:r w:rsidR="00715B39">
        <w:t xml:space="preserve"> </w:t>
      </w:r>
      <w:r w:rsidR="006D7D02">
        <w:t>mg</w:t>
      </w:r>
      <w:r w:rsidRPr="00661B52">
        <w:t xml:space="preserve"> and glimepiride groups, respectively, primarily related to discontinuations for hyperglycaemia and non-compliance with study drug. </w:t>
      </w:r>
      <w:r>
        <w:t>In addition, there were a significant number of protocol deviations. 23 subjects were randomised at more than 1 site. Overall, 31% of subjects were reported to have more than 1 major protocol variation. These factors potentially impact on the interpretation of results.</w:t>
      </w:r>
    </w:p>
    <w:p w14:paraId="63C46CC2" w14:textId="039874B3" w:rsidR="00966864" w:rsidRDefault="00966864" w:rsidP="00215E21">
      <w:r>
        <w:t>The mean duration of diabetes was 7 years. Mean dose of metformin was 200</w:t>
      </w:r>
      <w:r w:rsidR="006C336C">
        <w:t>0</w:t>
      </w:r>
      <w:r w:rsidR="00715B39">
        <w:t xml:space="preserve"> </w:t>
      </w:r>
      <w:r w:rsidR="006D7D02">
        <w:t>mg</w:t>
      </w:r>
      <w:r>
        <w:t xml:space="preserve">. mean </w:t>
      </w:r>
      <w:r w:rsidR="003F2DE3">
        <w:t>Hb</w:t>
      </w:r>
      <w:r w:rsidR="00A04B32">
        <w:t>A1c</w:t>
      </w:r>
      <w:r>
        <w:t xml:space="preserve"> 7.8%.</w:t>
      </w:r>
    </w:p>
    <w:p w14:paraId="018D4C6F" w14:textId="4477545C" w:rsidR="00966864" w:rsidRDefault="00966864" w:rsidP="00215E21">
      <w:pPr>
        <w:rPr>
          <w:color w:val="000000"/>
        </w:rPr>
      </w:pPr>
      <w:r w:rsidRPr="00C35496">
        <w:rPr>
          <w:color w:val="000000"/>
        </w:rPr>
        <w:t xml:space="preserve">At Week 52, there were clinically meaningful LS mean reductions from baseline in </w:t>
      </w:r>
      <w:r w:rsidR="003F2DE3">
        <w:t>Hb</w:t>
      </w:r>
      <w:r w:rsidR="00A04B32">
        <w:t>A1c</w:t>
      </w:r>
      <w:r w:rsidRPr="00C35496">
        <w:rPr>
          <w:color w:val="000000"/>
        </w:rPr>
        <w:t xml:space="preserve"> in the </w:t>
      </w:r>
      <w:r>
        <w:rPr>
          <w:color w:val="000000"/>
        </w:rPr>
        <w:t>ertugliflozin</w:t>
      </w:r>
      <w:r w:rsidRPr="00C35496">
        <w:rPr>
          <w:color w:val="000000"/>
        </w:rPr>
        <w:t xml:space="preserve"> 5</w:t>
      </w:r>
      <w:r w:rsidR="00715B39">
        <w:rPr>
          <w:color w:val="000000"/>
        </w:rPr>
        <w:t xml:space="preserve"> </w:t>
      </w:r>
      <w:r w:rsidR="006D7D02">
        <w:rPr>
          <w:color w:val="000000"/>
        </w:rPr>
        <w:t>mg</w:t>
      </w:r>
      <w:r w:rsidRPr="00C35496">
        <w:rPr>
          <w:color w:val="000000"/>
        </w:rPr>
        <w:t xml:space="preserve"> group (-0.56%), 15</w:t>
      </w:r>
      <w:r w:rsidR="00715B39">
        <w:rPr>
          <w:color w:val="000000"/>
        </w:rPr>
        <w:t xml:space="preserve"> </w:t>
      </w:r>
      <w:r w:rsidR="006D7D02">
        <w:rPr>
          <w:color w:val="000000"/>
        </w:rPr>
        <w:t>mg</w:t>
      </w:r>
      <w:r w:rsidRPr="00C35496">
        <w:rPr>
          <w:color w:val="000000"/>
        </w:rPr>
        <w:t xml:space="preserve"> group (-0.64%) and the glimepiride group (</w:t>
      </w:r>
      <w:r w:rsidR="00EB55BF">
        <w:rPr>
          <w:color w:val="000000"/>
        </w:rPr>
        <w:noBreakHyphen/>
      </w:r>
      <w:r w:rsidRPr="00C35496">
        <w:rPr>
          <w:color w:val="000000"/>
        </w:rPr>
        <w:t>0.74%)</w:t>
      </w:r>
      <w:r>
        <w:rPr>
          <w:color w:val="000000"/>
        </w:rPr>
        <w:t xml:space="preserve">. </w:t>
      </w:r>
      <w:r w:rsidRPr="00C35496">
        <w:rPr>
          <w:color w:val="000000"/>
        </w:rPr>
        <w:t xml:space="preserve">The LS mean difference (95% CI) between </w:t>
      </w:r>
      <w:r>
        <w:rPr>
          <w:color w:val="000000"/>
        </w:rPr>
        <w:t>ertugliflozin</w:t>
      </w:r>
      <w:r w:rsidRPr="00C35496">
        <w:rPr>
          <w:color w:val="000000"/>
        </w:rPr>
        <w:t xml:space="preserve"> 15</w:t>
      </w:r>
      <w:r w:rsidR="00715B39">
        <w:rPr>
          <w:color w:val="000000"/>
        </w:rPr>
        <w:t xml:space="preserve"> </w:t>
      </w:r>
      <w:r w:rsidR="006D7D02">
        <w:rPr>
          <w:color w:val="000000"/>
        </w:rPr>
        <w:t>mg</w:t>
      </w:r>
      <w:r w:rsidRPr="00C35496">
        <w:rPr>
          <w:color w:val="000000"/>
        </w:rPr>
        <w:t xml:space="preserve"> and glimepiride at Week 52 was 0.10% (</w:t>
      </w:r>
      <w:r w:rsidR="00750F6F">
        <w:rPr>
          <w:color w:val="000000"/>
        </w:rPr>
        <w:noBreakHyphen/>
      </w:r>
      <w:r w:rsidRPr="00C35496">
        <w:rPr>
          <w:color w:val="000000"/>
        </w:rPr>
        <w:t>0.02, 0.22)</w:t>
      </w:r>
      <w:r w:rsidR="00750F6F">
        <w:rPr>
          <w:color w:val="000000"/>
        </w:rPr>
        <w:t xml:space="preserve">; </w:t>
      </w:r>
      <w:r w:rsidRPr="00C35496">
        <w:rPr>
          <w:color w:val="000000"/>
        </w:rPr>
        <w:t>non-inferior</w:t>
      </w:r>
      <w:r>
        <w:rPr>
          <w:color w:val="000000"/>
        </w:rPr>
        <w:t>.</w:t>
      </w:r>
      <w:r w:rsidR="009A3F68">
        <w:rPr>
          <w:color w:val="000000"/>
        </w:rPr>
        <w:t xml:space="preserve"> </w:t>
      </w:r>
      <w:r w:rsidRPr="00C35496">
        <w:rPr>
          <w:color w:val="000000"/>
        </w:rPr>
        <w:t xml:space="preserve">The LS mean difference (95% CI) between </w:t>
      </w:r>
      <w:r>
        <w:rPr>
          <w:color w:val="000000"/>
        </w:rPr>
        <w:t>ertugliflozin</w:t>
      </w:r>
      <w:r w:rsidRPr="00C35496">
        <w:rPr>
          <w:color w:val="000000"/>
        </w:rPr>
        <w:t xml:space="preserve"> 5</w:t>
      </w:r>
      <w:r w:rsidR="00715B39">
        <w:rPr>
          <w:color w:val="000000"/>
        </w:rPr>
        <w:t xml:space="preserve"> </w:t>
      </w:r>
      <w:r w:rsidR="006D7D02">
        <w:rPr>
          <w:color w:val="000000"/>
        </w:rPr>
        <w:t>mg</w:t>
      </w:r>
      <w:r w:rsidRPr="00C35496">
        <w:rPr>
          <w:color w:val="000000"/>
        </w:rPr>
        <w:t xml:space="preserve"> and glimepiride at Week 52 was 0.18% (0.06, 0.30</w:t>
      </w:r>
      <w:r>
        <w:rPr>
          <w:color w:val="000000"/>
        </w:rPr>
        <w:t>)</w:t>
      </w:r>
      <w:r w:rsidR="00EB55BF">
        <w:rPr>
          <w:color w:val="000000"/>
        </w:rPr>
        <w:t xml:space="preserve"> and</w:t>
      </w:r>
      <w:r>
        <w:rPr>
          <w:color w:val="000000"/>
        </w:rPr>
        <w:t xml:space="preserve"> not non</w:t>
      </w:r>
      <w:r w:rsidR="00584262">
        <w:rPr>
          <w:color w:val="000000"/>
        </w:rPr>
        <w:noBreakHyphen/>
      </w:r>
      <w:r>
        <w:rPr>
          <w:color w:val="000000"/>
        </w:rPr>
        <w:t>inferior.</w:t>
      </w:r>
    </w:p>
    <w:p w14:paraId="24B9FEC4" w14:textId="6FFE37C0" w:rsidR="00966864" w:rsidRDefault="00966864" w:rsidP="00215E21">
      <w:r w:rsidRPr="00C35496">
        <w:t xml:space="preserve">Fewer subjects in the </w:t>
      </w:r>
      <w:r>
        <w:t>ertugliflozin</w:t>
      </w:r>
      <w:r w:rsidRPr="00C35496">
        <w:t xml:space="preserve"> </w:t>
      </w:r>
      <w:r w:rsidR="006C336C">
        <w:t>5</w:t>
      </w:r>
      <w:r w:rsidR="00715B39">
        <w:t xml:space="preserve"> </w:t>
      </w:r>
      <w:r w:rsidR="006D7D02">
        <w:t>mg</w:t>
      </w:r>
      <w:r w:rsidRPr="00C35496">
        <w:t xml:space="preserve"> and 15</w:t>
      </w:r>
      <w:r w:rsidR="00715B39">
        <w:t xml:space="preserve"> </w:t>
      </w:r>
      <w:r w:rsidR="006D7D02">
        <w:t>mg</w:t>
      </w:r>
      <w:r w:rsidRPr="00C35496">
        <w:t xml:space="preserve"> groups had a Week 52 </w:t>
      </w:r>
      <w:r w:rsidR="003F2DE3">
        <w:t>Hb</w:t>
      </w:r>
      <w:r w:rsidR="00A04B32">
        <w:t>A1c</w:t>
      </w:r>
      <w:r w:rsidRPr="00C35496">
        <w:t xml:space="preserve"> value &lt;</w:t>
      </w:r>
      <w:r w:rsidR="00750F6F">
        <w:t> </w:t>
      </w:r>
      <w:r w:rsidRPr="00C35496">
        <w:t>7% compared with the glimepiride group (34.4%, 38% and 43.5%, respectively)</w:t>
      </w:r>
      <w:r>
        <w:t>.</w:t>
      </w:r>
    </w:p>
    <w:p w14:paraId="0E6F60C7" w14:textId="77777777" w:rsidR="00966864" w:rsidRDefault="00966864" w:rsidP="00215E21">
      <w:pPr>
        <w:rPr>
          <w:color w:val="000000"/>
        </w:rPr>
      </w:pPr>
      <w:r w:rsidRPr="00C35496">
        <w:rPr>
          <w:color w:val="000000"/>
        </w:rPr>
        <w:t xml:space="preserve">The LS mean reductions from baseline in FPG at Week 52 were greater in the </w:t>
      </w:r>
      <w:r>
        <w:rPr>
          <w:color w:val="000000"/>
        </w:rPr>
        <w:t>ertugliflozin</w:t>
      </w:r>
      <w:r w:rsidRPr="00C35496">
        <w:rPr>
          <w:color w:val="000000"/>
        </w:rPr>
        <w:t xml:space="preserve"> </w:t>
      </w:r>
      <w:r>
        <w:rPr>
          <w:color w:val="000000"/>
        </w:rPr>
        <w:t xml:space="preserve">groups </w:t>
      </w:r>
      <w:r w:rsidRPr="00C35496">
        <w:rPr>
          <w:color w:val="000000"/>
        </w:rPr>
        <w:t xml:space="preserve">(-1.04, -1.32 </w:t>
      </w:r>
      <w:r>
        <w:rPr>
          <w:color w:val="000000"/>
        </w:rPr>
        <w:t xml:space="preserve">versus </w:t>
      </w:r>
      <w:r w:rsidRPr="00C35496">
        <w:rPr>
          <w:color w:val="000000"/>
        </w:rPr>
        <w:t>0.90mmol/L</w:t>
      </w:r>
      <w:r>
        <w:rPr>
          <w:color w:val="000000"/>
        </w:rPr>
        <w:t xml:space="preserve"> for glimepiride).</w:t>
      </w:r>
    </w:p>
    <w:p w14:paraId="61E05A6A" w14:textId="1CD993A6" w:rsidR="00966864" w:rsidRDefault="00966864" w:rsidP="00215E21">
      <w:pPr>
        <w:rPr>
          <w:color w:val="000000"/>
        </w:rPr>
      </w:pPr>
      <w:r w:rsidRPr="00C35496">
        <w:rPr>
          <w:color w:val="000000"/>
        </w:rPr>
        <w:t xml:space="preserve">Compared with glimepiride, the LS mean reduction from baseline in body weight was significantly greater in the </w:t>
      </w:r>
      <w:r>
        <w:rPr>
          <w:color w:val="000000"/>
        </w:rPr>
        <w:t>ertugliflozin</w:t>
      </w:r>
      <w:r w:rsidRPr="00C35496">
        <w:rPr>
          <w:color w:val="000000"/>
        </w:rPr>
        <w:t xml:space="preserve"> </w:t>
      </w:r>
      <w:r w:rsidR="006C336C">
        <w:rPr>
          <w:color w:val="000000"/>
        </w:rPr>
        <w:t>5</w:t>
      </w:r>
      <w:r w:rsidR="00715B39">
        <w:rPr>
          <w:color w:val="000000"/>
        </w:rPr>
        <w:t xml:space="preserve"> </w:t>
      </w:r>
      <w:r w:rsidR="006D7D02">
        <w:rPr>
          <w:color w:val="000000"/>
        </w:rPr>
        <w:t>mg</w:t>
      </w:r>
      <w:r w:rsidRPr="00C35496">
        <w:rPr>
          <w:color w:val="000000"/>
        </w:rPr>
        <w:t xml:space="preserve"> and 15</w:t>
      </w:r>
      <w:r w:rsidR="00715B39">
        <w:rPr>
          <w:color w:val="000000"/>
        </w:rPr>
        <w:t xml:space="preserve"> </w:t>
      </w:r>
      <w:r w:rsidR="006D7D02">
        <w:rPr>
          <w:color w:val="000000"/>
        </w:rPr>
        <w:t>mg</w:t>
      </w:r>
      <w:r w:rsidRPr="00C35496">
        <w:rPr>
          <w:color w:val="000000"/>
        </w:rPr>
        <w:t xml:space="preserve"> groups </w:t>
      </w:r>
      <w:r w:rsidR="00750F6F" w:rsidRPr="00C35496">
        <w:rPr>
          <w:color w:val="000000"/>
        </w:rPr>
        <w:t>(</w:t>
      </w:r>
      <w:r w:rsidR="00750F6F">
        <w:rPr>
          <w:color w:val="000000"/>
        </w:rPr>
        <w:noBreakHyphen/>
      </w:r>
      <w:r w:rsidRPr="00C35496">
        <w:rPr>
          <w:color w:val="000000"/>
        </w:rPr>
        <w:t xml:space="preserve">3.0, </w:t>
      </w:r>
      <w:r w:rsidR="00750F6F">
        <w:rPr>
          <w:color w:val="000000"/>
        </w:rPr>
        <w:noBreakHyphen/>
      </w:r>
      <w:r w:rsidRPr="00C35496">
        <w:rPr>
          <w:color w:val="000000"/>
        </w:rPr>
        <w:t>3.4 and +0.91kg, respectively</w:t>
      </w:r>
      <w:r>
        <w:rPr>
          <w:color w:val="000000"/>
        </w:rPr>
        <w:t>).</w:t>
      </w:r>
    </w:p>
    <w:p w14:paraId="76F98BD4" w14:textId="42F0EC81" w:rsidR="00966864" w:rsidRDefault="00966864" w:rsidP="00215E21">
      <w:r w:rsidRPr="00C35496">
        <w:rPr>
          <w:color w:val="000000"/>
        </w:rPr>
        <w:t>Compared with glimepiride, the LS mean reductions from baseline in sitting SBP at Week</w:t>
      </w:r>
      <w:r w:rsidR="00584262">
        <w:rPr>
          <w:color w:val="000000"/>
        </w:rPr>
        <w:t> </w:t>
      </w:r>
      <w:r w:rsidRPr="00C35496">
        <w:rPr>
          <w:color w:val="000000"/>
        </w:rPr>
        <w:t xml:space="preserve">52 were greater in the </w:t>
      </w:r>
      <w:r>
        <w:rPr>
          <w:color w:val="000000"/>
        </w:rPr>
        <w:t>ertugliflozin</w:t>
      </w:r>
      <w:r w:rsidRPr="00C35496">
        <w:rPr>
          <w:color w:val="000000"/>
        </w:rPr>
        <w:t xml:space="preserve"> 5 and 15</w:t>
      </w:r>
      <w:r w:rsidR="00715B39">
        <w:rPr>
          <w:color w:val="000000"/>
        </w:rPr>
        <w:t xml:space="preserve"> </w:t>
      </w:r>
      <w:r w:rsidR="006D7D02">
        <w:rPr>
          <w:color w:val="000000"/>
        </w:rPr>
        <w:t>mg</w:t>
      </w:r>
      <w:r w:rsidRPr="00C35496">
        <w:rPr>
          <w:color w:val="000000"/>
        </w:rPr>
        <w:t xml:space="preserve"> groups </w:t>
      </w:r>
      <w:r w:rsidR="00750F6F" w:rsidRPr="00C35496">
        <w:rPr>
          <w:color w:val="000000"/>
        </w:rPr>
        <w:t>(</w:t>
      </w:r>
      <w:r w:rsidR="00750F6F">
        <w:rPr>
          <w:color w:val="000000"/>
        </w:rPr>
        <w:noBreakHyphen/>
      </w:r>
      <w:r w:rsidRPr="00C35496">
        <w:rPr>
          <w:color w:val="000000"/>
        </w:rPr>
        <w:t xml:space="preserve">2.3, </w:t>
      </w:r>
      <w:r w:rsidR="00750F6F">
        <w:rPr>
          <w:color w:val="000000"/>
        </w:rPr>
        <w:noBreakHyphen/>
      </w:r>
      <w:r w:rsidRPr="00C35496">
        <w:rPr>
          <w:color w:val="000000"/>
        </w:rPr>
        <w:t xml:space="preserve">3.8 </w:t>
      </w:r>
      <w:r>
        <w:rPr>
          <w:color w:val="000000"/>
        </w:rPr>
        <w:t xml:space="preserve">versus </w:t>
      </w:r>
      <w:r w:rsidRPr="00C35496">
        <w:rPr>
          <w:color w:val="000000"/>
        </w:rPr>
        <w:t>+0.95 mmHg, respectively</w:t>
      </w:r>
      <w:r>
        <w:rPr>
          <w:color w:val="000000"/>
        </w:rPr>
        <w:t xml:space="preserve">). </w:t>
      </w:r>
      <w:r w:rsidRPr="00C35496">
        <w:t xml:space="preserve">Similarly, LS mean reductions from baseline in sitting DBP at </w:t>
      </w:r>
      <w:r w:rsidRPr="00C35496">
        <w:lastRenderedPageBreak/>
        <w:t>Week</w:t>
      </w:r>
      <w:r w:rsidR="00584262">
        <w:t> </w:t>
      </w:r>
      <w:r w:rsidRPr="00C35496">
        <w:t xml:space="preserve">52 were greater in the </w:t>
      </w:r>
      <w:r>
        <w:t>ertugliflozin</w:t>
      </w:r>
      <w:r w:rsidRPr="00C35496">
        <w:t xml:space="preserve"> 5 and 1</w:t>
      </w:r>
      <w:r w:rsidR="006C336C">
        <w:t>5</w:t>
      </w:r>
      <w:r w:rsidR="00715B39">
        <w:t xml:space="preserve"> </w:t>
      </w:r>
      <w:r w:rsidR="006D7D02">
        <w:t>mg</w:t>
      </w:r>
      <w:r w:rsidRPr="00C35496">
        <w:t xml:space="preserve"> groups </w:t>
      </w:r>
      <w:r w:rsidR="00750F6F" w:rsidRPr="00C35496">
        <w:t>(</w:t>
      </w:r>
      <w:r w:rsidR="00750F6F">
        <w:noBreakHyphen/>
      </w:r>
      <w:r w:rsidRPr="00C35496">
        <w:t xml:space="preserve">0.92, </w:t>
      </w:r>
      <w:r w:rsidR="00750F6F">
        <w:noBreakHyphen/>
      </w:r>
      <w:r w:rsidRPr="00C35496">
        <w:t xml:space="preserve">1.22 </w:t>
      </w:r>
      <w:r>
        <w:t>versus</w:t>
      </w:r>
      <w:r w:rsidRPr="00C35496">
        <w:t xml:space="preserve"> +0.32mmHg, respectively</w:t>
      </w:r>
      <w:r>
        <w:t>).</w:t>
      </w:r>
      <w:r w:rsidR="00B51DF2">
        <w:t xml:space="preserve"> </w:t>
      </w:r>
      <w:r w:rsidRPr="00C35496">
        <w:t>The cumulative percentage of subjects who received glycaemic rescue medication through Week 52 was low</w:t>
      </w:r>
      <w:r>
        <w:t>: ertugliflozin</w:t>
      </w:r>
      <w:r w:rsidRPr="00C35496">
        <w:t xml:space="preserve"> 5</w:t>
      </w:r>
      <w:r w:rsidR="00715B39">
        <w:t xml:space="preserve"> </w:t>
      </w:r>
      <w:r w:rsidR="006D7D02">
        <w:t>mg</w:t>
      </w:r>
      <w:r w:rsidRPr="00C35496">
        <w:t xml:space="preserve"> 5.6%</w:t>
      </w:r>
      <w:r>
        <w:t>,</w:t>
      </w:r>
      <w:r w:rsidRPr="00C35496">
        <w:t xml:space="preserve"> </w:t>
      </w:r>
      <w:r>
        <w:t>ertugliflozin</w:t>
      </w:r>
      <w:r w:rsidRPr="00C35496">
        <w:t xml:space="preserve"> 15</w:t>
      </w:r>
      <w:r w:rsidR="00715B39">
        <w:t xml:space="preserve"> </w:t>
      </w:r>
      <w:r w:rsidR="006D7D02">
        <w:t>mg</w:t>
      </w:r>
      <w:r w:rsidRPr="00C35496">
        <w:t xml:space="preserve"> 3.6%</w:t>
      </w:r>
      <w:r>
        <w:t xml:space="preserve"> </w:t>
      </w:r>
      <w:r w:rsidRPr="00C35496">
        <w:t>and glimepiride 3.2% groups</w:t>
      </w:r>
      <w:r>
        <w:t>.</w:t>
      </w:r>
    </w:p>
    <w:p w14:paraId="5E763B26" w14:textId="4EDC4FE9" w:rsidR="00966864" w:rsidRDefault="00966864" w:rsidP="00215E21">
      <w:r w:rsidRPr="009B1E0B">
        <w:t xml:space="preserve">The proportion of subjects who met the composite endpoint of </w:t>
      </w:r>
      <w:r w:rsidR="00AD51CF">
        <w:t xml:space="preserve">&gt; </w:t>
      </w:r>
      <w:r w:rsidRPr="009B1E0B">
        <w:t xml:space="preserve">0.5% decrease from baseline in </w:t>
      </w:r>
      <w:r w:rsidR="003F2DE3">
        <w:t>Hb</w:t>
      </w:r>
      <w:r w:rsidR="00A04B32">
        <w:t>A1c</w:t>
      </w:r>
      <w:r w:rsidRPr="009B1E0B">
        <w:t xml:space="preserve"> at Week 52, no symptomatic hypoglycaemia between baseline and Week</w:t>
      </w:r>
      <w:r w:rsidR="00750F6F">
        <w:t> </w:t>
      </w:r>
      <w:r w:rsidRPr="009B1E0B">
        <w:t xml:space="preserve">52, and no increase in body weight at Week 52, excluding data after initiation of rescue therapy was higher in the </w:t>
      </w:r>
      <w:r>
        <w:t>ertugliflozin</w:t>
      </w:r>
      <w:r w:rsidRPr="009B1E0B">
        <w:t xml:space="preserve"> </w:t>
      </w:r>
      <w:r w:rsidR="006C336C">
        <w:t>5</w:t>
      </w:r>
      <w:r w:rsidR="00715B39">
        <w:t xml:space="preserve"> </w:t>
      </w:r>
      <w:r w:rsidR="006D7D02">
        <w:t>mg</w:t>
      </w:r>
      <w:r w:rsidRPr="009B1E0B">
        <w:t xml:space="preserve"> and 1</w:t>
      </w:r>
      <w:r w:rsidR="006C336C">
        <w:t>5</w:t>
      </w:r>
      <w:r w:rsidR="00715B39">
        <w:t xml:space="preserve"> </w:t>
      </w:r>
      <w:r w:rsidR="006D7D02">
        <w:t>mg</w:t>
      </w:r>
      <w:r w:rsidRPr="009B1E0B">
        <w:t xml:space="preserve"> groups relative to the glimepiride group (45.5%, 48.5% and 21.4%, respectively).</w:t>
      </w:r>
    </w:p>
    <w:p w14:paraId="78C819A9" w14:textId="536FAE45" w:rsidR="00966864" w:rsidRDefault="00EB55BF" w:rsidP="00215E21">
      <w:r w:rsidRPr="00873921">
        <w:t xml:space="preserve">The </w:t>
      </w:r>
      <w:r w:rsidR="00966864" w:rsidRPr="00873921">
        <w:t>Delegate comment</w:t>
      </w:r>
      <w:r w:rsidRPr="00873921">
        <w:t>ed that t</w:t>
      </w:r>
      <w:r w:rsidR="00966864" w:rsidRPr="00873921">
        <w:t xml:space="preserve">he high </w:t>
      </w:r>
      <w:r w:rsidR="00750F6F" w:rsidRPr="00873921">
        <w:t>drop</w:t>
      </w:r>
      <w:r w:rsidR="00750F6F">
        <w:t>o</w:t>
      </w:r>
      <w:r w:rsidR="00750F6F" w:rsidRPr="00873921">
        <w:t>ut</w:t>
      </w:r>
      <w:r w:rsidR="00966864" w:rsidRPr="00873921">
        <w:t xml:space="preserve"> rate and number of protocol deviations create some question on the quality of the study. Non–inferiority of the 1</w:t>
      </w:r>
      <w:r w:rsidR="006C336C" w:rsidRPr="00873921">
        <w:t>5</w:t>
      </w:r>
      <w:r w:rsidR="00715B39">
        <w:t xml:space="preserve"> </w:t>
      </w:r>
      <w:r w:rsidR="006D7D02">
        <w:t>mg</w:t>
      </w:r>
      <w:r w:rsidR="00966864" w:rsidRPr="00873921">
        <w:t xml:space="preserve"> dose to glimepiride was demonstrated but not the </w:t>
      </w:r>
      <w:r w:rsidR="006C336C" w:rsidRPr="00873921">
        <w:t>5</w:t>
      </w:r>
      <w:r w:rsidR="00715B39">
        <w:t xml:space="preserve"> </w:t>
      </w:r>
      <w:r w:rsidR="006D7D02">
        <w:t>mg</w:t>
      </w:r>
      <w:r w:rsidR="00966864" w:rsidRPr="00873921">
        <w:t xml:space="preserve"> dose. However ertugliflozin caused less weight gain and hypoglycaemia.</w:t>
      </w:r>
    </w:p>
    <w:p w14:paraId="29A0261C" w14:textId="7E7D6E8B" w:rsidR="00750F6F" w:rsidRDefault="00750F6F" w:rsidP="00584262">
      <w:pPr>
        <w:pStyle w:val="Heading6"/>
      </w:pPr>
      <w:r>
        <w:t xml:space="preserve">Study </w:t>
      </w:r>
      <w:r w:rsidR="00966864" w:rsidRPr="006E141A">
        <w:t>P005/1019</w:t>
      </w:r>
    </w:p>
    <w:p w14:paraId="2F8D6813" w14:textId="7A69D1E0" w:rsidR="00966864" w:rsidRPr="006E141A" w:rsidRDefault="00966864" w:rsidP="00584262">
      <w:r w:rsidRPr="006E141A">
        <w:t xml:space="preserve">A Phase III, </w:t>
      </w:r>
      <w:r w:rsidR="00750F6F">
        <w:t>r</w:t>
      </w:r>
      <w:r w:rsidR="00750F6F" w:rsidRPr="006E141A">
        <w:t>andomised</w:t>
      </w:r>
      <w:r w:rsidRPr="006E141A">
        <w:t xml:space="preserve">, </w:t>
      </w:r>
      <w:r w:rsidR="00750F6F" w:rsidRPr="006E141A">
        <w:t>double</w:t>
      </w:r>
      <w:r w:rsidR="00750F6F">
        <w:t xml:space="preserve"> </w:t>
      </w:r>
      <w:r w:rsidR="00750F6F" w:rsidRPr="006E141A">
        <w:t xml:space="preserve">blind, multicentre study to evaluate the efficacy and safety of the combination of </w:t>
      </w:r>
      <w:r w:rsidR="00750F6F">
        <w:t>ertugliflozin</w:t>
      </w:r>
      <w:r w:rsidR="00750F6F" w:rsidRPr="006E141A">
        <w:t xml:space="preserve"> </w:t>
      </w:r>
      <w:r w:rsidRPr="006E141A">
        <w:t xml:space="preserve">(MK- 8835/PF-04971729) </w:t>
      </w:r>
      <w:r w:rsidR="00750F6F" w:rsidRPr="006E141A">
        <w:t xml:space="preserve">with sitagliptin compared with </w:t>
      </w:r>
      <w:r w:rsidR="00750F6F">
        <w:t>ertugliflozin</w:t>
      </w:r>
      <w:r w:rsidR="00750F6F" w:rsidRPr="006E141A">
        <w:t xml:space="preserve"> alone and sitagliptin alone, in the treatment of subjects </w:t>
      </w:r>
      <w:r w:rsidRPr="006E141A">
        <w:t xml:space="preserve">with T2DM </w:t>
      </w:r>
      <w:r w:rsidR="00750F6F" w:rsidRPr="006E141A">
        <w:t>with inadequate glycaemic control on metformin monotherapy</w:t>
      </w:r>
      <w:r w:rsidRPr="006E141A">
        <w:t>.</w:t>
      </w:r>
    </w:p>
    <w:p w14:paraId="5EDE6828" w14:textId="14C4C2E3" w:rsidR="00966864" w:rsidRDefault="00966864" w:rsidP="00215E21">
      <w:r>
        <w:t xml:space="preserve">This was </w:t>
      </w:r>
      <w:r w:rsidRPr="00541DF7">
        <w:t xml:space="preserve">factorial study was to evaluate </w:t>
      </w:r>
      <w:r>
        <w:t>t</w:t>
      </w:r>
      <w:r w:rsidRPr="00541DF7">
        <w:t xml:space="preserve">he efficacy </w:t>
      </w:r>
      <w:r>
        <w:t xml:space="preserve">and safety </w:t>
      </w:r>
      <w:r w:rsidRPr="00541DF7">
        <w:t>of the addition of dual</w:t>
      </w:r>
      <w:r>
        <w:t xml:space="preserve"> </w:t>
      </w:r>
      <w:r w:rsidRPr="00541DF7">
        <w:t xml:space="preserve">combination therapy with </w:t>
      </w:r>
      <w:r>
        <w:t>ertugliflozin</w:t>
      </w:r>
      <w:r w:rsidRPr="00541DF7">
        <w:t xml:space="preserve"> and sitagliptin compared with the addition of</w:t>
      </w:r>
      <w:r>
        <w:t xml:space="preserve"> ertugliflozin</w:t>
      </w:r>
      <w:r w:rsidRPr="00541DF7">
        <w:t xml:space="preserve"> alone or sitagliptin alone, in subjects with T2DM and inadequate glycaemic</w:t>
      </w:r>
      <w:r>
        <w:t xml:space="preserve"> </w:t>
      </w:r>
      <w:r w:rsidRPr="00541DF7">
        <w:t>control on metformin monotherapy over 26 weeks</w:t>
      </w:r>
      <w:r>
        <w:t>.</w:t>
      </w:r>
      <w:r w:rsidR="009A3F68">
        <w:t xml:space="preserve"> </w:t>
      </w:r>
      <w:r w:rsidRPr="00541DF7">
        <w:t xml:space="preserve">Subjects </w:t>
      </w:r>
      <w:r>
        <w:t xml:space="preserve">were </w:t>
      </w:r>
      <w:r w:rsidRPr="00541DF7">
        <w:t>on ≥</w:t>
      </w:r>
      <w:r w:rsidR="00EB55BF">
        <w:t> </w:t>
      </w:r>
      <w:r w:rsidRPr="00541DF7">
        <w:t>1500</w:t>
      </w:r>
      <w:r w:rsidR="00715B39">
        <w:t xml:space="preserve"> </w:t>
      </w:r>
      <w:r w:rsidR="006D7D02">
        <w:t>mg</w:t>
      </w:r>
      <w:r w:rsidRPr="00541DF7">
        <w:t>/day of metformin for ≥</w:t>
      </w:r>
      <w:r w:rsidR="00EB55BF">
        <w:t> </w:t>
      </w:r>
      <w:r w:rsidRPr="00541DF7">
        <w:t xml:space="preserve">8 weeks with an </w:t>
      </w:r>
      <w:r w:rsidR="003F2DE3">
        <w:t>Hb</w:t>
      </w:r>
      <w:r w:rsidR="00A04B32">
        <w:t>A1c</w:t>
      </w:r>
      <w:r w:rsidRPr="00541DF7">
        <w:t xml:space="preserve"> of ≥</w:t>
      </w:r>
      <w:r w:rsidR="00EB55BF">
        <w:t> 0</w:t>
      </w:r>
      <w:r w:rsidRPr="00541DF7">
        <w:t>.5 and ≤</w:t>
      </w:r>
      <w:r w:rsidR="00EB55BF">
        <w:t> </w:t>
      </w:r>
      <w:r w:rsidRPr="00541DF7">
        <w:t>11%</w:t>
      </w:r>
      <w:r>
        <w:t>. There were 5 treatment arms. Patients who had inadequate glycaemic control on treatment received rescue therapy with glimepiride.</w:t>
      </w:r>
    </w:p>
    <w:p w14:paraId="154EBCC5" w14:textId="39CA7F12" w:rsidR="00966864" w:rsidRDefault="00966864" w:rsidP="00215E21">
      <w:r>
        <w:t xml:space="preserve">The main efficacy endpoint was </w:t>
      </w:r>
      <w:r w:rsidR="003F2DE3">
        <w:t>Hb</w:t>
      </w:r>
      <w:r w:rsidR="00A04B32">
        <w:t>A1c</w:t>
      </w:r>
      <w:r>
        <w:t>, safety and tolerability.</w:t>
      </w:r>
    </w:p>
    <w:p w14:paraId="08AC9D2C" w14:textId="5B8F98D8" w:rsidR="00966864" w:rsidRDefault="00966864" w:rsidP="00215E21">
      <w:r>
        <w:t xml:space="preserve">Data obtained after the initiation of rescue therapy was censored. The study was designed as a superiority study to detect difference of </w:t>
      </w:r>
      <w:r w:rsidR="003F2DE3">
        <w:t>Hb</w:t>
      </w:r>
      <w:r w:rsidR="00A04B32">
        <w:t>A1c</w:t>
      </w:r>
      <w:r>
        <w:t xml:space="preserve"> of 0.4% with 94% power.</w:t>
      </w:r>
    </w:p>
    <w:p w14:paraId="61165F06" w14:textId="39AA9A80" w:rsidR="00966864" w:rsidRDefault="00966864" w:rsidP="00215E21">
      <w:r>
        <w:t xml:space="preserve">At baseline, the mean duration of diabetes was 7 years, </w:t>
      </w:r>
      <w:r w:rsidR="003F2DE3">
        <w:t>Hb</w:t>
      </w:r>
      <w:r w:rsidR="00A04B32">
        <w:t>A1c</w:t>
      </w:r>
      <w:r>
        <w:t xml:space="preserve"> 8.5%, 70% had </w:t>
      </w:r>
      <w:r w:rsidR="003F2DE3">
        <w:t>Hb</w:t>
      </w:r>
      <w:r w:rsidR="00A04B32">
        <w:t>A1c</w:t>
      </w:r>
      <w:r w:rsidR="004A4114">
        <w:t> </w:t>
      </w:r>
      <w:r w:rsidR="00AD51CF">
        <w:t>&gt;</w:t>
      </w:r>
      <w:r w:rsidR="00584262">
        <w:t> </w:t>
      </w:r>
      <w:r>
        <w:t>8%, mean dose of metformin 200</w:t>
      </w:r>
      <w:r w:rsidR="006C336C">
        <w:t>0</w:t>
      </w:r>
      <w:r w:rsidR="00715B39">
        <w:t xml:space="preserve"> </w:t>
      </w:r>
      <w:r w:rsidR="006D7D02">
        <w:t>mg</w:t>
      </w:r>
      <w:r>
        <w:t>.</w:t>
      </w:r>
    </w:p>
    <w:p w14:paraId="3248524E" w14:textId="6E38DA09" w:rsidR="00966864" w:rsidRDefault="00966864" w:rsidP="00215E21">
      <w:pPr>
        <w:rPr>
          <w:color w:val="000000"/>
        </w:rPr>
      </w:pPr>
      <w:r w:rsidRPr="00C50D01">
        <w:t xml:space="preserve">The LS mean reductions from baseline in </w:t>
      </w:r>
      <w:r w:rsidR="003F2DE3">
        <w:t>Hb</w:t>
      </w:r>
      <w:r w:rsidR="00A04B32">
        <w:t>A1c</w:t>
      </w:r>
      <w:r w:rsidRPr="00C50D01">
        <w:t xml:space="preserve"> at Week 26 were significantly</w:t>
      </w:r>
      <w:r>
        <w:t xml:space="preserve"> </w:t>
      </w:r>
      <w:r w:rsidRPr="00C50D01">
        <w:t xml:space="preserve">greater in the E15/S100 </w:t>
      </w:r>
      <w:r>
        <w:t xml:space="preserve">group </w:t>
      </w:r>
      <w:r w:rsidRPr="00C50D01">
        <w:t>relative to the individual component treatment</w:t>
      </w:r>
      <w:r>
        <w:t xml:space="preserve"> </w:t>
      </w:r>
      <w:r w:rsidRPr="00C50D01">
        <w:t>groups (S100 group and E15 group), and in the E5/S100 group relative to the individual</w:t>
      </w:r>
      <w:r>
        <w:t xml:space="preserve"> </w:t>
      </w:r>
      <w:r w:rsidRPr="00C50D01">
        <w:t xml:space="preserve">component treatment groups (S100 group and E5 group) </w:t>
      </w:r>
      <w:r>
        <w:t xml:space="preserve">(-1.02, -1.08, -1.05, -1.49 and -1.52 </w:t>
      </w:r>
      <w:r>
        <w:rPr>
          <w:color w:val="000000"/>
        </w:rPr>
        <w:t>in the E5, E15, S100, E5/S100 and E15/S100 groups, respectively</w:t>
      </w:r>
      <w:r>
        <w:t xml:space="preserve">; </w:t>
      </w:r>
      <w:r w:rsidRPr="00C50D01">
        <w:t>p</w:t>
      </w:r>
      <w:r w:rsidR="00750F6F">
        <w:t xml:space="preserve"> </w:t>
      </w:r>
      <w:r w:rsidRPr="00C50D01">
        <w:t>&lt;</w:t>
      </w:r>
      <w:r w:rsidR="00750F6F">
        <w:t xml:space="preserve"> </w:t>
      </w:r>
      <w:r w:rsidRPr="00C50D01">
        <w:t>0.001 for all pre-specified</w:t>
      </w:r>
      <w:r>
        <w:t xml:space="preserve"> </w:t>
      </w:r>
      <w:r w:rsidRPr="00C50D01">
        <w:t>comparisons</w:t>
      </w:r>
      <w:r>
        <w:t>). There was little difference in the addition of 1</w:t>
      </w:r>
      <w:r w:rsidR="006C336C">
        <w:t>5</w:t>
      </w:r>
      <w:r w:rsidR="00715B39">
        <w:t xml:space="preserve"> </w:t>
      </w:r>
      <w:r w:rsidR="006D7D02">
        <w:t>mg</w:t>
      </w:r>
      <w:r>
        <w:t xml:space="preserve"> over </w:t>
      </w:r>
      <w:r w:rsidR="006C336C">
        <w:t>5</w:t>
      </w:r>
      <w:r w:rsidR="00715B39">
        <w:t xml:space="preserve"> </w:t>
      </w:r>
      <w:r w:rsidR="006D7D02">
        <w:t>mg</w:t>
      </w:r>
      <w:r>
        <w:t xml:space="preserve"> in combination with sitagliptin. </w:t>
      </w:r>
      <w:r w:rsidRPr="00C50D01">
        <w:rPr>
          <w:color w:val="000000"/>
        </w:rPr>
        <w:t xml:space="preserve">An analysis of change from baseline in </w:t>
      </w:r>
      <w:r w:rsidR="003F2DE3">
        <w:t>Hb</w:t>
      </w:r>
      <w:r w:rsidR="00A04B32">
        <w:t>A1c</w:t>
      </w:r>
      <w:r w:rsidRPr="003D7883">
        <w:rPr>
          <w:color w:val="000000"/>
          <w:vertAlign w:val="subscript"/>
        </w:rPr>
        <w:t xml:space="preserve"> </w:t>
      </w:r>
      <w:r w:rsidRPr="00C50D01">
        <w:rPr>
          <w:color w:val="000000"/>
        </w:rPr>
        <w:t>at Week 26, including data after initiation of</w:t>
      </w:r>
      <w:r>
        <w:rPr>
          <w:color w:val="000000"/>
        </w:rPr>
        <w:t xml:space="preserve"> </w:t>
      </w:r>
      <w:r w:rsidRPr="00C50D01">
        <w:rPr>
          <w:color w:val="000000"/>
        </w:rPr>
        <w:t>glycaemic rescue therapy</w:t>
      </w:r>
      <w:r>
        <w:rPr>
          <w:color w:val="000000"/>
        </w:rPr>
        <w:t xml:space="preserve"> (which </w:t>
      </w:r>
      <w:r w:rsidRPr="00C50D01">
        <w:rPr>
          <w:color w:val="000000"/>
        </w:rPr>
        <w:t>included more subjects</w:t>
      </w:r>
      <w:r>
        <w:rPr>
          <w:color w:val="000000"/>
        </w:rPr>
        <w:t xml:space="preserve"> </w:t>
      </w:r>
      <w:r w:rsidRPr="00C50D01">
        <w:rPr>
          <w:color w:val="000000"/>
        </w:rPr>
        <w:t xml:space="preserve">with </w:t>
      </w:r>
      <w:r w:rsidR="003F2DE3">
        <w:t>Hb</w:t>
      </w:r>
      <w:r w:rsidR="00A04B32">
        <w:t>A1c</w:t>
      </w:r>
      <w:r w:rsidRPr="00C50D01">
        <w:rPr>
          <w:color w:val="000000"/>
        </w:rPr>
        <w:t xml:space="preserve"> data at Week 26, particu</w:t>
      </w:r>
      <w:r>
        <w:rPr>
          <w:color w:val="000000"/>
        </w:rPr>
        <w:t xml:space="preserve">larly in the E5 and S100 groups) also showed </w:t>
      </w:r>
      <w:r w:rsidRPr="00C50D01">
        <w:rPr>
          <w:color w:val="000000"/>
        </w:rPr>
        <w:t xml:space="preserve">results </w:t>
      </w:r>
      <w:r>
        <w:rPr>
          <w:color w:val="000000"/>
        </w:rPr>
        <w:t xml:space="preserve">which were </w:t>
      </w:r>
      <w:r w:rsidRPr="00C50D01">
        <w:rPr>
          <w:color w:val="000000"/>
        </w:rPr>
        <w:t>consistent</w:t>
      </w:r>
      <w:r>
        <w:rPr>
          <w:color w:val="000000"/>
        </w:rPr>
        <w:t xml:space="preserve"> </w:t>
      </w:r>
      <w:r w:rsidRPr="00C50D01">
        <w:rPr>
          <w:color w:val="000000"/>
        </w:rPr>
        <w:t>with the primary analysis.</w:t>
      </w:r>
      <w:r>
        <w:rPr>
          <w:color w:val="000000"/>
        </w:rPr>
        <w:t xml:space="preserve"> Both combination therapy groups had a larger change in FPG, body weight</w:t>
      </w:r>
      <w:r w:rsidR="007E77BE">
        <w:rPr>
          <w:color w:val="000000"/>
        </w:rPr>
        <w:t xml:space="preserve"> and</w:t>
      </w:r>
      <w:r>
        <w:rPr>
          <w:color w:val="000000"/>
        </w:rPr>
        <w:t xml:space="preserve"> BP. No subjects received glycaemic rescue therapy in the E15/S100 group, as opposed to 2.5% of subjects who received treatment in the E5/S100 group. Urinary glucose was excreted by a similar amount in all ertugliflozin treatment groups.</w:t>
      </w:r>
    </w:p>
    <w:p w14:paraId="1B8A4E1C" w14:textId="464F9021" w:rsidR="00966864" w:rsidRDefault="007E77BE" w:rsidP="00127692">
      <w:pPr>
        <w:pStyle w:val="Heading5"/>
        <w:pageBreakBefore/>
        <w:rPr>
          <w:rFonts w:eastAsiaTheme="minorHAnsi"/>
        </w:rPr>
      </w:pPr>
      <w:r>
        <w:rPr>
          <w:rFonts w:eastAsiaTheme="minorHAnsi"/>
        </w:rPr>
        <w:lastRenderedPageBreak/>
        <w:t>A</w:t>
      </w:r>
      <w:r w:rsidR="00966864" w:rsidRPr="001F3397">
        <w:rPr>
          <w:rFonts w:eastAsiaTheme="minorHAnsi"/>
        </w:rPr>
        <w:t xml:space="preserve">dd </w:t>
      </w:r>
      <w:r>
        <w:rPr>
          <w:rFonts w:eastAsiaTheme="minorHAnsi"/>
        </w:rPr>
        <w:t>e</w:t>
      </w:r>
      <w:r w:rsidR="00966864">
        <w:rPr>
          <w:rFonts w:eastAsiaTheme="minorHAnsi"/>
        </w:rPr>
        <w:t xml:space="preserve">rtugliflozin in patients </w:t>
      </w:r>
      <w:r w:rsidR="00966864" w:rsidRPr="001F3397">
        <w:rPr>
          <w:rFonts w:eastAsiaTheme="minorHAnsi"/>
        </w:rPr>
        <w:t>on metformin plus sitagliptin</w:t>
      </w:r>
    </w:p>
    <w:p w14:paraId="75311591" w14:textId="77154386" w:rsidR="00584262" w:rsidRPr="00584262" w:rsidRDefault="00584262" w:rsidP="00584262">
      <w:pPr>
        <w:pStyle w:val="Heading6"/>
        <w:rPr>
          <w:rFonts w:eastAsiaTheme="minorHAnsi"/>
        </w:rPr>
      </w:pPr>
      <w:r>
        <w:rPr>
          <w:rFonts w:eastAsiaTheme="minorHAnsi"/>
        </w:rPr>
        <w:t xml:space="preserve">Study </w:t>
      </w:r>
      <w:r w:rsidRPr="001F3397">
        <w:rPr>
          <w:rFonts w:eastAsiaTheme="minorHAnsi"/>
        </w:rPr>
        <w:t>P006</w:t>
      </w:r>
    </w:p>
    <w:p w14:paraId="23E33E7F" w14:textId="3786789F" w:rsidR="00966864" w:rsidRDefault="00966864" w:rsidP="00215E21">
      <w:r w:rsidRPr="00D65CAC">
        <w:t xml:space="preserve">This was a multicentre, </w:t>
      </w:r>
      <w:r>
        <w:t>randomised</w:t>
      </w:r>
      <w:r w:rsidRPr="00D65CAC">
        <w:t>, double</w:t>
      </w:r>
      <w:r w:rsidR="007E77BE">
        <w:t xml:space="preserve"> </w:t>
      </w:r>
      <w:r w:rsidRPr="00D65CAC">
        <w:t>blind,</w:t>
      </w:r>
      <w:r w:rsidR="007E77BE">
        <w:t xml:space="preserve"> placebo </w:t>
      </w:r>
      <w:r w:rsidRPr="00D65CAC">
        <w:t>controlled,</w:t>
      </w:r>
      <w:r>
        <w:t xml:space="preserve"> </w:t>
      </w:r>
      <w:r w:rsidRPr="00D65CAC">
        <w:t>parallel</w:t>
      </w:r>
      <w:r w:rsidR="007E77BE">
        <w:t xml:space="preserve"> </w:t>
      </w:r>
      <w:r w:rsidRPr="00D65CAC">
        <w:t xml:space="preserve">group clinical trial of </w:t>
      </w:r>
      <w:r>
        <w:t>ertugliflozin</w:t>
      </w:r>
      <w:r w:rsidRPr="00D65CAC">
        <w:t xml:space="preserve"> in subjects with T2DM on</w:t>
      </w:r>
      <w:r>
        <w:t xml:space="preserve"> </w:t>
      </w:r>
      <w:r w:rsidRPr="00D65CAC">
        <w:t>stable treatment with metformin ≥</w:t>
      </w:r>
      <w:r w:rsidR="007E77BE">
        <w:t> </w:t>
      </w:r>
      <w:r w:rsidRPr="00D65CAC">
        <w:t>1500</w:t>
      </w:r>
      <w:r w:rsidR="00715B39">
        <w:t xml:space="preserve"> </w:t>
      </w:r>
      <w:r w:rsidR="006D7D02">
        <w:t>mg</w:t>
      </w:r>
      <w:r w:rsidRPr="00D65CAC">
        <w:t>/day and sitagliptin 100</w:t>
      </w:r>
      <w:r w:rsidR="00715B39">
        <w:t xml:space="preserve"> </w:t>
      </w:r>
      <w:r w:rsidR="006D7D02">
        <w:t>mg</w:t>
      </w:r>
      <w:r>
        <w:t xml:space="preserve"> daily. Only the results of the 26 week component were evaluated. There were three treatment arms: E5, E15 and placebo. Open labelled glimepiride was given for patients with poor glycaemic control on treatment.</w:t>
      </w:r>
    </w:p>
    <w:p w14:paraId="5FE15C0F" w14:textId="51B29DB6" w:rsidR="00966864" w:rsidRDefault="00966864" w:rsidP="00215E21">
      <w:r>
        <w:t>At baseline, 66% of patients were on metformin and a DPP-</w:t>
      </w:r>
      <w:r w:rsidR="003F2DE3">
        <w:t>4</w:t>
      </w:r>
      <w:r>
        <w:t xml:space="preserve"> inhibitor, 34% were on metformin and a sulfonylurea. The median dose of metformin was 200</w:t>
      </w:r>
      <w:r w:rsidR="006C336C">
        <w:t>0</w:t>
      </w:r>
      <w:r w:rsidR="00715B39">
        <w:t xml:space="preserve"> </w:t>
      </w:r>
      <w:r w:rsidR="006D7D02">
        <w:t>mg</w:t>
      </w:r>
      <w:r>
        <w:t>. The mean duration of diabetes was 9.5 years.</w:t>
      </w:r>
    </w:p>
    <w:p w14:paraId="6395A80E" w14:textId="3C2CB2F2" w:rsidR="00966864" w:rsidRDefault="00966864" w:rsidP="00215E21">
      <w:pPr>
        <w:rPr>
          <w:color w:val="000000"/>
        </w:rPr>
      </w:pPr>
      <w:r w:rsidRPr="00315B8C">
        <w:t xml:space="preserve">The LS mean reductions from baseline in </w:t>
      </w:r>
      <w:r w:rsidR="003F2DE3">
        <w:t>Hb</w:t>
      </w:r>
      <w:r w:rsidR="00A04B32">
        <w:t>A1c</w:t>
      </w:r>
      <w:r w:rsidRPr="00315B8C">
        <w:t xml:space="preserve"> at Week 26 were significantly greater in the</w:t>
      </w:r>
      <w:r>
        <w:t xml:space="preserve"> ertugliflozin</w:t>
      </w:r>
      <w:r w:rsidRPr="00315B8C">
        <w:t xml:space="preserve"> 5</w:t>
      </w:r>
      <w:r w:rsidR="00715B39">
        <w:t xml:space="preserve"> </w:t>
      </w:r>
      <w:r w:rsidR="006D7D02">
        <w:t>mg</w:t>
      </w:r>
      <w:r w:rsidRPr="00315B8C">
        <w:t xml:space="preserve"> and 15</w:t>
      </w:r>
      <w:r w:rsidR="00715B39">
        <w:t xml:space="preserve"> </w:t>
      </w:r>
      <w:r w:rsidR="006D7D02">
        <w:t>mg</w:t>
      </w:r>
      <w:r w:rsidRPr="00315B8C">
        <w:t xml:space="preserve"> groups </w:t>
      </w:r>
      <w:r>
        <w:t xml:space="preserve">compared with </w:t>
      </w:r>
      <w:r w:rsidRPr="00315B8C">
        <w:t xml:space="preserve">the placebo group </w:t>
      </w:r>
      <w:r w:rsidR="00750F6F" w:rsidRPr="00315B8C">
        <w:t>(</w:t>
      </w:r>
      <w:r w:rsidR="00750F6F">
        <w:noBreakHyphen/>
      </w:r>
      <w:r>
        <w:t>0.78% and</w:t>
      </w:r>
      <w:r w:rsidR="007E77BE">
        <w:t xml:space="preserve"> </w:t>
      </w:r>
      <w:r w:rsidR="007E77BE">
        <w:noBreakHyphen/>
      </w:r>
      <w:r>
        <w:t>0.86% versus</w:t>
      </w:r>
      <w:r w:rsidR="009A3F68">
        <w:t xml:space="preserve"> </w:t>
      </w:r>
      <w:r>
        <w:t xml:space="preserve">placebo </w:t>
      </w:r>
      <w:r w:rsidR="00750F6F">
        <w:noBreakHyphen/>
      </w:r>
      <w:r>
        <w:t>0.09%,</w:t>
      </w:r>
      <w:r w:rsidRPr="00315B8C">
        <w:t>)</w:t>
      </w:r>
      <w:r>
        <w:t xml:space="preserve">. The addition of ertugliflozin was associated with greater decrease in the proportion of patients with </w:t>
      </w:r>
      <w:r w:rsidR="003F2DE3">
        <w:t>Hb</w:t>
      </w:r>
      <w:r w:rsidR="00A04B32">
        <w:t>A1c</w:t>
      </w:r>
      <w:r>
        <w:t xml:space="preserve"> &lt; 7%, a greater reduction in FPG, body weight</w:t>
      </w:r>
      <w:r w:rsidR="007E77BE">
        <w:t xml:space="preserve"> and S</w:t>
      </w:r>
      <w:r>
        <w:t>BP. Less than 2% of patients received glycaemic rescue therapy in the ertugliflozin groups, compared to 16.3% of those in the placebo group.</w:t>
      </w:r>
    </w:p>
    <w:p w14:paraId="7F5CFD8B" w14:textId="454A9348" w:rsidR="00966864" w:rsidRPr="00444CC6" w:rsidRDefault="007E77BE" w:rsidP="00584262">
      <w:pPr>
        <w:pStyle w:val="Heading6"/>
      </w:pPr>
      <w:r>
        <w:t xml:space="preserve">Study </w:t>
      </w:r>
      <w:r w:rsidR="00966864" w:rsidRPr="00444CC6">
        <w:t xml:space="preserve">P017 Co-administration </w:t>
      </w:r>
      <w:r w:rsidR="00966864">
        <w:t xml:space="preserve">of </w:t>
      </w:r>
      <w:r w:rsidR="009A3F68">
        <w:t>e</w:t>
      </w:r>
      <w:r w:rsidR="00966864">
        <w:t>rtugliflozin and sitagliptin</w:t>
      </w:r>
    </w:p>
    <w:p w14:paraId="2D77C33F" w14:textId="53A2DF58" w:rsidR="00966864" w:rsidRDefault="00966864" w:rsidP="00215E21">
      <w:r w:rsidRPr="00A667BE">
        <w:t xml:space="preserve">This was a multicentre, </w:t>
      </w:r>
      <w:r>
        <w:t>randomised</w:t>
      </w:r>
      <w:r w:rsidRPr="00A667BE">
        <w:t>, double</w:t>
      </w:r>
      <w:r w:rsidR="00750F6F">
        <w:t xml:space="preserve"> </w:t>
      </w:r>
      <w:r w:rsidRPr="00A667BE">
        <w:t>blind, placebo</w:t>
      </w:r>
      <w:r w:rsidR="00750F6F">
        <w:t xml:space="preserve"> </w:t>
      </w:r>
      <w:r w:rsidRPr="00A667BE">
        <w:t>controlled,</w:t>
      </w:r>
      <w:r>
        <w:t xml:space="preserve"> parallel</w:t>
      </w:r>
      <w:r w:rsidR="00750F6F">
        <w:t xml:space="preserve"> </w:t>
      </w:r>
      <w:r>
        <w:t>group, clinical t</w:t>
      </w:r>
      <w:r w:rsidRPr="00A667BE">
        <w:t xml:space="preserve">rial of </w:t>
      </w:r>
      <w:r w:rsidR="007E77BE">
        <w:t>e</w:t>
      </w:r>
      <w:r>
        <w:t>rtugliflozin</w:t>
      </w:r>
      <w:r w:rsidRPr="00A667BE">
        <w:t xml:space="preserve"> co</w:t>
      </w:r>
      <w:r>
        <w:t>-</w:t>
      </w:r>
      <w:r w:rsidRPr="00A667BE">
        <w:t>administered with</w:t>
      </w:r>
      <w:r>
        <w:t xml:space="preserve"> </w:t>
      </w:r>
      <w:r w:rsidRPr="00A667BE">
        <w:t xml:space="preserve">sitagliptin in </w:t>
      </w:r>
      <w:r>
        <w:t xml:space="preserve">291 adults </w:t>
      </w:r>
      <w:r w:rsidRPr="00A667BE">
        <w:t>with T2DM</w:t>
      </w:r>
      <w:r>
        <w:t xml:space="preserve"> </w:t>
      </w:r>
      <w:r w:rsidRPr="00A667BE">
        <w:t>and inadequate glycaemic control (</w:t>
      </w:r>
      <w:r w:rsidR="003F2DE3">
        <w:t>Hb</w:t>
      </w:r>
      <w:r w:rsidR="00A04B32">
        <w:t>A1c</w:t>
      </w:r>
      <w:r w:rsidRPr="00C14358">
        <w:t xml:space="preserve"> ≥</w:t>
      </w:r>
      <w:r w:rsidR="00750F6F">
        <w:t xml:space="preserve"> </w:t>
      </w:r>
      <w:r w:rsidRPr="00C14358">
        <w:t>8.0% and ≤</w:t>
      </w:r>
      <w:r w:rsidR="00750F6F">
        <w:t xml:space="preserve"> </w:t>
      </w:r>
      <w:r w:rsidRPr="00C14358">
        <w:t>10.5%</w:t>
      </w:r>
      <w:r>
        <w:t>)</w:t>
      </w:r>
      <w:r w:rsidRPr="00C14358">
        <w:t xml:space="preserve"> while on diet and exercise.</w:t>
      </w:r>
    </w:p>
    <w:p w14:paraId="668A0434" w14:textId="5E6A6E9F" w:rsidR="00966864" w:rsidRDefault="00966864" w:rsidP="00215E21">
      <w:r w:rsidRPr="00C14358">
        <w:t xml:space="preserve">Subjects with an </w:t>
      </w:r>
      <w:r w:rsidR="003F2DE3">
        <w:t>Hb</w:t>
      </w:r>
      <w:r w:rsidR="00A04B32">
        <w:t>A1c</w:t>
      </w:r>
      <w:r w:rsidRPr="003D7883">
        <w:rPr>
          <w:vertAlign w:val="subscript"/>
        </w:rPr>
        <w:t xml:space="preserve"> </w:t>
      </w:r>
      <w:r w:rsidRPr="00C14358">
        <w:t>of ≥</w:t>
      </w:r>
      <w:r w:rsidR="00750F6F">
        <w:t xml:space="preserve"> </w:t>
      </w:r>
      <w:r w:rsidRPr="00C14358">
        <w:t>8.0% and ≤</w:t>
      </w:r>
      <w:r w:rsidR="00750F6F">
        <w:t xml:space="preserve"> </w:t>
      </w:r>
      <w:r w:rsidRPr="00C14358">
        <w:t>10.5% at screening while on diet and exercise and not on AHA treatment for</w:t>
      </w:r>
      <w:r w:rsidRPr="00A667BE">
        <w:t xml:space="preserve"> ≥</w:t>
      </w:r>
      <w:r w:rsidR="007E77BE">
        <w:t> </w:t>
      </w:r>
      <w:r w:rsidRPr="00A667BE">
        <w:t>8 weeks were eligible to</w:t>
      </w:r>
      <w:r>
        <w:t xml:space="preserve"> </w:t>
      </w:r>
      <w:r w:rsidRPr="00A667BE">
        <w:t>directly enter a 2</w:t>
      </w:r>
      <w:r w:rsidR="007E77BE">
        <w:t xml:space="preserve"> week, single </w:t>
      </w:r>
      <w:r w:rsidRPr="00A667BE">
        <w:t>blind placebo run-in period.</w:t>
      </w:r>
      <w:r>
        <w:t xml:space="preserve"> </w:t>
      </w:r>
      <w:r w:rsidRPr="00A667BE">
        <w:t>Subjects on monotherapy or low</w:t>
      </w:r>
      <w:r w:rsidR="007E77BE">
        <w:t xml:space="preserve"> </w:t>
      </w:r>
      <w:r w:rsidRPr="00A667BE">
        <w:t>dose dual combination therapy with an</w:t>
      </w:r>
      <w:r>
        <w:t xml:space="preserve"> </w:t>
      </w:r>
      <w:r w:rsidRPr="00A667BE">
        <w:t xml:space="preserve">allowable AHA who had an </w:t>
      </w:r>
      <w:r w:rsidR="003F2DE3">
        <w:t>Hb</w:t>
      </w:r>
      <w:r w:rsidR="00A04B32">
        <w:t>A1c</w:t>
      </w:r>
      <w:r w:rsidRPr="008F5C8A">
        <w:rPr>
          <w:vertAlign w:val="subscript"/>
        </w:rPr>
        <w:t xml:space="preserve"> </w:t>
      </w:r>
      <w:r w:rsidRPr="00A667BE">
        <w:t>of ≥</w:t>
      </w:r>
      <w:r w:rsidR="007E77BE">
        <w:t> </w:t>
      </w:r>
      <w:r w:rsidRPr="00A667BE">
        <w:t>7.5% and ≤</w:t>
      </w:r>
      <w:r w:rsidR="007E77BE">
        <w:t> </w:t>
      </w:r>
      <w:r w:rsidRPr="00A667BE">
        <w:t>10% at screening entered a diet/exercise and AHA</w:t>
      </w:r>
      <w:r>
        <w:t xml:space="preserve"> </w:t>
      </w:r>
      <w:r w:rsidRPr="00A667BE">
        <w:t>wash-off period ≥</w:t>
      </w:r>
      <w:r w:rsidR="007E77BE">
        <w:t> </w:t>
      </w:r>
      <w:r w:rsidRPr="00A667BE">
        <w:t>8 weeks in duration. Allowable AHAs prior to</w:t>
      </w:r>
      <w:r>
        <w:t xml:space="preserve"> </w:t>
      </w:r>
      <w:r w:rsidRPr="00A667BE">
        <w:t xml:space="preserve">screening were metformin, </w:t>
      </w:r>
      <w:r w:rsidR="007E77BE">
        <w:t>alpha</w:t>
      </w:r>
      <w:r w:rsidRPr="00A667BE">
        <w:t>-glucosidase inhibitors, sulfonylureas and</w:t>
      </w:r>
      <w:r>
        <w:t xml:space="preserve"> </w:t>
      </w:r>
      <w:r w:rsidRPr="00A667BE">
        <w:t xml:space="preserve">glinides. </w:t>
      </w:r>
      <w:r>
        <w:t>Glycaemic rescue therapy with glimepiride was given. At baseline, 52% were currently on AHA, 12% had received previous AHA,</w:t>
      </w:r>
      <w:r w:rsidR="009A3F68">
        <w:t xml:space="preserve"> </w:t>
      </w:r>
      <w:r w:rsidR="00F14099">
        <w:t>and 36</w:t>
      </w:r>
      <w:r>
        <w:t xml:space="preserve">% were treatment naïve. The baseline </w:t>
      </w:r>
      <w:r w:rsidR="003F2DE3">
        <w:t>Hb</w:t>
      </w:r>
      <w:r w:rsidR="00A04B32">
        <w:t>A1c</w:t>
      </w:r>
      <w:r>
        <w:t xml:space="preserve"> was 8.9%.</w:t>
      </w:r>
    </w:p>
    <w:p w14:paraId="57D02132" w14:textId="34C7C49F" w:rsidR="00966864" w:rsidRDefault="00966864" w:rsidP="00215E21">
      <w:r w:rsidRPr="00AF04B8">
        <w:t>The LS mean reduction</w:t>
      </w:r>
      <w:r>
        <w:t xml:space="preserve"> </w:t>
      </w:r>
      <w:r w:rsidRPr="00AF04B8">
        <w:t xml:space="preserve">from baseline in </w:t>
      </w:r>
      <w:r w:rsidR="003F2DE3">
        <w:t>Hb</w:t>
      </w:r>
      <w:r w:rsidR="00A04B32">
        <w:t>A1c</w:t>
      </w:r>
      <w:r w:rsidRPr="00AF04B8">
        <w:t xml:space="preserve"> at Week 26 w</w:t>
      </w:r>
      <w:r>
        <w:t>as</w:t>
      </w:r>
      <w:r w:rsidRPr="00AF04B8">
        <w:t xml:space="preserve"> significantly greater in the E5/S100</w:t>
      </w:r>
      <w:r>
        <w:t xml:space="preserve"> </w:t>
      </w:r>
      <w:r w:rsidRPr="00AF04B8">
        <w:t xml:space="preserve">and E15/S100 groups </w:t>
      </w:r>
      <w:r>
        <w:t>(-1.60 and -1.68 versus placebo -0.44). Changes in FPG were supportive. Glycaemic rescue therapy was required by no patients in the E15/S100 group, 0.1% in the E5/S100 group and 32% in the placebo group.</w:t>
      </w:r>
    </w:p>
    <w:p w14:paraId="669660FD" w14:textId="77777777" w:rsidR="00966864" w:rsidRDefault="00966864" w:rsidP="00215E21">
      <w:pPr>
        <w:pStyle w:val="Heading4"/>
      </w:pPr>
      <w:r w:rsidRPr="003F08CF">
        <w:t>Safety</w:t>
      </w:r>
    </w:p>
    <w:p w14:paraId="3213C458" w14:textId="2A245E78" w:rsidR="00966864" w:rsidRPr="0061528D" w:rsidRDefault="00966864" w:rsidP="00215E21">
      <w:r>
        <w:t>In the initial dossier, the safety data included a total of 4</w:t>
      </w:r>
      <w:r w:rsidR="00750F6F">
        <w:t>,</w:t>
      </w:r>
      <w:r>
        <w:t>418 subjects with an average duration of exposure was 174 days.</w:t>
      </w:r>
      <w:r w:rsidR="009A3F68">
        <w:t xml:space="preserve"> </w:t>
      </w:r>
      <w:r>
        <w:t xml:space="preserve">This was a major limitation of the safety data. There are a number of studies with 52 week data </w:t>
      </w:r>
      <w:r w:rsidR="009A3F68">
        <w:t xml:space="preserve">that are </w:t>
      </w:r>
      <w:r>
        <w:t>near completion a</w:t>
      </w:r>
      <w:r w:rsidR="009A3F68">
        <w:t xml:space="preserve">s well as </w:t>
      </w:r>
      <w:r>
        <w:t>a long term cardiovascular study due for completion in 2019.</w:t>
      </w:r>
    </w:p>
    <w:p w14:paraId="3B60362A" w14:textId="3DF0E95E" w:rsidR="00966864" w:rsidRDefault="00966864" w:rsidP="00215E21">
      <w:r>
        <w:t xml:space="preserve">The sponsor pooled safety data from </w:t>
      </w:r>
      <w:r w:rsidR="009A3F68">
        <w:t>P</w:t>
      </w:r>
      <w:r>
        <w:t xml:space="preserve">hase II and II clinical studies where patients were exposed to </w:t>
      </w:r>
      <w:r w:rsidR="009A3F68">
        <w:t>e</w:t>
      </w:r>
      <w:r>
        <w:t xml:space="preserve">rtugliflozin for </w:t>
      </w:r>
      <w:r w:rsidR="00AD51CF">
        <w:t>&gt;</w:t>
      </w:r>
      <w:r w:rsidR="00750F6F">
        <w:t xml:space="preserve"> </w:t>
      </w:r>
      <w:r>
        <w:t xml:space="preserve">12 weeks. The following comments refer mainly to the Broad Pool of safety data which includes all </w:t>
      </w:r>
      <w:r w:rsidR="009A3F68">
        <w:t>e</w:t>
      </w:r>
      <w:r>
        <w:t>rtugliflozin treated patients and a non-</w:t>
      </w:r>
      <w:r w:rsidR="006601E4">
        <w:t>e</w:t>
      </w:r>
      <w:r>
        <w:t>rtugliflozin group that includes a range of other comparators.</w:t>
      </w:r>
    </w:p>
    <w:p w14:paraId="750ACD0F" w14:textId="77777777" w:rsidR="00966864" w:rsidRDefault="00966864" w:rsidP="00215E21">
      <w:r>
        <w:t>The overall rate of adverse events among ertugliflozin and non-ertugliflozin groups was around 62%. The most commonly reported AEs with ertugliflozin were URTI, hypoglycaemia, UTI and headache. Hypoglycaemia was more commonly seen with the non-ertugliflozin treated patients. More patients treated with ertugliflozin had vulvovaginal infections, balanitis, dry mouth, thirst, polyuria and decreased</w:t>
      </w:r>
      <w:r w:rsidR="008F4ED0">
        <w:t xml:space="preserve"> </w:t>
      </w:r>
      <w:r>
        <w:t>BP.</w:t>
      </w:r>
    </w:p>
    <w:p w14:paraId="3A69B68E" w14:textId="488E1D38" w:rsidR="00966864" w:rsidRDefault="00966864" w:rsidP="00215E21">
      <w:r w:rsidRPr="006D7B64">
        <w:lastRenderedPageBreak/>
        <w:t xml:space="preserve">Overall, there were more deaths with ertugliflozin (0.5% and 0.6% with </w:t>
      </w:r>
      <w:r w:rsidR="006C336C" w:rsidRPr="006D7B64">
        <w:t>5</w:t>
      </w:r>
      <w:r w:rsidR="00715B39">
        <w:t xml:space="preserve"> </w:t>
      </w:r>
      <w:r w:rsidR="006D7D02">
        <w:t>mg</w:t>
      </w:r>
      <w:r w:rsidRPr="006D7B64">
        <w:t xml:space="preserve"> and 1</w:t>
      </w:r>
      <w:r w:rsidR="006C336C" w:rsidRPr="006D7B64">
        <w:t>5</w:t>
      </w:r>
      <w:r w:rsidR="00715B39">
        <w:t xml:space="preserve"> </w:t>
      </w:r>
      <w:r w:rsidR="006D7D02">
        <w:t>mg</w:t>
      </w:r>
      <w:r w:rsidRPr="006D7B64">
        <w:t>) than the comparator arms (0.2%). However the number of SAEs was similar (5</w:t>
      </w:r>
      <w:r w:rsidR="00750F6F">
        <w:t xml:space="preserve"> to </w:t>
      </w:r>
      <w:r w:rsidRPr="006D7B64">
        <w:t>6%). There was a low rate of discontinuation due to AEs.</w:t>
      </w:r>
    </w:p>
    <w:p w14:paraId="048D340A" w14:textId="211F4F2D" w:rsidR="00966864" w:rsidRDefault="00966864" w:rsidP="00215E21">
      <w:r>
        <w:t xml:space="preserve">Patients treated with ertugliflozin had a greater decrease in eGFR at week 6 compared to comparators. However this returned to baseline or above baseline by </w:t>
      </w:r>
      <w:r w:rsidR="008F4ED0">
        <w:t>W</w:t>
      </w:r>
      <w:r>
        <w:t xml:space="preserve">eek 26 (it is unclear if this measurement is on or off therapy). By </w:t>
      </w:r>
      <w:r w:rsidR="008F4ED0">
        <w:t>W</w:t>
      </w:r>
      <w:r>
        <w:t xml:space="preserve">eek 26 there was no difference in the number of patients with a decrease of eGFR of </w:t>
      </w:r>
      <w:r w:rsidR="00AD51CF">
        <w:t>&gt;</w:t>
      </w:r>
      <w:r w:rsidR="00750F6F">
        <w:t xml:space="preserve"> </w:t>
      </w:r>
      <w:r>
        <w:t xml:space="preserve">30% (overall around 2.8%). There </w:t>
      </w:r>
      <w:r w:rsidR="00F14099">
        <w:t>were</w:t>
      </w:r>
      <w:r>
        <w:t xml:space="preserve"> a greater number of patients treated with ertugliflozin who had an increase in urea </w:t>
      </w:r>
      <w:proofErr w:type="gramStart"/>
      <w:r>
        <w:t>nitrogen,</w:t>
      </w:r>
      <w:proofErr w:type="gramEnd"/>
      <w:r>
        <w:t xml:space="preserve"> this may be more representative of volume depletion than renal impairment. There was no imbalance in the number of subjects who discontinued due to renal problems.</w:t>
      </w:r>
    </w:p>
    <w:p w14:paraId="38121DEE" w14:textId="77777777" w:rsidR="00215E21" w:rsidRDefault="00215E21" w:rsidP="00215E21">
      <w:pPr>
        <w:pStyle w:val="FigureTitle"/>
      </w:pPr>
      <w:r>
        <w:t>Figure</w:t>
      </w:r>
      <w:r w:rsidR="00025C4D">
        <w:t xml:space="preserve"> </w:t>
      </w:r>
      <w:r w:rsidR="00F30D27">
        <w:t>5</w:t>
      </w:r>
      <w:r w:rsidR="00025C4D">
        <w:t>:</w:t>
      </w:r>
      <w:r>
        <w:t xml:space="preserve"> eGFR (mL/min/</w:t>
      </w:r>
      <w:r w:rsidR="00D518E2">
        <w:t>1.73 m</w:t>
      </w:r>
      <w:r w:rsidR="00D518E2" w:rsidRPr="00D518E2">
        <w:rPr>
          <w:vertAlign w:val="superscript"/>
        </w:rPr>
        <w:t>2</w:t>
      </w:r>
      <w:r>
        <w:t xml:space="preserve">) Mean change from baseline over time (mean ±SE) </w:t>
      </w:r>
      <w:r w:rsidR="00F14099">
        <w:t>all</w:t>
      </w:r>
      <w:r>
        <w:t xml:space="preserve"> subjects as treated. Placebo controlle</w:t>
      </w:r>
      <w:r w:rsidR="00025C4D">
        <w:t>d pool, i</w:t>
      </w:r>
      <w:r>
        <w:t>ncluding rescue approach</w:t>
      </w:r>
    </w:p>
    <w:p w14:paraId="2A12F314" w14:textId="77777777" w:rsidR="00966864" w:rsidRDefault="00966864" w:rsidP="00215E21">
      <w:r>
        <w:rPr>
          <w:noProof/>
          <w:lang w:eastAsia="en-AU"/>
        </w:rPr>
        <w:drawing>
          <wp:inline distT="0" distB="0" distL="0" distR="0" wp14:anchorId="75D81326" wp14:editId="7D63A25F">
            <wp:extent cx="5007768" cy="3268273"/>
            <wp:effectExtent l="0" t="0" r="2540" b="8890"/>
            <wp:docPr id="4" name="Picture 4" descr="eGFR (mL/min/1.73m2) Mean change from baseline over time (mean ±SE) All subjects as treated. Placebo controlled pool, including rescu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lum bright="-20000" contrast="40000"/>
                      <a:extLst>
                        <a:ext uri="{28A0092B-C50C-407E-A947-70E740481C1C}">
                          <a14:useLocalDpi xmlns:a14="http://schemas.microsoft.com/office/drawing/2010/main" val="0"/>
                        </a:ext>
                      </a:extLst>
                    </a:blip>
                    <a:srcRect l="7275" t="15041"/>
                    <a:stretch/>
                  </pic:blipFill>
                  <pic:spPr bwMode="auto">
                    <a:xfrm>
                      <a:off x="0" y="0"/>
                      <a:ext cx="5007179" cy="3267889"/>
                    </a:xfrm>
                    <a:prstGeom prst="rect">
                      <a:avLst/>
                    </a:prstGeom>
                    <a:noFill/>
                    <a:ln>
                      <a:noFill/>
                    </a:ln>
                    <a:extLst>
                      <a:ext uri="{53640926-AAD7-44D8-BBD7-CCE9431645EC}">
                        <a14:shadowObscured xmlns:a14="http://schemas.microsoft.com/office/drawing/2010/main"/>
                      </a:ext>
                    </a:extLst>
                  </pic:spPr>
                </pic:pic>
              </a:graphicData>
            </a:graphic>
          </wp:inline>
        </w:drawing>
      </w:r>
    </w:p>
    <w:p w14:paraId="340401E9" w14:textId="13D95CA7" w:rsidR="00966864" w:rsidRDefault="00966864" w:rsidP="00025C4D">
      <w:r>
        <w:t xml:space="preserve">In subjects with renal impairment, the decrease in eGFR was greater and did not return to baseline at </w:t>
      </w:r>
      <w:r w:rsidR="00025C4D">
        <w:t>W</w:t>
      </w:r>
      <w:r>
        <w:t>eek 26. The decrease in eGFR relative to placebo was -2.6 and -2.8% in the ertugliflozin</w:t>
      </w:r>
      <w:r w:rsidR="009A3F68">
        <w:t xml:space="preserve"> </w:t>
      </w:r>
      <w:r>
        <w:t>1</w:t>
      </w:r>
      <w:r w:rsidR="006C336C">
        <w:t>5</w:t>
      </w:r>
      <w:r w:rsidR="00715B39">
        <w:t xml:space="preserve"> </w:t>
      </w:r>
      <w:r w:rsidR="006D7D02">
        <w:t>mg</w:t>
      </w:r>
      <w:r>
        <w:t xml:space="preserve"> and </w:t>
      </w:r>
      <w:r w:rsidR="006C336C">
        <w:t>5</w:t>
      </w:r>
      <w:r w:rsidR="00715B39">
        <w:t xml:space="preserve"> </w:t>
      </w:r>
      <w:r w:rsidR="006D7D02">
        <w:t>mg</w:t>
      </w:r>
      <w:r>
        <w:t xml:space="preserve"> groups, compared to -0.54% in the comparator group. There was a dose dependent increase in the number of patients with a decrease in eGFR of </w:t>
      </w:r>
      <w:r w:rsidR="00AD51CF">
        <w:t>&gt;</w:t>
      </w:r>
      <w:r w:rsidR="00750F6F">
        <w:t> </w:t>
      </w:r>
      <w:r>
        <w:t>30%.</w:t>
      </w:r>
    </w:p>
    <w:p w14:paraId="18CA119A" w14:textId="77777777" w:rsidR="00966864" w:rsidRPr="00241369" w:rsidRDefault="00966864" w:rsidP="00025C4D">
      <w:r>
        <w:t xml:space="preserve">Ertugliflozin had an adverse effect on lipid profile and positive effect on </w:t>
      </w:r>
      <w:r w:rsidR="008F4ED0">
        <w:t>BP</w:t>
      </w:r>
      <w:r>
        <w:t xml:space="preserve">. There was no meta-analysis of cardiovascular studies included with the dossier, due to concerns that the release of such information may adversely affect the </w:t>
      </w:r>
      <w:r w:rsidRPr="00241369">
        <w:t>integrity of the long term CV safety study. However the 95% confidence interval for the risk of MACE+ was stated to be less than 1.8.</w:t>
      </w:r>
    </w:p>
    <w:p w14:paraId="1B11FF23" w14:textId="77777777" w:rsidR="00966864" w:rsidRPr="00241369" w:rsidRDefault="00966864" w:rsidP="00025C4D">
      <w:r w:rsidRPr="00241369">
        <w:t>Cases of ketoacidosis were reported in the clinical development program, however these were rare. There were slightly more amputations with ertugliflozin than comparators.</w:t>
      </w:r>
    </w:p>
    <w:p w14:paraId="1C75B26A" w14:textId="77777777" w:rsidR="00966864" w:rsidRPr="00241369" w:rsidRDefault="00966864" w:rsidP="00025C4D">
      <w:r w:rsidRPr="00241369">
        <w:t>There was no imbalance in the rate of fracture, change in BMD or calcium.</w:t>
      </w:r>
    </w:p>
    <w:p w14:paraId="6A4A5809" w14:textId="77777777" w:rsidR="00966864" w:rsidRPr="00241369" w:rsidRDefault="00966864" w:rsidP="00025C4D">
      <w:pPr>
        <w:pStyle w:val="Heading5"/>
      </w:pPr>
      <w:r w:rsidRPr="00241369">
        <w:t>Long term safety data</w:t>
      </w:r>
    </w:p>
    <w:p w14:paraId="41202EB5" w14:textId="77777777" w:rsidR="00966864" w:rsidRDefault="00966864" w:rsidP="00025C4D">
      <w:r w:rsidRPr="00241369">
        <w:rPr>
          <w:rFonts w:asciiTheme="minorHAnsi"/>
        </w:rPr>
        <w:t xml:space="preserve">In the </w:t>
      </w:r>
      <w:r w:rsidR="00025C4D" w:rsidRPr="00241369">
        <w:rPr>
          <w:rFonts w:asciiTheme="minorHAnsi"/>
        </w:rPr>
        <w:t>their</w:t>
      </w:r>
      <w:r w:rsidRPr="00241369">
        <w:rPr>
          <w:rFonts w:asciiTheme="minorHAnsi"/>
        </w:rPr>
        <w:t xml:space="preserve"> response, the sponsor submitted a </w:t>
      </w:r>
      <w:r w:rsidRPr="00241369">
        <w:t xml:space="preserve">safety update report </w:t>
      </w:r>
      <w:r w:rsidR="006D69A0" w:rsidRPr="00241369">
        <w:t xml:space="preserve">(SUR) </w:t>
      </w:r>
      <w:r w:rsidRPr="00241369">
        <w:t>which contained</w:t>
      </w:r>
      <w:r w:rsidR="009A3F68" w:rsidRPr="00241369">
        <w:t xml:space="preserve"> </w:t>
      </w:r>
      <w:r w:rsidRPr="00241369">
        <w:t xml:space="preserve">cumulative safety data, including information that was collected after the reporting dates </w:t>
      </w:r>
      <w:r w:rsidRPr="00241369">
        <w:lastRenderedPageBreak/>
        <w:t xml:space="preserve">established in the original marketing application, through the SUR cut-off dates for the Broad Pool. Broad Pool, included 7 </w:t>
      </w:r>
      <w:r w:rsidR="00F97771" w:rsidRPr="00241369">
        <w:t>Phase III</w:t>
      </w:r>
      <w:r w:rsidRPr="00241369">
        <w:t xml:space="preserve"> studies of subjects with T2DM including a study of subjects with moderate renal impairment.</w:t>
      </w:r>
    </w:p>
    <w:p w14:paraId="0AAC9CA4" w14:textId="77777777" w:rsidR="00966864" w:rsidRDefault="00966864" w:rsidP="00025C4D">
      <w:r>
        <w:t xml:space="preserve">The Broad Pool also includes the </w:t>
      </w:r>
      <w:r w:rsidR="00F97771">
        <w:t>Phase III</w:t>
      </w:r>
      <w:r>
        <w:t xml:space="preserve"> studies that supported the ertugliflozin/sitagliptin and ertugliflozin/metformin FDCs.</w:t>
      </w:r>
    </w:p>
    <w:p w14:paraId="1B01EC9D" w14:textId="77777777" w:rsidR="00966864" w:rsidRDefault="00966864" w:rsidP="00966864">
      <w:r>
        <w:t>The mean exposure was approximately 391 days in those treated with ertugliflozin.</w:t>
      </w:r>
    </w:p>
    <w:p w14:paraId="33DEFCE2" w14:textId="77777777" w:rsidR="00025C4D" w:rsidRDefault="00025C4D" w:rsidP="00025C4D">
      <w:pPr>
        <w:pStyle w:val="TableTitle"/>
      </w:pPr>
      <w:r>
        <w:t xml:space="preserve">Table </w:t>
      </w:r>
      <w:r w:rsidR="00F30D27">
        <w:t xml:space="preserve">29: </w:t>
      </w:r>
      <w:r w:rsidR="00120BD6">
        <w:t xml:space="preserve">Mean exposure to </w:t>
      </w:r>
      <w:r w:rsidR="00F14099">
        <w:t>ertugliflozin</w:t>
      </w:r>
    </w:p>
    <w:p w14:paraId="0C982646" w14:textId="77777777" w:rsidR="00966864" w:rsidRDefault="00966864" w:rsidP="00966864">
      <w:r>
        <w:rPr>
          <w:noProof/>
          <w:lang w:eastAsia="en-AU"/>
        </w:rPr>
        <w:drawing>
          <wp:inline distT="0" distB="0" distL="0" distR="0" wp14:anchorId="7259033B" wp14:editId="5BDDDDDA">
            <wp:extent cx="5400040" cy="640683"/>
            <wp:effectExtent l="0" t="0" r="0" b="7620"/>
            <wp:docPr id="9" name="Picture 9" descr="Mean exposure to erugliflo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lum bright="-20000" contrast="40000"/>
                      <a:extLst>
                        <a:ext uri="{28A0092B-C50C-407E-A947-70E740481C1C}">
                          <a14:useLocalDpi xmlns:a14="http://schemas.microsoft.com/office/drawing/2010/main" val="0"/>
                        </a:ext>
                      </a:extLst>
                    </a:blip>
                    <a:srcRect/>
                    <a:stretch>
                      <a:fillRect/>
                    </a:stretch>
                  </pic:blipFill>
                  <pic:spPr bwMode="auto">
                    <a:xfrm>
                      <a:off x="0" y="0"/>
                      <a:ext cx="5400040" cy="640683"/>
                    </a:xfrm>
                    <a:prstGeom prst="rect">
                      <a:avLst/>
                    </a:prstGeom>
                    <a:noFill/>
                    <a:ln>
                      <a:noFill/>
                    </a:ln>
                  </pic:spPr>
                </pic:pic>
              </a:graphicData>
            </a:graphic>
          </wp:inline>
        </w:drawing>
      </w:r>
    </w:p>
    <w:p w14:paraId="4400F970" w14:textId="77777777" w:rsidR="00966864" w:rsidRPr="0081160A" w:rsidRDefault="00025C4D" w:rsidP="00025C4D">
      <w:pPr>
        <w:pStyle w:val="TableTitle"/>
      </w:pPr>
      <w:r>
        <w:t>Table</w:t>
      </w:r>
      <w:r w:rsidR="00F30D27">
        <w:t xml:space="preserve"> 30</w:t>
      </w:r>
      <w:r>
        <w:t xml:space="preserve">: </w:t>
      </w:r>
      <w:r w:rsidR="00966864" w:rsidRPr="0081160A">
        <w:t>Subjects with AE resulting in death</w:t>
      </w:r>
      <w:r w:rsidR="00970132">
        <w:t>;</w:t>
      </w:r>
      <w:r w:rsidR="00966864" w:rsidRPr="0081160A">
        <w:t xml:space="preserve"> cumulative exposure</w:t>
      </w:r>
    </w:p>
    <w:tbl>
      <w:tblPr>
        <w:tblStyle w:val="TableTGAblue"/>
        <w:tblW w:w="0" w:type="auto"/>
        <w:tblLook w:val="04A0" w:firstRow="1" w:lastRow="0" w:firstColumn="1" w:lastColumn="0" w:noHBand="0" w:noVBand="1"/>
      </w:tblPr>
      <w:tblGrid>
        <w:gridCol w:w="2235"/>
        <w:gridCol w:w="2268"/>
        <w:gridCol w:w="2551"/>
        <w:gridCol w:w="1418"/>
      </w:tblGrid>
      <w:tr w:rsidR="00966864" w14:paraId="12013D9E" w14:textId="77777777" w:rsidTr="00584262">
        <w:trPr>
          <w:cnfStyle w:val="100000000000" w:firstRow="1" w:lastRow="0" w:firstColumn="0" w:lastColumn="0" w:oddVBand="0" w:evenVBand="0" w:oddHBand="0" w:evenHBand="0" w:firstRowFirstColumn="0" w:firstRowLastColumn="0" w:lastRowFirstColumn="0" w:lastRowLastColumn="0"/>
        </w:trPr>
        <w:tc>
          <w:tcPr>
            <w:tcW w:w="2235" w:type="dxa"/>
          </w:tcPr>
          <w:p w14:paraId="746E0564" w14:textId="77777777" w:rsidR="00966864" w:rsidRPr="00120BD6" w:rsidRDefault="00966864" w:rsidP="00120BD6">
            <w:pPr>
              <w:rPr>
                <w:sz w:val="20"/>
                <w:szCs w:val="20"/>
                <w:lang w:eastAsia="en-US"/>
              </w:rPr>
            </w:pPr>
            <w:r w:rsidRPr="00120BD6">
              <w:rPr>
                <w:sz w:val="20"/>
                <w:szCs w:val="20"/>
                <w:lang w:eastAsia="en-US"/>
              </w:rPr>
              <w:t>Cause</w:t>
            </w:r>
          </w:p>
        </w:tc>
        <w:tc>
          <w:tcPr>
            <w:tcW w:w="2268" w:type="dxa"/>
          </w:tcPr>
          <w:p w14:paraId="3BD1C703" w14:textId="47A140F4" w:rsidR="00966864" w:rsidRPr="00120BD6" w:rsidRDefault="00966864">
            <w:pPr>
              <w:rPr>
                <w:sz w:val="20"/>
                <w:szCs w:val="20"/>
                <w:lang w:eastAsia="en-US"/>
              </w:rPr>
            </w:pPr>
            <w:r w:rsidRPr="00120BD6">
              <w:rPr>
                <w:sz w:val="20"/>
                <w:szCs w:val="20"/>
                <w:lang w:eastAsia="en-US"/>
              </w:rPr>
              <w:t xml:space="preserve">Ertugliflozin </w:t>
            </w:r>
            <w:r w:rsidR="006C336C" w:rsidRPr="00120BD6">
              <w:rPr>
                <w:sz w:val="20"/>
                <w:szCs w:val="20"/>
                <w:lang w:eastAsia="en-US"/>
              </w:rPr>
              <w:t>5</w:t>
            </w:r>
            <w:r w:rsidR="00715B39">
              <w:rPr>
                <w:sz w:val="20"/>
                <w:szCs w:val="20"/>
                <w:lang w:eastAsia="en-US"/>
              </w:rPr>
              <w:t xml:space="preserve"> </w:t>
            </w:r>
            <w:r w:rsidR="006D7D02">
              <w:rPr>
                <w:sz w:val="20"/>
                <w:szCs w:val="20"/>
                <w:lang w:eastAsia="en-US"/>
              </w:rPr>
              <w:t>mg</w:t>
            </w:r>
          </w:p>
        </w:tc>
        <w:tc>
          <w:tcPr>
            <w:tcW w:w="2551" w:type="dxa"/>
          </w:tcPr>
          <w:p w14:paraId="79CC9754" w14:textId="5B7C046C" w:rsidR="00966864" w:rsidRPr="00120BD6" w:rsidRDefault="00966864">
            <w:pPr>
              <w:rPr>
                <w:sz w:val="20"/>
                <w:szCs w:val="20"/>
                <w:lang w:eastAsia="en-US"/>
              </w:rPr>
            </w:pPr>
            <w:r w:rsidRPr="00120BD6">
              <w:rPr>
                <w:sz w:val="20"/>
                <w:szCs w:val="20"/>
                <w:lang w:eastAsia="en-US"/>
              </w:rPr>
              <w:t>Ertugliflozin 1</w:t>
            </w:r>
            <w:r w:rsidR="006C336C" w:rsidRPr="00120BD6">
              <w:rPr>
                <w:sz w:val="20"/>
                <w:szCs w:val="20"/>
                <w:lang w:eastAsia="en-US"/>
              </w:rPr>
              <w:t>5</w:t>
            </w:r>
            <w:r w:rsidR="00715B39">
              <w:rPr>
                <w:sz w:val="20"/>
                <w:szCs w:val="20"/>
                <w:lang w:eastAsia="en-US"/>
              </w:rPr>
              <w:t xml:space="preserve"> </w:t>
            </w:r>
            <w:r w:rsidR="006D7D02">
              <w:rPr>
                <w:sz w:val="20"/>
                <w:szCs w:val="20"/>
                <w:lang w:eastAsia="en-US"/>
              </w:rPr>
              <w:t>mg</w:t>
            </w:r>
          </w:p>
        </w:tc>
        <w:tc>
          <w:tcPr>
            <w:tcW w:w="1418" w:type="dxa"/>
          </w:tcPr>
          <w:p w14:paraId="38D6582B" w14:textId="77777777" w:rsidR="00966864" w:rsidRPr="00120BD6" w:rsidRDefault="008F4ED0" w:rsidP="008F4ED0">
            <w:pPr>
              <w:rPr>
                <w:sz w:val="20"/>
                <w:szCs w:val="20"/>
                <w:lang w:eastAsia="en-US"/>
              </w:rPr>
            </w:pPr>
            <w:r>
              <w:rPr>
                <w:sz w:val="20"/>
                <w:szCs w:val="20"/>
                <w:lang w:eastAsia="en-US"/>
              </w:rPr>
              <w:t>P</w:t>
            </w:r>
            <w:r w:rsidR="00966864" w:rsidRPr="00120BD6">
              <w:rPr>
                <w:sz w:val="20"/>
                <w:szCs w:val="20"/>
                <w:lang w:eastAsia="en-US"/>
              </w:rPr>
              <w:t>lacebo</w:t>
            </w:r>
          </w:p>
        </w:tc>
      </w:tr>
      <w:tr w:rsidR="00966864" w14:paraId="371DAE8C" w14:textId="77777777" w:rsidTr="00584262">
        <w:tc>
          <w:tcPr>
            <w:tcW w:w="2235" w:type="dxa"/>
          </w:tcPr>
          <w:p w14:paraId="54A5A1A0" w14:textId="77777777" w:rsidR="00966864" w:rsidRPr="00120BD6" w:rsidRDefault="00966864" w:rsidP="00120BD6">
            <w:pPr>
              <w:rPr>
                <w:sz w:val="20"/>
                <w:szCs w:val="20"/>
                <w:lang w:eastAsia="en-US"/>
              </w:rPr>
            </w:pPr>
            <w:r w:rsidRPr="00120BD6">
              <w:rPr>
                <w:sz w:val="20"/>
                <w:szCs w:val="20"/>
                <w:lang w:eastAsia="en-US"/>
              </w:rPr>
              <w:t xml:space="preserve">N </w:t>
            </w:r>
          </w:p>
        </w:tc>
        <w:tc>
          <w:tcPr>
            <w:tcW w:w="2268" w:type="dxa"/>
          </w:tcPr>
          <w:p w14:paraId="71365F0C" w14:textId="77777777" w:rsidR="00966864" w:rsidRPr="00120BD6" w:rsidRDefault="00966864" w:rsidP="00120BD6">
            <w:pPr>
              <w:rPr>
                <w:sz w:val="20"/>
                <w:szCs w:val="20"/>
                <w:lang w:eastAsia="en-US"/>
              </w:rPr>
            </w:pPr>
            <w:r w:rsidRPr="00120BD6">
              <w:rPr>
                <w:sz w:val="20"/>
                <w:szCs w:val="20"/>
                <w:lang w:eastAsia="en-US"/>
              </w:rPr>
              <w:t>1716</w:t>
            </w:r>
          </w:p>
        </w:tc>
        <w:tc>
          <w:tcPr>
            <w:tcW w:w="2551" w:type="dxa"/>
          </w:tcPr>
          <w:p w14:paraId="4DE94D17" w14:textId="77777777" w:rsidR="00966864" w:rsidRPr="00120BD6" w:rsidRDefault="00966864" w:rsidP="00120BD6">
            <w:pPr>
              <w:rPr>
                <w:sz w:val="20"/>
                <w:szCs w:val="20"/>
                <w:lang w:eastAsia="en-US"/>
              </w:rPr>
            </w:pPr>
            <w:r w:rsidRPr="00120BD6">
              <w:rPr>
                <w:sz w:val="20"/>
                <w:szCs w:val="20"/>
                <w:lang w:eastAsia="en-US"/>
              </w:rPr>
              <w:t>1693</w:t>
            </w:r>
          </w:p>
        </w:tc>
        <w:tc>
          <w:tcPr>
            <w:tcW w:w="1418" w:type="dxa"/>
          </w:tcPr>
          <w:p w14:paraId="0A3F3D41" w14:textId="77777777" w:rsidR="00966864" w:rsidRPr="00120BD6" w:rsidRDefault="00966864" w:rsidP="00120BD6">
            <w:pPr>
              <w:rPr>
                <w:sz w:val="20"/>
                <w:szCs w:val="20"/>
                <w:lang w:eastAsia="en-US"/>
              </w:rPr>
            </w:pPr>
            <w:r w:rsidRPr="00120BD6">
              <w:rPr>
                <w:sz w:val="20"/>
                <w:szCs w:val="20"/>
                <w:lang w:eastAsia="en-US"/>
              </w:rPr>
              <w:t>1450</w:t>
            </w:r>
          </w:p>
        </w:tc>
      </w:tr>
      <w:tr w:rsidR="00966864" w14:paraId="689EB9A0" w14:textId="77777777" w:rsidTr="00584262">
        <w:tc>
          <w:tcPr>
            <w:tcW w:w="2235" w:type="dxa"/>
          </w:tcPr>
          <w:p w14:paraId="08BDF2BA" w14:textId="77777777" w:rsidR="00966864" w:rsidRPr="00120BD6" w:rsidRDefault="00966864" w:rsidP="00120BD6">
            <w:pPr>
              <w:rPr>
                <w:sz w:val="20"/>
                <w:szCs w:val="20"/>
                <w:lang w:eastAsia="en-US"/>
              </w:rPr>
            </w:pPr>
            <w:r w:rsidRPr="00120BD6">
              <w:rPr>
                <w:sz w:val="20"/>
                <w:szCs w:val="20"/>
                <w:lang w:eastAsia="en-US"/>
              </w:rPr>
              <w:t>Cardiac disorders</w:t>
            </w:r>
          </w:p>
        </w:tc>
        <w:tc>
          <w:tcPr>
            <w:tcW w:w="2268" w:type="dxa"/>
          </w:tcPr>
          <w:p w14:paraId="7A157015" w14:textId="77777777" w:rsidR="00966864" w:rsidRPr="00120BD6" w:rsidRDefault="00966864" w:rsidP="00120BD6">
            <w:pPr>
              <w:rPr>
                <w:sz w:val="20"/>
                <w:szCs w:val="20"/>
                <w:lang w:eastAsia="en-US"/>
              </w:rPr>
            </w:pPr>
            <w:r w:rsidRPr="00120BD6">
              <w:rPr>
                <w:sz w:val="20"/>
                <w:szCs w:val="20"/>
                <w:lang w:eastAsia="en-US"/>
              </w:rPr>
              <w:t>1</w:t>
            </w:r>
          </w:p>
        </w:tc>
        <w:tc>
          <w:tcPr>
            <w:tcW w:w="2551" w:type="dxa"/>
          </w:tcPr>
          <w:p w14:paraId="2379BD68" w14:textId="77777777" w:rsidR="00966864" w:rsidRPr="00120BD6" w:rsidRDefault="00966864" w:rsidP="00120BD6">
            <w:pPr>
              <w:rPr>
                <w:sz w:val="20"/>
                <w:szCs w:val="20"/>
                <w:lang w:eastAsia="en-US"/>
              </w:rPr>
            </w:pPr>
            <w:r w:rsidRPr="00120BD6">
              <w:rPr>
                <w:sz w:val="20"/>
                <w:szCs w:val="20"/>
                <w:lang w:eastAsia="en-US"/>
              </w:rPr>
              <w:t>3</w:t>
            </w:r>
          </w:p>
        </w:tc>
        <w:tc>
          <w:tcPr>
            <w:tcW w:w="1418" w:type="dxa"/>
          </w:tcPr>
          <w:p w14:paraId="1064084A" w14:textId="77777777" w:rsidR="00966864" w:rsidRPr="00120BD6" w:rsidRDefault="00966864" w:rsidP="00120BD6">
            <w:pPr>
              <w:rPr>
                <w:sz w:val="20"/>
                <w:szCs w:val="20"/>
                <w:lang w:eastAsia="en-US"/>
              </w:rPr>
            </w:pPr>
            <w:r w:rsidRPr="00120BD6">
              <w:rPr>
                <w:sz w:val="20"/>
                <w:szCs w:val="20"/>
                <w:lang w:eastAsia="en-US"/>
              </w:rPr>
              <w:t>2</w:t>
            </w:r>
          </w:p>
        </w:tc>
      </w:tr>
      <w:tr w:rsidR="00966864" w14:paraId="4889FE1A" w14:textId="77777777" w:rsidTr="00584262">
        <w:tc>
          <w:tcPr>
            <w:tcW w:w="2235" w:type="dxa"/>
          </w:tcPr>
          <w:p w14:paraId="2C44188D" w14:textId="77777777" w:rsidR="00966864" w:rsidRPr="00120BD6" w:rsidRDefault="00966864" w:rsidP="00120BD6">
            <w:pPr>
              <w:rPr>
                <w:sz w:val="20"/>
                <w:szCs w:val="20"/>
                <w:lang w:eastAsia="en-US"/>
              </w:rPr>
            </w:pPr>
            <w:r w:rsidRPr="00120BD6">
              <w:rPr>
                <w:sz w:val="20"/>
                <w:szCs w:val="20"/>
                <w:lang w:eastAsia="en-US"/>
              </w:rPr>
              <w:t>Infections</w:t>
            </w:r>
          </w:p>
        </w:tc>
        <w:tc>
          <w:tcPr>
            <w:tcW w:w="2268" w:type="dxa"/>
          </w:tcPr>
          <w:p w14:paraId="4B6EA281" w14:textId="77777777" w:rsidR="00966864" w:rsidRPr="00120BD6" w:rsidRDefault="00966864" w:rsidP="00120BD6">
            <w:pPr>
              <w:rPr>
                <w:sz w:val="20"/>
                <w:szCs w:val="20"/>
                <w:lang w:eastAsia="en-US"/>
              </w:rPr>
            </w:pPr>
            <w:r w:rsidRPr="00120BD6">
              <w:rPr>
                <w:sz w:val="20"/>
                <w:szCs w:val="20"/>
                <w:lang w:eastAsia="en-US"/>
              </w:rPr>
              <w:t>0</w:t>
            </w:r>
          </w:p>
        </w:tc>
        <w:tc>
          <w:tcPr>
            <w:tcW w:w="2551" w:type="dxa"/>
          </w:tcPr>
          <w:p w14:paraId="6E5CFB10" w14:textId="77777777" w:rsidR="00966864" w:rsidRPr="00120BD6" w:rsidRDefault="00966864" w:rsidP="00120BD6">
            <w:pPr>
              <w:rPr>
                <w:sz w:val="20"/>
                <w:szCs w:val="20"/>
                <w:lang w:eastAsia="en-US"/>
              </w:rPr>
            </w:pPr>
            <w:r w:rsidRPr="00120BD6">
              <w:rPr>
                <w:sz w:val="20"/>
                <w:szCs w:val="20"/>
                <w:lang w:eastAsia="en-US"/>
              </w:rPr>
              <w:t>1</w:t>
            </w:r>
          </w:p>
        </w:tc>
        <w:tc>
          <w:tcPr>
            <w:tcW w:w="1418" w:type="dxa"/>
          </w:tcPr>
          <w:p w14:paraId="00188A9B" w14:textId="77777777" w:rsidR="00966864" w:rsidRPr="00120BD6" w:rsidRDefault="00966864" w:rsidP="00120BD6">
            <w:pPr>
              <w:rPr>
                <w:sz w:val="20"/>
                <w:szCs w:val="20"/>
                <w:lang w:eastAsia="en-US"/>
              </w:rPr>
            </w:pPr>
            <w:r w:rsidRPr="00120BD6">
              <w:rPr>
                <w:sz w:val="20"/>
                <w:szCs w:val="20"/>
                <w:lang w:eastAsia="en-US"/>
              </w:rPr>
              <w:t>1</w:t>
            </w:r>
          </w:p>
        </w:tc>
      </w:tr>
    </w:tbl>
    <w:p w14:paraId="70E60236" w14:textId="77777777" w:rsidR="00966864" w:rsidRPr="0081160A" w:rsidRDefault="00025C4D" w:rsidP="00025C4D">
      <w:pPr>
        <w:pStyle w:val="TableTitle"/>
      </w:pPr>
      <w:r>
        <w:t xml:space="preserve">Table </w:t>
      </w:r>
      <w:r w:rsidR="00F30D27">
        <w:t>31</w:t>
      </w:r>
      <w:r>
        <w:t xml:space="preserve">: </w:t>
      </w:r>
      <w:r w:rsidR="00966864" w:rsidRPr="0081160A">
        <w:t>Subjects with serious AEs</w:t>
      </w:r>
      <w:r w:rsidR="00970132">
        <w:t>;</w:t>
      </w:r>
      <w:r w:rsidR="00966864" w:rsidRPr="0081160A">
        <w:t xml:space="preserve"> cumulative exposure</w:t>
      </w:r>
    </w:p>
    <w:tbl>
      <w:tblPr>
        <w:tblStyle w:val="TableTGAblue"/>
        <w:tblW w:w="0" w:type="auto"/>
        <w:tblLook w:val="04A0" w:firstRow="1" w:lastRow="0" w:firstColumn="1" w:lastColumn="0" w:noHBand="0" w:noVBand="1"/>
      </w:tblPr>
      <w:tblGrid>
        <w:gridCol w:w="2235"/>
        <w:gridCol w:w="2268"/>
        <w:gridCol w:w="2551"/>
        <w:gridCol w:w="1418"/>
      </w:tblGrid>
      <w:tr w:rsidR="00966864" w:rsidRPr="00996116" w14:paraId="10132BC9" w14:textId="77777777" w:rsidTr="00584262">
        <w:trPr>
          <w:cnfStyle w:val="100000000000" w:firstRow="1" w:lastRow="0" w:firstColumn="0" w:lastColumn="0" w:oddVBand="0" w:evenVBand="0" w:oddHBand="0" w:evenHBand="0" w:firstRowFirstColumn="0" w:firstRowLastColumn="0" w:lastRowFirstColumn="0" w:lastRowLastColumn="0"/>
        </w:trPr>
        <w:tc>
          <w:tcPr>
            <w:tcW w:w="2235" w:type="dxa"/>
          </w:tcPr>
          <w:p w14:paraId="42EFC621" w14:textId="77777777" w:rsidR="00966864" w:rsidRPr="00120BD6" w:rsidRDefault="00966864" w:rsidP="00120BD6">
            <w:pPr>
              <w:rPr>
                <w:sz w:val="20"/>
                <w:szCs w:val="20"/>
                <w:lang w:eastAsia="en-US"/>
              </w:rPr>
            </w:pPr>
            <w:r w:rsidRPr="00120BD6">
              <w:rPr>
                <w:sz w:val="20"/>
                <w:szCs w:val="20"/>
                <w:lang w:eastAsia="en-US"/>
              </w:rPr>
              <w:t>Cause</w:t>
            </w:r>
          </w:p>
        </w:tc>
        <w:tc>
          <w:tcPr>
            <w:tcW w:w="2268" w:type="dxa"/>
          </w:tcPr>
          <w:p w14:paraId="0390CB37" w14:textId="2755A4C3" w:rsidR="00966864" w:rsidRPr="00120BD6" w:rsidRDefault="00966864">
            <w:pPr>
              <w:rPr>
                <w:sz w:val="20"/>
                <w:szCs w:val="20"/>
                <w:lang w:eastAsia="en-US"/>
              </w:rPr>
            </w:pPr>
            <w:r w:rsidRPr="00120BD6">
              <w:rPr>
                <w:sz w:val="20"/>
                <w:szCs w:val="20"/>
                <w:lang w:eastAsia="en-US"/>
              </w:rPr>
              <w:t xml:space="preserve">Ertugliflozin </w:t>
            </w:r>
            <w:r w:rsidR="006C336C" w:rsidRPr="00120BD6">
              <w:rPr>
                <w:sz w:val="20"/>
                <w:szCs w:val="20"/>
                <w:lang w:eastAsia="en-US"/>
              </w:rPr>
              <w:t>5</w:t>
            </w:r>
            <w:r w:rsidR="00715B39">
              <w:rPr>
                <w:sz w:val="20"/>
                <w:szCs w:val="20"/>
                <w:lang w:eastAsia="en-US"/>
              </w:rPr>
              <w:t xml:space="preserve"> </w:t>
            </w:r>
            <w:r w:rsidR="006D7D02">
              <w:rPr>
                <w:sz w:val="20"/>
                <w:szCs w:val="20"/>
                <w:lang w:eastAsia="en-US"/>
              </w:rPr>
              <w:t>mg</w:t>
            </w:r>
          </w:p>
        </w:tc>
        <w:tc>
          <w:tcPr>
            <w:tcW w:w="2551" w:type="dxa"/>
          </w:tcPr>
          <w:p w14:paraId="64D0ADAF" w14:textId="2B42EE60" w:rsidR="00966864" w:rsidRPr="00120BD6" w:rsidRDefault="00966864">
            <w:pPr>
              <w:rPr>
                <w:sz w:val="20"/>
                <w:szCs w:val="20"/>
                <w:lang w:eastAsia="en-US"/>
              </w:rPr>
            </w:pPr>
            <w:r w:rsidRPr="00120BD6">
              <w:rPr>
                <w:sz w:val="20"/>
                <w:szCs w:val="20"/>
                <w:lang w:eastAsia="en-US"/>
              </w:rPr>
              <w:t>Ertugliflozin 1</w:t>
            </w:r>
            <w:r w:rsidR="006C336C" w:rsidRPr="00120BD6">
              <w:rPr>
                <w:sz w:val="20"/>
                <w:szCs w:val="20"/>
                <w:lang w:eastAsia="en-US"/>
              </w:rPr>
              <w:t>5</w:t>
            </w:r>
            <w:r w:rsidR="00715B39">
              <w:rPr>
                <w:sz w:val="20"/>
                <w:szCs w:val="20"/>
                <w:lang w:eastAsia="en-US"/>
              </w:rPr>
              <w:t xml:space="preserve"> </w:t>
            </w:r>
            <w:r w:rsidR="006D7D02">
              <w:rPr>
                <w:sz w:val="20"/>
                <w:szCs w:val="20"/>
                <w:lang w:eastAsia="en-US"/>
              </w:rPr>
              <w:t>mg</w:t>
            </w:r>
          </w:p>
        </w:tc>
        <w:tc>
          <w:tcPr>
            <w:tcW w:w="1418" w:type="dxa"/>
          </w:tcPr>
          <w:p w14:paraId="34A3EEF6" w14:textId="77777777" w:rsidR="00966864" w:rsidRPr="00120BD6" w:rsidRDefault="008F4ED0" w:rsidP="008F4ED0">
            <w:pPr>
              <w:rPr>
                <w:sz w:val="20"/>
                <w:szCs w:val="20"/>
                <w:lang w:eastAsia="en-US"/>
              </w:rPr>
            </w:pPr>
            <w:r>
              <w:rPr>
                <w:sz w:val="20"/>
                <w:szCs w:val="20"/>
                <w:lang w:eastAsia="en-US"/>
              </w:rPr>
              <w:t>P</w:t>
            </w:r>
            <w:r w:rsidR="00966864" w:rsidRPr="00120BD6">
              <w:rPr>
                <w:sz w:val="20"/>
                <w:szCs w:val="20"/>
                <w:lang w:eastAsia="en-US"/>
              </w:rPr>
              <w:t>lacebo</w:t>
            </w:r>
          </w:p>
        </w:tc>
      </w:tr>
      <w:tr w:rsidR="00966864" w14:paraId="23BEC3DA" w14:textId="77777777" w:rsidTr="00584262">
        <w:tc>
          <w:tcPr>
            <w:tcW w:w="2235" w:type="dxa"/>
          </w:tcPr>
          <w:p w14:paraId="4A837E62" w14:textId="77777777" w:rsidR="00966864" w:rsidRPr="00120BD6" w:rsidRDefault="00966864" w:rsidP="00120BD6">
            <w:pPr>
              <w:rPr>
                <w:sz w:val="20"/>
                <w:szCs w:val="20"/>
                <w:lang w:eastAsia="en-US"/>
              </w:rPr>
            </w:pPr>
            <w:r w:rsidRPr="00120BD6">
              <w:rPr>
                <w:sz w:val="20"/>
                <w:szCs w:val="20"/>
                <w:lang w:eastAsia="en-US"/>
              </w:rPr>
              <w:t xml:space="preserve">N </w:t>
            </w:r>
          </w:p>
        </w:tc>
        <w:tc>
          <w:tcPr>
            <w:tcW w:w="2268" w:type="dxa"/>
          </w:tcPr>
          <w:p w14:paraId="31945091" w14:textId="77777777" w:rsidR="00966864" w:rsidRPr="00120BD6" w:rsidRDefault="00966864" w:rsidP="00120BD6">
            <w:pPr>
              <w:rPr>
                <w:sz w:val="20"/>
                <w:szCs w:val="20"/>
                <w:lang w:eastAsia="en-US"/>
              </w:rPr>
            </w:pPr>
            <w:r w:rsidRPr="00120BD6">
              <w:rPr>
                <w:sz w:val="20"/>
                <w:szCs w:val="20"/>
                <w:lang w:eastAsia="en-US"/>
              </w:rPr>
              <w:t>1716</w:t>
            </w:r>
          </w:p>
        </w:tc>
        <w:tc>
          <w:tcPr>
            <w:tcW w:w="2551" w:type="dxa"/>
          </w:tcPr>
          <w:p w14:paraId="21E391C9" w14:textId="77777777" w:rsidR="00966864" w:rsidRPr="00120BD6" w:rsidRDefault="00966864" w:rsidP="00120BD6">
            <w:pPr>
              <w:rPr>
                <w:sz w:val="20"/>
                <w:szCs w:val="20"/>
                <w:lang w:eastAsia="en-US"/>
              </w:rPr>
            </w:pPr>
            <w:r w:rsidRPr="00120BD6">
              <w:rPr>
                <w:sz w:val="20"/>
                <w:szCs w:val="20"/>
                <w:lang w:eastAsia="en-US"/>
              </w:rPr>
              <w:t>1693</w:t>
            </w:r>
          </w:p>
        </w:tc>
        <w:tc>
          <w:tcPr>
            <w:tcW w:w="1418" w:type="dxa"/>
          </w:tcPr>
          <w:p w14:paraId="325C8DF5" w14:textId="77777777" w:rsidR="00966864" w:rsidRPr="00120BD6" w:rsidRDefault="00966864" w:rsidP="00120BD6">
            <w:pPr>
              <w:rPr>
                <w:sz w:val="20"/>
                <w:szCs w:val="20"/>
                <w:lang w:eastAsia="en-US"/>
              </w:rPr>
            </w:pPr>
            <w:r w:rsidRPr="00120BD6">
              <w:rPr>
                <w:sz w:val="20"/>
                <w:szCs w:val="20"/>
                <w:lang w:eastAsia="en-US"/>
              </w:rPr>
              <w:t>1450</w:t>
            </w:r>
          </w:p>
        </w:tc>
      </w:tr>
      <w:tr w:rsidR="00966864" w14:paraId="7A128974" w14:textId="77777777" w:rsidTr="00584262">
        <w:tc>
          <w:tcPr>
            <w:tcW w:w="2235" w:type="dxa"/>
          </w:tcPr>
          <w:p w14:paraId="686C3F7C" w14:textId="77777777" w:rsidR="00966864" w:rsidRPr="00120BD6" w:rsidRDefault="00966864" w:rsidP="00120BD6">
            <w:pPr>
              <w:rPr>
                <w:sz w:val="20"/>
                <w:szCs w:val="20"/>
                <w:lang w:eastAsia="en-US"/>
              </w:rPr>
            </w:pPr>
            <w:r w:rsidRPr="00120BD6">
              <w:rPr>
                <w:sz w:val="20"/>
                <w:szCs w:val="20"/>
                <w:lang w:eastAsia="en-US"/>
              </w:rPr>
              <w:t>Cardiac disorders</w:t>
            </w:r>
          </w:p>
        </w:tc>
        <w:tc>
          <w:tcPr>
            <w:tcW w:w="2268" w:type="dxa"/>
          </w:tcPr>
          <w:p w14:paraId="1BCC6838" w14:textId="77777777" w:rsidR="00966864" w:rsidRPr="00120BD6" w:rsidRDefault="00966864" w:rsidP="00120BD6">
            <w:pPr>
              <w:rPr>
                <w:sz w:val="20"/>
                <w:szCs w:val="20"/>
                <w:lang w:eastAsia="en-US"/>
              </w:rPr>
            </w:pPr>
            <w:r w:rsidRPr="00120BD6">
              <w:rPr>
                <w:sz w:val="20"/>
                <w:szCs w:val="20"/>
                <w:lang w:eastAsia="en-US"/>
              </w:rPr>
              <w:t>25</w:t>
            </w:r>
          </w:p>
        </w:tc>
        <w:tc>
          <w:tcPr>
            <w:tcW w:w="2551" w:type="dxa"/>
          </w:tcPr>
          <w:p w14:paraId="0BC6DC9A" w14:textId="77777777" w:rsidR="00966864" w:rsidRPr="00120BD6" w:rsidRDefault="00966864" w:rsidP="00120BD6">
            <w:pPr>
              <w:rPr>
                <w:sz w:val="20"/>
                <w:szCs w:val="20"/>
                <w:lang w:eastAsia="en-US"/>
              </w:rPr>
            </w:pPr>
            <w:r w:rsidRPr="00120BD6">
              <w:rPr>
                <w:sz w:val="20"/>
                <w:szCs w:val="20"/>
                <w:lang w:eastAsia="en-US"/>
              </w:rPr>
              <w:t>24</w:t>
            </w:r>
          </w:p>
        </w:tc>
        <w:tc>
          <w:tcPr>
            <w:tcW w:w="1418" w:type="dxa"/>
          </w:tcPr>
          <w:p w14:paraId="6709B285" w14:textId="77777777" w:rsidR="00966864" w:rsidRPr="00120BD6" w:rsidRDefault="00966864" w:rsidP="00120BD6">
            <w:pPr>
              <w:rPr>
                <w:sz w:val="20"/>
                <w:szCs w:val="20"/>
                <w:lang w:eastAsia="en-US"/>
              </w:rPr>
            </w:pPr>
            <w:r w:rsidRPr="00120BD6">
              <w:rPr>
                <w:sz w:val="20"/>
                <w:szCs w:val="20"/>
                <w:lang w:eastAsia="en-US"/>
              </w:rPr>
              <w:t>14</w:t>
            </w:r>
          </w:p>
        </w:tc>
      </w:tr>
      <w:tr w:rsidR="00966864" w14:paraId="22FC9C25" w14:textId="77777777" w:rsidTr="00584262">
        <w:tc>
          <w:tcPr>
            <w:tcW w:w="2235" w:type="dxa"/>
          </w:tcPr>
          <w:p w14:paraId="343031FC" w14:textId="77777777" w:rsidR="00966864" w:rsidRPr="00120BD6" w:rsidRDefault="00966864" w:rsidP="00120BD6">
            <w:pPr>
              <w:rPr>
                <w:sz w:val="20"/>
                <w:szCs w:val="20"/>
                <w:lang w:eastAsia="en-US"/>
              </w:rPr>
            </w:pPr>
            <w:r w:rsidRPr="00120BD6">
              <w:rPr>
                <w:sz w:val="20"/>
                <w:szCs w:val="20"/>
                <w:lang w:eastAsia="en-US"/>
              </w:rPr>
              <w:t>Neoplasms</w:t>
            </w:r>
          </w:p>
        </w:tc>
        <w:tc>
          <w:tcPr>
            <w:tcW w:w="2268" w:type="dxa"/>
          </w:tcPr>
          <w:p w14:paraId="37FA5A5A" w14:textId="77777777" w:rsidR="00966864" w:rsidRPr="00120BD6" w:rsidRDefault="00966864" w:rsidP="00120BD6">
            <w:pPr>
              <w:rPr>
                <w:sz w:val="20"/>
                <w:szCs w:val="20"/>
                <w:lang w:eastAsia="en-US"/>
              </w:rPr>
            </w:pPr>
            <w:r w:rsidRPr="00120BD6">
              <w:rPr>
                <w:sz w:val="20"/>
                <w:szCs w:val="20"/>
                <w:lang w:eastAsia="en-US"/>
              </w:rPr>
              <w:t>12</w:t>
            </w:r>
          </w:p>
        </w:tc>
        <w:tc>
          <w:tcPr>
            <w:tcW w:w="2551" w:type="dxa"/>
          </w:tcPr>
          <w:p w14:paraId="1A690551" w14:textId="77777777" w:rsidR="00966864" w:rsidRPr="00120BD6" w:rsidRDefault="00966864" w:rsidP="00120BD6">
            <w:pPr>
              <w:rPr>
                <w:sz w:val="20"/>
                <w:szCs w:val="20"/>
                <w:lang w:eastAsia="en-US"/>
              </w:rPr>
            </w:pPr>
            <w:r w:rsidRPr="00120BD6">
              <w:rPr>
                <w:sz w:val="20"/>
                <w:szCs w:val="20"/>
                <w:lang w:eastAsia="en-US"/>
              </w:rPr>
              <w:t>18</w:t>
            </w:r>
          </w:p>
        </w:tc>
        <w:tc>
          <w:tcPr>
            <w:tcW w:w="1418" w:type="dxa"/>
          </w:tcPr>
          <w:p w14:paraId="49FDA701" w14:textId="77777777" w:rsidR="00966864" w:rsidRPr="00120BD6" w:rsidRDefault="00966864" w:rsidP="00120BD6">
            <w:pPr>
              <w:rPr>
                <w:sz w:val="20"/>
                <w:szCs w:val="20"/>
                <w:lang w:eastAsia="en-US"/>
              </w:rPr>
            </w:pPr>
            <w:r w:rsidRPr="00120BD6">
              <w:rPr>
                <w:sz w:val="20"/>
                <w:szCs w:val="20"/>
                <w:lang w:eastAsia="en-US"/>
              </w:rPr>
              <w:t>7</w:t>
            </w:r>
          </w:p>
        </w:tc>
      </w:tr>
      <w:tr w:rsidR="00966864" w14:paraId="080E32F5" w14:textId="77777777" w:rsidTr="00584262">
        <w:tc>
          <w:tcPr>
            <w:tcW w:w="2235" w:type="dxa"/>
          </w:tcPr>
          <w:p w14:paraId="4FFEF58E" w14:textId="77777777" w:rsidR="00966864" w:rsidRPr="00120BD6" w:rsidRDefault="00966864" w:rsidP="00120BD6">
            <w:pPr>
              <w:rPr>
                <w:sz w:val="20"/>
                <w:szCs w:val="20"/>
                <w:lang w:eastAsia="en-US"/>
              </w:rPr>
            </w:pPr>
            <w:r w:rsidRPr="00120BD6">
              <w:rPr>
                <w:sz w:val="20"/>
                <w:szCs w:val="20"/>
                <w:lang w:eastAsia="en-US"/>
              </w:rPr>
              <w:t>Renal and urinary disorders</w:t>
            </w:r>
          </w:p>
        </w:tc>
        <w:tc>
          <w:tcPr>
            <w:tcW w:w="2268" w:type="dxa"/>
          </w:tcPr>
          <w:p w14:paraId="031F38AF" w14:textId="77777777" w:rsidR="00966864" w:rsidRPr="00120BD6" w:rsidRDefault="00966864" w:rsidP="00120BD6">
            <w:pPr>
              <w:rPr>
                <w:sz w:val="20"/>
                <w:szCs w:val="20"/>
                <w:lang w:eastAsia="en-US"/>
              </w:rPr>
            </w:pPr>
            <w:r w:rsidRPr="00120BD6">
              <w:rPr>
                <w:sz w:val="20"/>
                <w:szCs w:val="20"/>
                <w:lang w:eastAsia="en-US"/>
              </w:rPr>
              <w:t>6</w:t>
            </w:r>
          </w:p>
        </w:tc>
        <w:tc>
          <w:tcPr>
            <w:tcW w:w="2551" w:type="dxa"/>
          </w:tcPr>
          <w:p w14:paraId="5FCE3ADC" w14:textId="77777777" w:rsidR="00966864" w:rsidRPr="00120BD6" w:rsidRDefault="00966864" w:rsidP="00120BD6">
            <w:pPr>
              <w:rPr>
                <w:sz w:val="20"/>
                <w:szCs w:val="20"/>
                <w:lang w:eastAsia="en-US"/>
              </w:rPr>
            </w:pPr>
            <w:r w:rsidRPr="00120BD6">
              <w:rPr>
                <w:sz w:val="20"/>
                <w:szCs w:val="20"/>
                <w:lang w:eastAsia="en-US"/>
              </w:rPr>
              <w:t>4</w:t>
            </w:r>
          </w:p>
        </w:tc>
        <w:tc>
          <w:tcPr>
            <w:tcW w:w="1418" w:type="dxa"/>
          </w:tcPr>
          <w:p w14:paraId="05B4E6FD" w14:textId="77777777" w:rsidR="00966864" w:rsidRPr="00120BD6" w:rsidRDefault="00966864" w:rsidP="00120BD6">
            <w:pPr>
              <w:rPr>
                <w:sz w:val="20"/>
                <w:szCs w:val="20"/>
                <w:lang w:eastAsia="en-US"/>
              </w:rPr>
            </w:pPr>
            <w:r w:rsidRPr="00120BD6">
              <w:rPr>
                <w:sz w:val="20"/>
                <w:szCs w:val="20"/>
                <w:lang w:eastAsia="en-US"/>
              </w:rPr>
              <w:t>6</w:t>
            </w:r>
          </w:p>
        </w:tc>
      </w:tr>
    </w:tbl>
    <w:p w14:paraId="23C59994" w14:textId="77777777" w:rsidR="00966864" w:rsidRPr="0081160A" w:rsidRDefault="00025C4D" w:rsidP="00025C4D">
      <w:pPr>
        <w:pStyle w:val="TableTitle"/>
      </w:pPr>
      <w:r>
        <w:t xml:space="preserve">Table </w:t>
      </w:r>
      <w:r w:rsidR="00F30D27">
        <w:t>32</w:t>
      </w:r>
      <w:r>
        <w:t>:</w:t>
      </w:r>
      <w:r w:rsidR="00F30D27">
        <w:t xml:space="preserve"> </w:t>
      </w:r>
      <w:r w:rsidR="00966864">
        <w:t>A</w:t>
      </w:r>
      <w:r w:rsidR="00966864" w:rsidRPr="0081160A">
        <w:t>dverse events leading to treatment discontinuation</w:t>
      </w:r>
    </w:p>
    <w:tbl>
      <w:tblPr>
        <w:tblStyle w:val="TableTGAblue"/>
        <w:tblW w:w="0" w:type="auto"/>
        <w:tblLook w:val="04A0" w:firstRow="1" w:lastRow="0" w:firstColumn="1" w:lastColumn="0" w:noHBand="0" w:noVBand="1"/>
      </w:tblPr>
      <w:tblGrid>
        <w:gridCol w:w="2093"/>
        <w:gridCol w:w="2410"/>
        <w:gridCol w:w="2551"/>
        <w:gridCol w:w="1418"/>
      </w:tblGrid>
      <w:tr w:rsidR="00966864" w:rsidRPr="00996116" w14:paraId="645AEE67" w14:textId="77777777" w:rsidTr="00584262">
        <w:trPr>
          <w:cnfStyle w:val="100000000000" w:firstRow="1" w:lastRow="0" w:firstColumn="0" w:lastColumn="0" w:oddVBand="0" w:evenVBand="0" w:oddHBand="0" w:evenHBand="0" w:firstRowFirstColumn="0" w:firstRowLastColumn="0" w:lastRowFirstColumn="0" w:lastRowLastColumn="0"/>
        </w:trPr>
        <w:tc>
          <w:tcPr>
            <w:tcW w:w="2093" w:type="dxa"/>
          </w:tcPr>
          <w:p w14:paraId="6EA17B8F" w14:textId="77777777" w:rsidR="00966864" w:rsidRPr="00120BD6" w:rsidRDefault="00966864" w:rsidP="00120BD6">
            <w:pPr>
              <w:rPr>
                <w:sz w:val="20"/>
                <w:szCs w:val="20"/>
                <w:lang w:eastAsia="en-US"/>
              </w:rPr>
            </w:pPr>
            <w:r w:rsidRPr="00120BD6">
              <w:rPr>
                <w:sz w:val="20"/>
                <w:szCs w:val="20"/>
                <w:lang w:eastAsia="en-US"/>
              </w:rPr>
              <w:t>Cause</w:t>
            </w:r>
          </w:p>
        </w:tc>
        <w:tc>
          <w:tcPr>
            <w:tcW w:w="2410" w:type="dxa"/>
          </w:tcPr>
          <w:p w14:paraId="440E1103" w14:textId="6EC84FB9" w:rsidR="00966864" w:rsidRPr="00120BD6" w:rsidRDefault="00966864">
            <w:pPr>
              <w:rPr>
                <w:sz w:val="20"/>
                <w:szCs w:val="20"/>
                <w:lang w:eastAsia="en-US"/>
              </w:rPr>
            </w:pPr>
            <w:r w:rsidRPr="00120BD6">
              <w:rPr>
                <w:sz w:val="20"/>
                <w:szCs w:val="20"/>
                <w:lang w:eastAsia="en-US"/>
              </w:rPr>
              <w:t xml:space="preserve">Ertugliflozin </w:t>
            </w:r>
            <w:r w:rsidR="006C336C" w:rsidRPr="00120BD6">
              <w:rPr>
                <w:sz w:val="20"/>
                <w:szCs w:val="20"/>
                <w:lang w:eastAsia="en-US"/>
              </w:rPr>
              <w:t>5</w:t>
            </w:r>
            <w:r w:rsidR="00715B39">
              <w:rPr>
                <w:sz w:val="20"/>
                <w:szCs w:val="20"/>
                <w:lang w:eastAsia="en-US"/>
              </w:rPr>
              <w:t xml:space="preserve"> </w:t>
            </w:r>
            <w:r w:rsidR="006D7D02">
              <w:rPr>
                <w:sz w:val="20"/>
                <w:szCs w:val="20"/>
                <w:lang w:eastAsia="en-US"/>
              </w:rPr>
              <w:t>mg</w:t>
            </w:r>
          </w:p>
        </w:tc>
        <w:tc>
          <w:tcPr>
            <w:tcW w:w="2551" w:type="dxa"/>
          </w:tcPr>
          <w:p w14:paraId="6AAF87DD" w14:textId="5227D334" w:rsidR="00966864" w:rsidRPr="00120BD6" w:rsidRDefault="00966864">
            <w:pPr>
              <w:rPr>
                <w:sz w:val="20"/>
                <w:szCs w:val="20"/>
                <w:lang w:eastAsia="en-US"/>
              </w:rPr>
            </w:pPr>
            <w:r w:rsidRPr="00120BD6">
              <w:rPr>
                <w:sz w:val="20"/>
                <w:szCs w:val="20"/>
                <w:lang w:eastAsia="en-US"/>
              </w:rPr>
              <w:t>Ertugliflozin 1</w:t>
            </w:r>
            <w:r w:rsidR="006C336C" w:rsidRPr="00120BD6">
              <w:rPr>
                <w:sz w:val="20"/>
                <w:szCs w:val="20"/>
                <w:lang w:eastAsia="en-US"/>
              </w:rPr>
              <w:t>5</w:t>
            </w:r>
            <w:r w:rsidR="00715B39">
              <w:rPr>
                <w:sz w:val="20"/>
                <w:szCs w:val="20"/>
                <w:lang w:eastAsia="en-US"/>
              </w:rPr>
              <w:t xml:space="preserve"> </w:t>
            </w:r>
            <w:r w:rsidR="006D7D02">
              <w:rPr>
                <w:sz w:val="20"/>
                <w:szCs w:val="20"/>
                <w:lang w:eastAsia="en-US"/>
              </w:rPr>
              <w:t>mg</w:t>
            </w:r>
          </w:p>
        </w:tc>
        <w:tc>
          <w:tcPr>
            <w:tcW w:w="1418" w:type="dxa"/>
          </w:tcPr>
          <w:p w14:paraId="6AFC1913" w14:textId="77777777" w:rsidR="00966864" w:rsidRPr="00120BD6" w:rsidRDefault="008F4ED0" w:rsidP="008F4ED0">
            <w:pPr>
              <w:rPr>
                <w:sz w:val="20"/>
                <w:szCs w:val="20"/>
                <w:lang w:eastAsia="en-US"/>
              </w:rPr>
            </w:pPr>
            <w:r>
              <w:rPr>
                <w:sz w:val="20"/>
                <w:szCs w:val="20"/>
                <w:lang w:eastAsia="en-US"/>
              </w:rPr>
              <w:t>P</w:t>
            </w:r>
            <w:r w:rsidR="00966864" w:rsidRPr="00120BD6">
              <w:rPr>
                <w:sz w:val="20"/>
                <w:szCs w:val="20"/>
                <w:lang w:eastAsia="en-US"/>
              </w:rPr>
              <w:t>lacebo</w:t>
            </w:r>
          </w:p>
        </w:tc>
      </w:tr>
      <w:tr w:rsidR="00966864" w14:paraId="65FA1AFE" w14:textId="77777777" w:rsidTr="00584262">
        <w:tc>
          <w:tcPr>
            <w:tcW w:w="2093" w:type="dxa"/>
          </w:tcPr>
          <w:p w14:paraId="0F78D30B" w14:textId="5F347451" w:rsidR="00966864" w:rsidRPr="00120BD6" w:rsidRDefault="00966864" w:rsidP="006D7B64">
            <w:pPr>
              <w:rPr>
                <w:sz w:val="20"/>
                <w:szCs w:val="20"/>
                <w:lang w:eastAsia="en-US"/>
              </w:rPr>
            </w:pPr>
            <w:r w:rsidRPr="00120BD6">
              <w:rPr>
                <w:sz w:val="20"/>
                <w:szCs w:val="20"/>
                <w:lang w:eastAsia="en-US"/>
              </w:rPr>
              <w:t>N</w:t>
            </w:r>
          </w:p>
        </w:tc>
        <w:tc>
          <w:tcPr>
            <w:tcW w:w="2410" w:type="dxa"/>
          </w:tcPr>
          <w:p w14:paraId="2944F682" w14:textId="77777777" w:rsidR="00966864" w:rsidRPr="00120BD6" w:rsidRDefault="00966864" w:rsidP="00120BD6">
            <w:pPr>
              <w:rPr>
                <w:sz w:val="20"/>
                <w:szCs w:val="20"/>
                <w:lang w:eastAsia="en-US"/>
              </w:rPr>
            </w:pPr>
            <w:r w:rsidRPr="00120BD6">
              <w:rPr>
                <w:sz w:val="20"/>
                <w:szCs w:val="20"/>
                <w:lang w:eastAsia="en-US"/>
              </w:rPr>
              <w:t>1716</w:t>
            </w:r>
          </w:p>
        </w:tc>
        <w:tc>
          <w:tcPr>
            <w:tcW w:w="2551" w:type="dxa"/>
          </w:tcPr>
          <w:p w14:paraId="55B1A4D4" w14:textId="77777777" w:rsidR="00966864" w:rsidRPr="00120BD6" w:rsidRDefault="00966864" w:rsidP="00120BD6">
            <w:pPr>
              <w:rPr>
                <w:sz w:val="20"/>
                <w:szCs w:val="20"/>
                <w:lang w:eastAsia="en-US"/>
              </w:rPr>
            </w:pPr>
            <w:r w:rsidRPr="00120BD6">
              <w:rPr>
                <w:sz w:val="20"/>
                <w:szCs w:val="20"/>
                <w:lang w:eastAsia="en-US"/>
              </w:rPr>
              <w:t>1693</w:t>
            </w:r>
          </w:p>
        </w:tc>
        <w:tc>
          <w:tcPr>
            <w:tcW w:w="1418" w:type="dxa"/>
          </w:tcPr>
          <w:p w14:paraId="1B0D3D6C" w14:textId="77777777" w:rsidR="00966864" w:rsidRPr="00120BD6" w:rsidRDefault="00966864" w:rsidP="00120BD6">
            <w:pPr>
              <w:rPr>
                <w:sz w:val="20"/>
                <w:szCs w:val="20"/>
                <w:lang w:eastAsia="en-US"/>
              </w:rPr>
            </w:pPr>
            <w:r w:rsidRPr="00120BD6">
              <w:rPr>
                <w:sz w:val="20"/>
                <w:szCs w:val="20"/>
                <w:lang w:eastAsia="en-US"/>
              </w:rPr>
              <w:t>1450</w:t>
            </w:r>
          </w:p>
        </w:tc>
      </w:tr>
      <w:tr w:rsidR="00966864" w14:paraId="43A3C57C" w14:textId="77777777" w:rsidTr="00584262">
        <w:tc>
          <w:tcPr>
            <w:tcW w:w="2093" w:type="dxa"/>
          </w:tcPr>
          <w:p w14:paraId="46EA7C68" w14:textId="77777777" w:rsidR="00966864" w:rsidRPr="00120BD6" w:rsidRDefault="00966864" w:rsidP="00120BD6">
            <w:pPr>
              <w:rPr>
                <w:sz w:val="20"/>
                <w:szCs w:val="20"/>
                <w:lang w:eastAsia="en-US"/>
              </w:rPr>
            </w:pPr>
            <w:r w:rsidRPr="00120BD6">
              <w:rPr>
                <w:sz w:val="20"/>
                <w:szCs w:val="20"/>
                <w:lang w:eastAsia="en-US"/>
              </w:rPr>
              <w:t>Infections</w:t>
            </w:r>
          </w:p>
        </w:tc>
        <w:tc>
          <w:tcPr>
            <w:tcW w:w="2410" w:type="dxa"/>
          </w:tcPr>
          <w:p w14:paraId="2CB37E78" w14:textId="77777777" w:rsidR="00966864" w:rsidRPr="00120BD6" w:rsidRDefault="00966864" w:rsidP="00120BD6">
            <w:pPr>
              <w:rPr>
                <w:sz w:val="20"/>
                <w:szCs w:val="20"/>
                <w:lang w:eastAsia="en-US"/>
              </w:rPr>
            </w:pPr>
            <w:r w:rsidRPr="00120BD6">
              <w:rPr>
                <w:sz w:val="20"/>
                <w:szCs w:val="20"/>
                <w:lang w:eastAsia="en-US"/>
              </w:rPr>
              <w:t>15</w:t>
            </w:r>
          </w:p>
        </w:tc>
        <w:tc>
          <w:tcPr>
            <w:tcW w:w="2551" w:type="dxa"/>
          </w:tcPr>
          <w:p w14:paraId="7D078F84" w14:textId="77777777" w:rsidR="00966864" w:rsidRPr="00120BD6" w:rsidRDefault="00966864" w:rsidP="00120BD6">
            <w:pPr>
              <w:rPr>
                <w:sz w:val="20"/>
                <w:szCs w:val="20"/>
                <w:lang w:eastAsia="en-US"/>
              </w:rPr>
            </w:pPr>
            <w:r w:rsidRPr="00120BD6">
              <w:rPr>
                <w:sz w:val="20"/>
                <w:szCs w:val="20"/>
                <w:lang w:eastAsia="en-US"/>
              </w:rPr>
              <w:t>12</w:t>
            </w:r>
          </w:p>
        </w:tc>
        <w:tc>
          <w:tcPr>
            <w:tcW w:w="1418" w:type="dxa"/>
          </w:tcPr>
          <w:p w14:paraId="2619B790" w14:textId="77777777" w:rsidR="00966864" w:rsidRPr="00120BD6" w:rsidRDefault="00966864" w:rsidP="00120BD6">
            <w:pPr>
              <w:rPr>
                <w:sz w:val="20"/>
                <w:szCs w:val="20"/>
                <w:lang w:eastAsia="en-US"/>
              </w:rPr>
            </w:pPr>
            <w:r w:rsidRPr="00120BD6">
              <w:rPr>
                <w:sz w:val="20"/>
                <w:szCs w:val="20"/>
                <w:lang w:eastAsia="en-US"/>
              </w:rPr>
              <w:t>5</w:t>
            </w:r>
          </w:p>
        </w:tc>
      </w:tr>
      <w:tr w:rsidR="00966864" w14:paraId="0AF7748A" w14:textId="77777777" w:rsidTr="00584262">
        <w:tc>
          <w:tcPr>
            <w:tcW w:w="2093" w:type="dxa"/>
          </w:tcPr>
          <w:p w14:paraId="7CDC0C65" w14:textId="77777777" w:rsidR="00966864" w:rsidRPr="00120BD6" w:rsidRDefault="00966864" w:rsidP="00120BD6">
            <w:pPr>
              <w:rPr>
                <w:sz w:val="20"/>
                <w:szCs w:val="20"/>
                <w:lang w:eastAsia="en-US"/>
              </w:rPr>
            </w:pPr>
            <w:r w:rsidRPr="00120BD6">
              <w:rPr>
                <w:sz w:val="20"/>
                <w:szCs w:val="20"/>
                <w:lang w:eastAsia="en-US"/>
              </w:rPr>
              <w:t>Renal and urinary disorders</w:t>
            </w:r>
          </w:p>
        </w:tc>
        <w:tc>
          <w:tcPr>
            <w:tcW w:w="2410" w:type="dxa"/>
          </w:tcPr>
          <w:p w14:paraId="20D4838B" w14:textId="77777777" w:rsidR="00966864" w:rsidRPr="00120BD6" w:rsidRDefault="00966864" w:rsidP="00120BD6">
            <w:pPr>
              <w:rPr>
                <w:sz w:val="20"/>
                <w:szCs w:val="20"/>
                <w:lang w:eastAsia="en-US"/>
              </w:rPr>
            </w:pPr>
            <w:r w:rsidRPr="00120BD6">
              <w:rPr>
                <w:sz w:val="20"/>
                <w:szCs w:val="20"/>
                <w:lang w:eastAsia="en-US"/>
              </w:rPr>
              <w:t>7</w:t>
            </w:r>
          </w:p>
        </w:tc>
        <w:tc>
          <w:tcPr>
            <w:tcW w:w="2551" w:type="dxa"/>
          </w:tcPr>
          <w:p w14:paraId="13C720EC" w14:textId="77777777" w:rsidR="00966864" w:rsidRPr="00120BD6" w:rsidRDefault="00966864" w:rsidP="00120BD6">
            <w:pPr>
              <w:rPr>
                <w:sz w:val="20"/>
                <w:szCs w:val="20"/>
                <w:lang w:eastAsia="en-US"/>
              </w:rPr>
            </w:pPr>
            <w:r w:rsidRPr="00120BD6">
              <w:rPr>
                <w:sz w:val="20"/>
                <w:szCs w:val="20"/>
                <w:lang w:eastAsia="en-US"/>
              </w:rPr>
              <w:t>12</w:t>
            </w:r>
          </w:p>
        </w:tc>
        <w:tc>
          <w:tcPr>
            <w:tcW w:w="1418" w:type="dxa"/>
          </w:tcPr>
          <w:p w14:paraId="5946C4C4" w14:textId="77777777" w:rsidR="00966864" w:rsidRPr="00120BD6" w:rsidRDefault="00966864" w:rsidP="00120BD6">
            <w:pPr>
              <w:rPr>
                <w:sz w:val="20"/>
                <w:szCs w:val="20"/>
                <w:lang w:eastAsia="en-US"/>
              </w:rPr>
            </w:pPr>
            <w:r w:rsidRPr="00120BD6">
              <w:rPr>
                <w:sz w:val="20"/>
                <w:szCs w:val="20"/>
                <w:lang w:eastAsia="en-US"/>
              </w:rPr>
              <w:t>4</w:t>
            </w:r>
          </w:p>
        </w:tc>
      </w:tr>
    </w:tbl>
    <w:p w14:paraId="523E83BC" w14:textId="77777777" w:rsidR="00966864" w:rsidRDefault="00966864" w:rsidP="00120BD6">
      <w:r>
        <w:t>The cumulative incidence of genital mycotic infections in female and male subjects in the Broad Pool was higher in ertugliflozin</w:t>
      </w:r>
      <w:r w:rsidR="006C77CD">
        <w:t xml:space="preserve"> </w:t>
      </w:r>
      <w:r>
        <w:t>treated subjects. More patients in the ertugliflozin treatment arms discontinued study due to infection.</w:t>
      </w:r>
    </w:p>
    <w:p w14:paraId="4350A694" w14:textId="040DDF63" w:rsidR="00966864" w:rsidRDefault="00966864" w:rsidP="00120BD6">
      <w:r>
        <w:t>The cumulative incidence of non-traumatic limb amputation in the Broad Pool was 0.2%</w:t>
      </w:r>
      <w:r w:rsidRPr="0081160A">
        <w:t xml:space="preserve"> </w:t>
      </w:r>
      <w:r>
        <w:t>ertugliflozin 5</w:t>
      </w:r>
      <w:r w:rsidR="00715B39">
        <w:t xml:space="preserve"> </w:t>
      </w:r>
      <w:r w:rsidR="006D7D02">
        <w:t>mg</w:t>
      </w:r>
      <w:r>
        <w:t>, 0.5%</w:t>
      </w:r>
      <w:r w:rsidRPr="0081160A">
        <w:t xml:space="preserve"> </w:t>
      </w:r>
      <w:r>
        <w:t>ertugliflozin 15</w:t>
      </w:r>
      <w:r w:rsidR="00715B39">
        <w:t xml:space="preserve"> </w:t>
      </w:r>
      <w:r w:rsidR="006D7D02">
        <w:t>mg</w:t>
      </w:r>
      <w:r>
        <w:t>, and 0.1%</w:t>
      </w:r>
      <w:r w:rsidRPr="0081160A">
        <w:t xml:space="preserve"> </w:t>
      </w:r>
      <w:r>
        <w:t>and non</w:t>
      </w:r>
      <w:r w:rsidR="006C77CD">
        <w:t xml:space="preserve"> </w:t>
      </w:r>
      <w:r>
        <w:t>ertugliflozin group.</w:t>
      </w:r>
    </w:p>
    <w:p w14:paraId="08134918" w14:textId="328268BD" w:rsidR="00966864" w:rsidRDefault="00966864" w:rsidP="00120BD6">
      <w:r>
        <w:lastRenderedPageBreak/>
        <w:t>The cumulative incidence of adjudication-confirmed fracture was similar across the ertugliflozin 5</w:t>
      </w:r>
      <w:r w:rsidR="00715B39">
        <w:t xml:space="preserve"> </w:t>
      </w:r>
      <w:r w:rsidR="006D7D02">
        <w:t>mg</w:t>
      </w:r>
      <w:r>
        <w:t>, ertugliflozin 15</w:t>
      </w:r>
      <w:r w:rsidR="00715B39">
        <w:t xml:space="preserve"> </w:t>
      </w:r>
      <w:r w:rsidR="006D7D02">
        <w:t>mg</w:t>
      </w:r>
      <w:r>
        <w:t xml:space="preserve"> and non</w:t>
      </w:r>
      <w:r w:rsidR="006C77CD">
        <w:t xml:space="preserve"> </w:t>
      </w:r>
      <w:r>
        <w:t>ertugliflozin groups (0.6%, 0.5%, and 0.7%, respectively).</w:t>
      </w:r>
    </w:p>
    <w:p w14:paraId="66E7E293" w14:textId="1757B95D" w:rsidR="00966864" w:rsidRPr="00A54C6A" w:rsidRDefault="00966864" w:rsidP="00120BD6">
      <w:r>
        <w:t>The cumulative incidence of malignancies in the Broad Pool was low across all groups, although the point estimate was higher in the ertugliflozin 15</w:t>
      </w:r>
      <w:r w:rsidR="00715B39">
        <w:t xml:space="preserve"> </w:t>
      </w:r>
      <w:r w:rsidR="006D7D02">
        <w:t>mg</w:t>
      </w:r>
      <w:r>
        <w:t xml:space="preserve"> group (1.3%) compared to the ertugliflozin 5</w:t>
      </w:r>
      <w:r w:rsidR="00715B39">
        <w:t xml:space="preserve"> </w:t>
      </w:r>
      <w:r w:rsidR="006D7D02">
        <w:t>mg</w:t>
      </w:r>
      <w:r>
        <w:t xml:space="preserve"> group (0.6%) and the non</w:t>
      </w:r>
      <w:r w:rsidR="006C77CD">
        <w:t xml:space="preserve"> </w:t>
      </w:r>
      <w:r>
        <w:t>ertugliflozin group (0.6%). During the SUR period, no malignancies were reported in the ertugliflozin 5</w:t>
      </w:r>
      <w:r w:rsidR="00715B39">
        <w:t xml:space="preserve"> </w:t>
      </w:r>
      <w:r w:rsidR="006D7D02">
        <w:t>mg</w:t>
      </w:r>
      <w:r>
        <w:t xml:space="preserve"> group, 1 malignancy was reported in the ertugliflozin 15</w:t>
      </w:r>
      <w:r w:rsidR="00715B39">
        <w:t xml:space="preserve"> </w:t>
      </w:r>
      <w:r w:rsidR="006D7D02">
        <w:t>mg</w:t>
      </w:r>
      <w:r>
        <w:t xml:space="preserve"> group (basal cell carcinoma), and 4 malignancies were reported in the non</w:t>
      </w:r>
      <w:r w:rsidR="006C77CD">
        <w:t xml:space="preserve"> </w:t>
      </w:r>
      <w:r>
        <w:t>ertugliflozin group (squamous cell carcinoma of the skin, colorectal cancer, basal cell carcinoma</w:t>
      </w:r>
      <w:r w:rsidR="006C77CD">
        <w:t xml:space="preserve"> and</w:t>
      </w:r>
      <w:r>
        <w:t xml:space="preserve"> hepatic cancer).</w:t>
      </w:r>
    </w:p>
    <w:p w14:paraId="68EC1ED5" w14:textId="3144F22F" w:rsidR="00966864" w:rsidRDefault="00966864" w:rsidP="004A4114">
      <w:pPr>
        <w:rPr>
          <w:b/>
        </w:rPr>
      </w:pPr>
      <w:r w:rsidRPr="00A54C6A">
        <w:t xml:space="preserve">The cumulative rate of volume depletion in the broad pool was 1.9% with </w:t>
      </w:r>
      <w:r w:rsidR="006C77CD">
        <w:t>e</w:t>
      </w:r>
      <w:r>
        <w:t>rtugliflozin</w:t>
      </w:r>
      <w:r w:rsidRPr="00A54C6A">
        <w:t xml:space="preserve"> </w:t>
      </w:r>
      <w:r w:rsidR="006C336C">
        <w:t>5</w:t>
      </w:r>
      <w:r w:rsidR="00715B39">
        <w:t> </w:t>
      </w:r>
      <w:r w:rsidR="006D7D02">
        <w:t>mg</w:t>
      </w:r>
      <w:r w:rsidRPr="00A54C6A">
        <w:t xml:space="preserve">, 1.6% with </w:t>
      </w:r>
      <w:r w:rsidR="006C77CD">
        <w:t>e</w:t>
      </w:r>
      <w:r>
        <w:t>rtugliflozin</w:t>
      </w:r>
      <w:r w:rsidRPr="00A54C6A">
        <w:t xml:space="preserve"> 1</w:t>
      </w:r>
      <w:r w:rsidR="006C336C">
        <w:t>5</w:t>
      </w:r>
      <w:r w:rsidR="00715B39">
        <w:t xml:space="preserve"> </w:t>
      </w:r>
      <w:r w:rsidR="006D7D02">
        <w:t>mg</w:t>
      </w:r>
      <w:r w:rsidRPr="00A54C6A">
        <w:t xml:space="preserve"> and 1.2% with comparator.</w:t>
      </w:r>
    </w:p>
    <w:p w14:paraId="4567ADC4" w14:textId="7EDC20ED" w:rsidR="00966864" w:rsidRPr="001F7F24" w:rsidRDefault="008F3008">
      <w:pPr>
        <w:pStyle w:val="Heading5"/>
        <w:rPr>
          <w:rFonts w:eastAsia="TimesNewRoman,Bold"/>
        </w:rPr>
      </w:pPr>
      <w:r w:rsidRPr="001F7F24">
        <w:rPr>
          <w:rFonts w:eastAsia="TimesNewRoman,Bold"/>
        </w:rPr>
        <w:t>Study P001/1016 m</w:t>
      </w:r>
      <w:r w:rsidR="00966864" w:rsidRPr="001F7F24">
        <w:rPr>
          <w:rFonts w:eastAsia="TimesNewRoman,Bold"/>
        </w:rPr>
        <w:t xml:space="preserve">oderate </w:t>
      </w:r>
      <w:r w:rsidRPr="001F7F24">
        <w:rPr>
          <w:rFonts w:eastAsia="TimesNewRoman,Bold"/>
        </w:rPr>
        <w:t>renal i</w:t>
      </w:r>
      <w:r w:rsidR="00966864" w:rsidRPr="001F7F24">
        <w:rPr>
          <w:rFonts w:eastAsia="TimesNewRoman,Bold"/>
        </w:rPr>
        <w:t>mpairment</w:t>
      </w:r>
    </w:p>
    <w:p w14:paraId="3582109F" w14:textId="3D0BB1FE" w:rsidR="006C77CD" w:rsidRDefault="00966864" w:rsidP="00120BD6">
      <w:r>
        <w:t>Study P001/1016 was a 52</w:t>
      </w:r>
      <w:r w:rsidR="006C77CD">
        <w:t xml:space="preserve"> </w:t>
      </w:r>
      <w:r>
        <w:t>week study that evaluated the efficacy and safety of ertugliflozin compared to placebo in subjects with inadequately controlled T2DM and Stage 3 chronic kidney disease (CKD). Subjects were randomi</w:t>
      </w:r>
      <w:r w:rsidR="006C77CD">
        <w:t>s</w:t>
      </w:r>
      <w:r>
        <w:t xml:space="preserve">ed within 2 strata based on their </w:t>
      </w:r>
      <w:r w:rsidR="008F3008">
        <w:t>s</w:t>
      </w:r>
      <w:r>
        <w:t>creening eGFR:</w:t>
      </w:r>
    </w:p>
    <w:p w14:paraId="59C46420" w14:textId="04B82A9A" w:rsidR="006C77CD" w:rsidRDefault="00966864" w:rsidP="006C77CD">
      <w:pPr>
        <w:pStyle w:val="Numberbullet0"/>
      </w:pPr>
      <w:r>
        <w:t xml:space="preserve">eGFR </w:t>
      </w:r>
      <w:r w:rsidR="00F14099">
        <w:t xml:space="preserve">≥ </w:t>
      </w:r>
      <w:r>
        <w:t>45 to &lt;</w:t>
      </w:r>
      <w:r w:rsidR="001F7F24">
        <w:t xml:space="preserve"> </w:t>
      </w:r>
      <w:r>
        <w:t>60 mL/min/</w:t>
      </w:r>
      <w:r w:rsidR="00D518E2">
        <w:t>1.73 m</w:t>
      </w:r>
      <w:r w:rsidR="00D518E2" w:rsidRPr="00D518E2">
        <w:rPr>
          <w:vertAlign w:val="superscript"/>
        </w:rPr>
        <w:t>2</w:t>
      </w:r>
      <w:r>
        <w:t xml:space="preserve"> (Stage 3A CKD) or</w:t>
      </w:r>
    </w:p>
    <w:p w14:paraId="5E41FA96" w14:textId="4AF3CA41" w:rsidR="00966864" w:rsidRDefault="00966864" w:rsidP="006C77CD">
      <w:pPr>
        <w:pStyle w:val="Numberbullet0"/>
      </w:pPr>
      <w:proofErr w:type="gramStart"/>
      <w:r>
        <w:t>eGFR</w:t>
      </w:r>
      <w:proofErr w:type="gramEnd"/>
      <w:r>
        <w:t xml:space="preserve"> </w:t>
      </w:r>
      <w:r w:rsidR="00F14099">
        <w:t xml:space="preserve">≥ </w:t>
      </w:r>
      <w:r>
        <w:t>30 to &lt;</w:t>
      </w:r>
      <w:r w:rsidR="001F7F24">
        <w:t xml:space="preserve"> </w:t>
      </w:r>
      <w:r>
        <w:t>45 mL/min/</w:t>
      </w:r>
      <w:r w:rsidR="00D518E2">
        <w:t>1.73 m</w:t>
      </w:r>
      <w:r w:rsidR="00D518E2" w:rsidRPr="00D518E2">
        <w:rPr>
          <w:vertAlign w:val="superscript"/>
        </w:rPr>
        <w:t>2</w:t>
      </w:r>
      <w:r>
        <w:rPr>
          <w:sz w:val="16"/>
          <w:szCs w:val="16"/>
        </w:rPr>
        <w:t xml:space="preserve"> </w:t>
      </w:r>
      <w:r>
        <w:t>(Stage 3B CKD).</w:t>
      </w:r>
    </w:p>
    <w:p w14:paraId="243739F7" w14:textId="0EAC6569" w:rsidR="00966864" w:rsidRDefault="00966864">
      <w:r w:rsidRPr="005108B6">
        <w:t xml:space="preserve">Although the LS mean reduction from baseline in </w:t>
      </w:r>
      <w:r w:rsidR="003F2DE3">
        <w:t>Hb</w:t>
      </w:r>
      <w:r w:rsidR="00A04B32">
        <w:t>A1c</w:t>
      </w:r>
      <w:r w:rsidRPr="005108B6">
        <w:t xml:space="preserve"> at Week 26 in the </w:t>
      </w:r>
      <w:r>
        <w:t>ertugliflozin</w:t>
      </w:r>
      <w:r w:rsidRPr="005108B6">
        <w:t xml:space="preserve"> 15</w:t>
      </w:r>
      <w:r w:rsidR="00715B39">
        <w:t> </w:t>
      </w:r>
      <w:r w:rsidR="006D7D02">
        <w:t>mg</w:t>
      </w:r>
      <w:r>
        <w:t xml:space="preserve"> </w:t>
      </w:r>
      <w:r w:rsidRPr="005108B6">
        <w:t>group was numerically greater than in the placebo group, the between</w:t>
      </w:r>
      <w:r w:rsidR="001F7F24">
        <w:t xml:space="preserve"> </w:t>
      </w:r>
      <w:r w:rsidRPr="005108B6">
        <w:t>group difference was</w:t>
      </w:r>
      <w:r>
        <w:t xml:space="preserve"> </w:t>
      </w:r>
      <w:r w:rsidRPr="005108B6">
        <w:t>not statistically significant</w:t>
      </w:r>
      <w:r>
        <w:t xml:space="preserve">; the </w:t>
      </w:r>
      <w:r w:rsidRPr="005108B6">
        <w:t xml:space="preserve">LS mean reduction in the </w:t>
      </w:r>
      <w:r>
        <w:t>ertugliflozin</w:t>
      </w:r>
      <w:r w:rsidRPr="005108B6">
        <w:t xml:space="preserve"> 5</w:t>
      </w:r>
      <w:r w:rsidR="00715B39">
        <w:t xml:space="preserve"> </w:t>
      </w:r>
      <w:r w:rsidR="006D7D02">
        <w:t>mg</w:t>
      </w:r>
      <w:r w:rsidRPr="005108B6">
        <w:t xml:space="preserve"> group was</w:t>
      </w:r>
      <w:r>
        <w:t xml:space="preserve"> </w:t>
      </w:r>
      <w:r w:rsidRPr="005108B6">
        <w:t xml:space="preserve">similar to that of the placebo group </w:t>
      </w:r>
      <w:r>
        <w:t xml:space="preserve">(-0.26%, -0.29 and -0.41% in placebo, ertugliflozin </w:t>
      </w:r>
      <w:r w:rsidR="006C336C">
        <w:t>5</w:t>
      </w:r>
      <w:r w:rsidR="00715B39">
        <w:t xml:space="preserve"> </w:t>
      </w:r>
      <w:r w:rsidR="006D7D02">
        <w:t>mg</w:t>
      </w:r>
      <w:r>
        <w:t xml:space="preserve"> and 1</w:t>
      </w:r>
      <w:r w:rsidR="006C336C">
        <w:t>5</w:t>
      </w:r>
      <w:r w:rsidR="00715B39">
        <w:t xml:space="preserve"> </w:t>
      </w:r>
      <w:r w:rsidR="006D7D02">
        <w:t>mg</w:t>
      </w:r>
      <w:r>
        <w:t xml:space="preserve"> groups, respectively). The sponsors have attributed this difference to the (prohibited) use of metformin during the study however the number of positive metformin assays was similar for all groups. When patients with a positive metformin assay were excluded from the study there was a statistically significant improvement in the E15 group but this was less than the 0.4% considered to be clinically relevant.</w:t>
      </w:r>
    </w:p>
    <w:p w14:paraId="75B77AAA" w14:textId="53388CEF" w:rsidR="00966864" w:rsidRPr="006C77CD" w:rsidRDefault="00120BD6" w:rsidP="006C77CD">
      <w:pPr>
        <w:pStyle w:val="TableTitle"/>
      </w:pPr>
      <w:r>
        <w:t>Table</w:t>
      </w:r>
      <w:r w:rsidR="00F30D27">
        <w:t xml:space="preserve">33: </w:t>
      </w:r>
      <w:r w:rsidR="003F2DE3">
        <w:t>Hb</w:t>
      </w:r>
      <w:r w:rsidR="00A04B32">
        <w:t>A1c</w:t>
      </w:r>
      <w:r w:rsidR="006C77CD">
        <w:t xml:space="preserve"> change from baseline at Week 26 cLDA Subgroup with positive metformin assay results Full analysis set excluding rescue approach</w:t>
      </w:r>
    </w:p>
    <w:p w14:paraId="1AE9C5F8" w14:textId="77777777" w:rsidR="00966864" w:rsidRDefault="00966864" w:rsidP="00120BD6">
      <w:r w:rsidRPr="005F08FF">
        <w:rPr>
          <w:noProof/>
          <w:lang w:eastAsia="en-AU"/>
        </w:rPr>
        <w:drawing>
          <wp:inline distT="0" distB="0" distL="0" distR="0" wp14:anchorId="6994D1EE" wp14:editId="53CBEF38">
            <wp:extent cx="5316683" cy="1399429"/>
            <wp:effectExtent l="0" t="0" r="0" b="0"/>
            <wp:docPr id="464" name="Picture 464" descr="HbA1c change from baseline at Week 26 cLDA Subgroup with positive metformin assay results Full analysis set excluding rescu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3">
                      <a:lum bright="-20000" contrast="40000"/>
                      <a:extLst>
                        <a:ext uri="{28A0092B-C50C-407E-A947-70E740481C1C}">
                          <a14:useLocalDpi xmlns:a14="http://schemas.microsoft.com/office/drawing/2010/main" val="0"/>
                        </a:ext>
                      </a:extLst>
                    </a:blip>
                    <a:srcRect l="3174" t="31353"/>
                    <a:stretch/>
                  </pic:blipFill>
                  <pic:spPr bwMode="auto">
                    <a:xfrm>
                      <a:off x="0" y="0"/>
                      <a:ext cx="5325867" cy="1401846"/>
                    </a:xfrm>
                    <a:prstGeom prst="rect">
                      <a:avLst/>
                    </a:prstGeom>
                    <a:noFill/>
                    <a:ln>
                      <a:noFill/>
                    </a:ln>
                    <a:extLst>
                      <a:ext uri="{53640926-AAD7-44D8-BBD7-CCE9431645EC}">
                        <a14:shadowObscured xmlns:a14="http://schemas.microsoft.com/office/drawing/2010/main"/>
                      </a:ext>
                    </a:extLst>
                  </pic:spPr>
                </pic:pic>
              </a:graphicData>
            </a:graphic>
          </wp:inline>
        </w:drawing>
      </w:r>
    </w:p>
    <w:p w14:paraId="155C7877" w14:textId="77777777" w:rsidR="00966864" w:rsidRDefault="00966864" w:rsidP="00966864">
      <w:r>
        <w:t>Treatment was ceased at 52 weeks</w:t>
      </w:r>
      <w:r w:rsidR="00120BD6">
        <w:t>.</w:t>
      </w:r>
    </w:p>
    <w:p w14:paraId="178617A5" w14:textId="77777777" w:rsidR="00120BD6" w:rsidRDefault="00120BD6" w:rsidP="00120BD6">
      <w:pPr>
        <w:pStyle w:val="FigureTitle"/>
      </w:pPr>
      <w:r>
        <w:lastRenderedPageBreak/>
        <w:t>Figure</w:t>
      </w:r>
      <w:r w:rsidR="00F30D27">
        <w:t xml:space="preserve"> 6</w:t>
      </w:r>
      <w:r>
        <w:t>: Change in eGFR</w:t>
      </w:r>
    </w:p>
    <w:p w14:paraId="0E45C114" w14:textId="77777777" w:rsidR="00966864" w:rsidRDefault="00966864" w:rsidP="00120BD6">
      <w:r>
        <w:rPr>
          <w:noProof/>
          <w:lang w:eastAsia="en-AU"/>
        </w:rPr>
        <w:drawing>
          <wp:inline distT="0" distB="0" distL="0" distR="0" wp14:anchorId="63CB7941" wp14:editId="0FF79453">
            <wp:extent cx="4600575" cy="3492465"/>
            <wp:effectExtent l="0" t="0" r="0" b="0"/>
            <wp:docPr id="11" name="Picture 11" descr="Change in e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lum bright="-20000" contrast="40000"/>
                      <a:extLst>
                        <a:ext uri="{28A0092B-C50C-407E-A947-70E740481C1C}">
                          <a14:useLocalDpi xmlns:a14="http://schemas.microsoft.com/office/drawing/2010/main" val="0"/>
                        </a:ext>
                      </a:extLst>
                    </a:blip>
                    <a:srcRect t="6323" r="14815"/>
                    <a:stretch/>
                  </pic:blipFill>
                  <pic:spPr bwMode="auto">
                    <a:xfrm>
                      <a:off x="0" y="0"/>
                      <a:ext cx="4600034" cy="3492054"/>
                    </a:xfrm>
                    <a:prstGeom prst="rect">
                      <a:avLst/>
                    </a:prstGeom>
                    <a:noFill/>
                    <a:ln>
                      <a:noFill/>
                    </a:ln>
                    <a:extLst>
                      <a:ext uri="{53640926-AAD7-44D8-BBD7-CCE9431645EC}">
                        <a14:shadowObscured xmlns:a14="http://schemas.microsoft.com/office/drawing/2010/main"/>
                      </a:ext>
                    </a:extLst>
                  </pic:spPr>
                </pic:pic>
              </a:graphicData>
            </a:graphic>
          </wp:inline>
        </w:drawing>
      </w:r>
    </w:p>
    <w:p w14:paraId="250CCF38" w14:textId="77777777" w:rsidR="008E7846" w:rsidRDefault="00386150" w:rsidP="007B6132">
      <w:pPr>
        <w:pStyle w:val="Heading3"/>
        <w:rPr>
          <w:lang w:eastAsia="en-AU"/>
        </w:rPr>
      </w:pPr>
      <w:bookmarkStart w:id="276" w:name="_Toc314842514"/>
      <w:bookmarkStart w:id="277" w:name="_Toc4405840"/>
      <w:r>
        <w:rPr>
          <w:lang w:eastAsia="en-AU"/>
        </w:rPr>
        <w:t>Risk m</w:t>
      </w:r>
      <w:r w:rsidR="008E7846">
        <w:rPr>
          <w:lang w:eastAsia="en-AU"/>
        </w:rPr>
        <w:t xml:space="preserve">anagement </w:t>
      </w:r>
      <w:r>
        <w:rPr>
          <w:lang w:eastAsia="en-AU"/>
        </w:rPr>
        <w:t>p</w:t>
      </w:r>
      <w:r w:rsidR="008E7846">
        <w:rPr>
          <w:lang w:eastAsia="en-AU"/>
        </w:rPr>
        <w:t>lan</w:t>
      </w:r>
      <w:bookmarkEnd w:id="276"/>
      <w:bookmarkEnd w:id="277"/>
    </w:p>
    <w:p w14:paraId="77765E99" w14:textId="23F47B4C" w:rsidR="008E7846" w:rsidRDefault="00966864" w:rsidP="008E7846">
      <w:r>
        <w:t xml:space="preserve">See </w:t>
      </w:r>
      <w:r w:rsidR="00127692">
        <w:rPr>
          <w:i/>
        </w:rPr>
        <w:t>p</w:t>
      </w:r>
      <w:r w:rsidRPr="00970132">
        <w:rPr>
          <w:i/>
        </w:rPr>
        <w:t>harmacovigilance findings</w:t>
      </w:r>
      <w:r w:rsidR="00970132">
        <w:t xml:space="preserve"> above.</w:t>
      </w:r>
    </w:p>
    <w:p w14:paraId="131809D2" w14:textId="77777777" w:rsidR="00966864" w:rsidRDefault="00966864" w:rsidP="00120BD6">
      <w:pPr>
        <w:pStyle w:val="Heading4"/>
      </w:pPr>
      <w:r>
        <w:t>Ongoing studies</w:t>
      </w:r>
    </w:p>
    <w:p w14:paraId="1C3D88E5" w14:textId="19F75DB5" w:rsidR="00966864" w:rsidRDefault="006C77CD" w:rsidP="00120BD6">
      <w:pPr>
        <w:pStyle w:val="ListBullet"/>
        <w:rPr>
          <w:b/>
        </w:rPr>
      </w:pPr>
      <w:r>
        <w:t>Study 8835-004/B1521021</w:t>
      </w:r>
      <w:r w:rsidR="001F7F24">
        <w:t>;</w:t>
      </w:r>
      <w:r>
        <w:t xml:space="preserve"> </w:t>
      </w:r>
      <w:r w:rsidR="007E6A50">
        <w:t xml:space="preserve">A </w:t>
      </w:r>
      <w:r w:rsidR="001F7F24">
        <w:t>randomis</w:t>
      </w:r>
      <w:r w:rsidR="001F7F24" w:rsidRPr="00253ED8">
        <w:t>ed, double</w:t>
      </w:r>
      <w:r w:rsidR="001F7F24">
        <w:t xml:space="preserve"> </w:t>
      </w:r>
      <w:r w:rsidR="001F7F24" w:rsidRPr="00253ED8">
        <w:t>blind, placebo</w:t>
      </w:r>
      <w:r w:rsidR="001F7F24">
        <w:t xml:space="preserve"> </w:t>
      </w:r>
      <w:r w:rsidR="001F7F24" w:rsidRPr="00253ED8">
        <w:t>controlled, parallel</w:t>
      </w:r>
      <w:r w:rsidR="001F7F24">
        <w:t xml:space="preserve"> </w:t>
      </w:r>
      <w:r w:rsidR="001F7F24" w:rsidRPr="00253ED8">
        <w:t xml:space="preserve">group study </w:t>
      </w:r>
      <w:r w:rsidR="001F7F24">
        <w:t>t</w:t>
      </w:r>
      <w:r w:rsidR="001F7F24" w:rsidRPr="00253ED8">
        <w:t xml:space="preserve">o assess cardiovascular outcomes following treatment with </w:t>
      </w:r>
      <w:r w:rsidR="001F7F24">
        <w:t>ertugliflozin</w:t>
      </w:r>
      <w:r w:rsidR="001F7F24" w:rsidRPr="00253ED8">
        <w:t xml:space="preserve"> in subjects with </w:t>
      </w:r>
      <w:r w:rsidR="00966864" w:rsidRPr="00253ED8">
        <w:t xml:space="preserve">T2DM </w:t>
      </w:r>
      <w:r w:rsidR="001F7F24" w:rsidRPr="00253ED8">
        <w:t>and established vascular disease</w:t>
      </w:r>
      <w:r>
        <w:t>.</w:t>
      </w:r>
    </w:p>
    <w:p w14:paraId="7FB9773A" w14:textId="7CF1A909" w:rsidR="00966864" w:rsidRDefault="00966864" w:rsidP="00120BD6">
      <w:pPr>
        <w:pStyle w:val="ListBullet"/>
        <w:rPr>
          <w:b/>
        </w:rPr>
      </w:pPr>
      <w:r>
        <w:t>Study 8835-</w:t>
      </w:r>
      <w:r w:rsidRPr="00A83589">
        <w:t>007/B1521017</w:t>
      </w:r>
      <w:r w:rsidR="001F7F24">
        <w:t>;</w:t>
      </w:r>
      <w:r>
        <w:t xml:space="preserve"> </w:t>
      </w:r>
      <w:r w:rsidR="007E6A50">
        <w:t xml:space="preserve">A </w:t>
      </w:r>
      <w:r w:rsidR="001F7F24">
        <w:t>s</w:t>
      </w:r>
      <w:r w:rsidR="001F7F24" w:rsidRPr="00253ED8">
        <w:t xml:space="preserve">afety </w:t>
      </w:r>
      <w:r w:rsidRPr="00253ED8">
        <w:t>and efficacy of the addition of</w:t>
      </w:r>
      <w:r>
        <w:t xml:space="preserve"> </w:t>
      </w:r>
      <w:r w:rsidR="006C77CD">
        <w:t>e</w:t>
      </w:r>
      <w:r>
        <w:t>rtugliflozin</w:t>
      </w:r>
      <w:r w:rsidRPr="00253ED8">
        <w:t xml:space="preserve"> compared with the</w:t>
      </w:r>
      <w:r>
        <w:t xml:space="preserve"> </w:t>
      </w:r>
      <w:r w:rsidRPr="00253ED8">
        <w:t>addition of placebo in subjects with</w:t>
      </w:r>
      <w:r>
        <w:t xml:space="preserve"> </w:t>
      </w:r>
      <w:r w:rsidRPr="00253ED8">
        <w:t>T2DM on metformin</w:t>
      </w:r>
      <w:r>
        <w:t xml:space="preserve"> (including data on fractures)</w:t>
      </w:r>
      <w:r w:rsidR="006C77CD">
        <w:t>.</w:t>
      </w:r>
    </w:p>
    <w:p w14:paraId="091FFB90" w14:textId="5DEEAA8A" w:rsidR="00966864" w:rsidRDefault="006C77CD" w:rsidP="00120BD6">
      <w:pPr>
        <w:pStyle w:val="ListBullet"/>
      </w:pPr>
      <w:r>
        <w:t>T</w:t>
      </w:r>
      <w:r w:rsidR="00966864">
        <w:t xml:space="preserve">here are two </w:t>
      </w:r>
      <w:r w:rsidR="00A16B30">
        <w:t xml:space="preserve">planned </w:t>
      </w:r>
      <w:r w:rsidR="00966864">
        <w:t>paediatric studies for patients aged 10</w:t>
      </w:r>
      <w:r w:rsidR="001F7F24">
        <w:t xml:space="preserve"> to </w:t>
      </w:r>
      <w:r w:rsidR="00966864">
        <w:t>18 years</w:t>
      </w:r>
      <w:r>
        <w:t>.</w:t>
      </w:r>
    </w:p>
    <w:p w14:paraId="2B0270CC" w14:textId="77777777" w:rsidR="008E7846" w:rsidRDefault="00AA0ED0" w:rsidP="008E7846">
      <w:pPr>
        <w:pStyle w:val="Heading3"/>
      </w:pPr>
      <w:bookmarkStart w:id="278" w:name="_Toc247691531"/>
      <w:bookmarkStart w:id="279" w:name="_Toc314842515"/>
      <w:bookmarkStart w:id="280" w:name="_Toc196046505"/>
      <w:bookmarkStart w:id="281" w:name="_Toc196046949"/>
      <w:bookmarkStart w:id="282" w:name="_Toc4405841"/>
      <w:r>
        <w:t>Risk-benefit a</w:t>
      </w:r>
      <w:r w:rsidR="008E7846">
        <w:t>nalysis</w:t>
      </w:r>
      <w:bookmarkEnd w:id="278"/>
      <w:bookmarkEnd w:id="279"/>
      <w:bookmarkEnd w:id="282"/>
    </w:p>
    <w:p w14:paraId="17ADFF67" w14:textId="28115C1B" w:rsidR="00D23139" w:rsidRDefault="00D23139" w:rsidP="00120BD6">
      <w:pPr>
        <w:pStyle w:val="Heading4"/>
      </w:pPr>
      <w:r w:rsidRPr="00D23139">
        <w:t xml:space="preserve">Delegate’s </w:t>
      </w:r>
      <w:r w:rsidRPr="00120BD6">
        <w:t>considerations</w:t>
      </w:r>
    </w:p>
    <w:p w14:paraId="092BDC3A" w14:textId="77777777" w:rsidR="00966864" w:rsidRDefault="00120BD6" w:rsidP="00120BD6">
      <w:pPr>
        <w:pStyle w:val="Heading5"/>
      </w:pPr>
      <w:r>
        <w:t>Efficacy</w:t>
      </w:r>
    </w:p>
    <w:p w14:paraId="72AC4D52" w14:textId="77777777" w:rsidR="006C77CD" w:rsidRDefault="00966864" w:rsidP="00120BD6">
      <w:pPr>
        <w:rPr>
          <w:rStyle w:val="Heading6Char"/>
          <w:rFonts w:eastAsia="Cambria"/>
        </w:rPr>
      </w:pPr>
      <w:r w:rsidRPr="00120BD6">
        <w:rPr>
          <w:rStyle w:val="Heading6Char"/>
          <w:rFonts w:eastAsia="Cambria"/>
        </w:rPr>
        <w:t>Use as monotherapy</w:t>
      </w:r>
    </w:p>
    <w:p w14:paraId="571F4217" w14:textId="77777777" w:rsidR="00966864" w:rsidRDefault="00966864" w:rsidP="00120BD6">
      <w:r>
        <w:t>The sponsor has submitted data to demonstrate the efficacy or ertugliflozin compared to placebo in improving glycaemic control. There was no comparator trial to metformin. The proposed indication as use as monotherapy when metformin is not indicated or tolerated is appropriate.</w:t>
      </w:r>
    </w:p>
    <w:p w14:paraId="65375D92" w14:textId="77777777" w:rsidR="006C77CD" w:rsidRPr="006C77CD" w:rsidRDefault="00966864" w:rsidP="006C77CD">
      <w:pPr>
        <w:pStyle w:val="Heading6"/>
        <w:rPr>
          <w:rStyle w:val="Heading6Char"/>
          <w:rFonts w:eastAsia="Cambria"/>
          <w:bCs/>
          <w:i/>
        </w:rPr>
      </w:pPr>
      <w:r w:rsidRPr="006C77CD">
        <w:rPr>
          <w:rStyle w:val="Heading6Char"/>
          <w:rFonts w:eastAsia="Cambria"/>
          <w:bCs/>
          <w:i/>
        </w:rPr>
        <w:lastRenderedPageBreak/>
        <w:t>Use in combination therapy</w:t>
      </w:r>
    </w:p>
    <w:p w14:paraId="180D957D" w14:textId="4A584BC3" w:rsidR="00120BD6" w:rsidRDefault="00966864" w:rsidP="00120BD6">
      <w:r w:rsidRPr="006D7B64">
        <w:t xml:space="preserve">The sponsor has demonstrated efficacy in improving glycaemic control as add on treatment to metformin. The study evaluating the relative efficacy of ertugliflozin compared to glimepiride showed that the </w:t>
      </w:r>
      <w:r w:rsidR="006C336C" w:rsidRPr="006D7B64">
        <w:t>5</w:t>
      </w:r>
      <w:r w:rsidR="00715B39">
        <w:t xml:space="preserve"> </w:t>
      </w:r>
      <w:r w:rsidR="006D7D02">
        <w:t>mg</w:t>
      </w:r>
      <w:r w:rsidRPr="006D7B64">
        <w:t xml:space="preserve"> dose was not-non inferior to glimepiride alone. However ertugliflozin had other benefits in terms of reducing body weight and blood pressure, with a low rate of hypoglycaemia.</w:t>
      </w:r>
    </w:p>
    <w:p w14:paraId="5C2CA204" w14:textId="2234DC0C" w:rsidR="00966864" w:rsidRDefault="00966864" w:rsidP="00120BD6">
      <w:r>
        <w:t xml:space="preserve">The sponsor has included studies using ertugliflozin in combination with </w:t>
      </w:r>
      <w:r w:rsidR="006D7B64">
        <w:t>sitagliptin</w:t>
      </w:r>
      <w:r>
        <w:t>. Basal insulin and sulphonylureas were used as rescue therapy in the clinical trials, however there were no studies evaluating the efficacy and safety of this combination.</w:t>
      </w:r>
    </w:p>
    <w:p w14:paraId="375069D7" w14:textId="77777777" w:rsidR="00966864" w:rsidRDefault="00966864" w:rsidP="00120BD6">
      <w:r>
        <w:t>The sponsor has not submitted studies to support use with GLP-1 receptor agonists, thiazolidinediones or alpha glucosidase inhibitors.</w:t>
      </w:r>
    </w:p>
    <w:p w14:paraId="22F936A6" w14:textId="77777777" w:rsidR="00966864" w:rsidRDefault="00966864" w:rsidP="00120BD6">
      <w:r>
        <w:t>Other SGLT-2 inhibitors have an indication for use as combination therapy.</w:t>
      </w:r>
    </w:p>
    <w:p w14:paraId="4DB2341A" w14:textId="77777777" w:rsidR="00966864" w:rsidRDefault="00966864" w:rsidP="00120BD6">
      <w:r>
        <w:t>Empagliflozin has been studied with metformin, sulphonylureas, basal insulin, DPP-4 inhibitors and pioglitazone. Canagliflozin has been studied with metformin, sulphonylureas, pioglitazone and insulin. Dapagliflozin has been studied with metformin, sulphonylureas, DPP-</w:t>
      </w:r>
      <w:r w:rsidR="003F2DE3">
        <w:t>4</w:t>
      </w:r>
      <w:r>
        <w:t xml:space="preserve"> inhibitors, insulin and exenatide</w:t>
      </w:r>
      <w:r w:rsidR="00120BD6">
        <w:t>.</w:t>
      </w:r>
    </w:p>
    <w:p w14:paraId="4885B352" w14:textId="77777777" w:rsidR="00966864" w:rsidRDefault="00966864" w:rsidP="00120BD6">
      <w:r>
        <w:t xml:space="preserve">There is no contraindication for use with other </w:t>
      </w:r>
      <w:r w:rsidR="00A16B30">
        <w:t>AHAs</w:t>
      </w:r>
      <w:r>
        <w:t>.</w:t>
      </w:r>
    </w:p>
    <w:p w14:paraId="4C3D1D84" w14:textId="4B3A1EB7" w:rsidR="00966864" w:rsidRDefault="00966864" w:rsidP="00120BD6">
      <w:r>
        <w:t>Based on the data submitted,</w:t>
      </w:r>
      <w:r w:rsidR="009A3F68">
        <w:t xml:space="preserve"> </w:t>
      </w:r>
      <w:r>
        <w:t>indication for combination therapy with metformin or DDP</w:t>
      </w:r>
      <w:r w:rsidR="001F7F24">
        <w:noBreakHyphen/>
      </w:r>
      <w:r w:rsidR="00F85404">
        <w:t xml:space="preserve">4 </w:t>
      </w:r>
      <w:r>
        <w:t>inhibitor would be more appropriate than the proposed for use with other hypoglycaemic data. Although the later scientifically reasonable based on extrapolation from other drugs of this class, other sponsors of SGLT-2 inhibitors have data to support a broader range of products in combination</w:t>
      </w:r>
      <w:r w:rsidR="009A3F68">
        <w:t xml:space="preserve"> </w:t>
      </w:r>
      <w:r>
        <w:t>with their medicine.</w:t>
      </w:r>
    </w:p>
    <w:p w14:paraId="5FA22ACA" w14:textId="77777777" w:rsidR="00966864" w:rsidRPr="00120BD6" w:rsidRDefault="00120BD6" w:rsidP="00120BD6">
      <w:pPr>
        <w:pStyle w:val="Heading5"/>
      </w:pPr>
      <w:r w:rsidRPr="00120BD6">
        <w:rPr>
          <w:rFonts w:eastAsia="Cambria"/>
        </w:rPr>
        <w:t>Safety</w:t>
      </w:r>
    </w:p>
    <w:p w14:paraId="6B507F6A" w14:textId="0FB91CD0" w:rsidR="00966864" w:rsidRDefault="00AD3531" w:rsidP="00120BD6">
      <w:r>
        <w:t>The D</w:t>
      </w:r>
      <w:r w:rsidR="00966864">
        <w:t>elegate is concerned about the imbalance in cardiac AE between groups and lack of data about cardiovascular events. It is noted a long term safety study is underway. Other drugs of this class are associated with reduced risk of cardiovascular events and heart failure. However there are a number of examples of drugs within a class that have divergent adverse event profile and have subsequently been discontinued.</w:t>
      </w:r>
    </w:p>
    <w:p w14:paraId="0A350544" w14:textId="044C4F3C" w:rsidR="00966864" w:rsidRDefault="00966864" w:rsidP="00120BD6">
      <w:r>
        <w:t>Activation of the renin-angiotensin system associated with volume depletion was seen in animal studies. Most</w:t>
      </w:r>
      <w:r w:rsidR="009A3F68">
        <w:t xml:space="preserve"> </w:t>
      </w:r>
      <w:r>
        <w:t>other AEs noted in the clinical development program are consistent with the AEs of the other drugs of this class. However the rate of volume depletion and renal AEs for the 1</w:t>
      </w:r>
      <w:r w:rsidR="006C336C">
        <w:t>5</w:t>
      </w:r>
      <w:r w:rsidR="00715B39">
        <w:t xml:space="preserve"> </w:t>
      </w:r>
      <w:r w:rsidR="006D7D02">
        <w:t>mg</w:t>
      </w:r>
      <w:r>
        <w:t xml:space="preserve"> dose appears to be higher than other drugs of this class.</w:t>
      </w:r>
    </w:p>
    <w:p w14:paraId="2F17A9A4" w14:textId="77777777" w:rsidR="00966864" w:rsidRDefault="00966864" w:rsidP="00120BD6">
      <w:r w:rsidRPr="006D7B64">
        <w:t>There was an imbalance in amputations in the clinical development program.</w:t>
      </w:r>
      <w:r w:rsidR="009A3F68" w:rsidRPr="006D7B64">
        <w:t xml:space="preserve"> </w:t>
      </w:r>
      <w:r w:rsidRPr="006D7B64">
        <w:t>An increased rate of toe amputations was also noted in the long term cardiovascular study for canagliflozin but not the clinical studies. There has been no risk of amputations identified for dapagliflozin or empagliflozin.</w:t>
      </w:r>
      <w:r w:rsidR="009A3F68" w:rsidRPr="006D7B64">
        <w:t xml:space="preserve"> </w:t>
      </w:r>
      <w:r w:rsidRPr="006D7B64">
        <w:t>This increased risk of amputation may be due to more vigilant monitoring in the clinical trial given the known safety profile of these agents however an inherent increased risk of amputations with ertugliflozin cannot be excluded. The risk of foot problems and amputations needs to be included in the PI, consistent with other medicines of this class.</w:t>
      </w:r>
    </w:p>
    <w:p w14:paraId="39D3CB4D" w14:textId="77777777" w:rsidR="00966864" w:rsidRDefault="00966864" w:rsidP="00120BD6">
      <w:r>
        <w:t>A possible increased risk of fracture has been identified with canagliflozin but no other SGLT-2 inhibitor. There was no signal for fracture or reduced BMD in the clinical development program for ertugliflozin. Fractures are listed in the summary of safety concerns. There is no need for these to be included in the PI.</w:t>
      </w:r>
    </w:p>
    <w:p w14:paraId="0D2B10D5" w14:textId="77777777" w:rsidR="00966864" w:rsidRDefault="00966864" w:rsidP="00120BD6">
      <w:r>
        <w:t>There was an imbalance in the number of malignancies in the clinical development program. Toxicology studies did not suggest an increased risk of malignancy. This should be included in the RMP.</w:t>
      </w:r>
    </w:p>
    <w:p w14:paraId="48317646" w14:textId="77777777" w:rsidR="00966864" w:rsidRDefault="00966864" w:rsidP="00120BD6">
      <w:r>
        <w:lastRenderedPageBreak/>
        <w:t>There was no information about the efficacy or safety of ertugliflozin when used in combination with diuretics.</w:t>
      </w:r>
    </w:p>
    <w:p w14:paraId="2C932C6E" w14:textId="77777777" w:rsidR="00966864" w:rsidRDefault="00120BD6" w:rsidP="00120BD6">
      <w:pPr>
        <w:pStyle w:val="Heading5"/>
      </w:pPr>
      <w:r>
        <w:t>Use in renal insufficiency</w:t>
      </w:r>
    </w:p>
    <w:p w14:paraId="251C3900" w14:textId="4113EAF2" w:rsidR="00966864" w:rsidRDefault="00966864" w:rsidP="00120BD6">
      <w:r w:rsidRPr="006D7B64">
        <w:t xml:space="preserve">The </w:t>
      </w:r>
      <w:r w:rsidR="00AD3531" w:rsidRPr="006D7B64">
        <w:t>D</w:t>
      </w:r>
      <w:r w:rsidRPr="006D7B64">
        <w:t>elegate does not support the use of ertugliflozin in moderate renal insufficiency (eGFR 30</w:t>
      </w:r>
      <w:r w:rsidR="001F7F24">
        <w:t xml:space="preserve"> to </w:t>
      </w:r>
      <w:r w:rsidRPr="006D7B64">
        <w:t>60m</w:t>
      </w:r>
      <w:r w:rsidR="002772B5" w:rsidRPr="006D7B64">
        <w:t>L</w:t>
      </w:r>
      <w:r w:rsidRPr="006D7B64">
        <w:t>/min/</w:t>
      </w:r>
      <w:r w:rsidR="00D518E2" w:rsidRPr="006D7B64">
        <w:t>1.73 m</w:t>
      </w:r>
      <w:r w:rsidR="00D518E2" w:rsidRPr="006D7B64">
        <w:rPr>
          <w:vertAlign w:val="superscript"/>
        </w:rPr>
        <w:t>2</w:t>
      </w:r>
      <w:r w:rsidRPr="006D7B64">
        <w:t xml:space="preserve">). The clinical study failed the primary endpoint of reduction in </w:t>
      </w:r>
      <w:r w:rsidR="003F2DE3" w:rsidRPr="006D7B64">
        <w:t>Hb</w:t>
      </w:r>
      <w:r w:rsidR="00A04B32">
        <w:t>A1c</w:t>
      </w:r>
      <w:r w:rsidRPr="006D7B64">
        <w:t xml:space="preserve"> compared to placebo in this group.</w:t>
      </w:r>
      <w:r w:rsidR="009A3F68" w:rsidRPr="006D7B64">
        <w:t xml:space="preserve"> </w:t>
      </w:r>
      <w:r w:rsidRPr="006D7B64">
        <w:t>In addition, treatment with ertugliflozin resulted in a decrease in eGFR which persisted until treatment was ceased.</w:t>
      </w:r>
      <w:r w:rsidR="009A3F68" w:rsidRPr="006D7B64">
        <w:t xml:space="preserve"> </w:t>
      </w:r>
      <w:r w:rsidRPr="006D7B64">
        <w:t>There were more AE in those with renal impairment.</w:t>
      </w:r>
    </w:p>
    <w:p w14:paraId="46C381F4" w14:textId="77777777" w:rsidR="00966864" w:rsidRDefault="00966864" w:rsidP="00120BD6">
      <w:r>
        <w:t>The pharmacodynamic studies showed less urinary glucose excretion with increasing renal impairment</w:t>
      </w:r>
      <w:r w:rsidR="00AD3531">
        <w:t>;</w:t>
      </w:r>
      <w:r>
        <w:t xml:space="preserve"> thus reduced efficacy in this group is not surprising. The increased risk of adverse events is also not surprising as patients with diabetes and renal disease are also likely to have other microvascular complications which impair their ability to compensate for excessive fluid loss or changes in BP.</w:t>
      </w:r>
    </w:p>
    <w:p w14:paraId="555D3605" w14:textId="77777777" w:rsidR="00966864" w:rsidRDefault="00120BD6" w:rsidP="00120BD6">
      <w:pPr>
        <w:pStyle w:val="Heading5"/>
      </w:pPr>
      <w:r>
        <w:t>Dosing instructions</w:t>
      </w:r>
    </w:p>
    <w:p w14:paraId="73EE497C" w14:textId="6B4DBDE8" w:rsidR="00966864" w:rsidRDefault="00966864" w:rsidP="00120BD6">
      <w:r>
        <w:t xml:space="preserve">The current recommendation is to start at a dose of </w:t>
      </w:r>
      <w:r w:rsidR="006C336C">
        <w:t>5</w:t>
      </w:r>
      <w:r w:rsidR="00715B39">
        <w:t xml:space="preserve"> </w:t>
      </w:r>
      <w:r w:rsidR="006D7D02">
        <w:t>mg</w:t>
      </w:r>
      <w:r>
        <w:t xml:space="preserve"> and increase to 1</w:t>
      </w:r>
      <w:r w:rsidR="006C336C">
        <w:t>5</w:t>
      </w:r>
      <w:r w:rsidR="00715B39">
        <w:t xml:space="preserve"> </w:t>
      </w:r>
      <w:r w:rsidR="006D7D02">
        <w:t>mg</w:t>
      </w:r>
      <w:r>
        <w:t xml:space="preserve"> if additional glycaemic control is needed. Some (but not all) of the clinical studies showed a numerically greater reduction in </w:t>
      </w:r>
      <w:r w:rsidR="003F2DE3">
        <w:t>Hb</w:t>
      </w:r>
      <w:r w:rsidR="00A04B32">
        <w:t>A1c</w:t>
      </w:r>
      <w:r>
        <w:t xml:space="preserve"> and percent of patients with </w:t>
      </w:r>
      <w:r w:rsidR="003F2DE3">
        <w:t>Hb</w:t>
      </w:r>
      <w:r w:rsidR="00A04B32">
        <w:t>A1c</w:t>
      </w:r>
      <w:r>
        <w:t xml:space="preserve"> in the target range with a higher dose, however the studies were not designed to compare relative efficacy of </w:t>
      </w:r>
      <w:r w:rsidR="006C336C">
        <w:t>5</w:t>
      </w:r>
      <w:r w:rsidR="00715B39">
        <w:t xml:space="preserve"> </w:t>
      </w:r>
      <w:r w:rsidR="006D7D02">
        <w:t>mg</w:t>
      </w:r>
      <w:r>
        <w:t xml:space="preserve"> versus 1</w:t>
      </w:r>
      <w:r w:rsidR="006C336C">
        <w:t>5</w:t>
      </w:r>
      <w:r w:rsidR="00715B39">
        <w:t xml:space="preserve"> </w:t>
      </w:r>
      <w:r w:rsidR="006D7D02">
        <w:t>mg</w:t>
      </w:r>
      <w:r>
        <w:t xml:space="preserve"> tablets. In the pharmacodynamic studies, there was increased UGE with increasing doses below 4</w:t>
      </w:r>
      <w:r w:rsidR="00715B39">
        <w:t xml:space="preserve"> </w:t>
      </w:r>
      <w:r w:rsidR="006D7D02">
        <w:t>mg</w:t>
      </w:r>
      <w:r>
        <w:t xml:space="preserve"> in healthy subjects but no increase in UGE in patients with T2DM at the doses proposed. In addition, the studies did not evaluate the effect of increasing the dose from </w:t>
      </w:r>
      <w:r w:rsidR="006C336C">
        <w:t>5</w:t>
      </w:r>
      <w:r w:rsidR="00715B39">
        <w:t xml:space="preserve"> </w:t>
      </w:r>
      <w:r w:rsidR="006D7D02">
        <w:t>mg</w:t>
      </w:r>
      <w:r>
        <w:t xml:space="preserve"> to 1</w:t>
      </w:r>
      <w:r w:rsidR="006C336C">
        <w:t>5</w:t>
      </w:r>
      <w:r w:rsidR="00715B39">
        <w:t xml:space="preserve"> </w:t>
      </w:r>
      <w:r w:rsidR="006D7D02">
        <w:t>mg</w:t>
      </w:r>
      <w:r>
        <w:t xml:space="preserve"> in patients with poor glycaemic control on </w:t>
      </w:r>
      <w:r w:rsidR="006C336C">
        <w:t>5</w:t>
      </w:r>
      <w:r w:rsidR="00715B39">
        <w:t xml:space="preserve"> </w:t>
      </w:r>
      <w:r w:rsidR="006D7D02">
        <w:t>mg</w:t>
      </w:r>
      <w:r>
        <w:t>. And the rate of AEs was higher for the patients taking a 1</w:t>
      </w:r>
      <w:r w:rsidR="006C336C">
        <w:t>5</w:t>
      </w:r>
      <w:r w:rsidR="00715B39">
        <w:t xml:space="preserve"> </w:t>
      </w:r>
      <w:r w:rsidR="006D7D02">
        <w:t>mg</w:t>
      </w:r>
      <w:r>
        <w:t xml:space="preserve"> dose.</w:t>
      </w:r>
    </w:p>
    <w:p w14:paraId="17861AED" w14:textId="58834A0F" w:rsidR="00966864" w:rsidRPr="006D7B64" w:rsidRDefault="00AD3531" w:rsidP="00120BD6">
      <w:r w:rsidRPr="006D7B64">
        <w:t>The Delegate</w:t>
      </w:r>
      <w:r w:rsidR="00966864" w:rsidRPr="006D7B64">
        <w:t xml:space="preserve"> would not recommend approving the 1</w:t>
      </w:r>
      <w:r w:rsidR="006C336C" w:rsidRPr="006D7B64">
        <w:t>5</w:t>
      </w:r>
      <w:r w:rsidR="00715B39">
        <w:t xml:space="preserve"> </w:t>
      </w:r>
      <w:r w:rsidR="006D7D02">
        <w:t>mg</w:t>
      </w:r>
      <w:r w:rsidR="00966864" w:rsidRPr="006D7B64">
        <w:t xml:space="preserve"> dose until the results of the cardiovascular study is available.</w:t>
      </w:r>
    </w:p>
    <w:p w14:paraId="0EC3B9C3" w14:textId="77777777" w:rsidR="00966864" w:rsidRPr="006D7B64" w:rsidRDefault="00120BD6" w:rsidP="00120BD6">
      <w:pPr>
        <w:pStyle w:val="Heading5"/>
      </w:pPr>
      <w:r w:rsidRPr="006D7B64">
        <w:t>Use with sitagliptin</w:t>
      </w:r>
    </w:p>
    <w:p w14:paraId="05BA2225" w14:textId="135AC91E" w:rsidR="00966864" w:rsidRPr="006D7B64" w:rsidRDefault="00966864" w:rsidP="00120BD6">
      <w:r w:rsidRPr="006D7B64">
        <w:t>There was no benefit of 1</w:t>
      </w:r>
      <w:r w:rsidR="006C336C" w:rsidRPr="006D7B64">
        <w:t>5</w:t>
      </w:r>
      <w:r w:rsidR="00715B39">
        <w:t xml:space="preserve"> </w:t>
      </w:r>
      <w:r w:rsidR="006D7D02">
        <w:t>mg</w:t>
      </w:r>
      <w:r w:rsidRPr="006D7B64">
        <w:t xml:space="preserve"> over </w:t>
      </w:r>
      <w:r w:rsidR="006C336C" w:rsidRPr="006D7B64">
        <w:t>5</w:t>
      </w:r>
      <w:r w:rsidR="00715B39">
        <w:t xml:space="preserve"> </w:t>
      </w:r>
      <w:r w:rsidR="006D7D02">
        <w:t>mg</w:t>
      </w:r>
      <w:r w:rsidRPr="006D7B64">
        <w:t xml:space="preserve"> in the clinical trials of combination therapy with </w:t>
      </w:r>
      <w:r w:rsidR="006D7B64" w:rsidRPr="006D7B64">
        <w:t>sitagliptin</w:t>
      </w:r>
      <w:r w:rsidRPr="006D7B64">
        <w:t xml:space="preserve">. The combination </w:t>
      </w:r>
      <w:r w:rsidR="00AD3531" w:rsidRPr="006D7B64">
        <w:t xml:space="preserve">ertugliflozin </w:t>
      </w:r>
      <w:r w:rsidRPr="006D7B64">
        <w:t>15</w:t>
      </w:r>
      <w:r w:rsidR="00715B39">
        <w:t xml:space="preserve"> </w:t>
      </w:r>
      <w:r w:rsidR="006D7D02">
        <w:t>mg</w:t>
      </w:r>
      <w:r w:rsidRPr="006D7B64">
        <w:t>/</w:t>
      </w:r>
      <w:r w:rsidR="00AD3531" w:rsidRPr="006D7B64">
        <w:t xml:space="preserve">sitagliptin </w:t>
      </w:r>
      <w:r w:rsidRPr="006D7B64">
        <w:t>100</w:t>
      </w:r>
      <w:r w:rsidR="00715B39">
        <w:t xml:space="preserve"> </w:t>
      </w:r>
      <w:r w:rsidR="006D7D02">
        <w:t>mg</w:t>
      </w:r>
      <w:r w:rsidR="00AD3531" w:rsidRPr="006D7B64">
        <w:t xml:space="preserve"> </w:t>
      </w:r>
      <w:r w:rsidRPr="006D7B64">
        <w:t>is not recommended for approval.</w:t>
      </w:r>
    </w:p>
    <w:p w14:paraId="50BC90AD" w14:textId="77777777" w:rsidR="00966864" w:rsidRPr="006D7B64" w:rsidRDefault="00E26203" w:rsidP="00E26203">
      <w:pPr>
        <w:pStyle w:val="Heading5"/>
      </w:pPr>
      <w:r w:rsidRPr="006D7B64">
        <w:t>Use with metformin</w:t>
      </w:r>
    </w:p>
    <w:p w14:paraId="6D070F44" w14:textId="1142214C" w:rsidR="00966864" w:rsidRPr="006D7B64" w:rsidRDefault="00AD3531" w:rsidP="00E26203">
      <w:r w:rsidRPr="006D7B64">
        <w:t>The Delegate</w:t>
      </w:r>
      <w:r w:rsidR="00966864" w:rsidRPr="006D7B64">
        <w:t xml:space="preserve"> would not recommend approval of the </w:t>
      </w:r>
      <w:r w:rsidRPr="006D7B64">
        <w:t xml:space="preserve">ertugliflozin </w:t>
      </w:r>
      <w:r w:rsidR="00966864" w:rsidRPr="006D7B64">
        <w:t>7.</w:t>
      </w:r>
      <w:r w:rsidR="006C336C" w:rsidRPr="006D7B64">
        <w:t>5</w:t>
      </w:r>
      <w:r w:rsidR="00715B39">
        <w:t xml:space="preserve"> </w:t>
      </w:r>
      <w:r w:rsidR="006D7D02">
        <w:t>mg</w:t>
      </w:r>
      <w:r w:rsidR="00966864" w:rsidRPr="006D7B64">
        <w:t>/</w:t>
      </w:r>
      <w:r w:rsidRPr="006D7B64">
        <w:t xml:space="preserve">metformin </w:t>
      </w:r>
      <w:r w:rsidR="00966864" w:rsidRPr="006D7B64">
        <w:t>50</w:t>
      </w:r>
      <w:r w:rsidR="006C336C" w:rsidRPr="006D7B64">
        <w:t>0</w:t>
      </w:r>
      <w:r w:rsidR="00715B39">
        <w:t> </w:t>
      </w:r>
      <w:r w:rsidR="006D7D02">
        <w:t>mg</w:t>
      </w:r>
      <w:r w:rsidR="00966864" w:rsidRPr="006D7B64">
        <w:t xml:space="preserve"> or </w:t>
      </w:r>
      <w:r w:rsidRPr="006D7B64">
        <w:t xml:space="preserve">ertugliflozin </w:t>
      </w:r>
      <w:r w:rsidR="00966864" w:rsidRPr="006D7B64">
        <w:t>7.</w:t>
      </w:r>
      <w:r w:rsidR="006C336C" w:rsidRPr="006D7B64">
        <w:t>5</w:t>
      </w:r>
      <w:r w:rsidR="00715B39">
        <w:t xml:space="preserve"> </w:t>
      </w:r>
      <w:r w:rsidR="006D7D02">
        <w:t>mg</w:t>
      </w:r>
      <w:r w:rsidR="00966864" w:rsidRPr="006D7B64">
        <w:t>/</w:t>
      </w:r>
      <w:r w:rsidRPr="006D7B64">
        <w:t xml:space="preserve">metformin </w:t>
      </w:r>
      <w:r w:rsidR="00966864" w:rsidRPr="006D7B64">
        <w:t>100</w:t>
      </w:r>
      <w:r w:rsidR="006C336C" w:rsidRPr="006D7B64">
        <w:t>0</w:t>
      </w:r>
      <w:r w:rsidR="00715B39">
        <w:t xml:space="preserve"> </w:t>
      </w:r>
      <w:r w:rsidR="006D7D02">
        <w:t>mg</w:t>
      </w:r>
      <w:r w:rsidR="00966864" w:rsidRPr="006D7B64">
        <w:t xml:space="preserve"> tablets as a total daily dose of 1</w:t>
      </w:r>
      <w:r w:rsidR="006C336C" w:rsidRPr="006D7B64">
        <w:t>5</w:t>
      </w:r>
      <w:r w:rsidR="00715B39">
        <w:t xml:space="preserve"> </w:t>
      </w:r>
      <w:r w:rsidR="006D7D02">
        <w:t>mg</w:t>
      </w:r>
      <w:r w:rsidR="00966864" w:rsidRPr="006D7B64">
        <w:t xml:space="preserve"> ertugliflozin appears to have minimal gains in efficacy but more risk of adverse effects.</w:t>
      </w:r>
    </w:p>
    <w:p w14:paraId="42E19C6A" w14:textId="77777777" w:rsidR="00966864" w:rsidRPr="006D7B64" w:rsidRDefault="00E26203" w:rsidP="00E26203">
      <w:pPr>
        <w:pStyle w:val="Heading5"/>
      </w:pPr>
      <w:r w:rsidRPr="006D7B64">
        <w:t>Use in pregnancy and children</w:t>
      </w:r>
    </w:p>
    <w:p w14:paraId="643A59F5" w14:textId="074B3029" w:rsidR="00966864" w:rsidRDefault="00966864" w:rsidP="00E26203">
      <w:r w:rsidRPr="006D7B64">
        <w:t>The sponsor has amended the use in pregnancy section in line the recommendations from</w:t>
      </w:r>
      <w:r w:rsidR="00AD3531" w:rsidRPr="006D7B64">
        <w:t xml:space="preserve"> the nonclinical evaluator</w:t>
      </w:r>
      <w:r w:rsidR="001F7F24">
        <w:t>.</w:t>
      </w:r>
      <w:r w:rsidR="00AD3531" w:rsidRPr="006D7B64">
        <w:t xml:space="preserve"> The D</w:t>
      </w:r>
      <w:r w:rsidRPr="006D7B64">
        <w:t xml:space="preserve">elegate would also recommend the </w:t>
      </w:r>
      <w:r w:rsidR="00AD3531" w:rsidRPr="006D7B64">
        <w:t>P</w:t>
      </w:r>
      <w:r w:rsidRPr="006D7B64">
        <w:t>regnancy category to be changed to a D</w:t>
      </w:r>
      <w:r w:rsidR="00F85404" w:rsidRPr="00F85404">
        <w:rPr>
          <w:vertAlign w:val="superscript"/>
        </w:rPr>
        <w:fldChar w:fldCharType="begin"/>
      </w:r>
      <w:r w:rsidR="00F85404" w:rsidRPr="00F85404">
        <w:rPr>
          <w:vertAlign w:val="superscript"/>
        </w:rPr>
        <w:instrText xml:space="preserve"> NOTEREF _Ref531992789 \h </w:instrText>
      </w:r>
      <w:r w:rsidR="00F85404">
        <w:rPr>
          <w:vertAlign w:val="superscript"/>
        </w:rPr>
        <w:instrText xml:space="preserve"> \* MERGEFORMAT </w:instrText>
      </w:r>
      <w:r w:rsidR="00F85404" w:rsidRPr="00F85404">
        <w:rPr>
          <w:vertAlign w:val="superscript"/>
        </w:rPr>
      </w:r>
      <w:r w:rsidR="00F85404" w:rsidRPr="00F85404">
        <w:rPr>
          <w:vertAlign w:val="superscript"/>
        </w:rPr>
        <w:fldChar w:fldCharType="separate"/>
      </w:r>
      <w:r w:rsidR="00F85404" w:rsidRPr="00F85404">
        <w:rPr>
          <w:vertAlign w:val="superscript"/>
        </w:rPr>
        <w:t>16</w:t>
      </w:r>
      <w:r w:rsidR="00F85404" w:rsidRPr="00F85404">
        <w:rPr>
          <w:vertAlign w:val="superscript"/>
        </w:rPr>
        <w:fldChar w:fldCharType="end"/>
      </w:r>
      <w:r w:rsidRPr="006D7B64">
        <w:t>.</w:t>
      </w:r>
    </w:p>
    <w:p w14:paraId="2D9A08D6" w14:textId="77777777" w:rsidR="00966864" w:rsidRDefault="00E26203" w:rsidP="00E26203">
      <w:pPr>
        <w:pStyle w:val="Heading5"/>
      </w:pPr>
      <w:r>
        <w:t>Conclusion and recommendations</w:t>
      </w:r>
    </w:p>
    <w:p w14:paraId="0951C4C0" w14:textId="49EF3103" w:rsidR="00966864" w:rsidRDefault="00966864" w:rsidP="00E26203">
      <w:r w:rsidRPr="006D7B64">
        <w:t xml:space="preserve">This will be the fourth registered SGLT-2 inhibitor. The evidence submitted to support registration in the initial dossier was somewhat limited in terms of comparators for efficacy and long term safety. This is somewhat mitigated by the safety update report in the </w:t>
      </w:r>
      <w:r w:rsidR="00AD3531" w:rsidRPr="006D7B64">
        <w:t>sponsor’s</w:t>
      </w:r>
      <w:r w:rsidRPr="006D7B64">
        <w:t xml:space="preserve"> response. However </w:t>
      </w:r>
      <w:r w:rsidR="00AD3531" w:rsidRPr="006D7B64">
        <w:t>the Delegate</w:t>
      </w:r>
      <w:r w:rsidRPr="006D7B64">
        <w:t xml:space="preserve"> remain</w:t>
      </w:r>
      <w:r w:rsidR="00AD3531" w:rsidRPr="006D7B64">
        <w:t>s</w:t>
      </w:r>
      <w:r w:rsidRPr="006D7B64">
        <w:t xml:space="preserve"> concerned about the lack of transparency with meta-vascular meta-analysis. </w:t>
      </w:r>
      <w:r w:rsidR="00AD3531" w:rsidRPr="006D7B64">
        <w:t>The Delegate’s</w:t>
      </w:r>
      <w:r w:rsidRPr="006D7B64">
        <w:t xml:space="preserve"> preference would be to reject the application until this data is available. However </w:t>
      </w:r>
      <w:r w:rsidR="00AD3531" w:rsidRPr="006D7B64">
        <w:t>the Delegate is</w:t>
      </w:r>
      <w:r w:rsidRPr="006D7B64">
        <w:t xml:space="preserve"> aware that this medicine is approved by the FDA and a positive recommendation has been received by the CHMP. </w:t>
      </w:r>
      <w:r w:rsidR="00901A31" w:rsidRPr="006D7B64">
        <w:t>The Delegate</w:t>
      </w:r>
      <w:r w:rsidRPr="006D7B64">
        <w:t xml:space="preserve"> ha</w:t>
      </w:r>
      <w:r w:rsidR="00901A31" w:rsidRPr="006D7B64">
        <w:t>s</w:t>
      </w:r>
      <w:r w:rsidRPr="006D7B64">
        <w:t xml:space="preserve"> been unable to review the EMA reports about their consideration </w:t>
      </w:r>
      <w:r w:rsidRPr="006D7B64">
        <w:lastRenderedPageBreak/>
        <w:t>of the 1</w:t>
      </w:r>
      <w:r w:rsidR="006C336C" w:rsidRPr="006D7B64">
        <w:t>5</w:t>
      </w:r>
      <w:r w:rsidR="00715B39">
        <w:t xml:space="preserve"> </w:t>
      </w:r>
      <w:r w:rsidR="006D7D02">
        <w:t>mg</w:t>
      </w:r>
      <w:r w:rsidRPr="006D7B64">
        <w:t xml:space="preserve"> dose or use in renal impairment. </w:t>
      </w:r>
      <w:r w:rsidR="00901A31" w:rsidRPr="006D7B64">
        <w:t>The Delegate has</w:t>
      </w:r>
      <w:r w:rsidRPr="006D7B64">
        <w:t xml:space="preserve"> been unable to review the PI from either regulator.</w:t>
      </w:r>
    </w:p>
    <w:p w14:paraId="20F5A669" w14:textId="77777777" w:rsidR="00966864" w:rsidRDefault="00966864" w:rsidP="00E26203">
      <w:r>
        <w:t>An alternative approach would be to approve a more limited indication and dose, conditional on amendments to the PI and RMP and a commitment to long providing the long term safety data and making the TGA aware safety concerns that arise in the interim.</w:t>
      </w:r>
    </w:p>
    <w:p w14:paraId="0AFDC784" w14:textId="77777777" w:rsidR="006D4749" w:rsidRDefault="006D4749" w:rsidP="00E26203">
      <w:pPr>
        <w:pStyle w:val="Heading4"/>
      </w:pPr>
      <w:r w:rsidRPr="006D4749">
        <w:t xml:space="preserve">Summary of </w:t>
      </w:r>
      <w:r w:rsidR="004A7ED8">
        <w:t>i</w:t>
      </w:r>
      <w:r w:rsidRPr="00E26203">
        <w:t>ssues</w:t>
      </w:r>
    </w:p>
    <w:p w14:paraId="44DBBD5D" w14:textId="77777777" w:rsidR="006D4749" w:rsidRDefault="006D4749" w:rsidP="00E26203">
      <w:pPr>
        <w:pStyle w:val="ListBullet"/>
      </w:pPr>
      <w:r>
        <w:t>The clinical dossier includes combination with sitagliptin and metformin and clinical studies. Use with sulphonylureas and insulin has occurred in the context of rescue therapy. Use with GLP-1, alpha glucosidase inhibitors and thiazolidinediones is not studied.</w:t>
      </w:r>
    </w:p>
    <w:p w14:paraId="3CFC6B48" w14:textId="19816592" w:rsidR="006D4749" w:rsidRDefault="00901A31" w:rsidP="00E26203">
      <w:pPr>
        <w:pStyle w:val="ListBullet"/>
      </w:pPr>
      <w:r>
        <w:t>The Delegate has</w:t>
      </w:r>
      <w:r w:rsidR="006D4749">
        <w:t xml:space="preserve"> concerns about use of the 1</w:t>
      </w:r>
      <w:r w:rsidR="006C336C">
        <w:t>5</w:t>
      </w:r>
      <w:r w:rsidR="00715B39">
        <w:t xml:space="preserve"> </w:t>
      </w:r>
      <w:r w:rsidR="006D7D02">
        <w:t>mg</w:t>
      </w:r>
      <w:r w:rsidR="006D4749">
        <w:t xml:space="preserve"> dose in renal impairment. Lower GFR leads to increase AUC. Higher AUC does not lead to greater efficacy. The efficacy of SGLT-2 inhibitors decreases with decreased renal function</w:t>
      </w:r>
      <w:r>
        <w:t>.</w:t>
      </w:r>
    </w:p>
    <w:p w14:paraId="3AAC8279" w14:textId="382456D0" w:rsidR="006D4749" w:rsidRDefault="006D4749" w:rsidP="00E26203">
      <w:pPr>
        <w:pStyle w:val="ListBullet"/>
      </w:pPr>
      <w:r>
        <w:t xml:space="preserve">The recommendation to increase the dose to from </w:t>
      </w:r>
      <w:r w:rsidR="006C336C">
        <w:t>5</w:t>
      </w:r>
      <w:r w:rsidR="00715B39">
        <w:t xml:space="preserve"> </w:t>
      </w:r>
      <w:r w:rsidR="006D7D02">
        <w:t>mg</w:t>
      </w:r>
      <w:r>
        <w:t xml:space="preserve"> to 1</w:t>
      </w:r>
      <w:r w:rsidR="006C336C">
        <w:t>5</w:t>
      </w:r>
      <w:r w:rsidR="00715B39">
        <w:t xml:space="preserve"> </w:t>
      </w:r>
      <w:r w:rsidR="006D7D02">
        <w:t>mg</w:t>
      </w:r>
      <w:r>
        <w:t xml:space="preserve"> in patients with poor glycaemic control is not supported by evidence. There is a small benefit in average decrease in </w:t>
      </w:r>
      <w:r w:rsidR="003F2DE3">
        <w:t>Hb</w:t>
      </w:r>
      <w:r w:rsidR="00A04B32">
        <w:t>A1c</w:t>
      </w:r>
      <w:r>
        <w:t xml:space="preserve"> and % of patients in the target range with 1</w:t>
      </w:r>
      <w:r w:rsidR="006C336C">
        <w:t>5</w:t>
      </w:r>
      <w:r w:rsidR="00715B39">
        <w:t xml:space="preserve"> </w:t>
      </w:r>
      <w:r w:rsidR="006D7D02">
        <w:t>mg</w:t>
      </w:r>
      <w:r>
        <w:t xml:space="preserve"> versus </w:t>
      </w:r>
      <w:r w:rsidR="006C336C">
        <w:t>5</w:t>
      </w:r>
      <w:r w:rsidR="00715B39">
        <w:t xml:space="preserve"> </w:t>
      </w:r>
      <w:r w:rsidR="006D7D02">
        <w:t>mg</w:t>
      </w:r>
      <w:r>
        <w:t xml:space="preserve"> but no statistical difference calculated. The correct study design would be to test if increasing dose from 5 to 1</w:t>
      </w:r>
      <w:r w:rsidR="006C336C">
        <w:t>5</w:t>
      </w:r>
      <w:r w:rsidR="00715B39">
        <w:t xml:space="preserve"> </w:t>
      </w:r>
      <w:r w:rsidR="006D7D02">
        <w:t>mg</w:t>
      </w:r>
      <w:r>
        <w:t xml:space="preserve"> led to a greater response in patients with inadequate glycaemic control on </w:t>
      </w:r>
      <w:r w:rsidR="006C336C">
        <w:t>5</w:t>
      </w:r>
      <w:r w:rsidR="00715B39">
        <w:t xml:space="preserve"> </w:t>
      </w:r>
      <w:r w:rsidR="006D7D02">
        <w:t>mg</w:t>
      </w:r>
      <w:r w:rsidR="00901A31">
        <w:t>.</w:t>
      </w:r>
    </w:p>
    <w:p w14:paraId="07162338" w14:textId="77777777" w:rsidR="006D4749" w:rsidRDefault="006D4749" w:rsidP="00E26203">
      <w:pPr>
        <w:pStyle w:val="ListBullet"/>
      </w:pPr>
      <w:r>
        <w:t>Use in moderate renal impairment is not justified. There is decreased efficacy with more adverse effects</w:t>
      </w:r>
      <w:r w:rsidR="00901A31">
        <w:t>.</w:t>
      </w:r>
    </w:p>
    <w:p w14:paraId="7751C4DA" w14:textId="42B45CFD" w:rsidR="006D4749" w:rsidRDefault="006D4749" w:rsidP="00E26203">
      <w:pPr>
        <w:pStyle w:val="ListBullet"/>
      </w:pPr>
      <w:r>
        <w:t>Overall, AE profile consistent with other SGLT-</w:t>
      </w:r>
      <w:r w:rsidRPr="008C7AB2">
        <w:t>2</w:t>
      </w:r>
      <w:r>
        <w:t xml:space="preserve"> inhibitors. It is however noted that the rates of AEs tended to be higher for 1</w:t>
      </w:r>
      <w:r w:rsidR="006C336C">
        <w:t>5</w:t>
      </w:r>
      <w:r w:rsidR="00715B39">
        <w:t xml:space="preserve"> </w:t>
      </w:r>
      <w:r w:rsidR="006D7D02">
        <w:t>mg</w:t>
      </w:r>
      <w:r>
        <w:t xml:space="preserve"> dose relative to other drugs of this class.</w:t>
      </w:r>
    </w:p>
    <w:p w14:paraId="16F9D12A" w14:textId="77777777" w:rsidR="006D4749" w:rsidRPr="006D4749" w:rsidRDefault="006D4749" w:rsidP="00901A31">
      <w:pPr>
        <w:pStyle w:val="ListBullet"/>
      </w:pPr>
      <w:r>
        <w:t>There was an imbalance in CV deaths, CV events and amputations in the clinical studies. No meta-analysis of CV safety was available. A long term cardiovascular trial underway but not complete until 2019</w:t>
      </w:r>
      <w:r w:rsidR="002772B5">
        <w:t>.</w:t>
      </w:r>
    </w:p>
    <w:p w14:paraId="08D9F661" w14:textId="77777777" w:rsidR="00D23139" w:rsidRPr="00E26203" w:rsidRDefault="00D23139" w:rsidP="00E26203">
      <w:pPr>
        <w:pStyle w:val="Heading4"/>
      </w:pPr>
      <w:r w:rsidRPr="00D23139">
        <w:t>Proposed action</w:t>
      </w:r>
    </w:p>
    <w:p w14:paraId="2CCD8A9B" w14:textId="326D9AE7" w:rsidR="006D4749" w:rsidRPr="00C80339" w:rsidRDefault="00901A31" w:rsidP="00E26203">
      <w:r>
        <w:t>The Delegate had</w:t>
      </w:r>
      <w:r w:rsidR="006D4749" w:rsidRPr="00C80339">
        <w:t xml:space="preserve"> no reason to say, at this time, that the application for </w:t>
      </w:r>
      <w:r>
        <w:t>e</w:t>
      </w:r>
      <w:r w:rsidR="006D4749">
        <w:t xml:space="preserve">rtugliflozin </w:t>
      </w:r>
      <w:r w:rsidR="006C336C">
        <w:t>5</w:t>
      </w:r>
      <w:r w:rsidR="00715B39">
        <w:t xml:space="preserve"> </w:t>
      </w:r>
      <w:r w:rsidR="006D7D02">
        <w:t>mg</w:t>
      </w:r>
      <w:r w:rsidR="006D4749" w:rsidRPr="00C80339">
        <w:t xml:space="preserve"> should not be approved for registration</w:t>
      </w:r>
      <w:r w:rsidR="006D4749">
        <w:t>, conditional on changes to the indications, PI and RMP</w:t>
      </w:r>
      <w:r w:rsidR="00E26203">
        <w:t>.</w:t>
      </w:r>
    </w:p>
    <w:p w14:paraId="644B2BF5" w14:textId="7061C2AE" w:rsidR="006D4749" w:rsidRPr="00C80339" w:rsidRDefault="00901A31" w:rsidP="00E26203">
      <w:r w:rsidRPr="006D7B64">
        <w:t>The Delegate</w:t>
      </w:r>
      <w:r w:rsidR="006D4749" w:rsidRPr="006D7B64">
        <w:t xml:space="preserve"> would not recommend approval of the 1</w:t>
      </w:r>
      <w:r w:rsidR="006C336C" w:rsidRPr="006D7B64">
        <w:t>5</w:t>
      </w:r>
      <w:r w:rsidR="00715B39">
        <w:t xml:space="preserve"> </w:t>
      </w:r>
      <w:r w:rsidR="006D7D02">
        <w:t>mg</w:t>
      </w:r>
      <w:r w:rsidR="006D4749" w:rsidRPr="006D7B64">
        <w:t xml:space="preserve"> tablet</w:t>
      </w:r>
      <w:r w:rsidR="00E26203" w:rsidRPr="006D7B64">
        <w:t>.</w:t>
      </w:r>
    </w:p>
    <w:p w14:paraId="32E23311" w14:textId="77777777" w:rsidR="006D4749" w:rsidRPr="00253ED8" w:rsidRDefault="006D4749" w:rsidP="00E26203">
      <w:pPr>
        <w:pStyle w:val="Heading5"/>
      </w:pPr>
      <w:r>
        <w:t xml:space="preserve">Proposed </w:t>
      </w:r>
      <w:r w:rsidR="00B51DF2">
        <w:t>c</w:t>
      </w:r>
      <w:r w:rsidRPr="00253ED8">
        <w:t>ondition</w:t>
      </w:r>
      <w:r w:rsidR="00901A31">
        <w:t>s</w:t>
      </w:r>
    </w:p>
    <w:p w14:paraId="2ACDDD95" w14:textId="77777777" w:rsidR="006D4749" w:rsidRDefault="00E26203" w:rsidP="00E26203">
      <w:pPr>
        <w:pStyle w:val="Heading6"/>
      </w:pPr>
      <w:r>
        <w:t>Clinical</w:t>
      </w:r>
    </w:p>
    <w:p w14:paraId="36BA5EC4" w14:textId="71767EBA" w:rsidR="006D4749" w:rsidRPr="00213591" w:rsidRDefault="006D4749" w:rsidP="00E26203">
      <w:r w:rsidRPr="00213591">
        <w:t>To submit the results of Study 8835-004/B1521021</w:t>
      </w:r>
      <w:r w:rsidR="00F85404">
        <w:t>: A</w:t>
      </w:r>
      <w:r w:rsidRPr="00213591">
        <w:t xml:space="preserve"> </w:t>
      </w:r>
      <w:r w:rsidR="005C38A4">
        <w:t>r</w:t>
      </w:r>
      <w:r w:rsidR="004D4A17" w:rsidRPr="005C38A4">
        <w:t>andomised</w:t>
      </w:r>
      <w:r w:rsidRPr="005C38A4">
        <w:t xml:space="preserve">, </w:t>
      </w:r>
      <w:r w:rsidR="005C38A4">
        <w:t>d</w:t>
      </w:r>
      <w:r w:rsidRPr="005C38A4">
        <w:t>ouble</w:t>
      </w:r>
      <w:r w:rsidR="005C38A4">
        <w:t xml:space="preserve"> </w:t>
      </w:r>
      <w:r w:rsidRPr="005C38A4">
        <w:t xml:space="preserve">blind, </w:t>
      </w:r>
      <w:r w:rsidR="005C38A4">
        <w:t>p</w:t>
      </w:r>
      <w:r w:rsidRPr="005C38A4">
        <w:t>lacebo</w:t>
      </w:r>
      <w:r w:rsidR="005C38A4">
        <w:t xml:space="preserve"> c</w:t>
      </w:r>
      <w:r w:rsidRPr="005C38A4">
        <w:t xml:space="preserve">ontrolled </w:t>
      </w:r>
      <w:r w:rsidR="005C38A4">
        <w:t>p</w:t>
      </w:r>
      <w:r w:rsidRPr="005C38A4">
        <w:t>arallel</w:t>
      </w:r>
      <w:r w:rsidR="005C38A4">
        <w:t xml:space="preserve"> g</w:t>
      </w:r>
      <w:r w:rsidRPr="005C38A4">
        <w:t xml:space="preserve">roup </w:t>
      </w:r>
      <w:r w:rsidR="005C38A4">
        <w:t>s</w:t>
      </w:r>
      <w:r w:rsidRPr="005C38A4">
        <w:t xml:space="preserve">tudy </w:t>
      </w:r>
      <w:r w:rsidR="005C38A4" w:rsidRPr="005C38A4">
        <w:t>t</w:t>
      </w:r>
      <w:r w:rsidRPr="005C38A4">
        <w:t xml:space="preserve">o </w:t>
      </w:r>
      <w:r w:rsidR="005C38A4">
        <w:t>a</w:t>
      </w:r>
      <w:r w:rsidRPr="005C38A4">
        <w:t xml:space="preserve">ssess </w:t>
      </w:r>
      <w:r w:rsidR="005C38A4">
        <w:t>c</w:t>
      </w:r>
      <w:r w:rsidRPr="005C38A4">
        <w:t xml:space="preserve">ardiovascular </w:t>
      </w:r>
      <w:r w:rsidR="005C38A4">
        <w:t>outcomes following treatment with ertugliflozin in subjects with T2DM and established vascular d</w:t>
      </w:r>
      <w:r w:rsidRPr="005C38A4">
        <w:t>isease</w:t>
      </w:r>
      <w:r w:rsidRPr="00213591">
        <w:t>.</w:t>
      </w:r>
    </w:p>
    <w:p w14:paraId="26D2638A" w14:textId="77777777" w:rsidR="006D4749" w:rsidRPr="00213591" w:rsidRDefault="006D4749" w:rsidP="00E26203">
      <w:pPr>
        <w:pStyle w:val="Heading6"/>
      </w:pPr>
      <w:r w:rsidRPr="00213591">
        <w:t>RMP</w:t>
      </w:r>
    </w:p>
    <w:p w14:paraId="704172E8" w14:textId="69E8869A" w:rsidR="006D4749" w:rsidRPr="00460BEE" w:rsidRDefault="006D4749" w:rsidP="00E26203">
      <w:r w:rsidRPr="00460BEE">
        <w:t>Any changes to which the sponsor has agreed should be included in a revised RMP and ASA. However, irrespective of whether or not they are included in the currently available version of the RMP document, the agreed changes become part</w:t>
      </w:r>
      <w:r w:rsidR="00901A31">
        <w:t xml:space="preserve"> of the risk management system. </w:t>
      </w:r>
      <w:r w:rsidRPr="00460BEE">
        <w:t>The suggested wording is:</w:t>
      </w:r>
    </w:p>
    <w:p w14:paraId="19E21CF4" w14:textId="1880A47B" w:rsidR="006D4749" w:rsidRPr="00E26203" w:rsidRDefault="006D4749" w:rsidP="00E26203">
      <w:pPr>
        <w:ind w:left="720"/>
        <w:rPr>
          <w:i/>
        </w:rPr>
      </w:pPr>
      <w:r w:rsidRPr="00E26203">
        <w:rPr>
          <w:i/>
        </w:rPr>
        <w:t xml:space="preserve">The </w:t>
      </w:r>
      <w:r w:rsidR="00F14099" w:rsidRPr="00E26203">
        <w:rPr>
          <w:i/>
        </w:rPr>
        <w:t>Steglatro</w:t>
      </w:r>
      <w:r w:rsidRPr="00E26203">
        <w:rPr>
          <w:i/>
          <w:smallCaps/>
        </w:rPr>
        <w:t xml:space="preserve"> </w:t>
      </w:r>
      <w:r w:rsidRPr="00E26203">
        <w:rPr>
          <w:i/>
        </w:rPr>
        <w:t xml:space="preserve">EU-Risk Management Plan (RMP) (version 1.1, dated 15 August 2017, data lock point 31 May 2016), with Australian Specific Annex (version 1.1, dated </w:t>
      </w:r>
      <w:r w:rsidRPr="00E26203">
        <w:rPr>
          <w:i/>
        </w:rPr>
        <w:lastRenderedPageBreak/>
        <w:t>24</w:t>
      </w:r>
      <w:r w:rsidR="001F7F24">
        <w:rPr>
          <w:i/>
        </w:rPr>
        <w:t> </w:t>
      </w:r>
      <w:r w:rsidRPr="00E26203">
        <w:rPr>
          <w:i/>
        </w:rPr>
        <w:t>November 2017), included with submission PM-2017-01328-1-5, and any subsequent revisions, as agreed with the TGA will be implemented in Australia.</w:t>
      </w:r>
    </w:p>
    <w:p w14:paraId="127D7B0F" w14:textId="77777777" w:rsidR="006D4749" w:rsidRPr="00460BEE" w:rsidRDefault="006D4749" w:rsidP="006D4749">
      <w:pPr>
        <w:pStyle w:val="Standard"/>
        <w:spacing w:after="0" w:line="240" w:lineRule="auto"/>
      </w:pPr>
      <w:r w:rsidRPr="00460BEE">
        <w:t>The following wording is recommended for the PSUR requirement:</w:t>
      </w:r>
    </w:p>
    <w:p w14:paraId="72E6ADB0" w14:textId="77777777" w:rsidR="006D4749" w:rsidRPr="00E26203" w:rsidRDefault="006D4749" w:rsidP="00E26203">
      <w:pPr>
        <w:ind w:left="720"/>
        <w:rPr>
          <w:i/>
        </w:rPr>
      </w:pPr>
      <w:r w:rsidRPr="00E26203">
        <w:rPr>
          <w:i/>
        </w:rPr>
        <w:t>An obligatory component of risk management plans is routine pharmacovigilance. Routine pharmacovigilance includes the submission of Periodic Safety Update R</w:t>
      </w:r>
      <w:r w:rsidR="005C38A4">
        <w:rPr>
          <w:i/>
        </w:rPr>
        <w:t>eports (PSURs).</w:t>
      </w:r>
    </w:p>
    <w:p w14:paraId="16A21E78" w14:textId="77777777" w:rsidR="006D4749" w:rsidRPr="00E26203" w:rsidRDefault="006D4749" w:rsidP="00E26203">
      <w:pPr>
        <w:ind w:left="720"/>
        <w:rPr>
          <w:i/>
        </w:rPr>
      </w:pPr>
      <w:r w:rsidRPr="00E26203">
        <w:rPr>
          <w:i/>
        </w:rPr>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six monthly reports may be submitted separately as they become available.</w:t>
      </w:r>
    </w:p>
    <w:p w14:paraId="647799DD" w14:textId="77777777" w:rsidR="006D4749" w:rsidRPr="00E26203" w:rsidRDefault="006D4749" w:rsidP="00E26203">
      <w:pPr>
        <w:ind w:left="720"/>
        <w:rPr>
          <w:i/>
        </w:rPr>
      </w:pPr>
      <w:r w:rsidRPr="00E26203">
        <w:rPr>
          <w:i/>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5B569CEF" w14:textId="1A32B0B1" w:rsidR="006D4749" w:rsidRPr="00460BEE" w:rsidRDefault="006D4749" w:rsidP="004A4114">
      <w:r w:rsidRPr="00460BEE">
        <w:t xml:space="preserve">As </w:t>
      </w:r>
      <w:r w:rsidRPr="00E26203">
        <w:t>Steglatro</w:t>
      </w:r>
      <w:r w:rsidRPr="00460BEE">
        <w:t xml:space="preserve"> is a new chemical entity it should be included in the Black Triangle Scheme as a condition of registration. The following wording is recommended for the condition of registration:</w:t>
      </w:r>
    </w:p>
    <w:p w14:paraId="24CF5B03" w14:textId="77777777" w:rsidR="006D4749" w:rsidRPr="00E26203" w:rsidRDefault="006D4749" w:rsidP="00E26203">
      <w:pPr>
        <w:ind w:left="720"/>
        <w:rPr>
          <w:i/>
        </w:rPr>
      </w:pPr>
      <w:r w:rsidRPr="00E26203">
        <w:rPr>
          <w:i/>
        </w:rPr>
        <w:t xml:space="preserve">Steglatro (Ertugliflozin) is to be included in the Black Triangle Scheme. The PI and CMI for </w:t>
      </w:r>
      <w:r w:rsidR="00F14099" w:rsidRPr="00E26203">
        <w:rPr>
          <w:i/>
        </w:rPr>
        <w:t>Steglatro</w:t>
      </w:r>
      <w:r w:rsidRPr="00E26203">
        <w:rPr>
          <w:i/>
        </w:rPr>
        <w:t xml:space="preserve"> must include the black triangle symbol and mandatory accompanying text for five years, which starts from the date that the sponsor notifies the TGA of supply of the product.</w:t>
      </w:r>
    </w:p>
    <w:p w14:paraId="41E341EE" w14:textId="77777777" w:rsidR="00D23139" w:rsidRPr="00E26203" w:rsidRDefault="00D23139" w:rsidP="00E26203">
      <w:pPr>
        <w:pStyle w:val="Heading4"/>
      </w:pPr>
      <w:r w:rsidRPr="00D23139">
        <w:t>Request for ACM advice</w:t>
      </w:r>
    </w:p>
    <w:p w14:paraId="46651802" w14:textId="77777777" w:rsidR="00966864" w:rsidRPr="00A46609" w:rsidRDefault="00966864" w:rsidP="006D4749">
      <w:r w:rsidRPr="00A46609">
        <w:t>Questions for the ACM:</w:t>
      </w:r>
    </w:p>
    <w:p w14:paraId="2F56E8AF" w14:textId="1FD314B5" w:rsidR="00966864" w:rsidRPr="00A46609" w:rsidRDefault="00966864" w:rsidP="00901A31">
      <w:pPr>
        <w:pStyle w:val="Numberbullet0"/>
        <w:numPr>
          <w:ilvl w:val="0"/>
          <w:numId w:val="33"/>
        </w:numPr>
      </w:pPr>
      <w:r w:rsidRPr="00A46609">
        <w:t>Should the 1</w:t>
      </w:r>
      <w:r w:rsidR="006C336C">
        <w:t>5</w:t>
      </w:r>
      <w:r w:rsidR="00715B39">
        <w:t xml:space="preserve"> </w:t>
      </w:r>
      <w:r w:rsidR="006D7D02">
        <w:t>mg</w:t>
      </w:r>
      <w:r w:rsidRPr="00A46609">
        <w:t xml:space="preserve"> dose be approved? Although there was some benefit of </w:t>
      </w:r>
      <w:r w:rsidR="006C336C">
        <w:t>5</w:t>
      </w:r>
      <w:r w:rsidR="00715B39">
        <w:t xml:space="preserve"> </w:t>
      </w:r>
      <w:r w:rsidR="006D7D02">
        <w:t>mg</w:t>
      </w:r>
      <w:r w:rsidRPr="00A46609">
        <w:t xml:space="preserve"> over 1</w:t>
      </w:r>
      <w:r w:rsidR="006C336C">
        <w:t>5</w:t>
      </w:r>
      <w:r w:rsidR="00715B39">
        <w:t xml:space="preserve"> </w:t>
      </w:r>
      <w:r w:rsidR="006D7D02">
        <w:t>mg</w:t>
      </w:r>
      <w:r w:rsidRPr="00A46609">
        <w:t xml:space="preserve"> clinical trials, this does not mean an individual patient will respond better to 1</w:t>
      </w:r>
      <w:r w:rsidR="006C336C">
        <w:t>5</w:t>
      </w:r>
      <w:r w:rsidR="00715B39">
        <w:t> </w:t>
      </w:r>
      <w:r w:rsidR="006D7D02">
        <w:t>mg</w:t>
      </w:r>
      <w:r w:rsidRPr="00A46609">
        <w:t xml:space="preserve"> than </w:t>
      </w:r>
      <w:r w:rsidR="006C336C">
        <w:t>5</w:t>
      </w:r>
      <w:r w:rsidR="00715B39">
        <w:t xml:space="preserve"> </w:t>
      </w:r>
      <w:r w:rsidR="006D7D02">
        <w:t>mg</w:t>
      </w:r>
      <w:r w:rsidRPr="00A46609">
        <w:t>. There were more AEs with 1</w:t>
      </w:r>
      <w:r w:rsidR="006C336C">
        <w:t>5</w:t>
      </w:r>
      <w:r w:rsidR="00715B39">
        <w:t xml:space="preserve"> </w:t>
      </w:r>
      <w:r w:rsidR="006D7D02">
        <w:t>mg</w:t>
      </w:r>
      <w:r w:rsidRPr="00A46609">
        <w:t>.</w:t>
      </w:r>
    </w:p>
    <w:p w14:paraId="342940E4" w14:textId="77777777" w:rsidR="00966864" w:rsidRPr="00A46609" w:rsidRDefault="00966864" w:rsidP="00E26203">
      <w:pPr>
        <w:pStyle w:val="Numberbullet0"/>
      </w:pPr>
      <w:r w:rsidRPr="00A46609">
        <w:t>Should we need to wait for the results of the cardiovascular meta-analysis or long term cardiovascular study before approval?</w:t>
      </w:r>
    </w:p>
    <w:p w14:paraId="2DAB30F6" w14:textId="77777777" w:rsidR="00456765" w:rsidRPr="00456765" w:rsidRDefault="00966864" w:rsidP="00901A31">
      <w:pPr>
        <w:pStyle w:val="Numberbullet0"/>
      </w:pPr>
      <w:r w:rsidRPr="00A46609">
        <w:t>Is use with ‘other anti-hyperglycaemic agents’ appropriate when the clinical studies are limited to combination with metformin, and sitagliptin.</w:t>
      </w:r>
    </w:p>
    <w:p w14:paraId="1B8227CF" w14:textId="77777777" w:rsidR="00D23139" w:rsidRDefault="00456765" w:rsidP="00D23139">
      <w:pPr>
        <w:pStyle w:val="Heading4"/>
      </w:pPr>
      <w:r>
        <w:t xml:space="preserve">Response from </w:t>
      </w:r>
      <w:r w:rsidR="004A7ED8">
        <w:t>s</w:t>
      </w:r>
      <w:r>
        <w:t>ponsor</w:t>
      </w:r>
    </w:p>
    <w:p w14:paraId="6B3DECE4" w14:textId="77777777" w:rsidR="00D059FE" w:rsidRPr="00901A31" w:rsidRDefault="00D059FE" w:rsidP="00901A31">
      <w:pPr>
        <w:pStyle w:val="Heading5"/>
      </w:pPr>
      <w:bookmarkStart w:id="283" w:name="PRE-ACM_RESPONSE:_Applicant’s_Comments_o"/>
      <w:bookmarkStart w:id="284" w:name="ERTUGLIFLOZIN_15MG"/>
      <w:bookmarkEnd w:id="283"/>
      <w:bookmarkEnd w:id="284"/>
      <w:r>
        <w:t xml:space="preserve">Comments on </w:t>
      </w:r>
      <w:r w:rsidR="00836955">
        <w:t>p</w:t>
      </w:r>
      <w:r>
        <w:t xml:space="preserve">roposed </w:t>
      </w:r>
      <w:r w:rsidR="00836955">
        <w:t>r</w:t>
      </w:r>
      <w:r>
        <w:t xml:space="preserve">egulatory </w:t>
      </w:r>
      <w:r w:rsidR="00836955">
        <w:t>a</w:t>
      </w:r>
      <w:r>
        <w:t>ction</w:t>
      </w:r>
    </w:p>
    <w:p w14:paraId="41B5C59D" w14:textId="77777777" w:rsidR="00D059FE" w:rsidRDefault="00901A31" w:rsidP="00901A31">
      <w:r>
        <w:t>The sponsor</w:t>
      </w:r>
      <w:r w:rsidR="00D059FE">
        <w:t xml:space="preserve"> submitted 3 related applications to register ertugliflozin, a new chemical entity, and 2 FDC tablets for the treatment of patients with T2DM.</w:t>
      </w:r>
    </w:p>
    <w:p w14:paraId="756AE954" w14:textId="23A83E37" w:rsidR="00D059FE" w:rsidRDefault="00901A31" w:rsidP="00901A31">
      <w:pPr>
        <w:pStyle w:val="Heading6"/>
      </w:pPr>
      <w:r>
        <w:t xml:space="preserve">Ertugliflozin </w:t>
      </w:r>
      <w:r w:rsidR="00D059FE">
        <w:t>15</w:t>
      </w:r>
      <w:r w:rsidR="00715B39">
        <w:t xml:space="preserve"> </w:t>
      </w:r>
      <w:r w:rsidR="006D7D02">
        <w:t>mg</w:t>
      </w:r>
    </w:p>
    <w:p w14:paraId="21863ECB" w14:textId="1689E4D3" w:rsidR="00D059FE" w:rsidRDefault="00D059FE" w:rsidP="00901A31">
      <w:r>
        <w:t>The Delegate expressed concern with regard to the benefits of ertugliflozin15</w:t>
      </w:r>
      <w:r w:rsidR="00715B39">
        <w:t xml:space="preserve"> </w:t>
      </w:r>
      <w:r w:rsidR="006D7D02">
        <w:t>mg</w:t>
      </w:r>
      <w:r>
        <w:t xml:space="preserve"> versus 5</w:t>
      </w:r>
      <w:r w:rsidR="00715B39">
        <w:t> </w:t>
      </w:r>
      <w:r w:rsidR="006D7D02">
        <w:t>mg</w:t>
      </w:r>
      <w:r>
        <w:t xml:space="preserve"> dose strength.</w:t>
      </w:r>
      <w:r>
        <w:rPr>
          <w:spacing w:val="-10"/>
        </w:rPr>
        <w:t xml:space="preserve"> </w:t>
      </w:r>
      <w:r w:rsidR="00836955">
        <w:t>The sponsor</w:t>
      </w:r>
      <w:r>
        <w:rPr>
          <w:spacing w:val="-7"/>
        </w:rPr>
        <w:t xml:space="preserve"> </w:t>
      </w:r>
      <w:r>
        <w:t>notes</w:t>
      </w:r>
      <w:r>
        <w:rPr>
          <w:spacing w:val="-8"/>
        </w:rPr>
        <w:t xml:space="preserve"> </w:t>
      </w:r>
      <w:r>
        <w:t>that</w:t>
      </w:r>
      <w:r>
        <w:rPr>
          <w:spacing w:val="-7"/>
        </w:rPr>
        <w:t xml:space="preserve"> </w:t>
      </w:r>
      <w:r>
        <w:t>in</w:t>
      </w:r>
      <w:r>
        <w:rPr>
          <w:spacing w:val="-10"/>
        </w:rPr>
        <w:t xml:space="preserve"> </w:t>
      </w:r>
      <w:r>
        <w:t>all</w:t>
      </w:r>
      <w:r>
        <w:rPr>
          <w:spacing w:val="-10"/>
        </w:rPr>
        <w:t xml:space="preserve"> </w:t>
      </w:r>
      <w:r>
        <w:t>7</w:t>
      </w:r>
      <w:r>
        <w:rPr>
          <w:spacing w:val="-10"/>
        </w:rPr>
        <w:t xml:space="preserve"> </w:t>
      </w:r>
      <w:r w:rsidR="00F97771">
        <w:t>Phase III</w:t>
      </w:r>
      <w:r>
        <w:rPr>
          <w:spacing w:val="-8"/>
        </w:rPr>
        <w:t xml:space="preserve"> </w:t>
      </w:r>
      <w:r>
        <w:t>ertugliflozin</w:t>
      </w:r>
      <w:r>
        <w:rPr>
          <w:spacing w:val="-10"/>
        </w:rPr>
        <w:t xml:space="preserve"> </w:t>
      </w:r>
      <w:r>
        <w:t>studies,</w:t>
      </w:r>
      <w:r>
        <w:rPr>
          <w:spacing w:val="-10"/>
        </w:rPr>
        <w:t xml:space="preserve"> </w:t>
      </w:r>
      <w:r>
        <w:t>the</w:t>
      </w:r>
      <w:r>
        <w:rPr>
          <w:spacing w:val="-11"/>
        </w:rPr>
        <w:t xml:space="preserve"> </w:t>
      </w:r>
      <w:r>
        <w:t>point</w:t>
      </w:r>
      <w:r>
        <w:rPr>
          <w:spacing w:val="-7"/>
        </w:rPr>
        <w:t xml:space="preserve"> </w:t>
      </w:r>
      <w:r>
        <w:t>estimates</w:t>
      </w:r>
      <w:r>
        <w:rPr>
          <w:spacing w:val="-10"/>
        </w:rPr>
        <w:t xml:space="preserve"> </w:t>
      </w:r>
      <w:r>
        <w:t>for</w:t>
      </w:r>
      <w:r>
        <w:rPr>
          <w:spacing w:val="-11"/>
        </w:rPr>
        <w:t xml:space="preserve"> </w:t>
      </w:r>
      <w:r w:rsidR="003F2DE3">
        <w:t>Hb</w:t>
      </w:r>
      <w:r w:rsidR="00A04B32">
        <w:t>A1c</w:t>
      </w:r>
      <w:r w:rsidR="006D7D02">
        <w:t xml:space="preserve"> </w:t>
      </w:r>
      <w:r>
        <w:t>and FPG</w:t>
      </w:r>
      <w:r w:rsidR="005C38A4">
        <w:t xml:space="preserve"> </w:t>
      </w:r>
      <w:r>
        <w:t>lowering</w:t>
      </w:r>
      <w:r>
        <w:rPr>
          <w:spacing w:val="-14"/>
        </w:rPr>
        <w:t xml:space="preserve"> </w:t>
      </w:r>
      <w:r>
        <w:t>were</w:t>
      </w:r>
      <w:r>
        <w:rPr>
          <w:spacing w:val="-5"/>
        </w:rPr>
        <w:t xml:space="preserve"> </w:t>
      </w:r>
      <w:r>
        <w:t>greater</w:t>
      </w:r>
      <w:r>
        <w:rPr>
          <w:spacing w:val="-10"/>
        </w:rPr>
        <w:t xml:space="preserve"> </w:t>
      </w:r>
      <w:r>
        <w:t>with</w:t>
      </w:r>
      <w:r>
        <w:rPr>
          <w:spacing w:val="-7"/>
        </w:rPr>
        <w:t xml:space="preserve"> </w:t>
      </w:r>
      <w:r>
        <w:t>ertugliflozin</w:t>
      </w:r>
      <w:r>
        <w:rPr>
          <w:spacing w:val="-7"/>
        </w:rPr>
        <w:t xml:space="preserve"> </w:t>
      </w:r>
      <w:r>
        <w:t>15</w:t>
      </w:r>
      <w:r w:rsidR="00715B39">
        <w:t xml:space="preserve"> </w:t>
      </w:r>
      <w:r w:rsidR="006D7D02">
        <w:t>mg</w:t>
      </w:r>
      <w:r>
        <w:rPr>
          <w:spacing w:val="-12"/>
        </w:rPr>
        <w:t xml:space="preserve"> </w:t>
      </w:r>
      <w:r>
        <w:t>versus</w:t>
      </w:r>
      <w:r>
        <w:rPr>
          <w:spacing w:val="-7"/>
        </w:rPr>
        <w:t xml:space="preserve"> </w:t>
      </w:r>
      <w:r>
        <w:t>5</w:t>
      </w:r>
      <w:r w:rsidR="00715B39">
        <w:t xml:space="preserve"> </w:t>
      </w:r>
      <w:r w:rsidR="006D7D02">
        <w:t>mg</w:t>
      </w:r>
      <w:r>
        <w:t xml:space="preserve">. </w:t>
      </w:r>
      <w:r>
        <w:lastRenderedPageBreak/>
        <w:t>These results support the efficacy of ertugliflozin</w:t>
      </w:r>
      <w:r>
        <w:rPr>
          <w:spacing w:val="-7"/>
        </w:rPr>
        <w:t xml:space="preserve"> </w:t>
      </w:r>
      <w:r>
        <w:t>when</w:t>
      </w:r>
      <w:r>
        <w:rPr>
          <w:spacing w:val="10"/>
        </w:rPr>
        <w:t xml:space="preserve"> </w:t>
      </w:r>
      <w:r>
        <w:t>used</w:t>
      </w:r>
      <w:r>
        <w:rPr>
          <w:spacing w:val="-9"/>
        </w:rPr>
        <w:t xml:space="preserve"> </w:t>
      </w:r>
      <w:r>
        <w:t>in</w:t>
      </w:r>
      <w:r>
        <w:rPr>
          <w:spacing w:val="-7"/>
        </w:rPr>
        <w:t xml:space="preserve"> </w:t>
      </w:r>
      <w:r>
        <w:t>first,</w:t>
      </w:r>
      <w:r>
        <w:rPr>
          <w:spacing w:val="-9"/>
        </w:rPr>
        <w:t xml:space="preserve"> </w:t>
      </w:r>
      <w:r>
        <w:t>second</w:t>
      </w:r>
      <w:r>
        <w:rPr>
          <w:spacing w:val="-9"/>
        </w:rPr>
        <w:t xml:space="preserve"> </w:t>
      </w:r>
      <w:r>
        <w:t>and</w:t>
      </w:r>
      <w:r>
        <w:rPr>
          <w:spacing w:val="-7"/>
        </w:rPr>
        <w:t xml:space="preserve"> </w:t>
      </w:r>
      <w:r>
        <w:t>third</w:t>
      </w:r>
      <w:r w:rsidR="00F636F2">
        <w:t xml:space="preserve"> </w:t>
      </w:r>
      <w:r>
        <w:t>line</w:t>
      </w:r>
      <w:r>
        <w:rPr>
          <w:spacing w:val="-13"/>
        </w:rPr>
        <w:t xml:space="preserve"> </w:t>
      </w:r>
      <w:r>
        <w:t>treatment</w:t>
      </w:r>
      <w:r>
        <w:rPr>
          <w:spacing w:val="-9"/>
        </w:rPr>
        <w:t xml:space="preserve"> </w:t>
      </w:r>
      <w:r>
        <w:t>settings</w:t>
      </w:r>
      <w:r>
        <w:rPr>
          <w:spacing w:val="-7"/>
        </w:rPr>
        <w:t xml:space="preserve"> </w:t>
      </w:r>
      <w:r>
        <w:t>in</w:t>
      </w:r>
      <w:r>
        <w:rPr>
          <w:spacing w:val="-7"/>
        </w:rPr>
        <w:t xml:space="preserve"> </w:t>
      </w:r>
      <w:r>
        <w:t>subjects</w:t>
      </w:r>
      <w:r>
        <w:rPr>
          <w:spacing w:val="-9"/>
        </w:rPr>
        <w:t xml:space="preserve"> </w:t>
      </w:r>
      <w:r>
        <w:t>with</w:t>
      </w:r>
      <w:r>
        <w:rPr>
          <w:spacing w:val="-7"/>
        </w:rPr>
        <w:t xml:space="preserve"> </w:t>
      </w:r>
      <w:r>
        <w:t>T2DM.</w:t>
      </w:r>
    </w:p>
    <w:p w14:paraId="3623AE37" w14:textId="77777777" w:rsidR="00D059FE" w:rsidRDefault="00D059FE" w:rsidP="00901A31">
      <w:r>
        <w:t xml:space="preserve">None of the individual ertugliflozin </w:t>
      </w:r>
      <w:r w:rsidR="00F97771">
        <w:t>Phase III</w:t>
      </w:r>
      <w:r>
        <w:t xml:space="preserve"> studies were powered to compare the ertugliflozin doses with regard to glycaemic efficacy. Indeed, </w:t>
      </w:r>
      <w:r w:rsidR="00F97771">
        <w:t>Phase III</w:t>
      </w:r>
      <w:r>
        <w:t xml:space="preserve"> development programs studying more than 1 dose strength for an investigational product are generally powered to detect differences relative to the comparator(s) and are not powered to detect differences between doses. This is consistent with the EMA</w:t>
      </w:r>
      <w:r>
        <w:rPr>
          <w:spacing w:val="-14"/>
        </w:rPr>
        <w:t xml:space="preserve"> </w:t>
      </w:r>
      <w:r>
        <w:t>guideline</w:t>
      </w:r>
      <w:r>
        <w:rPr>
          <w:spacing w:val="-13"/>
        </w:rPr>
        <w:t xml:space="preserve"> </w:t>
      </w:r>
      <w:r>
        <w:t>on</w:t>
      </w:r>
      <w:r>
        <w:rPr>
          <w:spacing w:val="-10"/>
        </w:rPr>
        <w:t xml:space="preserve"> </w:t>
      </w:r>
      <w:r>
        <w:t>clinical</w:t>
      </w:r>
      <w:r>
        <w:rPr>
          <w:spacing w:val="-12"/>
        </w:rPr>
        <w:t xml:space="preserve"> </w:t>
      </w:r>
      <w:r>
        <w:t>investigation</w:t>
      </w:r>
      <w:r>
        <w:rPr>
          <w:spacing w:val="-12"/>
        </w:rPr>
        <w:t xml:space="preserve"> </w:t>
      </w:r>
      <w:r>
        <w:t>of</w:t>
      </w:r>
      <w:r>
        <w:rPr>
          <w:spacing w:val="-14"/>
        </w:rPr>
        <w:t xml:space="preserve"> </w:t>
      </w:r>
      <w:r>
        <w:t>medicinal</w:t>
      </w:r>
      <w:r>
        <w:rPr>
          <w:spacing w:val="-12"/>
        </w:rPr>
        <w:t xml:space="preserve"> </w:t>
      </w:r>
      <w:r>
        <w:t>products</w:t>
      </w:r>
      <w:r>
        <w:rPr>
          <w:spacing w:val="-12"/>
        </w:rPr>
        <w:t xml:space="preserve"> </w:t>
      </w:r>
      <w:r>
        <w:t>in</w:t>
      </w:r>
      <w:r>
        <w:rPr>
          <w:spacing w:val="-12"/>
        </w:rPr>
        <w:t xml:space="preserve"> </w:t>
      </w:r>
      <w:r>
        <w:t>the</w:t>
      </w:r>
      <w:r>
        <w:rPr>
          <w:spacing w:val="-13"/>
        </w:rPr>
        <w:t xml:space="preserve"> </w:t>
      </w:r>
      <w:r>
        <w:t>treatment</w:t>
      </w:r>
      <w:r>
        <w:rPr>
          <w:spacing w:val="-12"/>
        </w:rPr>
        <w:t xml:space="preserve"> </w:t>
      </w:r>
      <w:r>
        <w:t>or</w:t>
      </w:r>
      <w:r>
        <w:rPr>
          <w:spacing w:val="-13"/>
        </w:rPr>
        <w:t xml:space="preserve"> </w:t>
      </w:r>
      <w:r>
        <w:t>prevention</w:t>
      </w:r>
      <w:r>
        <w:rPr>
          <w:spacing w:val="-12"/>
        </w:rPr>
        <w:t xml:space="preserve"> </w:t>
      </w:r>
      <w:r>
        <w:t>of</w:t>
      </w:r>
      <w:r>
        <w:rPr>
          <w:spacing w:val="-13"/>
        </w:rPr>
        <w:t xml:space="preserve"> </w:t>
      </w:r>
      <w:r w:rsidR="00F636F2">
        <w:t>diabetes mellitus</w:t>
      </w:r>
      <w:r>
        <w:t>.</w:t>
      </w:r>
      <w:r w:rsidR="00F636F2">
        <w:rPr>
          <w:rStyle w:val="FootnoteReference"/>
        </w:rPr>
        <w:footnoteReference w:id="37"/>
      </w:r>
    </w:p>
    <w:p w14:paraId="11DF3DDD" w14:textId="7F07F06B" w:rsidR="00D059FE" w:rsidRDefault="00D059FE" w:rsidP="00901A31">
      <w:r>
        <w:t xml:space="preserve">Therefore, the most relevant population for the assessment of ertugliflozin dose response is the </w:t>
      </w:r>
      <w:r w:rsidR="003562B3">
        <w:t>placebo</w:t>
      </w:r>
      <w:r>
        <w:t xml:space="preserve"> </w:t>
      </w:r>
      <w:r w:rsidR="005C38A4">
        <w:t>p</w:t>
      </w:r>
      <w:r>
        <w:t>ool.</w:t>
      </w:r>
      <w:r>
        <w:rPr>
          <w:spacing w:val="-8"/>
        </w:rPr>
        <w:t xml:space="preserve"> </w:t>
      </w:r>
      <w:r>
        <w:t>The</w:t>
      </w:r>
      <w:r>
        <w:rPr>
          <w:spacing w:val="-9"/>
        </w:rPr>
        <w:t xml:space="preserve"> </w:t>
      </w:r>
      <w:r>
        <w:t>results</w:t>
      </w:r>
      <w:r>
        <w:rPr>
          <w:spacing w:val="-8"/>
        </w:rPr>
        <w:t xml:space="preserve"> </w:t>
      </w:r>
      <w:r>
        <w:t>from</w:t>
      </w:r>
      <w:r>
        <w:rPr>
          <w:spacing w:val="-8"/>
        </w:rPr>
        <w:t xml:space="preserve"> </w:t>
      </w:r>
      <w:r>
        <w:t>this</w:t>
      </w:r>
      <w:r>
        <w:rPr>
          <w:spacing w:val="-6"/>
        </w:rPr>
        <w:t xml:space="preserve"> </w:t>
      </w:r>
      <w:r>
        <w:t>pool</w:t>
      </w:r>
      <w:r>
        <w:rPr>
          <w:spacing w:val="-8"/>
        </w:rPr>
        <w:t xml:space="preserve"> </w:t>
      </w:r>
      <w:r>
        <w:t>are</w:t>
      </w:r>
      <w:r>
        <w:rPr>
          <w:spacing w:val="-9"/>
        </w:rPr>
        <w:t xml:space="preserve"> </w:t>
      </w:r>
      <w:r>
        <w:t>a</w:t>
      </w:r>
      <w:r>
        <w:rPr>
          <w:spacing w:val="-9"/>
        </w:rPr>
        <w:t xml:space="preserve"> </w:t>
      </w:r>
      <w:r>
        <w:t>direct</w:t>
      </w:r>
      <w:r>
        <w:rPr>
          <w:spacing w:val="-8"/>
        </w:rPr>
        <w:t xml:space="preserve"> </w:t>
      </w:r>
      <w:r>
        <w:t>determination</w:t>
      </w:r>
      <w:r>
        <w:rPr>
          <w:spacing w:val="-6"/>
        </w:rPr>
        <w:t xml:space="preserve"> </w:t>
      </w:r>
      <w:r>
        <w:t>of</w:t>
      </w:r>
      <w:r>
        <w:rPr>
          <w:spacing w:val="-9"/>
        </w:rPr>
        <w:t xml:space="preserve"> </w:t>
      </w:r>
      <w:r>
        <w:t>the</w:t>
      </w:r>
      <w:r>
        <w:rPr>
          <w:spacing w:val="-9"/>
        </w:rPr>
        <w:t xml:space="preserve"> </w:t>
      </w:r>
      <w:r>
        <w:t>efficacy</w:t>
      </w:r>
      <w:r>
        <w:rPr>
          <w:spacing w:val="-13"/>
        </w:rPr>
        <w:t xml:space="preserve"> </w:t>
      </w:r>
      <w:r>
        <w:t>of</w:t>
      </w:r>
      <w:r>
        <w:rPr>
          <w:spacing w:val="-7"/>
        </w:rPr>
        <w:t xml:space="preserve"> </w:t>
      </w:r>
      <w:r>
        <w:t>both</w:t>
      </w:r>
      <w:r>
        <w:rPr>
          <w:spacing w:val="-8"/>
        </w:rPr>
        <w:t xml:space="preserve"> </w:t>
      </w:r>
      <w:r>
        <w:t>doses</w:t>
      </w:r>
      <w:r>
        <w:rPr>
          <w:spacing w:val="-6"/>
        </w:rPr>
        <w:t xml:space="preserve"> </w:t>
      </w:r>
      <w:r>
        <w:t>of</w:t>
      </w:r>
      <w:r>
        <w:rPr>
          <w:spacing w:val="-9"/>
        </w:rPr>
        <w:t xml:space="preserve"> </w:t>
      </w:r>
      <w:r>
        <w:t>ertugliflozin in</w:t>
      </w:r>
      <w:r>
        <w:rPr>
          <w:spacing w:val="-9"/>
        </w:rPr>
        <w:t xml:space="preserve"> </w:t>
      </w:r>
      <w:r>
        <w:t>the</w:t>
      </w:r>
      <w:r>
        <w:rPr>
          <w:spacing w:val="-10"/>
        </w:rPr>
        <w:t xml:space="preserve"> </w:t>
      </w:r>
      <w:r>
        <w:t>intended</w:t>
      </w:r>
      <w:r>
        <w:rPr>
          <w:spacing w:val="-9"/>
        </w:rPr>
        <w:t xml:space="preserve"> </w:t>
      </w:r>
      <w:r>
        <w:t>population.</w:t>
      </w:r>
      <w:r>
        <w:rPr>
          <w:spacing w:val="-4"/>
        </w:rPr>
        <w:t xml:space="preserve"> In</w:t>
      </w:r>
      <w:r>
        <w:rPr>
          <w:spacing w:val="-12"/>
        </w:rPr>
        <w:t xml:space="preserve"> </w:t>
      </w:r>
      <w:r>
        <w:t>this</w:t>
      </w:r>
      <w:r>
        <w:rPr>
          <w:spacing w:val="-9"/>
        </w:rPr>
        <w:t xml:space="preserve"> </w:t>
      </w:r>
      <w:r>
        <w:t>pool</w:t>
      </w:r>
      <w:r>
        <w:rPr>
          <w:spacing w:val="-6"/>
        </w:rPr>
        <w:t xml:space="preserve"> </w:t>
      </w:r>
      <w:r>
        <w:t>with</w:t>
      </w:r>
      <w:r>
        <w:rPr>
          <w:spacing w:val="-9"/>
        </w:rPr>
        <w:t xml:space="preserve"> </w:t>
      </w:r>
      <w:r>
        <w:t>data</w:t>
      </w:r>
      <w:r>
        <w:rPr>
          <w:spacing w:val="-10"/>
        </w:rPr>
        <w:t xml:space="preserve"> </w:t>
      </w:r>
      <w:r>
        <w:t>from</w:t>
      </w:r>
      <w:r>
        <w:rPr>
          <w:spacing w:val="-9"/>
        </w:rPr>
        <w:t xml:space="preserve"> </w:t>
      </w:r>
      <w:r>
        <w:t>greater</w:t>
      </w:r>
      <w:r>
        <w:rPr>
          <w:spacing w:val="-10"/>
        </w:rPr>
        <w:t xml:space="preserve"> </w:t>
      </w:r>
      <w:r>
        <w:t>than</w:t>
      </w:r>
      <w:r>
        <w:rPr>
          <w:spacing w:val="-9"/>
        </w:rPr>
        <w:t xml:space="preserve"> </w:t>
      </w:r>
      <w:r>
        <w:t>1500</w:t>
      </w:r>
      <w:r>
        <w:rPr>
          <w:spacing w:val="-9"/>
        </w:rPr>
        <w:t xml:space="preserve"> </w:t>
      </w:r>
      <w:r>
        <w:t>subjects,</w:t>
      </w:r>
      <w:r>
        <w:rPr>
          <w:spacing w:val="-7"/>
        </w:rPr>
        <w:t xml:space="preserve"> </w:t>
      </w:r>
      <w:r>
        <w:t>the</w:t>
      </w:r>
      <w:r>
        <w:rPr>
          <w:spacing w:val="-10"/>
        </w:rPr>
        <w:t xml:space="preserve"> </w:t>
      </w:r>
      <w:r>
        <w:t xml:space="preserve">placebo-adjusted </w:t>
      </w:r>
      <w:r>
        <w:rPr>
          <w:spacing w:val="-3"/>
        </w:rPr>
        <w:t>LS</w:t>
      </w:r>
      <w:r>
        <w:rPr>
          <w:spacing w:val="-8"/>
        </w:rPr>
        <w:t xml:space="preserve"> </w:t>
      </w:r>
      <w:r>
        <w:t>mean</w:t>
      </w:r>
      <w:r>
        <w:rPr>
          <w:spacing w:val="-4"/>
        </w:rPr>
        <w:t xml:space="preserve"> </w:t>
      </w:r>
      <w:r>
        <w:t>changes</w:t>
      </w:r>
      <w:r>
        <w:rPr>
          <w:spacing w:val="-4"/>
        </w:rPr>
        <w:t xml:space="preserve"> </w:t>
      </w:r>
      <w:r>
        <w:t>(95%</w:t>
      </w:r>
      <w:r>
        <w:rPr>
          <w:spacing w:val="-10"/>
        </w:rPr>
        <w:t xml:space="preserve"> </w:t>
      </w:r>
      <w:r>
        <w:t>CI)</w:t>
      </w:r>
      <w:r>
        <w:rPr>
          <w:spacing w:val="-5"/>
        </w:rPr>
        <w:t xml:space="preserve"> </w:t>
      </w:r>
      <w:r>
        <w:t>from</w:t>
      </w:r>
      <w:r>
        <w:rPr>
          <w:spacing w:val="-6"/>
        </w:rPr>
        <w:t xml:space="preserve"> </w:t>
      </w:r>
      <w:r>
        <w:t>baseline</w:t>
      </w:r>
      <w:r>
        <w:rPr>
          <w:spacing w:val="-8"/>
        </w:rPr>
        <w:t xml:space="preserve"> </w:t>
      </w:r>
      <w:r>
        <w:t>in</w:t>
      </w:r>
      <w:r>
        <w:rPr>
          <w:spacing w:val="-7"/>
        </w:rPr>
        <w:t xml:space="preserve"> </w:t>
      </w:r>
      <w:r w:rsidR="003F2DE3">
        <w:t>Hb</w:t>
      </w:r>
      <w:r w:rsidR="00A04B32">
        <w:t>A1c</w:t>
      </w:r>
      <w:r>
        <w:rPr>
          <w:spacing w:val="-4"/>
        </w:rPr>
        <w:t xml:space="preserve"> </w:t>
      </w:r>
      <w:r>
        <w:t>were</w:t>
      </w:r>
      <w:r>
        <w:rPr>
          <w:spacing w:val="-5"/>
        </w:rPr>
        <w:t xml:space="preserve"> </w:t>
      </w:r>
      <w:r>
        <w:t>-0.76%</w:t>
      </w:r>
      <w:r>
        <w:rPr>
          <w:spacing w:val="-8"/>
        </w:rPr>
        <w:t xml:space="preserve"> </w:t>
      </w:r>
      <w:r>
        <w:t>(-0.87,</w:t>
      </w:r>
      <w:r>
        <w:rPr>
          <w:spacing w:val="-7"/>
        </w:rPr>
        <w:t xml:space="preserve"> </w:t>
      </w:r>
      <w:r>
        <w:t>-0.65)</w:t>
      </w:r>
      <w:r>
        <w:rPr>
          <w:spacing w:val="-8"/>
        </w:rPr>
        <w:t xml:space="preserve"> </w:t>
      </w:r>
      <w:r>
        <w:t>and</w:t>
      </w:r>
      <w:r>
        <w:rPr>
          <w:spacing w:val="-7"/>
        </w:rPr>
        <w:t xml:space="preserve"> </w:t>
      </w:r>
      <w:r>
        <w:t>-0.91%</w:t>
      </w:r>
      <w:r>
        <w:rPr>
          <w:spacing w:val="-5"/>
        </w:rPr>
        <w:t xml:space="preserve"> </w:t>
      </w:r>
      <w:r>
        <w:t>(-1.02,</w:t>
      </w:r>
      <w:r>
        <w:rPr>
          <w:spacing w:val="-7"/>
        </w:rPr>
        <w:t xml:space="preserve"> </w:t>
      </w:r>
      <w:r>
        <w:t>-0.80) for the ertugliflozin 5</w:t>
      </w:r>
      <w:r w:rsidR="00715B39">
        <w:t xml:space="preserve"> </w:t>
      </w:r>
      <w:r w:rsidR="006D7D02">
        <w:t>mg</w:t>
      </w:r>
      <w:r>
        <w:t xml:space="preserve"> and 15</w:t>
      </w:r>
      <w:r w:rsidR="00715B39">
        <w:t xml:space="preserve"> </w:t>
      </w:r>
      <w:r w:rsidR="006D7D02">
        <w:t>mg</w:t>
      </w:r>
      <w:r>
        <w:t xml:space="preserve"> groups, respectively. Thus, ertugliflozin</w:t>
      </w:r>
      <w:r>
        <w:rPr>
          <w:spacing w:val="-9"/>
        </w:rPr>
        <w:t xml:space="preserve"> </w:t>
      </w:r>
      <w:r>
        <w:t>15</w:t>
      </w:r>
      <w:r w:rsidR="00715B39">
        <w:t xml:space="preserve"> </w:t>
      </w:r>
      <w:r w:rsidR="006D7D02">
        <w:t>mg</w:t>
      </w:r>
      <w:r>
        <w:rPr>
          <w:spacing w:val="-14"/>
        </w:rPr>
        <w:t xml:space="preserve"> </w:t>
      </w:r>
      <w:r>
        <w:t>resulted</w:t>
      </w:r>
      <w:r>
        <w:rPr>
          <w:spacing w:val="-7"/>
        </w:rPr>
        <w:t xml:space="preserve"> </w:t>
      </w:r>
      <w:r>
        <w:t>in</w:t>
      </w:r>
      <w:r>
        <w:rPr>
          <w:spacing w:val="-9"/>
        </w:rPr>
        <w:t xml:space="preserve"> </w:t>
      </w:r>
      <w:r>
        <w:t>an</w:t>
      </w:r>
      <w:r>
        <w:rPr>
          <w:spacing w:val="-9"/>
        </w:rPr>
        <w:t xml:space="preserve"> </w:t>
      </w:r>
      <w:r>
        <w:t>incremental</w:t>
      </w:r>
      <w:r>
        <w:rPr>
          <w:spacing w:val="-6"/>
        </w:rPr>
        <w:t xml:space="preserve"> </w:t>
      </w:r>
      <w:r w:rsidR="003F2DE3">
        <w:t>Hb</w:t>
      </w:r>
      <w:r w:rsidR="00A04B32">
        <w:t>A1c</w:t>
      </w:r>
      <w:r>
        <w:rPr>
          <w:spacing w:val="-9"/>
        </w:rPr>
        <w:t xml:space="preserve"> </w:t>
      </w:r>
      <w:r>
        <w:t>reduction</w:t>
      </w:r>
      <w:r>
        <w:rPr>
          <w:spacing w:val="-9"/>
        </w:rPr>
        <w:t xml:space="preserve"> </w:t>
      </w:r>
      <w:r>
        <w:t>of</w:t>
      </w:r>
      <w:r>
        <w:rPr>
          <w:spacing w:val="-10"/>
        </w:rPr>
        <w:t xml:space="preserve"> </w:t>
      </w:r>
      <w:r>
        <w:t>0.15%</w:t>
      </w:r>
      <w:r>
        <w:rPr>
          <w:spacing w:val="-10"/>
        </w:rPr>
        <w:t xml:space="preserve"> </w:t>
      </w:r>
      <w:r>
        <w:t>relative</w:t>
      </w:r>
      <w:r>
        <w:rPr>
          <w:spacing w:val="-10"/>
        </w:rPr>
        <w:t xml:space="preserve"> </w:t>
      </w:r>
      <w:r>
        <w:t>to</w:t>
      </w:r>
      <w:r>
        <w:rPr>
          <w:spacing w:val="-7"/>
        </w:rPr>
        <w:t xml:space="preserve"> </w:t>
      </w:r>
      <w:r>
        <w:t>ertugliflozin</w:t>
      </w:r>
      <w:r>
        <w:rPr>
          <w:spacing w:val="-9"/>
        </w:rPr>
        <w:t xml:space="preserve"> </w:t>
      </w:r>
      <w:r>
        <w:t>5</w:t>
      </w:r>
      <w:r w:rsidR="00715B39">
        <w:rPr>
          <w:spacing w:val="-4"/>
        </w:rPr>
        <w:t xml:space="preserve"> </w:t>
      </w:r>
      <w:r w:rsidR="006D7D02">
        <w:rPr>
          <w:spacing w:val="-4"/>
        </w:rPr>
        <w:t>mg</w:t>
      </w:r>
      <w:r>
        <w:rPr>
          <w:spacing w:val="-4"/>
        </w:rPr>
        <w:t>.</w:t>
      </w:r>
    </w:p>
    <w:p w14:paraId="3C54FE82" w14:textId="6A412365" w:rsidR="00D059FE" w:rsidRDefault="003562B3" w:rsidP="00901A31">
      <w:r>
        <w:t>The sponsor</w:t>
      </w:r>
      <w:r w:rsidR="00D059FE">
        <w:t xml:space="preserve"> also note</w:t>
      </w:r>
      <w:r>
        <w:t>s</w:t>
      </w:r>
      <w:r w:rsidR="00D059FE">
        <w:t xml:space="preserve"> that the difference in glycaemic efficacy between the 15</w:t>
      </w:r>
      <w:r w:rsidR="00715B39">
        <w:t xml:space="preserve"> </w:t>
      </w:r>
      <w:r w:rsidR="006D7D02">
        <w:t>mg</w:t>
      </w:r>
      <w:r w:rsidR="00D059FE">
        <w:t xml:space="preserve"> and 5</w:t>
      </w:r>
      <w:r w:rsidR="00715B39">
        <w:t> </w:t>
      </w:r>
      <w:r w:rsidR="006D7D02">
        <w:t>mg</w:t>
      </w:r>
      <w:r w:rsidR="00D059FE">
        <w:t xml:space="preserve"> doses of ertugliflozin</w:t>
      </w:r>
      <w:r w:rsidR="00D059FE">
        <w:rPr>
          <w:spacing w:val="-9"/>
        </w:rPr>
        <w:t xml:space="preserve"> </w:t>
      </w:r>
      <w:r w:rsidR="00D059FE">
        <w:t>were</w:t>
      </w:r>
      <w:r w:rsidR="00D059FE">
        <w:rPr>
          <w:spacing w:val="-10"/>
        </w:rPr>
        <w:t xml:space="preserve"> </w:t>
      </w:r>
      <w:r w:rsidR="00D059FE">
        <w:t>similar</w:t>
      </w:r>
      <w:r w:rsidR="00D059FE">
        <w:rPr>
          <w:spacing w:val="-12"/>
        </w:rPr>
        <w:t xml:space="preserve"> </w:t>
      </w:r>
      <w:r w:rsidR="00D059FE">
        <w:t>to</w:t>
      </w:r>
      <w:r w:rsidR="00D059FE">
        <w:rPr>
          <w:spacing w:val="-7"/>
        </w:rPr>
        <w:t xml:space="preserve"> </w:t>
      </w:r>
      <w:r w:rsidR="00D059FE">
        <w:t>those</w:t>
      </w:r>
      <w:r w:rsidR="00D059FE">
        <w:rPr>
          <w:spacing w:val="-10"/>
        </w:rPr>
        <w:t xml:space="preserve"> </w:t>
      </w:r>
      <w:r w:rsidR="00D059FE">
        <w:t>seen</w:t>
      </w:r>
      <w:r w:rsidR="00D059FE">
        <w:rPr>
          <w:spacing w:val="-7"/>
        </w:rPr>
        <w:t xml:space="preserve"> </w:t>
      </w:r>
      <w:r w:rsidR="00D059FE">
        <w:t>between</w:t>
      </w:r>
      <w:r w:rsidR="00D059FE">
        <w:rPr>
          <w:spacing w:val="-7"/>
        </w:rPr>
        <w:t xml:space="preserve"> </w:t>
      </w:r>
      <w:r w:rsidR="00D059FE">
        <w:t>the</w:t>
      </w:r>
      <w:r w:rsidR="00D059FE">
        <w:rPr>
          <w:spacing w:val="-10"/>
        </w:rPr>
        <w:t xml:space="preserve"> </w:t>
      </w:r>
      <w:r w:rsidR="00D059FE">
        <w:t>25</w:t>
      </w:r>
      <w:r w:rsidR="00715B39">
        <w:t xml:space="preserve"> </w:t>
      </w:r>
      <w:r w:rsidR="006D7D02">
        <w:t>mg</w:t>
      </w:r>
      <w:r w:rsidR="00D059FE">
        <w:rPr>
          <w:spacing w:val="-9"/>
        </w:rPr>
        <w:t xml:space="preserve"> </w:t>
      </w:r>
      <w:r w:rsidR="00D059FE">
        <w:t>and</w:t>
      </w:r>
      <w:r w:rsidR="00D059FE">
        <w:rPr>
          <w:spacing w:val="-7"/>
        </w:rPr>
        <w:t xml:space="preserve"> </w:t>
      </w:r>
      <w:r w:rsidR="00D059FE">
        <w:t>10</w:t>
      </w:r>
      <w:r w:rsidR="00715B39">
        <w:t xml:space="preserve"> </w:t>
      </w:r>
      <w:r w:rsidR="006D7D02">
        <w:t>mg</w:t>
      </w:r>
      <w:r w:rsidR="00D059FE">
        <w:rPr>
          <w:spacing w:val="-14"/>
        </w:rPr>
        <w:t xml:space="preserve"> </w:t>
      </w:r>
      <w:r w:rsidR="00D059FE">
        <w:t>doses</w:t>
      </w:r>
      <w:r w:rsidR="00D059FE">
        <w:rPr>
          <w:spacing w:val="-4"/>
        </w:rPr>
        <w:t xml:space="preserve"> </w:t>
      </w:r>
      <w:r w:rsidR="00D059FE">
        <w:t>of</w:t>
      </w:r>
      <w:r w:rsidR="00D059FE">
        <w:rPr>
          <w:spacing w:val="-10"/>
        </w:rPr>
        <w:t xml:space="preserve"> </w:t>
      </w:r>
      <w:r w:rsidR="00D059FE">
        <w:t>empagliflozin.</w:t>
      </w:r>
      <w:r w:rsidR="00D059FE">
        <w:rPr>
          <w:spacing w:val="-4"/>
        </w:rPr>
        <w:t xml:space="preserve"> In</w:t>
      </w:r>
      <w:r w:rsidR="00D059FE">
        <w:rPr>
          <w:spacing w:val="-9"/>
        </w:rPr>
        <w:t xml:space="preserve"> </w:t>
      </w:r>
      <w:r w:rsidR="00D059FE">
        <w:t>the empagliflozin</w:t>
      </w:r>
      <w:r w:rsidR="00D059FE">
        <w:rPr>
          <w:spacing w:val="-10"/>
        </w:rPr>
        <w:t xml:space="preserve"> </w:t>
      </w:r>
      <w:r w:rsidR="00D059FE">
        <w:t>monotherapy</w:t>
      </w:r>
      <w:r w:rsidR="00D059FE">
        <w:rPr>
          <w:spacing w:val="-21"/>
        </w:rPr>
        <w:t xml:space="preserve"> </w:t>
      </w:r>
      <w:r w:rsidR="00D059FE">
        <w:t>study,</w:t>
      </w:r>
      <w:r w:rsidR="00D059FE">
        <w:rPr>
          <w:spacing w:val="-10"/>
        </w:rPr>
        <w:t xml:space="preserve"> </w:t>
      </w:r>
      <w:r w:rsidR="00D059FE">
        <w:t>the</w:t>
      </w:r>
      <w:r w:rsidR="00D059FE">
        <w:rPr>
          <w:spacing w:val="-11"/>
        </w:rPr>
        <w:t xml:space="preserve"> </w:t>
      </w:r>
      <w:r w:rsidR="00D059FE">
        <w:t>25</w:t>
      </w:r>
      <w:r w:rsidR="00715B39">
        <w:t xml:space="preserve"> </w:t>
      </w:r>
      <w:r w:rsidR="006D7D02">
        <w:t>mg</w:t>
      </w:r>
      <w:r w:rsidR="00D059FE" w:rsidRPr="000D7983">
        <w:rPr>
          <w:spacing w:val="-13"/>
        </w:rPr>
        <w:t xml:space="preserve"> </w:t>
      </w:r>
      <w:r w:rsidR="00D059FE" w:rsidRPr="000D7983">
        <w:t>dose</w:t>
      </w:r>
      <w:r w:rsidR="00D059FE" w:rsidRPr="000D7983">
        <w:rPr>
          <w:spacing w:val="-6"/>
        </w:rPr>
        <w:t xml:space="preserve"> </w:t>
      </w:r>
      <w:r w:rsidR="00D059FE" w:rsidRPr="000D7983">
        <w:t>achieved</w:t>
      </w:r>
      <w:r w:rsidR="00D059FE" w:rsidRPr="000D7983">
        <w:rPr>
          <w:spacing w:val="-8"/>
        </w:rPr>
        <w:t xml:space="preserve"> </w:t>
      </w:r>
      <w:r w:rsidR="00D059FE" w:rsidRPr="000D7983">
        <w:t>an</w:t>
      </w:r>
      <w:r w:rsidR="00D059FE" w:rsidRPr="000D7983">
        <w:rPr>
          <w:spacing w:val="-13"/>
        </w:rPr>
        <w:t xml:space="preserve"> </w:t>
      </w:r>
      <w:r w:rsidR="00D059FE" w:rsidRPr="000D7983">
        <w:t>incremental</w:t>
      </w:r>
      <w:r w:rsidR="00D059FE" w:rsidRPr="000D7983">
        <w:rPr>
          <w:spacing w:val="-7"/>
        </w:rPr>
        <w:t xml:space="preserve"> </w:t>
      </w:r>
      <w:r w:rsidR="003F2DE3" w:rsidRPr="000D7983">
        <w:t>Hb</w:t>
      </w:r>
      <w:r w:rsidR="00A04B32">
        <w:t>A1c</w:t>
      </w:r>
      <w:r w:rsidR="00D059FE" w:rsidRPr="000D7983">
        <w:rPr>
          <w:spacing w:val="-12"/>
        </w:rPr>
        <w:t xml:space="preserve"> </w:t>
      </w:r>
      <w:r w:rsidR="00D059FE" w:rsidRPr="000D7983">
        <w:t>lowering</w:t>
      </w:r>
      <w:r w:rsidR="00D059FE" w:rsidRPr="000D7983">
        <w:rPr>
          <w:spacing w:val="-14"/>
        </w:rPr>
        <w:t xml:space="preserve"> </w:t>
      </w:r>
      <w:r w:rsidR="00D059FE" w:rsidRPr="000D7983">
        <w:t>of</w:t>
      </w:r>
      <w:r w:rsidR="00D059FE" w:rsidRPr="000D7983">
        <w:rPr>
          <w:spacing w:val="-11"/>
        </w:rPr>
        <w:t xml:space="preserve"> </w:t>
      </w:r>
      <w:r w:rsidR="00D059FE" w:rsidRPr="000D7983">
        <w:t>0.11% (placebo-adjusted)</w:t>
      </w:r>
      <w:r w:rsidR="00D059FE" w:rsidRPr="000D7983">
        <w:rPr>
          <w:spacing w:val="-8"/>
        </w:rPr>
        <w:t xml:space="preserve"> </w:t>
      </w:r>
      <w:r w:rsidR="00D059FE" w:rsidRPr="000D7983">
        <w:t>relative</w:t>
      </w:r>
      <w:r w:rsidR="00D059FE" w:rsidRPr="000D7983">
        <w:rPr>
          <w:spacing w:val="-8"/>
        </w:rPr>
        <w:t xml:space="preserve"> </w:t>
      </w:r>
      <w:r w:rsidR="00D059FE" w:rsidRPr="000D7983">
        <w:t>to</w:t>
      </w:r>
      <w:r w:rsidR="00D059FE" w:rsidRPr="000D7983">
        <w:rPr>
          <w:spacing w:val="-7"/>
        </w:rPr>
        <w:t xml:space="preserve"> </w:t>
      </w:r>
      <w:r w:rsidR="00D059FE" w:rsidRPr="000D7983">
        <w:t>the</w:t>
      </w:r>
      <w:r w:rsidR="00D059FE" w:rsidRPr="000D7983">
        <w:rPr>
          <w:spacing w:val="-8"/>
        </w:rPr>
        <w:t xml:space="preserve"> </w:t>
      </w:r>
      <w:r w:rsidR="00D059FE" w:rsidRPr="000D7983">
        <w:t>10</w:t>
      </w:r>
      <w:r w:rsidR="00715B39">
        <w:t xml:space="preserve"> </w:t>
      </w:r>
      <w:r w:rsidR="006D7D02">
        <w:t>mg</w:t>
      </w:r>
      <w:r w:rsidR="00D059FE" w:rsidRPr="000D7983">
        <w:rPr>
          <w:spacing w:val="-12"/>
        </w:rPr>
        <w:t xml:space="preserve"> </w:t>
      </w:r>
      <w:r w:rsidR="00D059FE" w:rsidRPr="000D7983">
        <w:t>dose</w:t>
      </w:r>
      <w:r w:rsidR="00D059FE" w:rsidRPr="000D7983">
        <w:rPr>
          <w:spacing w:val="-6"/>
        </w:rPr>
        <w:t xml:space="preserve"> </w:t>
      </w:r>
      <w:r w:rsidR="00D059FE" w:rsidRPr="000D7983">
        <w:t>(see</w:t>
      </w:r>
      <w:r w:rsidR="00D059FE" w:rsidRPr="000D7983">
        <w:rPr>
          <w:spacing w:val="-6"/>
        </w:rPr>
        <w:t xml:space="preserve"> </w:t>
      </w:r>
      <w:r w:rsidR="00D059FE" w:rsidRPr="000D7983">
        <w:t>Table</w:t>
      </w:r>
      <w:r w:rsidR="00D059FE" w:rsidRPr="000D7983">
        <w:rPr>
          <w:spacing w:val="-11"/>
        </w:rPr>
        <w:t xml:space="preserve"> </w:t>
      </w:r>
      <w:r w:rsidR="00D059FE" w:rsidRPr="000D7983">
        <w:t>1</w:t>
      </w:r>
      <w:r w:rsidR="00D059FE" w:rsidRPr="000D7983">
        <w:rPr>
          <w:spacing w:val="-7"/>
        </w:rPr>
        <w:t xml:space="preserve"> </w:t>
      </w:r>
      <w:r w:rsidR="00D059FE" w:rsidRPr="000D7983">
        <w:t>from</w:t>
      </w:r>
      <w:r w:rsidR="00D059FE" w:rsidRPr="000D7983">
        <w:rPr>
          <w:spacing w:val="-7"/>
        </w:rPr>
        <w:t xml:space="preserve"> </w:t>
      </w:r>
      <w:r w:rsidR="00D059FE" w:rsidRPr="000D7983">
        <w:t>the</w:t>
      </w:r>
      <w:r w:rsidR="00D059FE" w:rsidRPr="000D7983">
        <w:rPr>
          <w:spacing w:val="-6"/>
        </w:rPr>
        <w:t xml:space="preserve"> </w:t>
      </w:r>
      <w:r w:rsidR="00D059FE" w:rsidRPr="000D7983">
        <w:t>empagliflozin</w:t>
      </w:r>
      <w:r w:rsidR="00D059FE" w:rsidRPr="000D7983">
        <w:rPr>
          <w:spacing w:val="-10"/>
        </w:rPr>
        <w:t xml:space="preserve"> </w:t>
      </w:r>
      <w:r w:rsidR="00D059FE" w:rsidRPr="000D7983">
        <w:t>label).</w:t>
      </w:r>
    </w:p>
    <w:p w14:paraId="23B4960C" w14:textId="348CE03F" w:rsidR="00D059FE" w:rsidRDefault="00D059FE" w:rsidP="00901A31">
      <w:r>
        <w:t>The</w:t>
      </w:r>
      <w:r>
        <w:rPr>
          <w:spacing w:val="-10"/>
        </w:rPr>
        <w:t xml:space="preserve"> </w:t>
      </w:r>
      <w:r>
        <w:t>proposed</w:t>
      </w:r>
      <w:r>
        <w:rPr>
          <w:spacing w:val="-7"/>
        </w:rPr>
        <w:t xml:space="preserve"> </w:t>
      </w:r>
      <w:r>
        <w:t>posology</w:t>
      </w:r>
      <w:r>
        <w:rPr>
          <w:spacing w:val="-16"/>
        </w:rPr>
        <w:t xml:space="preserve"> </w:t>
      </w:r>
      <w:r>
        <w:t>recommends</w:t>
      </w:r>
      <w:r>
        <w:rPr>
          <w:spacing w:val="-7"/>
        </w:rPr>
        <w:t xml:space="preserve"> </w:t>
      </w:r>
      <w:r>
        <w:t>a</w:t>
      </w:r>
      <w:r>
        <w:rPr>
          <w:spacing w:val="-13"/>
        </w:rPr>
        <w:t xml:space="preserve"> </w:t>
      </w:r>
      <w:r>
        <w:t>titration</w:t>
      </w:r>
      <w:r>
        <w:rPr>
          <w:spacing w:val="-7"/>
        </w:rPr>
        <w:t xml:space="preserve"> </w:t>
      </w:r>
      <w:r>
        <w:t>dose</w:t>
      </w:r>
      <w:r>
        <w:rPr>
          <w:spacing w:val="-10"/>
        </w:rPr>
        <w:t xml:space="preserve"> </w:t>
      </w:r>
      <w:r>
        <w:t>of</w:t>
      </w:r>
      <w:r>
        <w:rPr>
          <w:spacing w:val="-10"/>
        </w:rPr>
        <w:t xml:space="preserve"> </w:t>
      </w:r>
      <w:r>
        <w:t>ertugliflozin</w:t>
      </w:r>
      <w:r>
        <w:rPr>
          <w:spacing w:val="-9"/>
        </w:rPr>
        <w:t xml:space="preserve"> </w:t>
      </w:r>
      <w:r>
        <w:t>15</w:t>
      </w:r>
      <w:r w:rsidR="00715B39">
        <w:t xml:space="preserve"> </w:t>
      </w:r>
      <w:r w:rsidR="006D7D02">
        <w:t>mg</w:t>
      </w:r>
      <w:r>
        <w:rPr>
          <w:spacing w:val="-9"/>
        </w:rPr>
        <w:t xml:space="preserve"> </w:t>
      </w:r>
      <w:r>
        <w:t>once</w:t>
      </w:r>
      <w:r>
        <w:rPr>
          <w:spacing w:val="-10"/>
        </w:rPr>
        <w:t xml:space="preserve"> </w:t>
      </w:r>
      <w:r>
        <w:t>daily</w:t>
      </w:r>
      <w:r>
        <w:rPr>
          <w:spacing w:val="-18"/>
        </w:rPr>
        <w:t xml:space="preserve"> </w:t>
      </w:r>
      <w:r>
        <w:t>in</w:t>
      </w:r>
      <w:r>
        <w:rPr>
          <w:spacing w:val="-9"/>
        </w:rPr>
        <w:t xml:space="preserve"> </w:t>
      </w:r>
      <w:r>
        <w:t>those</w:t>
      </w:r>
      <w:r>
        <w:rPr>
          <w:spacing w:val="-8"/>
        </w:rPr>
        <w:t xml:space="preserve"> </w:t>
      </w:r>
      <w:r>
        <w:t>tolerating ertugliflozin 5</w:t>
      </w:r>
      <w:r w:rsidR="00715B39">
        <w:t xml:space="preserve"> </w:t>
      </w:r>
      <w:r w:rsidR="006D7D02">
        <w:t>mg</w:t>
      </w:r>
      <w:r>
        <w:t xml:space="preserve"> and needing additional glycaemic control. This dosing recommendation is further supported</w:t>
      </w:r>
      <w:r>
        <w:rPr>
          <w:spacing w:val="-9"/>
        </w:rPr>
        <w:t xml:space="preserve"> </w:t>
      </w:r>
      <w:r>
        <w:t>by</w:t>
      </w:r>
      <w:r>
        <w:rPr>
          <w:spacing w:val="-16"/>
        </w:rPr>
        <w:t xml:space="preserve"> </w:t>
      </w:r>
      <w:r>
        <w:t>the</w:t>
      </w:r>
      <w:r>
        <w:rPr>
          <w:spacing w:val="-10"/>
        </w:rPr>
        <w:t xml:space="preserve"> </w:t>
      </w:r>
      <w:r>
        <w:t>subgroup</w:t>
      </w:r>
      <w:r>
        <w:rPr>
          <w:spacing w:val="-7"/>
        </w:rPr>
        <w:t xml:space="preserve"> </w:t>
      </w:r>
      <w:r>
        <w:t>analysis</w:t>
      </w:r>
      <w:r>
        <w:rPr>
          <w:spacing w:val="-7"/>
        </w:rPr>
        <w:t xml:space="preserve"> </w:t>
      </w:r>
      <w:r>
        <w:t>in</w:t>
      </w:r>
      <w:r>
        <w:rPr>
          <w:spacing w:val="-7"/>
        </w:rPr>
        <w:t xml:space="preserve"> </w:t>
      </w:r>
      <w:r>
        <w:t>the</w:t>
      </w:r>
      <w:r>
        <w:rPr>
          <w:spacing w:val="-10"/>
        </w:rPr>
        <w:t xml:space="preserve"> </w:t>
      </w:r>
      <w:r w:rsidR="005C38A4">
        <w:rPr>
          <w:spacing w:val="-10"/>
        </w:rPr>
        <w:t>placebo pool</w:t>
      </w:r>
      <w:r>
        <w:t>,</w:t>
      </w:r>
      <w:r>
        <w:rPr>
          <w:spacing w:val="-7"/>
        </w:rPr>
        <w:t xml:space="preserve"> </w:t>
      </w:r>
      <w:r>
        <w:t>where</w:t>
      </w:r>
      <w:r>
        <w:rPr>
          <w:spacing w:val="-10"/>
        </w:rPr>
        <w:t xml:space="preserve"> </w:t>
      </w:r>
      <w:r>
        <w:t>subjects</w:t>
      </w:r>
      <w:r>
        <w:rPr>
          <w:spacing w:val="-7"/>
        </w:rPr>
        <w:t xml:space="preserve"> </w:t>
      </w:r>
      <w:r>
        <w:t>with</w:t>
      </w:r>
      <w:r>
        <w:rPr>
          <w:spacing w:val="-7"/>
        </w:rPr>
        <w:t xml:space="preserve"> </w:t>
      </w:r>
      <w:r>
        <w:t xml:space="preserve">a baseline </w:t>
      </w:r>
      <w:r w:rsidR="003F2DE3">
        <w:t>Hb</w:t>
      </w:r>
      <w:r w:rsidR="00A04B32">
        <w:t>A1c</w:t>
      </w:r>
      <w:r>
        <w:t xml:space="preserve"> ≥</w:t>
      </w:r>
      <w:r w:rsidR="001F7F24">
        <w:t xml:space="preserve"> </w:t>
      </w:r>
      <w:r>
        <w:t xml:space="preserve">7.9%, which is the population for whom dose titration would more likely to be considered, had a greater incremental difference in </w:t>
      </w:r>
      <w:r w:rsidR="003F2DE3">
        <w:t>Hb</w:t>
      </w:r>
      <w:r w:rsidR="00A04B32">
        <w:t>A1c</w:t>
      </w:r>
      <w:r w:rsidR="001F7F24">
        <w:t> </w:t>
      </w:r>
      <w:r>
        <w:t>lowering (placebo-adjusted) between ertugliflozin</w:t>
      </w:r>
      <w:r>
        <w:rPr>
          <w:spacing w:val="-5"/>
        </w:rPr>
        <w:t xml:space="preserve"> </w:t>
      </w:r>
      <w:r>
        <w:t>15</w:t>
      </w:r>
      <w:r w:rsidR="00715B39">
        <w:t xml:space="preserve"> </w:t>
      </w:r>
      <w:r w:rsidR="006D7D02">
        <w:t>mg</w:t>
      </w:r>
      <w:r>
        <w:rPr>
          <w:spacing w:val="-7"/>
        </w:rPr>
        <w:t xml:space="preserve"> </w:t>
      </w:r>
      <w:r>
        <w:t>and</w:t>
      </w:r>
      <w:r>
        <w:rPr>
          <w:spacing w:val="-5"/>
        </w:rPr>
        <w:t xml:space="preserve"> </w:t>
      </w:r>
      <w:r>
        <w:t>5</w:t>
      </w:r>
      <w:r w:rsidR="00715B39">
        <w:t xml:space="preserve"> </w:t>
      </w:r>
      <w:r w:rsidR="006D7D02">
        <w:t>mg</w:t>
      </w:r>
      <w:r>
        <w:rPr>
          <w:spacing w:val="-10"/>
        </w:rPr>
        <w:t xml:space="preserve"> </w:t>
      </w:r>
      <w:r>
        <w:t>than</w:t>
      </w:r>
      <w:r>
        <w:rPr>
          <w:spacing w:val="-5"/>
        </w:rPr>
        <w:t xml:space="preserve"> </w:t>
      </w:r>
      <w:r>
        <w:t>those</w:t>
      </w:r>
      <w:r>
        <w:rPr>
          <w:spacing w:val="-6"/>
        </w:rPr>
        <w:t xml:space="preserve"> </w:t>
      </w:r>
      <w:r>
        <w:t>with</w:t>
      </w:r>
      <w:r>
        <w:rPr>
          <w:spacing w:val="-5"/>
        </w:rPr>
        <w:t xml:space="preserve"> </w:t>
      </w:r>
      <w:r w:rsidR="003F2DE3">
        <w:t>Hb</w:t>
      </w:r>
      <w:r w:rsidR="00A04B32">
        <w:t>A1c</w:t>
      </w:r>
      <w:r>
        <w:rPr>
          <w:spacing w:val="-2"/>
        </w:rPr>
        <w:t xml:space="preserve"> </w:t>
      </w:r>
      <w:r>
        <w:t>&lt;</w:t>
      </w:r>
      <w:r w:rsidR="001F7F24">
        <w:t xml:space="preserve"> </w:t>
      </w:r>
      <w:r>
        <w:t>7.9%</w:t>
      </w:r>
      <w:r>
        <w:rPr>
          <w:spacing w:val="-8"/>
        </w:rPr>
        <w:t xml:space="preserve"> </w:t>
      </w:r>
      <w:r>
        <w:t>(0.3%</w:t>
      </w:r>
      <w:r>
        <w:rPr>
          <w:spacing w:val="-6"/>
        </w:rPr>
        <w:t xml:space="preserve"> </w:t>
      </w:r>
      <w:r>
        <w:t>versus</w:t>
      </w:r>
      <w:r>
        <w:rPr>
          <w:spacing w:val="-5"/>
        </w:rPr>
        <w:t xml:space="preserve"> </w:t>
      </w:r>
      <w:r>
        <w:t>0.03%,</w:t>
      </w:r>
      <w:r>
        <w:rPr>
          <w:spacing w:val="-5"/>
        </w:rPr>
        <w:t xml:space="preserve"> </w:t>
      </w:r>
      <w:r>
        <w:t>respectively).</w:t>
      </w:r>
    </w:p>
    <w:p w14:paraId="61ED1583" w14:textId="0040D163" w:rsidR="00D059FE" w:rsidRDefault="00D059FE" w:rsidP="00901A31">
      <w:r>
        <w:t xml:space="preserve">With </w:t>
      </w:r>
      <w:r>
        <w:rPr>
          <w:spacing w:val="-3"/>
        </w:rPr>
        <w:t xml:space="preserve">regard </w:t>
      </w:r>
      <w:r>
        <w:t>to safety, overall, ertugliflozin was safe and well tolerated at both the 5</w:t>
      </w:r>
      <w:r w:rsidR="00715B39">
        <w:t xml:space="preserve"> </w:t>
      </w:r>
      <w:r w:rsidR="006D7D02">
        <w:t>mg</w:t>
      </w:r>
      <w:r>
        <w:t xml:space="preserve"> and 15</w:t>
      </w:r>
      <w:r w:rsidR="00715B39">
        <w:t xml:space="preserve"> </w:t>
      </w:r>
      <w:r w:rsidR="006D7D02">
        <w:t>mg</w:t>
      </w:r>
      <w:r>
        <w:t xml:space="preserve"> doses,</w:t>
      </w:r>
      <w:r>
        <w:rPr>
          <w:spacing w:val="-9"/>
        </w:rPr>
        <w:t xml:space="preserve"> </w:t>
      </w:r>
      <w:r>
        <w:t>which</w:t>
      </w:r>
      <w:r>
        <w:rPr>
          <w:spacing w:val="-9"/>
        </w:rPr>
        <w:t xml:space="preserve"> </w:t>
      </w:r>
      <w:r>
        <w:t>demonstrated</w:t>
      </w:r>
      <w:r>
        <w:rPr>
          <w:spacing w:val="-9"/>
        </w:rPr>
        <w:t xml:space="preserve"> </w:t>
      </w:r>
      <w:r>
        <w:t>generally</w:t>
      </w:r>
      <w:r>
        <w:rPr>
          <w:spacing w:val="-17"/>
        </w:rPr>
        <w:t xml:space="preserve"> </w:t>
      </w:r>
      <w:r>
        <w:t>similar</w:t>
      </w:r>
      <w:r>
        <w:rPr>
          <w:spacing w:val="-10"/>
        </w:rPr>
        <w:t xml:space="preserve"> </w:t>
      </w:r>
      <w:r>
        <w:t>safety</w:t>
      </w:r>
      <w:r>
        <w:rPr>
          <w:spacing w:val="-14"/>
        </w:rPr>
        <w:t xml:space="preserve"> </w:t>
      </w:r>
      <w:r>
        <w:t>profiles.</w:t>
      </w:r>
      <w:r>
        <w:rPr>
          <w:spacing w:val="-7"/>
        </w:rPr>
        <w:t xml:space="preserve"> </w:t>
      </w:r>
      <w:r>
        <w:rPr>
          <w:spacing w:val="-3"/>
        </w:rPr>
        <w:t>In</w:t>
      </w:r>
      <w:r>
        <w:rPr>
          <w:spacing w:val="-12"/>
        </w:rPr>
        <w:t xml:space="preserve"> </w:t>
      </w:r>
      <w:r>
        <w:t>the</w:t>
      </w:r>
      <w:r>
        <w:rPr>
          <w:spacing w:val="-10"/>
        </w:rPr>
        <w:t xml:space="preserve"> </w:t>
      </w:r>
      <w:r w:rsidR="005C38A4">
        <w:t>placebo pool</w:t>
      </w:r>
      <w:r>
        <w:t>,</w:t>
      </w:r>
      <w:r>
        <w:rPr>
          <w:spacing w:val="-9"/>
        </w:rPr>
        <w:t xml:space="preserve"> </w:t>
      </w:r>
      <w:r>
        <w:t>the</w:t>
      </w:r>
      <w:r>
        <w:rPr>
          <w:spacing w:val="-10"/>
        </w:rPr>
        <w:t xml:space="preserve"> </w:t>
      </w:r>
      <w:r>
        <w:t>overall</w:t>
      </w:r>
      <w:r>
        <w:rPr>
          <w:spacing w:val="-9"/>
        </w:rPr>
        <w:t xml:space="preserve"> </w:t>
      </w:r>
      <w:r>
        <w:t>percentage</w:t>
      </w:r>
      <w:r>
        <w:rPr>
          <w:spacing w:val="-8"/>
        </w:rPr>
        <w:t xml:space="preserve"> </w:t>
      </w:r>
      <w:r>
        <w:rPr>
          <w:spacing w:val="-3"/>
        </w:rPr>
        <w:t xml:space="preserve">of </w:t>
      </w:r>
      <w:r>
        <w:t>subjects with 1 or more AEs was not notably different in the ertugliflozin 5</w:t>
      </w:r>
      <w:r w:rsidR="00715B39">
        <w:t xml:space="preserve"> </w:t>
      </w:r>
      <w:r w:rsidR="006D7D02">
        <w:t>mg</w:t>
      </w:r>
      <w:r>
        <w:t xml:space="preserve"> (45.5%), ertugliflozin 15</w:t>
      </w:r>
      <w:r w:rsidR="00715B39">
        <w:t xml:space="preserve"> </w:t>
      </w:r>
      <w:r w:rsidR="006D7D02">
        <w:t>mg</w:t>
      </w:r>
      <w:r>
        <w:t xml:space="preserve"> (50.4%), and placebo (51.1%) groups. The incidence of drug</w:t>
      </w:r>
      <w:r w:rsidR="003562B3">
        <w:t xml:space="preserve"> </w:t>
      </w:r>
      <w:r>
        <w:t>related AEs was similar in both ertugliflozin 5</w:t>
      </w:r>
      <w:r w:rsidR="00715B39">
        <w:t xml:space="preserve"> </w:t>
      </w:r>
      <w:r w:rsidR="006D7D02">
        <w:t>mg</w:t>
      </w:r>
      <w:r>
        <w:t xml:space="preserve"> and 15</w:t>
      </w:r>
      <w:r w:rsidR="00715B39">
        <w:t xml:space="preserve"> </w:t>
      </w:r>
      <w:r w:rsidR="006D7D02">
        <w:t>mg</w:t>
      </w:r>
      <w:r>
        <w:t xml:space="preserve"> groups (14.3% and 14.7%, respectively) and slightly higher than the placebo</w:t>
      </w:r>
      <w:r>
        <w:rPr>
          <w:spacing w:val="-9"/>
        </w:rPr>
        <w:t xml:space="preserve"> </w:t>
      </w:r>
      <w:r>
        <w:t>group</w:t>
      </w:r>
      <w:r>
        <w:rPr>
          <w:spacing w:val="-6"/>
        </w:rPr>
        <w:t xml:space="preserve"> </w:t>
      </w:r>
      <w:r>
        <w:t>(9.3%).</w:t>
      </w:r>
      <w:r>
        <w:rPr>
          <w:spacing w:val="-11"/>
        </w:rPr>
        <w:t xml:space="preserve"> </w:t>
      </w:r>
      <w:r>
        <w:t>The</w:t>
      </w:r>
      <w:r>
        <w:rPr>
          <w:spacing w:val="-12"/>
        </w:rPr>
        <w:t xml:space="preserve"> </w:t>
      </w:r>
      <w:r>
        <w:t>incidence</w:t>
      </w:r>
      <w:r>
        <w:rPr>
          <w:spacing w:val="-12"/>
        </w:rPr>
        <w:t xml:space="preserve"> </w:t>
      </w:r>
      <w:r>
        <w:t>of</w:t>
      </w:r>
      <w:r>
        <w:rPr>
          <w:spacing w:val="-10"/>
        </w:rPr>
        <w:t xml:space="preserve"> </w:t>
      </w:r>
      <w:r>
        <w:t>non-fatal</w:t>
      </w:r>
      <w:r>
        <w:rPr>
          <w:spacing w:val="-8"/>
        </w:rPr>
        <w:t xml:space="preserve"> </w:t>
      </w:r>
      <w:r>
        <w:t>SAEs</w:t>
      </w:r>
      <w:r>
        <w:rPr>
          <w:spacing w:val="-9"/>
        </w:rPr>
        <w:t xml:space="preserve"> </w:t>
      </w:r>
      <w:r>
        <w:t>was</w:t>
      </w:r>
      <w:r>
        <w:rPr>
          <w:spacing w:val="-9"/>
        </w:rPr>
        <w:t xml:space="preserve"> </w:t>
      </w:r>
      <w:r>
        <w:t>also</w:t>
      </w:r>
      <w:r>
        <w:rPr>
          <w:spacing w:val="-9"/>
        </w:rPr>
        <w:t xml:space="preserve"> </w:t>
      </w:r>
      <w:r>
        <w:t>slightly higher in the ertugliflozin 5</w:t>
      </w:r>
      <w:r w:rsidR="00715B39">
        <w:t xml:space="preserve"> </w:t>
      </w:r>
      <w:r w:rsidR="006D7D02">
        <w:t>mg</w:t>
      </w:r>
      <w:r>
        <w:t xml:space="preserve"> group (3.3%) compared with the 15</w:t>
      </w:r>
      <w:r w:rsidR="00715B39">
        <w:t xml:space="preserve"> </w:t>
      </w:r>
      <w:r w:rsidR="006D7D02">
        <w:t>mg</w:t>
      </w:r>
      <w:r>
        <w:t xml:space="preserve"> (2.4%) and placebo </w:t>
      </w:r>
      <w:r>
        <w:rPr>
          <w:spacing w:val="-3"/>
        </w:rPr>
        <w:t xml:space="preserve">groups </w:t>
      </w:r>
      <w:r>
        <w:t>(2.9%). Similarly, the AEs resulting in discontinuation were slightly higher in the ertugliflozin 5</w:t>
      </w:r>
      <w:r w:rsidR="00715B39">
        <w:t xml:space="preserve"> </w:t>
      </w:r>
      <w:r w:rsidR="006D7D02">
        <w:t>mg</w:t>
      </w:r>
      <w:r>
        <w:t xml:space="preserve"> group</w:t>
      </w:r>
      <w:r>
        <w:rPr>
          <w:spacing w:val="-5"/>
        </w:rPr>
        <w:t xml:space="preserve"> </w:t>
      </w:r>
      <w:r>
        <w:t>(2.3%)</w:t>
      </w:r>
      <w:r>
        <w:rPr>
          <w:spacing w:val="-6"/>
        </w:rPr>
        <w:t xml:space="preserve"> </w:t>
      </w:r>
      <w:r>
        <w:t>compared</w:t>
      </w:r>
      <w:r>
        <w:rPr>
          <w:spacing w:val="-8"/>
        </w:rPr>
        <w:t xml:space="preserve"> </w:t>
      </w:r>
      <w:r>
        <w:t>with</w:t>
      </w:r>
      <w:r>
        <w:rPr>
          <w:spacing w:val="-8"/>
        </w:rPr>
        <w:t xml:space="preserve"> </w:t>
      </w:r>
      <w:r>
        <w:t>the</w:t>
      </w:r>
      <w:r>
        <w:rPr>
          <w:spacing w:val="-9"/>
        </w:rPr>
        <w:t xml:space="preserve"> </w:t>
      </w:r>
      <w:r>
        <w:t>15</w:t>
      </w:r>
      <w:r w:rsidR="00715B39">
        <w:t xml:space="preserve"> </w:t>
      </w:r>
      <w:r w:rsidR="006D7D02">
        <w:t>mg</w:t>
      </w:r>
      <w:r>
        <w:rPr>
          <w:spacing w:val="-12"/>
        </w:rPr>
        <w:t xml:space="preserve"> </w:t>
      </w:r>
      <w:r>
        <w:t>(1.4%)</w:t>
      </w:r>
      <w:r>
        <w:rPr>
          <w:spacing w:val="-9"/>
        </w:rPr>
        <w:t xml:space="preserve"> </w:t>
      </w:r>
      <w:r>
        <w:t>and</w:t>
      </w:r>
      <w:r>
        <w:rPr>
          <w:spacing w:val="-8"/>
        </w:rPr>
        <w:t xml:space="preserve"> </w:t>
      </w:r>
      <w:r>
        <w:t>placebo</w:t>
      </w:r>
      <w:r>
        <w:rPr>
          <w:spacing w:val="-5"/>
        </w:rPr>
        <w:t xml:space="preserve"> </w:t>
      </w:r>
      <w:r>
        <w:t>groups</w:t>
      </w:r>
      <w:r>
        <w:rPr>
          <w:spacing w:val="-8"/>
        </w:rPr>
        <w:t xml:space="preserve"> </w:t>
      </w:r>
      <w:r>
        <w:t>(1.7%).</w:t>
      </w:r>
      <w:r>
        <w:rPr>
          <w:spacing w:val="-8"/>
        </w:rPr>
        <w:t xml:space="preserve"> </w:t>
      </w:r>
      <w:r>
        <w:t>Similar</w:t>
      </w:r>
      <w:r>
        <w:rPr>
          <w:spacing w:val="-11"/>
        </w:rPr>
        <w:t xml:space="preserve"> </w:t>
      </w:r>
      <w:r>
        <w:t>findings</w:t>
      </w:r>
      <w:r>
        <w:rPr>
          <w:spacing w:val="-8"/>
        </w:rPr>
        <w:t xml:space="preserve"> </w:t>
      </w:r>
      <w:r>
        <w:t>were</w:t>
      </w:r>
      <w:r>
        <w:rPr>
          <w:spacing w:val="-9"/>
        </w:rPr>
        <w:t xml:space="preserve"> </w:t>
      </w:r>
      <w:r>
        <w:t>seen in the Broad Pool.</w:t>
      </w:r>
    </w:p>
    <w:p w14:paraId="5F5F238C" w14:textId="5FEF3C2C" w:rsidR="009530C9" w:rsidRDefault="00D059FE" w:rsidP="00901A31">
      <w:r>
        <w:t>The</w:t>
      </w:r>
      <w:r>
        <w:rPr>
          <w:spacing w:val="-11"/>
        </w:rPr>
        <w:t xml:space="preserve"> </w:t>
      </w:r>
      <w:r>
        <w:t>findings</w:t>
      </w:r>
      <w:r>
        <w:rPr>
          <w:spacing w:val="-8"/>
        </w:rPr>
        <w:t xml:space="preserve"> </w:t>
      </w:r>
      <w:r>
        <w:t>at</w:t>
      </w:r>
      <w:r>
        <w:rPr>
          <w:spacing w:val="-10"/>
        </w:rPr>
        <w:t xml:space="preserve"> </w:t>
      </w:r>
      <w:r>
        <w:t>the</w:t>
      </w:r>
      <w:r>
        <w:rPr>
          <w:spacing w:val="-11"/>
        </w:rPr>
        <w:t xml:space="preserve"> </w:t>
      </w:r>
      <w:r>
        <w:t>time</w:t>
      </w:r>
      <w:r>
        <w:rPr>
          <w:spacing w:val="-11"/>
        </w:rPr>
        <w:t xml:space="preserve"> </w:t>
      </w:r>
      <w:r>
        <w:t>of</w:t>
      </w:r>
      <w:r>
        <w:rPr>
          <w:spacing w:val="-11"/>
        </w:rPr>
        <w:t xml:space="preserve"> </w:t>
      </w:r>
      <w:r>
        <w:t>the</w:t>
      </w:r>
      <w:r>
        <w:rPr>
          <w:spacing w:val="-11"/>
        </w:rPr>
        <w:t xml:space="preserve"> </w:t>
      </w:r>
      <w:r>
        <w:t>4</w:t>
      </w:r>
      <w:r w:rsidR="003562B3">
        <w:t xml:space="preserve"> </w:t>
      </w:r>
      <w:r>
        <w:t>month</w:t>
      </w:r>
      <w:r>
        <w:rPr>
          <w:spacing w:val="-10"/>
        </w:rPr>
        <w:t xml:space="preserve"> </w:t>
      </w:r>
      <w:r>
        <w:t>SUR</w:t>
      </w:r>
      <w:r>
        <w:rPr>
          <w:spacing w:val="-7"/>
        </w:rPr>
        <w:t xml:space="preserve"> </w:t>
      </w:r>
      <w:r>
        <w:t>confirmed</w:t>
      </w:r>
      <w:r>
        <w:rPr>
          <w:spacing w:val="-10"/>
        </w:rPr>
        <w:t xml:space="preserve"> </w:t>
      </w:r>
      <w:r>
        <w:t>the</w:t>
      </w:r>
      <w:r>
        <w:rPr>
          <w:spacing w:val="-11"/>
        </w:rPr>
        <w:t xml:space="preserve"> </w:t>
      </w:r>
      <w:r>
        <w:t>conclusions</w:t>
      </w:r>
      <w:r>
        <w:rPr>
          <w:spacing w:val="-10"/>
        </w:rPr>
        <w:t xml:space="preserve"> </w:t>
      </w:r>
      <w:r>
        <w:t>of</w:t>
      </w:r>
      <w:r>
        <w:rPr>
          <w:spacing w:val="-9"/>
        </w:rPr>
        <w:t xml:space="preserve"> </w:t>
      </w:r>
      <w:r>
        <w:t>the</w:t>
      </w:r>
      <w:r>
        <w:rPr>
          <w:spacing w:val="-11"/>
        </w:rPr>
        <w:t xml:space="preserve"> </w:t>
      </w:r>
      <w:r>
        <w:t>original</w:t>
      </w:r>
      <w:r>
        <w:rPr>
          <w:spacing w:val="-7"/>
        </w:rPr>
        <w:t xml:space="preserve"> </w:t>
      </w:r>
      <w:r>
        <w:t>application;</w:t>
      </w:r>
      <w:r>
        <w:rPr>
          <w:spacing w:val="-12"/>
        </w:rPr>
        <w:t xml:space="preserve"> </w:t>
      </w:r>
      <w:r>
        <w:t>there were</w:t>
      </w:r>
      <w:r>
        <w:rPr>
          <w:spacing w:val="-9"/>
        </w:rPr>
        <w:t xml:space="preserve"> </w:t>
      </w:r>
      <w:r>
        <w:t>similar</w:t>
      </w:r>
      <w:r>
        <w:rPr>
          <w:spacing w:val="-9"/>
        </w:rPr>
        <w:t xml:space="preserve"> </w:t>
      </w:r>
      <w:r>
        <w:t>safety</w:t>
      </w:r>
      <w:r>
        <w:rPr>
          <w:spacing w:val="-17"/>
        </w:rPr>
        <w:t xml:space="preserve"> </w:t>
      </w:r>
      <w:r>
        <w:t>profiles</w:t>
      </w:r>
      <w:r>
        <w:rPr>
          <w:spacing w:val="-6"/>
        </w:rPr>
        <w:t xml:space="preserve"> </w:t>
      </w:r>
      <w:r>
        <w:t>at</w:t>
      </w:r>
      <w:r>
        <w:rPr>
          <w:spacing w:val="-8"/>
        </w:rPr>
        <w:t xml:space="preserve"> </w:t>
      </w:r>
      <w:r>
        <w:t>both</w:t>
      </w:r>
      <w:r>
        <w:rPr>
          <w:spacing w:val="-8"/>
        </w:rPr>
        <w:t xml:space="preserve"> </w:t>
      </w:r>
      <w:r>
        <w:t>doses.</w:t>
      </w:r>
      <w:r>
        <w:rPr>
          <w:spacing w:val="-8"/>
        </w:rPr>
        <w:t xml:space="preserve"> </w:t>
      </w:r>
      <w:r>
        <w:t>The</w:t>
      </w:r>
      <w:r>
        <w:rPr>
          <w:spacing w:val="-9"/>
        </w:rPr>
        <w:t xml:space="preserve"> </w:t>
      </w:r>
      <w:r>
        <w:t>cumulative</w:t>
      </w:r>
      <w:r>
        <w:rPr>
          <w:spacing w:val="-9"/>
        </w:rPr>
        <w:t xml:space="preserve"> </w:t>
      </w:r>
      <w:r>
        <w:t>incidence</w:t>
      </w:r>
      <w:r>
        <w:rPr>
          <w:spacing w:val="-9"/>
        </w:rPr>
        <w:t xml:space="preserve"> </w:t>
      </w:r>
      <w:r>
        <w:t>of</w:t>
      </w:r>
      <w:r>
        <w:rPr>
          <w:spacing w:val="-9"/>
        </w:rPr>
        <w:t xml:space="preserve"> </w:t>
      </w:r>
      <w:r>
        <w:t>non-fatal</w:t>
      </w:r>
      <w:r>
        <w:rPr>
          <w:spacing w:val="-8"/>
        </w:rPr>
        <w:t xml:space="preserve"> </w:t>
      </w:r>
      <w:r>
        <w:t>SAEs</w:t>
      </w:r>
      <w:r>
        <w:rPr>
          <w:spacing w:val="-8"/>
        </w:rPr>
        <w:t xml:space="preserve"> </w:t>
      </w:r>
      <w:r>
        <w:t>in</w:t>
      </w:r>
      <w:r>
        <w:rPr>
          <w:spacing w:val="-8"/>
        </w:rPr>
        <w:t xml:space="preserve"> </w:t>
      </w:r>
      <w:r>
        <w:t>the</w:t>
      </w:r>
      <w:r>
        <w:rPr>
          <w:spacing w:val="-9"/>
        </w:rPr>
        <w:t xml:space="preserve"> </w:t>
      </w:r>
      <w:r>
        <w:t>Broad</w:t>
      </w:r>
      <w:r w:rsidR="009530C9">
        <w:t xml:space="preserve"> Pool was 6.8%, 6.0%, and 6.1% in the ertugliflozin 5</w:t>
      </w:r>
      <w:r w:rsidR="00715B39">
        <w:t xml:space="preserve"> </w:t>
      </w:r>
      <w:r w:rsidR="006D7D02">
        <w:t>mg</w:t>
      </w:r>
      <w:r w:rsidR="009530C9">
        <w:t>, 15</w:t>
      </w:r>
      <w:r w:rsidR="00715B39">
        <w:t> </w:t>
      </w:r>
      <w:r w:rsidR="006D7D02">
        <w:t>mg</w:t>
      </w:r>
      <w:r w:rsidR="009530C9">
        <w:t>, and non-ertugliflozin groups, respectively.</w:t>
      </w:r>
      <w:r w:rsidR="009530C9">
        <w:rPr>
          <w:spacing w:val="-9"/>
        </w:rPr>
        <w:t xml:space="preserve"> </w:t>
      </w:r>
      <w:r w:rsidR="009530C9">
        <w:t>The</w:t>
      </w:r>
      <w:r w:rsidR="009530C9">
        <w:rPr>
          <w:spacing w:val="-10"/>
        </w:rPr>
        <w:t xml:space="preserve"> </w:t>
      </w:r>
      <w:r w:rsidR="009530C9">
        <w:t>cumulative</w:t>
      </w:r>
      <w:r w:rsidR="009530C9">
        <w:rPr>
          <w:spacing w:val="-13"/>
        </w:rPr>
        <w:t xml:space="preserve"> </w:t>
      </w:r>
      <w:r w:rsidR="009530C9">
        <w:t>incidence</w:t>
      </w:r>
      <w:r w:rsidR="009530C9">
        <w:rPr>
          <w:spacing w:val="-10"/>
        </w:rPr>
        <w:t xml:space="preserve"> </w:t>
      </w:r>
      <w:r w:rsidR="009530C9">
        <w:t>of</w:t>
      </w:r>
      <w:r w:rsidR="009530C9">
        <w:rPr>
          <w:spacing w:val="-10"/>
        </w:rPr>
        <w:t xml:space="preserve"> </w:t>
      </w:r>
      <w:r w:rsidR="009530C9">
        <w:t>death</w:t>
      </w:r>
      <w:r w:rsidR="009530C9">
        <w:rPr>
          <w:spacing w:val="-9"/>
        </w:rPr>
        <w:t xml:space="preserve"> </w:t>
      </w:r>
      <w:r w:rsidR="009530C9">
        <w:t>in</w:t>
      </w:r>
      <w:r w:rsidR="009530C9">
        <w:rPr>
          <w:spacing w:val="-9"/>
        </w:rPr>
        <w:t xml:space="preserve"> </w:t>
      </w:r>
      <w:r w:rsidR="009530C9">
        <w:t>the</w:t>
      </w:r>
      <w:r w:rsidR="009530C9">
        <w:rPr>
          <w:spacing w:val="-8"/>
        </w:rPr>
        <w:t xml:space="preserve"> </w:t>
      </w:r>
      <w:r w:rsidR="009530C9">
        <w:t>All</w:t>
      </w:r>
      <w:r w:rsidR="009530C9">
        <w:rPr>
          <w:spacing w:val="-11"/>
        </w:rPr>
        <w:t xml:space="preserve"> </w:t>
      </w:r>
      <w:r w:rsidR="009530C9">
        <w:t>Post</w:t>
      </w:r>
      <w:r w:rsidR="009530C9">
        <w:rPr>
          <w:spacing w:val="-9"/>
        </w:rPr>
        <w:t xml:space="preserve"> </w:t>
      </w:r>
      <w:r w:rsidR="003562B3">
        <w:t>Randomis</w:t>
      </w:r>
      <w:r w:rsidR="009530C9">
        <w:t>ation Follow-up</w:t>
      </w:r>
      <w:r w:rsidR="009530C9">
        <w:rPr>
          <w:spacing w:val="-9"/>
        </w:rPr>
        <w:t xml:space="preserve"> </w:t>
      </w:r>
      <w:r w:rsidR="009530C9">
        <w:t>period</w:t>
      </w:r>
      <w:r w:rsidR="009530C9">
        <w:rPr>
          <w:spacing w:val="-8"/>
        </w:rPr>
        <w:t xml:space="preserve"> </w:t>
      </w:r>
      <w:r w:rsidR="009530C9">
        <w:t>was</w:t>
      </w:r>
      <w:r w:rsidR="009530C9">
        <w:rPr>
          <w:spacing w:val="-8"/>
        </w:rPr>
        <w:t xml:space="preserve"> </w:t>
      </w:r>
      <w:r w:rsidR="009530C9">
        <w:t>0.6%,</w:t>
      </w:r>
      <w:r w:rsidR="009530C9">
        <w:rPr>
          <w:spacing w:val="-8"/>
        </w:rPr>
        <w:t xml:space="preserve"> </w:t>
      </w:r>
      <w:r w:rsidR="009530C9">
        <w:t>0.5%,</w:t>
      </w:r>
      <w:r w:rsidR="009530C9">
        <w:rPr>
          <w:spacing w:val="-8"/>
        </w:rPr>
        <w:t xml:space="preserve"> </w:t>
      </w:r>
      <w:r w:rsidR="009530C9">
        <w:t>and</w:t>
      </w:r>
      <w:r w:rsidR="009530C9">
        <w:rPr>
          <w:spacing w:val="-8"/>
        </w:rPr>
        <w:t xml:space="preserve"> </w:t>
      </w:r>
      <w:r w:rsidR="009530C9">
        <w:t>0.7%</w:t>
      </w:r>
      <w:r w:rsidR="009530C9">
        <w:rPr>
          <w:spacing w:val="-10"/>
        </w:rPr>
        <w:t xml:space="preserve"> </w:t>
      </w:r>
      <w:r w:rsidR="009530C9">
        <w:t>in</w:t>
      </w:r>
      <w:r w:rsidR="009530C9">
        <w:rPr>
          <w:spacing w:val="-8"/>
        </w:rPr>
        <w:t xml:space="preserve"> </w:t>
      </w:r>
      <w:r w:rsidR="009530C9">
        <w:t>the</w:t>
      </w:r>
      <w:r w:rsidR="009530C9">
        <w:rPr>
          <w:spacing w:val="-8"/>
        </w:rPr>
        <w:t xml:space="preserve"> </w:t>
      </w:r>
      <w:r w:rsidR="009530C9">
        <w:t>ertugliflozin</w:t>
      </w:r>
      <w:r w:rsidR="009530C9">
        <w:rPr>
          <w:spacing w:val="-8"/>
        </w:rPr>
        <w:t xml:space="preserve"> </w:t>
      </w:r>
      <w:r w:rsidR="009530C9">
        <w:t>5</w:t>
      </w:r>
      <w:r w:rsidR="00715B39">
        <w:t> </w:t>
      </w:r>
      <w:r w:rsidR="006D7D02">
        <w:t>mg</w:t>
      </w:r>
      <w:r w:rsidR="009530C9">
        <w:t>,</w:t>
      </w:r>
      <w:r w:rsidR="009530C9">
        <w:rPr>
          <w:spacing w:val="-8"/>
        </w:rPr>
        <w:t xml:space="preserve"> </w:t>
      </w:r>
      <w:r w:rsidR="009530C9">
        <w:t>15</w:t>
      </w:r>
      <w:r w:rsidR="00715B39">
        <w:t xml:space="preserve"> </w:t>
      </w:r>
      <w:r w:rsidR="006D7D02">
        <w:t>mg</w:t>
      </w:r>
      <w:r w:rsidR="009530C9">
        <w:t>,</w:t>
      </w:r>
      <w:r w:rsidR="009530C9">
        <w:rPr>
          <w:spacing w:val="-8"/>
        </w:rPr>
        <w:t xml:space="preserve"> </w:t>
      </w:r>
      <w:r w:rsidR="009530C9">
        <w:t>and</w:t>
      </w:r>
      <w:r w:rsidR="009530C9">
        <w:rPr>
          <w:spacing w:val="-8"/>
        </w:rPr>
        <w:t xml:space="preserve"> </w:t>
      </w:r>
      <w:r w:rsidR="009530C9">
        <w:t>non</w:t>
      </w:r>
      <w:r w:rsidR="003562B3">
        <w:t xml:space="preserve"> </w:t>
      </w:r>
      <w:r w:rsidR="009530C9">
        <w:t>ertugliflozin groups, respectively</w:t>
      </w:r>
      <w:r w:rsidR="00E44BED">
        <w:t>.</w:t>
      </w:r>
    </w:p>
    <w:p w14:paraId="5FE38D58" w14:textId="480FD9F0" w:rsidR="009530C9" w:rsidRDefault="009530C9" w:rsidP="00901A31">
      <w:r>
        <w:rPr>
          <w:spacing w:val="-3"/>
        </w:rPr>
        <w:t xml:space="preserve">In </w:t>
      </w:r>
      <w:r>
        <w:t xml:space="preserve">regard to specific AEs, evidence for a dose response was observed only for increases in </w:t>
      </w:r>
      <w:r>
        <w:rPr>
          <w:spacing w:val="-4"/>
        </w:rPr>
        <w:t xml:space="preserve">LDL-C </w:t>
      </w:r>
      <w:r>
        <w:t>and fe</w:t>
      </w:r>
      <w:r w:rsidR="00C315CD">
        <w:t>male genital mycotic infections.</w:t>
      </w:r>
      <w:r>
        <w:t xml:space="preserve"> There were no clinically</w:t>
      </w:r>
      <w:r>
        <w:rPr>
          <w:spacing w:val="-21"/>
        </w:rPr>
        <w:t xml:space="preserve"> </w:t>
      </w:r>
      <w:r>
        <w:t>meaningful</w:t>
      </w:r>
      <w:r>
        <w:rPr>
          <w:spacing w:val="-7"/>
        </w:rPr>
        <w:t xml:space="preserve"> </w:t>
      </w:r>
      <w:r>
        <w:t>differences</w:t>
      </w:r>
      <w:r>
        <w:rPr>
          <w:spacing w:val="-9"/>
        </w:rPr>
        <w:t xml:space="preserve"> </w:t>
      </w:r>
      <w:r>
        <w:t>between</w:t>
      </w:r>
      <w:r>
        <w:rPr>
          <w:spacing w:val="-9"/>
        </w:rPr>
        <w:t xml:space="preserve"> </w:t>
      </w:r>
      <w:r>
        <w:t>the</w:t>
      </w:r>
      <w:r>
        <w:rPr>
          <w:spacing w:val="-10"/>
        </w:rPr>
        <w:t xml:space="preserve"> </w:t>
      </w:r>
      <w:r>
        <w:t>5</w:t>
      </w:r>
      <w:r w:rsidR="00715B39">
        <w:t xml:space="preserve"> </w:t>
      </w:r>
      <w:r w:rsidR="006D7D02">
        <w:t>mg</w:t>
      </w:r>
      <w:r>
        <w:rPr>
          <w:spacing w:val="-12"/>
        </w:rPr>
        <w:t xml:space="preserve"> </w:t>
      </w:r>
      <w:r>
        <w:t>and</w:t>
      </w:r>
      <w:r>
        <w:rPr>
          <w:spacing w:val="-9"/>
        </w:rPr>
        <w:t xml:space="preserve"> </w:t>
      </w:r>
      <w:r>
        <w:t>15</w:t>
      </w:r>
      <w:r w:rsidR="00715B39">
        <w:t xml:space="preserve"> </w:t>
      </w:r>
      <w:r w:rsidR="006D7D02">
        <w:t>mg</w:t>
      </w:r>
      <w:r>
        <w:rPr>
          <w:spacing w:val="-12"/>
        </w:rPr>
        <w:t xml:space="preserve"> </w:t>
      </w:r>
      <w:r>
        <w:t>doses</w:t>
      </w:r>
      <w:r>
        <w:rPr>
          <w:spacing w:val="-9"/>
        </w:rPr>
        <w:t xml:space="preserve"> </w:t>
      </w:r>
      <w:r>
        <w:t>with</w:t>
      </w:r>
      <w:r>
        <w:rPr>
          <w:spacing w:val="-8"/>
        </w:rPr>
        <w:t xml:space="preserve"> </w:t>
      </w:r>
      <w:r>
        <w:t>regard</w:t>
      </w:r>
      <w:r>
        <w:rPr>
          <w:spacing w:val="-8"/>
        </w:rPr>
        <w:t xml:space="preserve"> </w:t>
      </w:r>
      <w:r>
        <w:t>to</w:t>
      </w:r>
      <w:r>
        <w:rPr>
          <w:spacing w:val="-9"/>
        </w:rPr>
        <w:t xml:space="preserve"> </w:t>
      </w:r>
      <w:r>
        <w:t>other</w:t>
      </w:r>
      <w:r>
        <w:rPr>
          <w:spacing w:val="-10"/>
        </w:rPr>
        <w:t xml:space="preserve"> </w:t>
      </w:r>
      <w:r>
        <w:t>special</w:t>
      </w:r>
      <w:r>
        <w:rPr>
          <w:spacing w:val="-7"/>
        </w:rPr>
        <w:t xml:space="preserve"> </w:t>
      </w:r>
      <w:r>
        <w:t xml:space="preserve">safety topics. </w:t>
      </w:r>
      <w:r>
        <w:lastRenderedPageBreak/>
        <w:t xml:space="preserve">Based on the totality of the data, the </w:t>
      </w:r>
      <w:r w:rsidR="00C315CD">
        <w:t>sponsor</w:t>
      </w:r>
      <w:r>
        <w:t xml:space="preserve"> respectfully disagrees that there is a higher incidence</w:t>
      </w:r>
      <w:r>
        <w:rPr>
          <w:spacing w:val="-7"/>
        </w:rPr>
        <w:t xml:space="preserve"> </w:t>
      </w:r>
      <w:r>
        <w:t>of</w:t>
      </w:r>
      <w:r>
        <w:rPr>
          <w:spacing w:val="-5"/>
        </w:rPr>
        <w:t xml:space="preserve"> </w:t>
      </w:r>
      <w:r>
        <w:t>AEs</w:t>
      </w:r>
      <w:r>
        <w:rPr>
          <w:spacing w:val="-4"/>
        </w:rPr>
        <w:t xml:space="preserve"> </w:t>
      </w:r>
      <w:r>
        <w:t>with</w:t>
      </w:r>
      <w:r>
        <w:rPr>
          <w:spacing w:val="-4"/>
        </w:rPr>
        <w:t xml:space="preserve"> </w:t>
      </w:r>
      <w:r>
        <w:t>the</w:t>
      </w:r>
      <w:r>
        <w:rPr>
          <w:spacing w:val="-7"/>
        </w:rPr>
        <w:t xml:space="preserve"> </w:t>
      </w:r>
      <w:r>
        <w:t>ertugliflozin</w:t>
      </w:r>
      <w:r>
        <w:rPr>
          <w:spacing w:val="-6"/>
        </w:rPr>
        <w:t xml:space="preserve"> </w:t>
      </w:r>
      <w:r>
        <w:t>15</w:t>
      </w:r>
      <w:r w:rsidR="00715B39">
        <w:t xml:space="preserve"> </w:t>
      </w:r>
      <w:r w:rsidR="006D7D02">
        <w:t>mg</w:t>
      </w:r>
      <w:r>
        <w:rPr>
          <w:spacing w:val="-11"/>
        </w:rPr>
        <w:t xml:space="preserve"> </w:t>
      </w:r>
      <w:r>
        <w:t>compared</w:t>
      </w:r>
      <w:r>
        <w:rPr>
          <w:spacing w:val="-4"/>
        </w:rPr>
        <w:t xml:space="preserve"> </w:t>
      </w:r>
      <w:r>
        <w:t>to</w:t>
      </w:r>
      <w:r>
        <w:rPr>
          <w:spacing w:val="-4"/>
        </w:rPr>
        <w:t xml:space="preserve"> </w:t>
      </w:r>
      <w:r>
        <w:t>5</w:t>
      </w:r>
      <w:r w:rsidR="00715B39">
        <w:t xml:space="preserve"> </w:t>
      </w:r>
      <w:r w:rsidR="006D7D02">
        <w:t>mg</w:t>
      </w:r>
      <w:r>
        <w:t>.</w:t>
      </w:r>
    </w:p>
    <w:p w14:paraId="37B260DB" w14:textId="56705037" w:rsidR="009530C9" w:rsidRDefault="00836955" w:rsidP="00901A31">
      <w:r>
        <w:t>The sponsor</w:t>
      </w:r>
      <w:r w:rsidR="009530C9">
        <w:rPr>
          <w:spacing w:val="-11"/>
        </w:rPr>
        <w:t xml:space="preserve"> </w:t>
      </w:r>
      <w:r w:rsidR="009530C9">
        <w:t>believes</w:t>
      </w:r>
      <w:r w:rsidR="009530C9">
        <w:rPr>
          <w:spacing w:val="-13"/>
        </w:rPr>
        <w:t xml:space="preserve"> </w:t>
      </w:r>
      <w:r w:rsidR="009530C9">
        <w:t>that</w:t>
      </w:r>
      <w:r w:rsidR="009530C9">
        <w:rPr>
          <w:spacing w:val="-11"/>
        </w:rPr>
        <w:t xml:space="preserve"> </w:t>
      </w:r>
      <w:r w:rsidR="009530C9">
        <w:t>the</w:t>
      </w:r>
      <w:r w:rsidR="009530C9">
        <w:rPr>
          <w:spacing w:val="-12"/>
        </w:rPr>
        <w:t xml:space="preserve"> </w:t>
      </w:r>
      <w:r w:rsidR="009530C9">
        <w:t>efficacy</w:t>
      </w:r>
      <w:r w:rsidR="009530C9">
        <w:rPr>
          <w:spacing w:val="-18"/>
        </w:rPr>
        <w:t xml:space="preserve"> </w:t>
      </w:r>
      <w:r w:rsidR="009530C9">
        <w:t>and</w:t>
      </w:r>
      <w:r w:rsidR="009530C9">
        <w:rPr>
          <w:spacing w:val="-11"/>
        </w:rPr>
        <w:t xml:space="preserve"> </w:t>
      </w:r>
      <w:r w:rsidR="009530C9">
        <w:t>safety</w:t>
      </w:r>
      <w:r w:rsidR="009530C9">
        <w:rPr>
          <w:spacing w:val="-15"/>
        </w:rPr>
        <w:t xml:space="preserve"> </w:t>
      </w:r>
      <w:r w:rsidR="009530C9">
        <w:t>results</w:t>
      </w:r>
      <w:r w:rsidR="009530C9">
        <w:rPr>
          <w:spacing w:val="-11"/>
        </w:rPr>
        <w:t xml:space="preserve"> </w:t>
      </w:r>
      <w:r w:rsidR="009530C9">
        <w:t>from</w:t>
      </w:r>
      <w:r w:rsidR="009530C9">
        <w:rPr>
          <w:spacing w:val="-11"/>
        </w:rPr>
        <w:t xml:space="preserve"> </w:t>
      </w:r>
      <w:r w:rsidR="009530C9">
        <w:t>the</w:t>
      </w:r>
      <w:r w:rsidR="009530C9">
        <w:rPr>
          <w:spacing w:val="-14"/>
        </w:rPr>
        <w:t xml:space="preserve"> </w:t>
      </w:r>
      <w:r w:rsidR="009530C9">
        <w:t>ertugliflozin</w:t>
      </w:r>
      <w:r w:rsidR="009530C9">
        <w:rPr>
          <w:spacing w:val="-11"/>
        </w:rPr>
        <w:t xml:space="preserve"> </w:t>
      </w:r>
      <w:r w:rsidR="009530C9">
        <w:t>development</w:t>
      </w:r>
      <w:r w:rsidR="009530C9">
        <w:rPr>
          <w:spacing w:val="-11"/>
        </w:rPr>
        <w:t xml:space="preserve"> </w:t>
      </w:r>
      <w:r w:rsidR="009530C9">
        <w:t>program demonstrate a favo</w:t>
      </w:r>
      <w:r w:rsidR="00C315CD">
        <w:t>u</w:t>
      </w:r>
      <w:r w:rsidR="009530C9">
        <w:t>rable benefit:</w:t>
      </w:r>
      <w:r w:rsidR="00C315CD">
        <w:t xml:space="preserve"> </w:t>
      </w:r>
      <w:r w:rsidR="009530C9">
        <w:t>risk profile for both the 5</w:t>
      </w:r>
      <w:r w:rsidR="00715B39">
        <w:t xml:space="preserve"> </w:t>
      </w:r>
      <w:r w:rsidR="006D7D02">
        <w:t>mg</w:t>
      </w:r>
      <w:r w:rsidR="009530C9">
        <w:t xml:space="preserve"> and 15</w:t>
      </w:r>
      <w:r w:rsidR="00715B39">
        <w:t xml:space="preserve"> </w:t>
      </w:r>
      <w:r w:rsidR="006D7D02">
        <w:t>mg</w:t>
      </w:r>
      <w:r w:rsidR="009530C9">
        <w:t xml:space="preserve"> doses. Both dose strengths were approved by US FDA, and recommended by CHMP for approval in the EU (European Commission decision anticipated by the end of March 2018). </w:t>
      </w:r>
      <w:r w:rsidR="009530C9">
        <w:rPr>
          <w:spacing w:val="-3"/>
        </w:rPr>
        <w:t xml:space="preserve">Finally, </w:t>
      </w:r>
      <w:r w:rsidR="00C315CD">
        <w:t>the sponsor</w:t>
      </w:r>
      <w:r w:rsidR="009530C9">
        <w:t xml:space="preserve"> note</w:t>
      </w:r>
      <w:r w:rsidR="00C315CD">
        <w:t>s</w:t>
      </w:r>
      <w:r w:rsidR="009530C9">
        <w:t xml:space="preserve"> that approval of both ertugliflozin</w:t>
      </w:r>
      <w:r w:rsidR="009530C9">
        <w:rPr>
          <w:spacing w:val="-11"/>
        </w:rPr>
        <w:t xml:space="preserve"> </w:t>
      </w:r>
      <w:r w:rsidR="009530C9">
        <w:t>doses</w:t>
      </w:r>
      <w:r w:rsidR="009530C9">
        <w:rPr>
          <w:spacing w:val="-9"/>
        </w:rPr>
        <w:t xml:space="preserve"> </w:t>
      </w:r>
      <w:r w:rsidR="009530C9">
        <w:t>would</w:t>
      </w:r>
      <w:r w:rsidR="009530C9">
        <w:rPr>
          <w:spacing w:val="-9"/>
        </w:rPr>
        <w:t xml:space="preserve"> </w:t>
      </w:r>
      <w:r w:rsidR="009530C9">
        <w:t>necessitate</w:t>
      </w:r>
      <w:r w:rsidR="009530C9">
        <w:rPr>
          <w:spacing w:val="-12"/>
        </w:rPr>
        <w:t xml:space="preserve"> </w:t>
      </w:r>
      <w:r w:rsidR="009530C9">
        <w:t>the</w:t>
      </w:r>
      <w:r w:rsidR="009530C9">
        <w:rPr>
          <w:spacing w:val="-10"/>
        </w:rPr>
        <w:t xml:space="preserve"> </w:t>
      </w:r>
      <w:r w:rsidR="009530C9">
        <w:t>approval</w:t>
      </w:r>
      <w:r w:rsidR="009530C9">
        <w:rPr>
          <w:spacing w:val="-8"/>
        </w:rPr>
        <w:t xml:space="preserve"> </w:t>
      </w:r>
      <w:r w:rsidR="009530C9">
        <w:t>of</w:t>
      </w:r>
      <w:r w:rsidR="009530C9">
        <w:rPr>
          <w:spacing w:val="-12"/>
        </w:rPr>
        <w:t xml:space="preserve"> </w:t>
      </w:r>
      <w:r w:rsidR="009530C9">
        <w:t>both</w:t>
      </w:r>
      <w:r w:rsidR="009530C9">
        <w:rPr>
          <w:spacing w:val="-9"/>
        </w:rPr>
        <w:t xml:space="preserve"> </w:t>
      </w:r>
      <w:r w:rsidR="009530C9">
        <w:t>strengths</w:t>
      </w:r>
      <w:r w:rsidR="009530C9">
        <w:rPr>
          <w:spacing w:val="-9"/>
        </w:rPr>
        <w:t xml:space="preserve"> </w:t>
      </w:r>
      <w:r w:rsidR="009530C9">
        <w:t>in</w:t>
      </w:r>
      <w:r w:rsidR="009530C9">
        <w:rPr>
          <w:spacing w:val="-11"/>
        </w:rPr>
        <w:t xml:space="preserve"> </w:t>
      </w:r>
      <w:r w:rsidR="009530C9">
        <w:t>the</w:t>
      </w:r>
      <w:r w:rsidR="009530C9">
        <w:rPr>
          <w:spacing w:val="-12"/>
        </w:rPr>
        <w:t xml:space="preserve"> </w:t>
      </w:r>
      <w:r w:rsidR="009530C9">
        <w:t>FDC</w:t>
      </w:r>
      <w:r w:rsidR="009530C9">
        <w:rPr>
          <w:spacing w:val="-8"/>
        </w:rPr>
        <w:t xml:space="preserve"> </w:t>
      </w:r>
      <w:r w:rsidR="009530C9">
        <w:t>with</w:t>
      </w:r>
      <w:r w:rsidR="009530C9">
        <w:rPr>
          <w:spacing w:val="-11"/>
        </w:rPr>
        <w:t xml:space="preserve"> </w:t>
      </w:r>
      <w:r w:rsidR="009530C9">
        <w:t>sitagliptin,</w:t>
      </w:r>
      <w:r w:rsidR="009530C9">
        <w:rPr>
          <w:spacing w:val="-11"/>
        </w:rPr>
        <w:t xml:space="preserve"> </w:t>
      </w:r>
      <w:r w:rsidR="009530C9">
        <w:t>as</w:t>
      </w:r>
      <w:r w:rsidR="009530C9">
        <w:rPr>
          <w:spacing w:val="-11"/>
        </w:rPr>
        <w:t xml:space="preserve"> </w:t>
      </w:r>
      <w:r w:rsidR="009530C9">
        <w:t>well as the 7.5</w:t>
      </w:r>
      <w:r w:rsidR="00715B39">
        <w:t xml:space="preserve"> </w:t>
      </w:r>
      <w:r w:rsidR="006D7D02">
        <w:t>mg</w:t>
      </w:r>
      <w:r w:rsidR="009530C9">
        <w:t xml:space="preserve"> strength in the metformin</w:t>
      </w:r>
      <w:r w:rsidR="009530C9">
        <w:rPr>
          <w:spacing w:val="-43"/>
        </w:rPr>
        <w:t xml:space="preserve"> </w:t>
      </w:r>
      <w:r w:rsidR="009530C9">
        <w:t>FDC.</w:t>
      </w:r>
    </w:p>
    <w:p w14:paraId="513A7D03" w14:textId="77777777" w:rsidR="009530C9" w:rsidRDefault="00901A31" w:rsidP="00901A31">
      <w:pPr>
        <w:pStyle w:val="Heading6"/>
      </w:pPr>
      <w:r>
        <w:t>Cardiovascular, death and amputation data</w:t>
      </w:r>
    </w:p>
    <w:p w14:paraId="4BDAB28F" w14:textId="77777777" w:rsidR="009530C9" w:rsidRDefault="009530C9" w:rsidP="00901A31">
      <w:r w:rsidRPr="006D7B64">
        <w:t>The</w:t>
      </w:r>
      <w:r w:rsidRPr="006D7B64">
        <w:rPr>
          <w:spacing w:val="-12"/>
        </w:rPr>
        <w:t xml:space="preserve"> </w:t>
      </w:r>
      <w:r w:rsidRPr="006D7B64">
        <w:t>Delegate</w:t>
      </w:r>
      <w:r w:rsidRPr="006D7B64">
        <w:rPr>
          <w:spacing w:val="-12"/>
        </w:rPr>
        <w:t xml:space="preserve"> </w:t>
      </w:r>
      <w:r w:rsidRPr="006D7B64">
        <w:t>expressed</w:t>
      </w:r>
      <w:r w:rsidRPr="006D7B64">
        <w:rPr>
          <w:spacing w:val="-9"/>
        </w:rPr>
        <w:t xml:space="preserve"> </w:t>
      </w:r>
      <w:r w:rsidRPr="006D7B64">
        <w:t>concern</w:t>
      </w:r>
      <w:r w:rsidRPr="006D7B64">
        <w:rPr>
          <w:spacing w:val="-9"/>
        </w:rPr>
        <w:t xml:space="preserve"> </w:t>
      </w:r>
      <w:r w:rsidRPr="006D7B64">
        <w:t>with</w:t>
      </w:r>
      <w:r w:rsidRPr="006D7B64">
        <w:rPr>
          <w:spacing w:val="-11"/>
        </w:rPr>
        <w:t xml:space="preserve"> </w:t>
      </w:r>
      <w:r w:rsidRPr="006D7B64">
        <w:t>regard</w:t>
      </w:r>
      <w:r w:rsidRPr="006D7B64">
        <w:rPr>
          <w:spacing w:val="-9"/>
        </w:rPr>
        <w:t xml:space="preserve"> </w:t>
      </w:r>
      <w:r w:rsidRPr="006D7B64">
        <w:t>to</w:t>
      </w:r>
      <w:r w:rsidRPr="006D7B64">
        <w:rPr>
          <w:spacing w:val="-11"/>
        </w:rPr>
        <w:t xml:space="preserve"> </w:t>
      </w:r>
      <w:r w:rsidRPr="006D7B64">
        <w:t>an</w:t>
      </w:r>
      <w:r w:rsidRPr="006D7B64">
        <w:rPr>
          <w:spacing w:val="-11"/>
        </w:rPr>
        <w:t xml:space="preserve"> </w:t>
      </w:r>
      <w:r w:rsidRPr="006D7B64">
        <w:t>imbalance</w:t>
      </w:r>
      <w:r w:rsidRPr="006D7B64">
        <w:rPr>
          <w:spacing w:val="-12"/>
        </w:rPr>
        <w:t xml:space="preserve"> </w:t>
      </w:r>
      <w:r w:rsidRPr="006D7B64">
        <w:t>in</w:t>
      </w:r>
      <w:r w:rsidRPr="006D7B64">
        <w:rPr>
          <w:spacing w:val="-11"/>
        </w:rPr>
        <w:t xml:space="preserve"> </w:t>
      </w:r>
      <w:r w:rsidRPr="006D7B64">
        <w:t>CV</w:t>
      </w:r>
      <w:r w:rsidRPr="006D7B64">
        <w:rPr>
          <w:spacing w:val="-12"/>
        </w:rPr>
        <w:t xml:space="preserve"> </w:t>
      </w:r>
      <w:r w:rsidRPr="006D7B64">
        <w:t>events,</w:t>
      </w:r>
      <w:r w:rsidRPr="006D7B64">
        <w:rPr>
          <w:spacing w:val="-9"/>
        </w:rPr>
        <w:t xml:space="preserve"> </w:t>
      </w:r>
      <w:r w:rsidRPr="006D7B64">
        <w:t>death</w:t>
      </w:r>
      <w:r w:rsidRPr="006D7B64">
        <w:rPr>
          <w:spacing w:val="-11"/>
        </w:rPr>
        <w:t xml:space="preserve"> </w:t>
      </w:r>
      <w:r w:rsidRPr="006D7B64">
        <w:t>and</w:t>
      </w:r>
      <w:r w:rsidRPr="006D7B64">
        <w:rPr>
          <w:spacing w:val="-9"/>
        </w:rPr>
        <w:t xml:space="preserve"> </w:t>
      </w:r>
      <w:r w:rsidRPr="006D7B64">
        <w:t>amputations</w:t>
      </w:r>
      <w:r w:rsidRPr="006D7B64">
        <w:rPr>
          <w:spacing w:val="-11"/>
        </w:rPr>
        <w:t xml:space="preserve"> </w:t>
      </w:r>
      <w:r w:rsidRPr="006D7B64">
        <w:t>in clinical</w:t>
      </w:r>
      <w:r w:rsidRPr="006D7B64">
        <w:rPr>
          <w:spacing w:val="-6"/>
        </w:rPr>
        <w:t xml:space="preserve"> </w:t>
      </w:r>
      <w:r w:rsidRPr="006D7B64">
        <w:t>studies</w:t>
      </w:r>
      <w:r w:rsidRPr="006D7B64">
        <w:rPr>
          <w:spacing w:val="-6"/>
        </w:rPr>
        <w:t xml:space="preserve"> </w:t>
      </w:r>
      <w:r w:rsidRPr="006D7B64">
        <w:t>and</w:t>
      </w:r>
      <w:r w:rsidRPr="006D7B64">
        <w:rPr>
          <w:spacing w:val="-6"/>
        </w:rPr>
        <w:t xml:space="preserve"> </w:t>
      </w:r>
      <w:r w:rsidRPr="006D7B64">
        <w:t>that</w:t>
      </w:r>
      <w:r w:rsidRPr="006D7B64">
        <w:rPr>
          <w:spacing w:val="-8"/>
        </w:rPr>
        <w:t xml:space="preserve"> </w:t>
      </w:r>
      <w:r w:rsidRPr="006D7B64">
        <w:t>no</w:t>
      </w:r>
      <w:r w:rsidRPr="006D7B64">
        <w:rPr>
          <w:spacing w:val="-4"/>
        </w:rPr>
        <w:t xml:space="preserve"> </w:t>
      </w:r>
      <w:r w:rsidRPr="006D7B64">
        <w:t>meta-analysis</w:t>
      </w:r>
      <w:r w:rsidRPr="006D7B64">
        <w:rPr>
          <w:spacing w:val="-6"/>
        </w:rPr>
        <w:t xml:space="preserve"> </w:t>
      </w:r>
      <w:r w:rsidRPr="006D7B64">
        <w:t>of</w:t>
      </w:r>
      <w:r w:rsidRPr="006D7B64">
        <w:rPr>
          <w:spacing w:val="-7"/>
        </w:rPr>
        <w:t xml:space="preserve"> </w:t>
      </w:r>
      <w:r w:rsidRPr="006D7B64">
        <w:t>the</w:t>
      </w:r>
      <w:r w:rsidRPr="006D7B64">
        <w:rPr>
          <w:spacing w:val="-7"/>
        </w:rPr>
        <w:t xml:space="preserve"> </w:t>
      </w:r>
      <w:r w:rsidRPr="006D7B64">
        <w:t>CV</w:t>
      </w:r>
      <w:r w:rsidRPr="006D7B64">
        <w:rPr>
          <w:spacing w:val="-7"/>
        </w:rPr>
        <w:t xml:space="preserve"> </w:t>
      </w:r>
      <w:r w:rsidRPr="006D7B64">
        <w:t>safety</w:t>
      </w:r>
      <w:r w:rsidRPr="006D7B64">
        <w:rPr>
          <w:spacing w:val="-14"/>
        </w:rPr>
        <w:t xml:space="preserve"> </w:t>
      </w:r>
      <w:r w:rsidRPr="006D7B64">
        <w:t>was</w:t>
      </w:r>
      <w:r w:rsidRPr="006D7B64">
        <w:rPr>
          <w:spacing w:val="-4"/>
        </w:rPr>
        <w:t xml:space="preserve"> </w:t>
      </w:r>
      <w:r w:rsidRPr="006D7B64">
        <w:t>available.</w:t>
      </w:r>
    </w:p>
    <w:p w14:paraId="2000E2F4" w14:textId="616BA2B7" w:rsidR="009530C9" w:rsidRDefault="009530C9" w:rsidP="00901A31">
      <w:r>
        <w:t xml:space="preserve">As noted with </w:t>
      </w:r>
      <w:r w:rsidR="00C315CD">
        <w:t>the sponsor</w:t>
      </w:r>
      <w:r>
        <w:t xml:space="preserve">’s responses to the </w:t>
      </w:r>
      <w:r w:rsidR="00C315CD">
        <w:t>TGA’s r</w:t>
      </w:r>
      <w:r>
        <w:t>equest, the 4</w:t>
      </w:r>
      <w:r w:rsidR="00C315CD">
        <w:t xml:space="preserve"> </w:t>
      </w:r>
      <w:r>
        <w:t>month SUR provided a substantial increase</w:t>
      </w:r>
      <w:r>
        <w:rPr>
          <w:spacing w:val="-11"/>
        </w:rPr>
        <w:t xml:space="preserve"> </w:t>
      </w:r>
      <w:r>
        <w:t>in</w:t>
      </w:r>
      <w:r>
        <w:rPr>
          <w:spacing w:val="-10"/>
        </w:rPr>
        <w:t xml:space="preserve"> </w:t>
      </w:r>
      <w:r>
        <w:t>long</w:t>
      </w:r>
      <w:r w:rsidR="00C315CD">
        <w:t xml:space="preserve"> </w:t>
      </w:r>
      <w:r>
        <w:t>term</w:t>
      </w:r>
      <w:r>
        <w:rPr>
          <w:spacing w:val="-10"/>
        </w:rPr>
        <w:t xml:space="preserve"> </w:t>
      </w:r>
      <w:r>
        <w:t>exposure</w:t>
      </w:r>
      <w:r>
        <w:rPr>
          <w:spacing w:val="-11"/>
        </w:rPr>
        <w:t xml:space="preserve"> </w:t>
      </w:r>
      <w:r>
        <w:t>relative</w:t>
      </w:r>
      <w:r>
        <w:rPr>
          <w:spacing w:val="-11"/>
        </w:rPr>
        <w:t xml:space="preserve"> </w:t>
      </w:r>
      <w:r>
        <w:t>to</w:t>
      </w:r>
      <w:r>
        <w:rPr>
          <w:spacing w:val="-13"/>
        </w:rPr>
        <w:t xml:space="preserve"> </w:t>
      </w:r>
      <w:r>
        <w:t>the</w:t>
      </w:r>
      <w:r>
        <w:rPr>
          <w:spacing w:val="-11"/>
        </w:rPr>
        <w:t xml:space="preserve"> </w:t>
      </w:r>
      <w:r>
        <w:t>original</w:t>
      </w:r>
      <w:r>
        <w:rPr>
          <w:spacing w:val="-10"/>
        </w:rPr>
        <w:t xml:space="preserve"> </w:t>
      </w:r>
      <w:r>
        <w:t>submission</w:t>
      </w:r>
      <w:r>
        <w:rPr>
          <w:spacing w:val="-10"/>
        </w:rPr>
        <w:t xml:space="preserve"> </w:t>
      </w:r>
      <w:r>
        <w:t>(approximately</w:t>
      </w:r>
      <w:r>
        <w:rPr>
          <w:spacing w:val="-21"/>
        </w:rPr>
        <w:t xml:space="preserve"> </w:t>
      </w:r>
      <w:r>
        <w:t>2</w:t>
      </w:r>
      <w:r w:rsidR="00C315CD">
        <w:t xml:space="preserve"> </w:t>
      </w:r>
      <w:r>
        <w:t>times</w:t>
      </w:r>
      <w:r>
        <w:rPr>
          <w:spacing w:val="-10"/>
        </w:rPr>
        <w:t xml:space="preserve"> </w:t>
      </w:r>
      <w:r>
        <w:t>the</w:t>
      </w:r>
      <w:r>
        <w:rPr>
          <w:spacing w:val="-11"/>
        </w:rPr>
        <w:t xml:space="preserve"> </w:t>
      </w:r>
      <w:r>
        <w:t>number</w:t>
      </w:r>
      <w:r>
        <w:rPr>
          <w:spacing w:val="-11"/>
        </w:rPr>
        <w:t xml:space="preserve"> </w:t>
      </w:r>
      <w:r>
        <w:t>of subjects</w:t>
      </w:r>
      <w:r>
        <w:rPr>
          <w:spacing w:val="-9"/>
        </w:rPr>
        <w:t xml:space="preserve"> </w:t>
      </w:r>
      <w:r>
        <w:t>with</w:t>
      </w:r>
      <w:r>
        <w:rPr>
          <w:spacing w:val="-9"/>
        </w:rPr>
        <w:t xml:space="preserve"> </w:t>
      </w:r>
      <w:r w:rsidR="00EB55BF">
        <w:t>≥</w:t>
      </w:r>
      <w:r w:rsidR="00A43733">
        <w:t> </w:t>
      </w:r>
      <w:r>
        <w:t>76</w:t>
      </w:r>
      <w:r>
        <w:rPr>
          <w:spacing w:val="-7"/>
        </w:rPr>
        <w:t xml:space="preserve"> </w:t>
      </w:r>
      <w:r>
        <w:t>weeks</w:t>
      </w:r>
      <w:r>
        <w:rPr>
          <w:spacing w:val="-4"/>
        </w:rPr>
        <w:t xml:space="preserve"> </w:t>
      </w:r>
      <w:r>
        <w:t>to</w:t>
      </w:r>
      <w:r>
        <w:rPr>
          <w:spacing w:val="-7"/>
        </w:rPr>
        <w:t xml:space="preserve"> </w:t>
      </w:r>
      <w:r>
        <w:t>102</w:t>
      </w:r>
      <w:r>
        <w:rPr>
          <w:spacing w:val="-7"/>
        </w:rPr>
        <w:t xml:space="preserve"> </w:t>
      </w:r>
      <w:r>
        <w:t>weeks</w:t>
      </w:r>
      <w:r>
        <w:rPr>
          <w:spacing w:val="-7"/>
        </w:rPr>
        <w:t xml:space="preserve"> </w:t>
      </w:r>
      <w:r>
        <w:t>exposure,</w:t>
      </w:r>
      <w:r>
        <w:rPr>
          <w:spacing w:val="-7"/>
        </w:rPr>
        <w:t xml:space="preserve"> </w:t>
      </w:r>
      <w:r>
        <w:t>and</w:t>
      </w:r>
      <w:r>
        <w:rPr>
          <w:spacing w:val="-7"/>
        </w:rPr>
        <w:t xml:space="preserve"> </w:t>
      </w:r>
      <w:r>
        <w:t>approximately</w:t>
      </w:r>
      <w:r>
        <w:rPr>
          <w:spacing w:val="-18"/>
        </w:rPr>
        <w:t xml:space="preserve"> </w:t>
      </w:r>
      <w:r>
        <w:t>5</w:t>
      </w:r>
      <w:r w:rsidR="00C315CD">
        <w:t xml:space="preserve"> </w:t>
      </w:r>
      <w:r>
        <w:t>times</w:t>
      </w:r>
      <w:r>
        <w:rPr>
          <w:spacing w:val="-7"/>
        </w:rPr>
        <w:t xml:space="preserve"> </w:t>
      </w:r>
      <w:r>
        <w:t>the</w:t>
      </w:r>
      <w:r>
        <w:rPr>
          <w:spacing w:val="-10"/>
        </w:rPr>
        <w:t xml:space="preserve"> </w:t>
      </w:r>
      <w:r>
        <w:t>number</w:t>
      </w:r>
      <w:r>
        <w:rPr>
          <w:spacing w:val="-10"/>
        </w:rPr>
        <w:t xml:space="preserve"> </w:t>
      </w:r>
      <w:r>
        <w:t>of</w:t>
      </w:r>
      <w:r>
        <w:rPr>
          <w:spacing w:val="-10"/>
        </w:rPr>
        <w:t xml:space="preserve"> </w:t>
      </w:r>
      <w:r>
        <w:t>subjects</w:t>
      </w:r>
      <w:r>
        <w:rPr>
          <w:spacing w:val="-7"/>
        </w:rPr>
        <w:t xml:space="preserve"> </w:t>
      </w:r>
      <w:r>
        <w:t>with</w:t>
      </w:r>
      <w:r w:rsidR="00C315CD">
        <w:t xml:space="preserve"> </w:t>
      </w:r>
      <w:r w:rsidR="00EB55BF">
        <w:t>≥</w:t>
      </w:r>
      <w:r w:rsidR="00A43733">
        <w:t> </w:t>
      </w:r>
      <w:r>
        <w:t>102</w:t>
      </w:r>
      <w:r>
        <w:rPr>
          <w:spacing w:val="-9"/>
        </w:rPr>
        <w:t xml:space="preserve"> </w:t>
      </w:r>
      <w:r>
        <w:t>weeks</w:t>
      </w:r>
      <w:r>
        <w:rPr>
          <w:spacing w:val="-7"/>
        </w:rPr>
        <w:t xml:space="preserve"> </w:t>
      </w:r>
      <w:r>
        <w:t>exposure),</w:t>
      </w:r>
      <w:r>
        <w:rPr>
          <w:spacing w:val="-7"/>
        </w:rPr>
        <w:t xml:space="preserve"> </w:t>
      </w:r>
      <w:r>
        <w:t>and</w:t>
      </w:r>
      <w:r>
        <w:rPr>
          <w:spacing w:val="-7"/>
        </w:rPr>
        <w:t xml:space="preserve"> </w:t>
      </w:r>
      <w:r w:rsidR="00C315CD">
        <w:t>summaris</w:t>
      </w:r>
      <w:r>
        <w:t>ed</w:t>
      </w:r>
      <w:r>
        <w:rPr>
          <w:spacing w:val="-7"/>
        </w:rPr>
        <w:t xml:space="preserve"> </w:t>
      </w:r>
      <w:r>
        <w:t>complete</w:t>
      </w:r>
      <w:r>
        <w:rPr>
          <w:spacing w:val="-13"/>
        </w:rPr>
        <w:t xml:space="preserve"> </w:t>
      </w:r>
      <w:r>
        <w:t>or</w:t>
      </w:r>
      <w:r>
        <w:rPr>
          <w:spacing w:val="-10"/>
        </w:rPr>
        <w:t xml:space="preserve"> </w:t>
      </w:r>
      <w:r>
        <w:t>nearly</w:t>
      </w:r>
      <w:r>
        <w:rPr>
          <w:spacing w:val="-15"/>
        </w:rPr>
        <w:t xml:space="preserve"> </w:t>
      </w:r>
      <w:r>
        <w:t>complete</w:t>
      </w:r>
      <w:r>
        <w:rPr>
          <w:spacing w:val="-10"/>
        </w:rPr>
        <w:t xml:space="preserve"> </w:t>
      </w:r>
      <w:r>
        <w:t>cumulative</w:t>
      </w:r>
      <w:r>
        <w:rPr>
          <w:spacing w:val="-10"/>
        </w:rPr>
        <w:t xml:space="preserve"> </w:t>
      </w:r>
      <w:r>
        <w:t>Phase</w:t>
      </w:r>
      <w:r>
        <w:rPr>
          <w:spacing w:val="-10"/>
        </w:rPr>
        <w:t xml:space="preserve"> </w:t>
      </w:r>
      <w:r>
        <w:t>A+B</w:t>
      </w:r>
      <w:r>
        <w:rPr>
          <w:spacing w:val="-13"/>
        </w:rPr>
        <w:t xml:space="preserve"> </w:t>
      </w:r>
      <w:r>
        <w:t>data</w:t>
      </w:r>
      <w:r>
        <w:rPr>
          <w:spacing w:val="-8"/>
        </w:rPr>
        <w:t xml:space="preserve"> </w:t>
      </w:r>
      <w:r>
        <w:t>for</w:t>
      </w:r>
      <w:r>
        <w:rPr>
          <w:spacing w:val="-8"/>
        </w:rPr>
        <w:t xml:space="preserve"> </w:t>
      </w:r>
      <w:r>
        <w:t>4 of</w:t>
      </w:r>
      <w:r>
        <w:rPr>
          <w:spacing w:val="-10"/>
        </w:rPr>
        <w:t xml:space="preserve"> </w:t>
      </w:r>
      <w:r>
        <w:t>the</w:t>
      </w:r>
      <w:r>
        <w:rPr>
          <w:spacing w:val="-8"/>
        </w:rPr>
        <w:t xml:space="preserve"> </w:t>
      </w:r>
      <w:r>
        <w:t>6</w:t>
      </w:r>
      <w:r>
        <w:rPr>
          <w:spacing w:val="-7"/>
        </w:rPr>
        <w:t xml:space="preserve"> </w:t>
      </w:r>
      <w:r>
        <w:t>studies</w:t>
      </w:r>
      <w:r>
        <w:rPr>
          <w:spacing w:val="-7"/>
        </w:rPr>
        <w:t xml:space="preserve"> </w:t>
      </w:r>
      <w:r>
        <w:t>with</w:t>
      </w:r>
      <w:r>
        <w:rPr>
          <w:spacing w:val="-12"/>
        </w:rPr>
        <w:t xml:space="preserve"> </w:t>
      </w:r>
      <w:r>
        <w:t>Phase</w:t>
      </w:r>
      <w:r>
        <w:rPr>
          <w:spacing w:val="-8"/>
        </w:rPr>
        <w:t xml:space="preserve"> </w:t>
      </w:r>
      <w:r>
        <w:t>A+B</w:t>
      </w:r>
      <w:r>
        <w:rPr>
          <w:spacing w:val="-11"/>
        </w:rPr>
        <w:t xml:space="preserve"> </w:t>
      </w:r>
      <w:r>
        <w:t>designs.</w:t>
      </w:r>
      <w:r>
        <w:rPr>
          <w:spacing w:val="-7"/>
        </w:rPr>
        <w:t xml:space="preserve"> </w:t>
      </w:r>
      <w:r>
        <w:t>Data</w:t>
      </w:r>
      <w:r>
        <w:rPr>
          <w:spacing w:val="-10"/>
        </w:rPr>
        <w:t xml:space="preserve"> </w:t>
      </w:r>
      <w:r>
        <w:t>in</w:t>
      </w:r>
      <w:r>
        <w:rPr>
          <w:spacing w:val="-7"/>
        </w:rPr>
        <w:t xml:space="preserve"> </w:t>
      </w:r>
      <w:r>
        <w:t>the</w:t>
      </w:r>
      <w:r>
        <w:rPr>
          <w:spacing w:val="-10"/>
        </w:rPr>
        <w:t xml:space="preserve"> </w:t>
      </w:r>
      <w:r>
        <w:t>SUR</w:t>
      </w:r>
      <w:r>
        <w:rPr>
          <w:spacing w:val="-6"/>
        </w:rPr>
        <w:t xml:space="preserve"> </w:t>
      </w:r>
      <w:r>
        <w:t>showed</w:t>
      </w:r>
      <w:r>
        <w:rPr>
          <w:spacing w:val="-9"/>
        </w:rPr>
        <w:t xml:space="preserve"> </w:t>
      </w:r>
      <w:r>
        <w:t>similar</w:t>
      </w:r>
      <w:r>
        <w:rPr>
          <w:spacing w:val="-10"/>
        </w:rPr>
        <w:t xml:space="preserve"> </w:t>
      </w:r>
      <w:r>
        <w:t>incidences</w:t>
      </w:r>
      <w:r>
        <w:rPr>
          <w:spacing w:val="-7"/>
        </w:rPr>
        <w:t xml:space="preserve"> </w:t>
      </w:r>
      <w:r>
        <w:t>of</w:t>
      </w:r>
      <w:r>
        <w:rPr>
          <w:spacing w:val="-8"/>
        </w:rPr>
        <w:t xml:space="preserve"> </w:t>
      </w:r>
      <w:r>
        <w:t>non</w:t>
      </w:r>
      <w:r w:rsidR="00C315CD">
        <w:t>-</w:t>
      </w:r>
      <w:r>
        <w:t>fatal</w:t>
      </w:r>
      <w:r>
        <w:rPr>
          <w:spacing w:val="-9"/>
        </w:rPr>
        <w:t xml:space="preserve"> </w:t>
      </w:r>
      <w:r>
        <w:t xml:space="preserve">SAEs across groups in the cardiac disorders </w:t>
      </w:r>
      <w:r w:rsidR="00C315CD">
        <w:t>System Organ Class (</w:t>
      </w:r>
      <w:r>
        <w:t>SOC</w:t>
      </w:r>
      <w:r w:rsidR="00C315CD">
        <w:t>)</w:t>
      </w:r>
      <w:r>
        <w:t xml:space="preserve"> (ertugliflozin 5</w:t>
      </w:r>
      <w:r w:rsidR="00715B39">
        <w:t xml:space="preserve"> </w:t>
      </w:r>
      <w:r w:rsidR="006D7D02">
        <w:t>mg</w:t>
      </w:r>
      <w:r>
        <w:t>: 1.5%; ertugliflozin</w:t>
      </w:r>
      <w:r w:rsidR="00B45B46">
        <w:t xml:space="preserve"> </w:t>
      </w:r>
      <w:r>
        <w:t>15</w:t>
      </w:r>
      <w:r w:rsidR="00715B39">
        <w:t xml:space="preserve"> </w:t>
      </w:r>
      <w:r w:rsidR="006D7D02">
        <w:t>mg</w:t>
      </w:r>
      <w:r>
        <w:t>: 1.4%, non ertugliflozin:</w:t>
      </w:r>
      <w:r>
        <w:rPr>
          <w:spacing w:val="-9"/>
        </w:rPr>
        <w:t xml:space="preserve"> </w:t>
      </w:r>
      <w:r>
        <w:t>1.0%)</w:t>
      </w:r>
      <w:r>
        <w:rPr>
          <w:spacing w:val="-10"/>
        </w:rPr>
        <w:t xml:space="preserve"> </w:t>
      </w:r>
      <w:r>
        <w:t>and</w:t>
      </w:r>
      <w:r>
        <w:rPr>
          <w:spacing w:val="-9"/>
        </w:rPr>
        <w:t xml:space="preserve"> </w:t>
      </w:r>
      <w:r>
        <w:t>the</w:t>
      </w:r>
      <w:r>
        <w:rPr>
          <w:spacing w:val="-10"/>
        </w:rPr>
        <w:t xml:space="preserve"> </w:t>
      </w:r>
      <w:r>
        <w:t>nervous</w:t>
      </w:r>
      <w:r>
        <w:rPr>
          <w:spacing w:val="-9"/>
        </w:rPr>
        <w:t xml:space="preserve"> </w:t>
      </w:r>
      <w:r>
        <w:t>system</w:t>
      </w:r>
      <w:r>
        <w:rPr>
          <w:spacing w:val="-9"/>
        </w:rPr>
        <w:t xml:space="preserve"> </w:t>
      </w:r>
      <w:r>
        <w:t>disorder</w:t>
      </w:r>
      <w:r>
        <w:rPr>
          <w:spacing w:val="-10"/>
        </w:rPr>
        <w:t xml:space="preserve"> </w:t>
      </w:r>
      <w:r>
        <w:t>SOC</w:t>
      </w:r>
      <w:r>
        <w:rPr>
          <w:spacing w:val="-9"/>
        </w:rPr>
        <w:t xml:space="preserve"> </w:t>
      </w:r>
      <w:r>
        <w:t>(ertugliflozin</w:t>
      </w:r>
      <w:r>
        <w:rPr>
          <w:spacing w:val="-9"/>
        </w:rPr>
        <w:t xml:space="preserve"> </w:t>
      </w:r>
      <w:r>
        <w:t>5</w:t>
      </w:r>
      <w:r w:rsidR="00715B39">
        <w:t xml:space="preserve"> </w:t>
      </w:r>
      <w:r w:rsidR="006D7D02">
        <w:t>mg</w:t>
      </w:r>
      <w:r>
        <w:t>:</w:t>
      </w:r>
      <w:r>
        <w:rPr>
          <w:spacing w:val="-9"/>
        </w:rPr>
        <w:t xml:space="preserve"> </w:t>
      </w:r>
      <w:r>
        <w:t>0.8%;</w:t>
      </w:r>
      <w:r>
        <w:rPr>
          <w:spacing w:val="-9"/>
        </w:rPr>
        <w:t xml:space="preserve"> </w:t>
      </w:r>
      <w:r>
        <w:t>ertugliflozin</w:t>
      </w:r>
      <w:r w:rsidR="00C315CD">
        <w:t xml:space="preserve"> </w:t>
      </w:r>
      <w:r>
        <w:t>15</w:t>
      </w:r>
      <w:r w:rsidR="00715B39">
        <w:t xml:space="preserve"> </w:t>
      </w:r>
      <w:r w:rsidR="006D7D02">
        <w:t>mg</w:t>
      </w:r>
      <w:r>
        <w:t>: 0.2%; non-ertugliflozin: 0.6%).</w:t>
      </w:r>
    </w:p>
    <w:p w14:paraId="5D0F7DA9" w14:textId="47FB9DD4" w:rsidR="009530C9" w:rsidRPr="000D7983" w:rsidRDefault="009530C9" w:rsidP="00901A31">
      <w:r>
        <w:t>Further analysis of CV events from the SUR Broad Pool that were potentially submitted for CV adjudication (using the preferred terms in the Cardiovascular Adjudication Charter</w:t>
      </w:r>
      <w:r w:rsidR="00B51DF2">
        <w:t xml:space="preserve"> </w:t>
      </w:r>
      <w:r>
        <w:t>plu</w:t>
      </w:r>
      <w:r w:rsidR="00C315CD">
        <w:t>s all reported ‘death’ terms) was provided</w:t>
      </w:r>
      <w:r>
        <w:t>. The results from this analysis showed</w:t>
      </w:r>
      <w:r>
        <w:rPr>
          <w:spacing w:val="-10"/>
        </w:rPr>
        <w:t xml:space="preserve"> </w:t>
      </w:r>
      <w:r>
        <w:t>that</w:t>
      </w:r>
      <w:r>
        <w:rPr>
          <w:spacing w:val="-7"/>
        </w:rPr>
        <w:t xml:space="preserve"> </w:t>
      </w:r>
      <w:r>
        <w:t>the</w:t>
      </w:r>
      <w:r>
        <w:rPr>
          <w:spacing w:val="18"/>
        </w:rPr>
        <w:t xml:space="preserve"> </w:t>
      </w:r>
      <w:r>
        <w:t>incidence</w:t>
      </w:r>
      <w:r>
        <w:rPr>
          <w:spacing w:val="-11"/>
        </w:rPr>
        <w:t xml:space="preserve"> </w:t>
      </w:r>
      <w:r>
        <w:t>of</w:t>
      </w:r>
      <w:r>
        <w:rPr>
          <w:spacing w:val="-11"/>
        </w:rPr>
        <w:t xml:space="preserve"> </w:t>
      </w:r>
      <w:r>
        <w:t>CV</w:t>
      </w:r>
      <w:r>
        <w:rPr>
          <w:spacing w:val="-8"/>
        </w:rPr>
        <w:t xml:space="preserve"> </w:t>
      </w:r>
      <w:r>
        <w:t>AEs</w:t>
      </w:r>
      <w:r>
        <w:rPr>
          <w:spacing w:val="-8"/>
        </w:rPr>
        <w:t xml:space="preserve"> </w:t>
      </w:r>
      <w:r>
        <w:t>was</w:t>
      </w:r>
      <w:r>
        <w:rPr>
          <w:spacing w:val="-8"/>
        </w:rPr>
        <w:t xml:space="preserve"> </w:t>
      </w:r>
      <w:r>
        <w:t>similar</w:t>
      </w:r>
      <w:r>
        <w:rPr>
          <w:spacing w:val="-13"/>
        </w:rPr>
        <w:t xml:space="preserve"> </w:t>
      </w:r>
      <w:r>
        <w:t>across</w:t>
      </w:r>
      <w:r>
        <w:rPr>
          <w:spacing w:val="-5"/>
        </w:rPr>
        <w:t xml:space="preserve"> </w:t>
      </w:r>
      <w:r>
        <w:t>groups</w:t>
      </w:r>
      <w:r>
        <w:rPr>
          <w:spacing w:val="-10"/>
        </w:rPr>
        <w:t xml:space="preserve"> </w:t>
      </w:r>
      <w:r>
        <w:t>(ertugliflozin</w:t>
      </w:r>
      <w:r>
        <w:rPr>
          <w:spacing w:val="-8"/>
        </w:rPr>
        <w:t xml:space="preserve"> </w:t>
      </w:r>
      <w:r>
        <w:t>5</w:t>
      </w:r>
      <w:r w:rsidR="00715B39">
        <w:t xml:space="preserve"> </w:t>
      </w:r>
      <w:r w:rsidR="006D7D02">
        <w:t>mg</w:t>
      </w:r>
      <w:r>
        <w:t>:</w:t>
      </w:r>
      <w:r>
        <w:rPr>
          <w:spacing w:val="-10"/>
        </w:rPr>
        <w:t xml:space="preserve"> </w:t>
      </w:r>
      <w:r>
        <w:t>4.2%;</w:t>
      </w:r>
      <w:r>
        <w:rPr>
          <w:spacing w:val="-7"/>
        </w:rPr>
        <w:t xml:space="preserve"> </w:t>
      </w:r>
      <w:r>
        <w:t>ertugliflozin 15</w:t>
      </w:r>
      <w:r w:rsidR="00715B39">
        <w:t xml:space="preserve"> </w:t>
      </w:r>
      <w:r w:rsidR="006D7D02">
        <w:t>mg</w:t>
      </w:r>
      <w:r>
        <w:t>:</w:t>
      </w:r>
      <w:r>
        <w:rPr>
          <w:spacing w:val="-7"/>
        </w:rPr>
        <w:t xml:space="preserve"> </w:t>
      </w:r>
      <w:r>
        <w:t>2.8%;</w:t>
      </w:r>
      <w:r>
        <w:rPr>
          <w:spacing w:val="11"/>
        </w:rPr>
        <w:t xml:space="preserve"> </w:t>
      </w:r>
      <w:r>
        <w:t>non-ertugliflozin:</w:t>
      </w:r>
      <w:r>
        <w:rPr>
          <w:spacing w:val="-10"/>
        </w:rPr>
        <w:t xml:space="preserve"> </w:t>
      </w:r>
      <w:r>
        <w:t>4.4%),</w:t>
      </w:r>
      <w:r>
        <w:rPr>
          <w:spacing w:val="-8"/>
        </w:rPr>
        <w:t xml:space="preserve"> </w:t>
      </w:r>
      <w:r>
        <w:t>suggesting</w:t>
      </w:r>
      <w:r>
        <w:rPr>
          <w:spacing w:val="-15"/>
        </w:rPr>
        <w:t xml:space="preserve"> </w:t>
      </w:r>
      <w:r>
        <w:t>that</w:t>
      </w:r>
      <w:r>
        <w:rPr>
          <w:spacing w:val="-10"/>
        </w:rPr>
        <w:t xml:space="preserve"> </w:t>
      </w:r>
      <w:r>
        <w:t>there</w:t>
      </w:r>
      <w:r>
        <w:rPr>
          <w:spacing w:val="-11"/>
        </w:rPr>
        <w:t xml:space="preserve"> </w:t>
      </w:r>
      <w:r w:rsidRPr="000D7983">
        <w:t>is</w:t>
      </w:r>
      <w:r w:rsidRPr="000D7983">
        <w:rPr>
          <w:spacing w:val="-8"/>
        </w:rPr>
        <w:t xml:space="preserve"> </w:t>
      </w:r>
      <w:r w:rsidRPr="000D7983">
        <w:t>no</w:t>
      </w:r>
      <w:r w:rsidRPr="000D7983">
        <w:rPr>
          <w:spacing w:val="-8"/>
        </w:rPr>
        <w:t xml:space="preserve"> </w:t>
      </w:r>
      <w:r w:rsidRPr="000D7983">
        <w:t>excess</w:t>
      </w:r>
      <w:r w:rsidRPr="000D7983">
        <w:rPr>
          <w:spacing w:val="-8"/>
        </w:rPr>
        <w:t xml:space="preserve"> </w:t>
      </w:r>
      <w:r w:rsidRPr="000D7983">
        <w:t>CV</w:t>
      </w:r>
      <w:r w:rsidRPr="000D7983">
        <w:rPr>
          <w:spacing w:val="-11"/>
        </w:rPr>
        <w:t xml:space="preserve"> </w:t>
      </w:r>
      <w:r w:rsidRPr="000D7983">
        <w:t>risk</w:t>
      </w:r>
      <w:r w:rsidRPr="000D7983">
        <w:rPr>
          <w:spacing w:val="-10"/>
        </w:rPr>
        <w:t xml:space="preserve"> </w:t>
      </w:r>
      <w:r w:rsidRPr="000D7983">
        <w:t>with</w:t>
      </w:r>
      <w:r w:rsidRPr="000D7983">
        <w:rPr>
          <w:spacing w:val="-8"/>
        </w:rPr>
        <w:t xml:space="preserve"> </w:t>
      </w:r>
      <w:r w:rsidRPr="000D7983">
        <w:t>ertugliflozin</w:t>
      </w:r>
      <w:r w:rsidRPr="000D7983">
        <w:rPr>
          <w:spacing w:val="-10"/>
        </w:rPr>
        <w:t xml:space="preserve"> </w:t>
      </w:r>
      <w:r w:rsidRPr="000D7983">
        <w:t xml:space="preserve">and is supportive of the information provided in the DMC attestation letter. </w:t>
      </w:r>
      <w:r w:rsidRPr="000D7983">
        <w:rPr>
          <w:spacing w:val="-4"/>
        </w:rPr>
        <w:t xml:space="preserve">In </w:t>
      </w:r>
      <w:r w:rsidRPr="000D7983">
        <w:t xml:space="preserve">conclusion, based on the totality of the data, </w:t>
      </w:r>
      <w:r w:rsidR="00C315CD" w:rsidRPr="000D7983">
        <w:t>the sponsor</w:t>
      </w:r>
      <w:r w:rsidRPr="000D7983">
        <w:t xml:space="preserve"> believes there is no imbalance suggesting a safety concern</w:t>
      </w:r>
      <w:r w:rsidRPr="000D7983">
        <w:rPr>
          <w:spacing w:val="-10"/>
        </w:rPr>
        <w:t xml:space="preserve"> </w:t>
      </w:r>
      <w:r w:rsidRPr="000D7983">
        <w:t>for</w:t>
      </w:r>
      <w:r w:rsidRPr="000D7983">
        <w:rPr>
          <w:spacing w:val="-11"/>
        </w:rPr>
        <w:t xml:space="preserve"> </w:t>
      </w:r>
      <w:r w:rsidRPr="000D7983">
        <w:t>CV</w:t>
      </w:r>
      <w:r w:rsidRPr="000D7983">
        <w:rPr>
          <w:spacing w:val="5"/>
        </w:rPr>
        <w:t xml:space="preserve"> </w:t>
      </w:r>
      <w:r w:rsidRPr="000D7983">
        <w:t>events.</w:t>
      </w:r>
      <w:r w:rsidRPr="000D7983">
        <w:rPr>
          <w:spacing w:val="-12"/>
        </w:rPr>
        <w:t xml:space="preserve"> </w:t>
      </w:r>
      <w:r w:rsidRPr="000D7983">
        <w:t>Therefore,</w:t>
      </w:r>
      <w:r w:rsidRPr="000D7983">
        <w:rPr>
          <w:spacing w:val="-8"/>
        </w:rPr>
        <w:t xml:space="preserve"> </w:t>
      </w:r>
      <w:r w:rsidR="00C315CD" w:rsidRPr="000D7983">
        <w:t>the sponsor</w:t>
      </w:r>
      <w:r w:rsidRPr="000D7983">
        <w:rPr>
          <w:spacing w:val="-10"/>
        </w:rPr>
        <w:t xml:space="preserve"> </w:t>
      </w:r>
      <w:r w:rsidRPr="000D7983">
        <w:t>d</w:t>
      </w:r>
      <w:r w:rsidR="00302F43">
        <w:t xml:space="preserve">oes not </w:t>
      </w:r>
      <w:r w:rsidRPr="000D7983">
        <w:t>agree</w:t>
      </w:r>
      <w:r w:rsidRPr="000D7983">
        <w:rPr>
          <w:spacing w:val="-10"/>
        </w:rPr>
        <w:t xml:space="preserve"> </w:t>
      </w:r>
      <w:r w:rsidRPr="000D7983">
        <w:t>that</w:t>
      </w:r>
      <w:r w:rsidRPr="000D7983">
        <w:rPr>
          <w:spacing w:val="-10"/>
        </w:rPr>
        <w:t xml:space="preserve"> </w:t>
      </w:r>
      <w:r w:rsidRPr="000D7983">
        <w:t>information</w:t>
      </w:r>
      <w:r w:rsidRPr="000D7983">
        <w:rPr>
          <w:spacing w:val="-8"/>
        </w:rPr>
        <w:t xml:space="preserve"> </w:t>
      </w:r>
      <w:r w:rsidRPr="000D7983">
        <w:t>on</w:t>
      </w:r>
      <w:r w:rsidRPr="000D7983">
        <w:rPr>
          <w:spacing w:val="-10"/>
        </w:rPr>
        <w:t xml:space="preserve"> </w:t>
      </w:r>
      <w:r w:rsidRPr="000D7983">
        <w:t>CV</w:t>
      </w:r>
      <w:r w:rsidRPr="000D7983">
        <w:rPr>
          <w:spacing w:val="-11"/>
        </w:rPr>
        <w:t xml:space="preserve"> </w:t>
      </w:r>
      <w:r w:rsidRPr="000D7983">
        <w:t>events</w:t>
      </w:r>
      <w:r w:rsidRPr="000D7983">
        <w:rPr>
          <w:spacing w:val="-10"/>
        </w:rPr>
        <w:t xml:space="preserve"> </w:t>
      </w:r>
      <w:r w:rsidRPr="000D7983">
        <w:t>or</w:t>
      </w:r>
      <w:r w:rsidRPr="000D7983">
        <w:rPr>
          <w:spacing w:val="-11"/>
        </w:rPr>
        <w:t xml:space="preserve"> </w:t>
      </w:r>
      <w:r w:rsidRPr="000D7983">
        <w:t>that</w:t>
      </w:r>
      <w:r w:rsidRPr="000D7983">
        <w:rPr>
          <w:spacing w:val="-10"/>
        </w:rPr>
        <w:t xml:space="preserve"> </w:t>
      </w:r>
      <w:r w:rsidRPr="000D7983">
        <w:t>lack</w:t>
      </w:r>
      <w:r w:rsidRPr="000D7983">
        <w:rPr>
          <w:spacing w:val="-10"/>
        </w:rPr>
        <w:t xml:space="preserve"> </w:t>
      </w:r>
      <w:r w:rsidRPr="000D7983">
        <w:t>of CV safety data should be included in the PI. Results from the final analysis of adjudication-confirmed CV events will be</w:t>
      </w:r>
      <w:r w:rsidRPr="000D7983">
        <w:rPr>
          <w:spacing w:val="-2"/>
        </w:rPr>
        <w:t xml:space="preserve"> </w:t>
      </w:r>
      <w:r w:rsidRPr="000D7983">
        <w:t>provided after the completion of the CVOT (Study P004/1021).</w:t>
      </w:r>
    </w:p>
    <w:p w14:paraId="3654A020" w14:textId="1AE2ABE7" w:rsidR="009530C9" w:rsidRDefault="00836955" w:rsidP="00901A31">
      <w:r w:rsidRPr="00C65C63">
        <w:t>The sponsor</w:t>
      </w:r>
      <w:r w:rsidR="009530C9" w:rsidRPr="00C65C63">
        <w:rPr>
          <w:spacing w:val="-10"/>
        </w:rPr>
        <w:t xml:space="preserve"> </w:t>
      </w:r>
      <w:r w:rsidR="009530C9" w:rsidRPr="00C65C63">
        <w:t>also</w:t>
      </w:r>
      <w:r w:rsidR="009530C9" w:rsidRPr="00C65C63">
        <w:rPr>
          <w:spacing w:val="-10"/>
        </w:rPr>
        <w:t xml:space="preserve"> </w:t>
      </w:r>
      <w:r w:rsidR="009530C9" w:rsidRPr="00C65C63">
        <w:t>conducted</w:t>
      </w:r>
      <w:r w:rsidR="009530C9" w:rsidRPr="00C65C63">
        <w:rPr>
          <w:spacing w:val="-10"/>
        </w:rPr>
        <w:t xml:space="preserve"> </w:t>
      </w:r>
      <w:r w:rsidR="009530C9" w:rsidRPr="00C65C63">
        <w:t>a</w:t>
      </w:r>
      <w:r w:rsidR="009530C9" w:rsidRPr="00C65C63">
        <w:rPr>
          <w:spacing w:val="-11"/>
        </w:rPr>
        <w:t xml:space="preserve"> </w:t>
      </w:r>
      <w:r w:rsidR="009530C9" w:rsidRPr="00C65C63">
        <w:t>CVMA</w:t>
      </w:r>
      <w:r w:rsidR="009530C9" w:rsidRPr="00C65C63">
        <w:rPr>
          <w:spacing w:val="-11"/>
        </w:rPr>
        <w:t xml:space="preserve"> </w:t>
      </w:r>
      <w:r w:rsidR="009530C9" w:rsidRPr="00C65C63">
        <w:t>of</w:t>
      </w:r>
      <w:r w:rsidR="009530C9" w:rsidRPr="00C65C63">
        <w:rPr>
          <w:spacing w:val="-10"/>
        </w:rPr>
        <w:t xml:space="preserve"> </w:t>
      </w:r>
      <w:r w:rsidR="009530C9" w:rsidRPr="00C65C63">
        <w:t>adjudicated,</w:t>
      </w:r>
      <w:r w:rsidR="009530C9" w:rsidRPr="00C65C63">
        <w:rPr>
          <w:spacing w:val="-10"/>
        </w:rPr>
        <w:t xml:space="preserve"> </w:t>
      </w:r>
      <w:r w:rsidR="009530C9" w:rsidRPr="00C65C63">
        <w:t>confirmed</w:t>
      </w:r>
      <w:r w:rsidR="009530C9" w:rsidRPr="00C65C63">
        <w:rPr>
          <w:spacing w:val="-10"/>
        </w:rPr>
        <w:t xml:space="preserve"> </w:t>
      </w:r>
      <w:r w:rsidR="009530C9" w:rsidRPr="00C65C63">
        <w:t>CV</w:t>
      </w:r>
      <w:r w:rsidR="009530C9" w:rsidRPr="00C65C63">
        <w:rPr>
          <w:spacing w:val="-11"/>
        </w:rPr>
        <w:t xml:space="preserve"> </w:t>
      </w:r>
      <w:r w:rsidR="009530C9" w:rsidRPr="00C65C63">
        <w:t>events</w:t>
      </w:r>
      <w:r w:rsidR="009530C9" w:rsidRPr="00C65C63">
        <w:rPr>
          <w:spacing w:val="-9"/>
        </w:rPr>
        <w:t xml:space="preserve"> </w:t>
      </w:r>
      <w:r w:rsidR="009530C9" w:rsidRPr="00C65C63">
        <w:t>from</w:t>
      </w:r>
      <w:r w:rsidR="009530C9" w:rsidRPr="00C65C63">
        <w:rPr>
          <w:spacing w:val="-10"/>
        </w:rPr>
        <w:t xml:space="preserve"> </w:t>
      </w:r>
      <w:r w:rsidR="009530C9" w:rsidRPr="00C65C63">
        <w:t>the</w:t>
      </w:r>
      <w:r w:rsidR="009530C9" w:rsidRPr="00C65C63">
        <w:rPr>
          <w:spacing w:val="-11"/>
        </w:rPr>
        <w:t xml:space="preserve"> </w:t>
      </w:r>
      <w:r w:rsidR="00C3563C" w:rsidRPr="00C65C63">
        <w:t>Phase</w:t>
      </w:r>
      <w:r w:rsidR="00B45B46">
        <w:t> </w:t>
      </w:r>
      <w:r w:rsidR="00C3563C" w:rsidRPr="00C65C63">
        <w:t>II</w:t>
      </w:r>
      <w:r w:rsidR="009530C9" w:rsidRPr="00C65C63">
        <w:t>/</w:t>
      </w:r>
      <w:r w:rsidR="00C315CD" w:rsidRPr="00C65C63">
        <w:t>III</w:t>
      </w:r>
      <w:r w:rsidR="009530C9" w:rsidRPr="00C65C63">
        <w:rPr>
          <w:spacing w:val="-10"/>
        </w:rPr>
        <w:t xml:space="preserve"> </w:t>
      </w:r>
      <w:r w:rsidR="009530C9" w:rsidRPr="00C65C63">
        <w:t>studies in the submission and from the CV outcome study (P004/1021) which is ongoing and not included in the</w:t>
      </w:r>
      <w:r w:rsidR="009530C9" w:rsidRPr="00C65C63">
        <w:rPr>
          <w:spacing w:val="-9"/>
        </w:rPr>
        <w:t xml:space="preserve"> </w:t>
      </w:r>
      <w:r w:rsidR="009530C9" w:rsidRPr="00C65C63">
        <w:t>dossier.</w:t>
      </w:r>
      <w:r w:rsidR="009530C9" w:rsidRPr="00C65C63">
        <w:rPr>
          <w:spacing w:val="-8"/>
        </w:rPr>
        <w:t xml:space="preserve"> </w:t>
      </w:r>
      <w:r w:rsidR="009530C9" w:rsidRPr="00C65C63">
        <w:t>Data</w:t>
      </w:r>
      <w:r w:rsidR="009530C9" w:rsidRPr="00C65C63">
        <w:rPr>
          <w:spacing w:val="-4"/>
        </w:rPr>
        <w:t xml:space="preserve"> </w:t>
      </w:r>
      <w:r w:rsidR="009530C9" w:rsidRPr="00C65C63">
        <w:t>from</w:t>
      </w:r>
      <w:r w:rsidR="009530C9" w:rsidRPr="00C65C63">
        <w:rPr>
          <w:spacing w:val="-8"/>
        </w:rPr>
        <w:t xml:space="preserve"> </w:t>
      </w:r>
      <w:r w:rsidR="009530C9" w:rsidRPr="00C65C63">
        <w:t>the</w:t>
      </w:r>
      <w:r w:rsidR="009530C9" w:rsidRPr="00C65C63">
        <w:rPr>
          <w:spacing w:val="-7"/>
        </w:rPr>
        <w:t xml:space="preserve"> </w:t>
      </w:r>
      <w:r w:rsidR="009530C9" w:rsidRPr="00C65C63">
        <w:t>CVMA</w:t>
      </w:r>
      <w:r w:rsidR="009530C9" w:rsidRPr="00C65C63">
        <w:rPr>
          <w:spacing w:val="-9"/>
        </w:rPr>
        <w:t xml:space="preserve"> </w:t>
      </w:r>
      <w:r w:rsidR="009530C9" w:rsidRPr="00C65C63">
        <w:t>were</w:t>
      </w:r>
      <w:r w:rsidR="009530C9" w:rsidRPr="00C65C63">
        <w:rPr>
          <w:spacing w:val="-12"/>
        </w:rPr>
        <w:t xml:space="preserve"> </w:t>
      </w:r>
      <w:r w:rsidR="009530C9" w:rsidRPr="00C65C63">
        <w:t>submitted</w:t>
      </w:r>
      <w:r w:rsidR="009530C9" w:rsidRPr="00C65C63">
        <w:rPr>
          <w:spacing w:val="-8"/>
        </w:rPr>
        <w:t xml:space="preserve"> </w:t>
      </w:r>
      <w:r w:rsidR="009530C9" w:rsidRPr="00C65C63">
        <w:t>only</w:t>
      </w:r>
      <w:r w:rsidR="009530C9" w:rsidRPr="00C65C63">
        <w:rPr>
          <w:spacing w:val="-18"/>
        </w:rPr>
        <w:t xml:space="preserve"> </w:t>
      </w:r>
      <w:r w:rsidR="009530C9" w:rsidRPr="00C65C63">
        <w:t>to</w:t>
      </w:r>
      <w:r w:rsidR="009530C9" w:rsidRPr="00C65C63">
        <w:rPr>
          <w:spacing w:val="-6"/>
        </w:rPr>
        <w:t xml:space="preserve"> </w:t>
      </w:r>
      <w:r w:rsidR="009530C9" w:rsidRPr="00C65C63">
        <w:t>the</w:t>
      </w:r>
      <w:r w:rsidR="009530C9" w:rsidRPr="00C65C63">
        <w:rPr>
          <w:spacing w:val="-9"/>
        </w:rPr>
        <w:t xml:space="preserve"> </w:t>
      </w:r>
      <w:r w:rsidR="009530C9" w:rsidRPr="00C65C63">
        <w:t>US</w:t>
      </w:r>
      <w:r w:rsidR="009530C9" w:rsidRPr="00C65C63">
        <w:rPr>
          <w:spacing w:val="-5"/>
        </w:rPr>
        <w:t xml:space="preserve"> </w:t>
      </w:r>
      <w:r w:rsidR="009530C9" w:rsidRPr="00C65C63">
        <w:t>FDA</w:t>
      </w:r>
      <w:r w:rsidR="009530C9" w:rsidRPr="00C65C63">
        <w:rPr>
          <w:spacing w:val="-9"/>
        </w:rPr>
        <w:t xml:space="preserve"> </w:t>
      </w:r>
      <w:r w:rsidR="009530C9" w:rsidRPr="00C65C63">
        <w:t>by</w:t>
      </w:r>
      <w:r w:rsidR="009530C9" w:rsidRPr="00C65C63">
        <w:rPr>
          <w:spacing w:val="-11"/>
        </w:rPr>
        <w:t xml:space="preserve"> </w:t>
      </w:r>
      <w:r w:rsidR="009530C9" w:rsidRPr="00C65C63">
        <w:t>a</w:t>
      </w:r>
      <w:r w:rsidR="009530C9" w:rsidRPr="00C65C63">
        <w:rPr>
          <w:spacing w:val="-4"/>
        </w:rPr>
        <w:t xml:space="preserve"> </w:t>
      </w:r>
      <w:r w:rsidR="009530C9" w:rsidRPr="00C65C63">
        <w:t>separate</w:t>
      </w:r>
      <w:r w:rsidR="009530C9" w:rsidRPr="00C65C63">
        <w:rPr>
          <w:spacing w:val="-7"/>
        </w:rPr>
        <w:t xml:space="preserve"> </w:t>
      </w:r>
      <w:r w:rsidR="009530C9" w:rsidRPr="00C65C63">
        <w:t>firewalled</w:t>
      </w:r>
      <w:r w:rsidR="009530C9" w:rsidRPr="00C65C63">
        <w:rPr>
          <w:spacing w:val="-6"/>
        </w:rPr>
        <w:t xml:space="preserve"> </w:t>
      </w:r>
      <w:r w:rsidR="009530C9" w:rsidRPr="00C65C63">
        <w:t>team</w:t>
      </w:r>
      <w:r w:rsidR="009530C9" w:rsidRPr="00C65C63">
        <w:rPr>
          <w:spacing w:val="-5"/>
        </w:rPr>
        <w:t xml:space="preserve"> </w:t>
      </w:r>
      <w:r w:rsidR="009530C9" w:rsidRPr="00C65C63">
        <w:t>in order</w:t>
      </w:r>
      <w:r w:rsidR="009530C9" w:rsidRPr="00C65C63">
        <w:rPr>
          <w:spacing w:val="-10"/>
        </w:rPr>
        <w:t xml:space="preserve"> </w:t>
      </w:r>
      <w:r w:rsidR="009530C9" w:rsidRPr="00C65C63">
        <w:t>to</w:t>
      </w:r>
      <w:r w:rsidR="009530C9" w:rsidRPr="00C65C63">
        <w:rPr>
          <w:spacing w:val="-7"/>
        </w:rPr>
        <w:t xml:space="preserve"> </w:t>
      </w:r>
      <w:r w:rsidR="009530C9" w:rsidRPr="00C65C63">
        <w:t>not</w:t>
      </w:r>
      <w:r w:rsidR="009530C9" w:rsidRPr="00C65C63">
        <w:rPr>
          <w:spacing w:val="-11"/>
        </w:rPr>
        <w:t xml:space="preserve"> </w:t>
      </w:r>
      <w:r w:rsidR="009530C9" w:rsidRPr="00C65C63">
        <w:t>jeopardize</w:t>
      </w:r>
      <w:r w:rsidR="009530C9" w:rsidRPr="00C65C63">
        <w:rPr>
          <w:spacing w:val="-10"/>
        </w:rPr>
        <w:t xml:space="preserve"> </w:t>
      </w:r>
      <w:r w:rsidR="009530C9" w:rsidRPr="00C65C63">
        <w:t>the</w:t>
      </w:r>
      <w:r w:rsidR="009530C9" w:rsidRPr="00C65C63">
        <w:rPr>
          <w:spacing w:val="-8"/>
        </w:rPr>
        <w:t xml:space="preserve"> </w:t>
      </w:r>
      <w:r w:rsidR="009530C9" w:rsidRPr="00C65C63">
        <w:t>ongoing</w:t>
      </w:r>
      <w:r w:rsidR="009530C9" w:rsidRPr="00C65C63">
        <w:rPr>
          <w:spacing w:val="-13"/>
        </w:rPr>
        <w:t xml:space="preserve"> </w:t>
      </w:r>
      <w:r w:rsidR="009530C9" w:rsidRPr="00C65C63">
        <w:t>CVOT</w:t>
      </w:r>
      <w:r w:rsidR="009530C9" w:rsidRPr="00C65C63">
        <w:rPr>
          <w:spacing w:val="-9"/>
        </w:rPr>
        <w:t xml:space="preserve"> </w:t>
      </w:r>
      <w:r w:rsidR="009530C9" w:rsidRPr="00C65C63">
        <w:t>trial</w:t>
      </w:r>
      <w:r w:rsidR="009530C9" w:rsidRPr="00C65C63">
        <w:rPr>
          <w:spacing w:val="-6"/>
        </w:rPr>
        <w:t xml:space="preserve"> </w:t>
      </w:r>
      <w:r w:rsidR="009530C9" w:rsidRPr="00C65C63">
        <w:t>by</w:t>
      </w:r>
      <w:r w:rsidR="009530C9" w:rsidRPr="00C65C63">
        <w:rPr>
          <w:spacing w:val="-12"/>
        </w:rPr>
        <w:t xml:space="preserve"> </w:t>
      </w:r>
      <w:r w:rsidR="009530C9" w:rsidRPr="00C65C63">
        <w:t>disclosure</w:t>
      </w:r>
      <w:r w:rsidR="009530C9" w:rsidRPr="00C65C63">
        <w:rPr>
          <w:spacing w:val="-10"/>
        </w:rPr>
        <w:t xml:space="preserve"> </w:t>
      </w:r>
      <w:r w:rsidR="009530C9" w:rsidRPr="00C65C63">
        <w:t>of</w:t>
      </w:r>
      <w:r w:rsidR="009530C9" w:rsidRPr="00C65C63">
        <w:rPr>
          <w:spacing w:val="-10"/>
        </w:rPr>
        <w:t xml:space="preserve"> </w:t>
      </w:r>
      <w:r w:rsidR="009530C9" w:rsidRPr="00C65C63">
        <w:t>the</w:t>
      </w:r>
      <w:r w:rsidR="009530C9" w:rsidRPr="00C65C63">
        <w:rPr>
          <w:spacing w:val="-10"/>
        </w:rPr>
        <w:t xml:space="preserve"> </w:t>
      </w:r>
      <w:r w:rsidR="009530C9" w:rsidRPr="00C65C63">
        <w:t>interim</w:t>
      </w:r>
      <w:r w:rsidR="009530C9" w:rsidRPr="00C65C63">
        <w:rPr>
          <w:spacing w:val="-6"/>
        </w:rPr>
        <w:t xml:space="preserve"> </w:t>
      </w:r>
      <w:r w:rsidR="009530C9" w:rsidRPr="00C65C63">
        <w:t>results</w:t>
      </w:r>
      <w:r w:rsidR="009530C9" w:rsidRPr="00C65C63">
        <w:rPr>
          <w:spacing w:val="-7"/>
        </w:rPr>
        <w:t xml:space="preserve"> </w:t>
      </w:r>
      <w:r w:rsidR="009530C9" w:rsidRPr="00C65C63">
        <w:t>from</w:t>
      </w:r>
      <w:r w:rsidR="009530C9" w:rsidRPr="00C65C63">
        <w:rPr>
          <w:spacing w:val="-9"/>
        </w:rPr>
        <w:t xml:space="preserve"> </w:t>
      </w:r>
      <w:r w:rsidR="009530C9" w:rsidRPr="00C65C63">
        <w:t>this</w:t>
      </w:r>
      <w:r w:rsidR="009530C9" w:rsidRPr="00C65C63">
        <w:rPr>
          <w:spacing w:val="-9"/>
        </w:rPr>
        <w:t xml:space="preserve"> </w:t>
      </w:r>
      <w:r w:rsidR="009530C9" w:rsidRPr="00C65C63">
        <w:t>study.</w:t>
      </w:r>
      <w:r w:rsidR="009530C9" w:rsidRPr="00C65C63">
        <w:rPr>
          <w:spacing w:val="-7"/>
        </w:rPr>
        <w:t xml:space="preserve"> </w:t>
      </w:r>
      <w:r w:rsidR="009530C9" w:rsidRPr="00C65C63">
        <w:t>The</w:t>
      </w:r>
      <w:r w:rsidR="00C315CD" w:rsidRPr="00C65C63">
        <w:t xml:space="preserve"> </w:t>
      </w:r>
      <w:r w:rsidR="009530C9" w:rsidRPr="00C65C63">
        <w:t>CHMP</w:t>
      </w:r>
      <w:r w:rsidR="009530C9" w:rsidRPr="00C65C63">
        <w:rPr>
          <w:spacing w:val="-8"/>
        </w:rPr>
        <w:t xml:space="preserve"> </w:t>
      </w:r>
      <w:r w:rsidR="009530C9" w:rsidRPr="00C65C63">
        <w:t>also</w:t>
      </w:r>
      <w:r w:rsidR="009530C9" w:rsidRPr="00C65C63">
        <w:rPr>
          <w:spacing w:val="-9"/>
        </w:rPr>
        <w:t xml:space="preserve"> </w:t>
      </w:r>
      <w:r w:rsidR="009530C9" w:rsidRPr="00C65C63">
        <w:t>agreed</w:t>
      </w:r>
      <w:r w:rsidR="009530C9" w:rsidRPr="00C65C63">
        <w:rPr>
          <w:spacing w:val="-9"/>
        </w:rPr>
        <w:t xml:space="preserve"> </w:t>
      </w:r>
      <w:r w:rsidR="009530C9" w:rsidRPr="00C65C63">
        <w:t>that</w:t>
      </w:r>
      <w:r w:rsidR="009530C9" w:rsidRPr="00C65C63">
        <w:rPr>
          <w:spacing w:val="-7"/>
        </w:rPr>
        <w:t xml:space="preserve"> </w:t>
      </w:r>
      <w:r w:rsidR="009530C9" w:rsidRPr="00C65C63">
        <w:t>submission</w:t>
      </w:r>
      <w:r w:rsidR="009530C9" w:rsidRPr="00C65C63">
        <w:rPr>
          <w:spacing w:val="-7"/>
        </w:rPr>
        <w:t xml:space="preserve"> </w:t>
      </w:r>
      <w:r w:rsidR="009530C9" w:rsidRPr="00C65C63">
        <w:t>of</w:t>
      </w:r>
      <w:r w:rsidR="009530C9" w:rsidRPr="00C65C63">
        <w:rPr>
          <w:spacing w:val="-10"/>
        </w:rPr>
        <w:t xml:space="preserve"> </w:t>
      </w:r>
      <w:r w:rsidR="009530C9" w:rsidRPr="00C65C63">
        <w:t>unblinded</w:t>
      </w:r>
      <w:r w:rsidR="009530C9" w:rsidRPr="00C65C63">
        <w:rPr>
          <w:spacing w:val="-7"/>
        </w:rPr>
        <w:t xml:space="preserve"> </w:t>
      </w:r>
      <w:r w:rsidR="009530C9" w:rsidRPr="00C65C63">
        <w:t>interim</w:t>
      </w:r>
      <w:r w:rsidR="009530C9" w:rsidRPr="00C65C63">
        <w:rPr>
          <w:spacing w:val="-9"/>
        </w:rPr>
        <w:t xml:space="preserve"> </w:t>
      </w:r>
      <w:r w:rsidR="009530C9" w:rsidRPr="00C65C63">
        <w:t>outcome</w:t>
      </w:r>
      <w:r w:rsidR="009530C9" w:rsidRPr="00C65C63">
        <w:rPr>
          <w:spacing w:val="-13"/>
        </w:rPr>
        <w:t xml:space="preserve"> </w:t>
      </w:r>
      <w:r w:rsidR="009530C9" w:rsidRPr="00C65C63">
        <w:t>data</w:t>
      </w:r>
      <w:r w:rsidR="009530C9" w:rsidRPr="00C65C63">
        <w:rPr>
          <w:spacing w:val="-10"/>
        </w:rPr>
        <w:t xml:space="preserve"> </w:t>
      </w:r>
      <w:r w:rsidR="009530C9" w:rsidRPr="00C65C63">
        <w:t>from</w:t>
      </w:r>
      <w:r w:rsidR="009530C9" w:rsidRPr="00C65C63">
        <w:rPr>
          <w:spacing w:val="-9"/>
        </w:rPr>
        <w:t xml:space="preserve"> </w:t>
      </w:r>
      <w:r w:rsidR="009530C9" w:rsidRPr="00C65C63">
        <w:t>the</w:t>
      </w:r>
      <w:r w:rsidR="009530C9" w:rsidRPr="00C65C63">
        <w:rPr>
          <w:spacing w:val="-10"/>
        </w:rPr>
        <w:t xml:space="preserve"> </w:t>
      </w:r>
      <w:r w:rsidR="009530C9" w:rsidRPr="00C65C63">
        <w:t>CVOT</w:t>
      </w:r>
      <w:r w:rsidR="009530C9" w:rsidRPr="00C65C63">
        <w:rPr>
          <w:spacing w:val="-9"/>
        </w:rPr>
        <w:t xml:space="preserve"> </w:t>
      </w:r>
      <w:r w:rsidR="009530C9" w:rsidRPr="00C65C63">
        <w:t>could</w:t>
      </w:r>
      <w:r w:rsidR="009530C9" w:rsidRPr="00C65C63">
        <w:rPr>
          <w:spacing w:val="-9"/>
        </w:rPr>
        <w:t xml:space="preserve"> </w:t>
      </w:r>
      <w:r w:rsidR="009530C9" w:rsidRPr="00C65C63">
        <w:t>give</w:t>
      </w:r>
      <w:r w:rsidR="009530C9" w:rsidRPr="00C65C63">
        <w:rPr>
          <w:spacing w:val="-8"/>
        </w:rPr>
        <w:t xml:space="preserve"> </w:t>
      </w:r>
      <w:r w:rsidR="009530C9" w:rsidRPr="00C65C63">
        <w:t>rise</w:t>
      </w:r>
      <w:r w:rsidR="009530C9" w:rsidRPr="00C65C63">
        <w:rPr>
          <w:spacing w:val="-10"/>
        </w:rPr>
        <w:t xml:space="preserve"> </w:t>
      </w:r>
      <w:r w:rsidR="009530C9" w:rsidRPr="00C65C63">
        <w:t>to concern over trial integrity and therefore CHMP did not require that the CVMA be submitted. The CHMP agreed to evaluate the overall data package of nonclinical and clinical data for a conclusion on CV</w:t>
      </w:r>
      <w:r w:rsidR="009530C9" w:rsidRPr="00C65C63">
        <w:rPr>
          <w:spacing w:val="-9"/>
        </w:rPr>
        <w:t xml:space="preserve"> </w:t>
      </w:r>
      <w:r w:rsidR="009530C9" w:rsidRPr="00C65C63">
        <w:t>safety,</w:t>
      </w:r>
      <w:r w:rsidR="009530C9" w:rsidRPr="00C65C63">
        <w:rPr>
          <w:spacing w:val="-8"/>
        </w:rPr>
        <w:t xml:space="preserve"> </w:t>
      </w:r>
      <w:r w:rsidR="009530C9" w:rsidRPr="00C65C63">
        <w:t>considering</w:t>
      </w:r>
      <w:r w:rsidR="009530C9" w:rsidRPr="00C65C63">
        <w:rPr>
          <w:spacing w:val="-11"/>
        </w:rPr>
        <w:t xml:space="preserve"> </w:t>
      </w:r>
      <w:r w:rsidR="009530C9" w:rsidRPr="00C65C63">
        <w:t>also</w:t>
      </w:r>
      <w:r w:rsidR="009530C9" w:rsidRPr="00C65C63">
        <w:rPr>
          <w:spacing w:val="-8"/>
        </w:rPr>
        <w:t xml:space="preserve"> </w:t>
      </w:r>
      <w:r w:rsidR="009530C9" w:rsidRPr="00C65C63">
        <w:t>the</w:t>
      </w:r>
      <w:r w:rsidR="009530C9" w:rsidRPr="00C65C63">
        <w:rPr>
          <w:spacing w:val="-9"/>
        </w:rPr>
        <w:t xml:space="preserve"> </w:t>
      </w:r>
      <w:r w:rsidR="009530C9" w:rsidRPr="00C65C63">
        <w:t>scientific</w:t>
      </w:r>
      <w:r w:rsidR="009530C9" w:rsidRPr="00C65C63">
        <w:rPr>
          <w:spacing w:val="-12"/>
        </w:rPr>
        <w:t xml:space="preserve"> </w:t>
      </w:r>
      <w:r w:rsidR="009530C9" w:rsidRPr="00C65C63">
        <w:t>knowledge</w:t>
      </w:r>
      <w:r w:rsidR="009530C9" w:rsidRPr="00C65C63">
        <w:rPr>
          <w:spacing w:val="-7"/>
        </w:rPr>
        <w:t xml:space="preserve"> </w:t>
      </w:r>
      <w:r w:rsidR="009530C9" w:rsidRPr="00C65C63">
        <w:t>and</w:t>
      </w:r>
      <w:r w:rsidR="009530C9" w:rsidRPr="00C65C63">
        <w:rPr>
          <w:spacing w:val="-8"/>
        </w:rPr>
        <w:t xml:space="preserve"> </w:t>
      </w:r>
      <w:r w:rsidR="009530C9" w:rsidRPr="00C65C63">
        <w:t>clinical</w:t>
      </w:r>
      <w:r w:rsidR="009530C9" w:rsidRPr="00C65C63">
        <w:rPr>
          <w:spacing w:val="-8"/>
        </w:rPr>
        <w:t xml:space="preserve"> </w:t>
      </w:r>
      <w:r w:rsidR="009530C9" w:rsidRPr="00C65C63">
        <w:t>experience</w:t>
      </w:r>
      <w:r w:rsidR="009530C9" w:rsidRPr="00C65C63">
        <w:rPr>
          <w:spacing w:val="-9"/>
        </w:rPr>
        <w:t xml:space="preserve"> </w:t>
      </w:r>
      <w:r w:rsidR="009530C9" w:rsidRPr="00C65C63">
        <w:t>on</w:t>
      </w:r>
      <w:r w:rsidR="009530C9" w:rsidRPr="00C65C63">
        <w:rPr>
          <w:spacing w:val="-8"/>
        </w:rPr>
        <w:t xml:space="preserve"> </w:t>
      </w:r>
      <w:r w:rsidR="009530C9" w:rsidRPr="00C65C63">
        <w:t>the</w:t>
      </w:r>
      <w:r w:rsidR="009530C9" w:rsidRPr="00C65C63">
        <w:rPr>
          <w:spacing w:val="-9"/>
        </w:rPr>
        <w:t xml:space="preserve"> </w:t>
      </w:r>
      <w:r w:rsidR="009530C9" w:rsidRPr="00C65C63">
        <w:t>whole</w:t>
      </w:r>
      <w:r w:rsidR="009530C9" w:rsidRPr="00C65C63">
        <w:rPr>
          <w:spacing w:val="-9"/>
        </w:rPr>
        <w:t xml:space="preserve"> </w:t>
      </w:r>
      <w:r w:rsidR="009530C9" w:rsidRPr="00C65C63">
        <w:t xml:space="preserve">substance class and how similar the mechanism of action and receptor specificity are relative to other SGLT2 inhibitors. For these reasons, the CVMA was not submitted to the TGA. However, </w:t>
      </w:r>
      <w:r w:rsidR="00C315CD" w:rsidRPr="00C65C63">
        <w:t>the sponsor</w:t>
      </w:r>
      <w:r w:rsidR="009530C9" w:rsidRPr="00C65C63">
        <w:t xml:space="preserve"> believes that the data provided in the original submission, including the DMC attestation letter confirming</w:t>
      </w:r>
      <w:r w:rsidR="009530C9" w:rsidRPr="00C65C63">
        <w:rPr>
          <w:spacing w:val="-15"/>
        </w:rPr>
        <w:t xml:space="preserve"> </w:t>
      </w:r>
      <w:r w:rsidR="009530C9" w:rsidRPr="00C65C63">
        <w:t>that</w:t>
      </w:r>
      <w:r w:rsidR="009530C9" w:rsidRPr="00C65C63">
        <w:rPr>
          <w:spacing w:val="-8"/>
        </w:rPr>
        <w:t xml:space="preserve"> </w:t>
      </w:r>
      <w:r w:rsidR="009530C9" w:rsidRPr="00C65C63">
        <w:t>the</w:t>
      </w:r>
      <w:r w:rsidR="009530C9" w:rsidRPr="00C65C63">
        <w:rPr>
          <w:spacing w:val="-10"/>
        </w:rPr>
        <w:t xml:space="preserve"> </w:t>
      </w:r>
      <w:r w:rsidR="009530C9" w:rsidRPr="00C65C63">
        <w:t>Stage</w:t>
      </w:r>
      <w:r w:rsidR="009530C9" w:rsidRPr="00C65C63">
        <w:rPr>
          <w:spacing w:val="-12"/>
        </w:rPr>
        <w:t xml:space="preserve"> </w:t>
      </w:r>
      <w:r w:rsidR="009530C9" w:rsidRPr="00C65C63">
        <w:t>1</w:t>
      </w:r>
      <w:r w:rsidR="009530C9" w:rsidRPr="00C65C63">
        <w:rPr>
          <w:spacing w:val="-9"/>
        </w:rPr>
        <w:t xml:space="preserve"> </w:t>
      </w:r>
      <w:r w:rsidR="009530C9" w:rsidRPr="00C65C63">
        <w:t>CV</w:t>
      </w:r>
      <w:r w:rsidR="009530C9" w:rsidRPr="00C65C63">
        <w:rPr>
          <w:spacing w:val="-12"/>
        </w:rPr>
        <w:t xml:space="preserve"> </w:t>
      </w:r>
      <w:r w:rsidR="009530C9" w:rsidRPr="00C65C63">
        <w:t>risk</w:t>
      </w:r>
      <w:r w:rsidR="009530C9" w:rsidRPr="00C65C63">
        <w:rPr>
          <w:spacing w:val="-9"/>
        </w:rPr>
        <w:t xml:space="preserve"> </w:t>
      </w:r>
      <w:r w:rsidR="009530C9" w:rsidRPr="00C65C63">
        <w:t>assessment</w:t>
      </w:r>
      <w:r w:rsidR="009530C9" w:rsidRPr="00C65C63">
        <w:rPr>
          <w:spacing w:val="-8"/>
        </w:rPr>
        <w:t xml:space="preserve"> </w:t>
      </w:r>
      <w:r w:rsidR="009530C9" w:rsidRPr="00C65C63">
        <w:t>criterion</w:t>
      </w:r>
      <w:r w:rsidR="009530C9" w:rsidRPr="00C65C63">
        <w:rPr>
          <w:spacing w:val="-11"/>
        </w:rPr>
        <w:t xml:space="preserve"> </w:t>
      </w:r>
      <w:r w:rsidR="009530C9" w:rsidRPr="00C65C63">
        <w:t>has</w:t>
      </w:r>
      <w:r w:rsidR="009530C9" w:rsidRPr="00C65C63">
        <w:rPr>
          <w:spacing w:val="-11"/>
        </w:rPr>
        <w:t xml:space="preserve"> </w:t>
      </w:r>
      <w:r w:rsidR="009530C9" w:rsidRPr="00C65C63">
        <w:t>been</w:t>
      </w:r>
      <w:r w:rsidR="009530C9" w:rsidRPr="00C65C63">
        <w:rPr>
          <w:spacing w:val="-9"/>
        </w:rPr>
        <w:t xml:space="preserve"> </w:t>
      </w:r>
      <w:r w:rsidR="009530C9" w:rsidRPr="00C65C63">
        <w:t>met</w:t>
      </w:r>
      <w:r w:rsidR="009530C9" w:rsidRPr="00C65C63">
        <w:rPr>
          <w:spacing w:val="-9"/>
        </w:rPr>
        <w:t xml:space="preserve"> </w:t>
      </w:r>
      <w:r w:rsidR="009530C9" w:rsidRPr="00C65C63">
        <w:t>and</w:t>
      </w:r>
      <w:r w:rsidR="009530C9" w:rsidRPr="00C65C63">
        <w:rPr>
          <w:spacing w:val="-9"/>
        </w:rPr>
        <w:t xml:space="preserve"> </w:t>
      </w:r>
      <w:r w:rsidR="009530C9" w:rsidRPr="00C65C63">
        <w:t>responses</w:t>
      </w:r>
      <w:r w:rsidR="009530C9" w:rsidRPr="00C65C63">
        <w:rPr>
          <w:spacing w:val="-9"/>
        </w:rPr>
        <w:t xml:space="preserve"> </w:t>
      </w:r>
      <w:r w:rsidR="009530C9" w:rsidRPr="00C65C63">
        <w:t>to the</w:t>
      </w:r>
      <w:r w:rsidR="009530C9" w:rsidRPr="00C65C63">
        <w:rPr>
          <w:spacing w:val="-11"/>
        </w:rPr>
        <w:t xml:space="preserve"> </w:t>
      </w:r>
      <w:r w:rsidR="00C315CD" w:rsidRPr="00C65C63">
        <w:rPr>
          <w:spacing w:val="-11"/>
        </w:rPr>
        <w:t xml:space="preserve">TGA’s </w:t>
      </w:r>
      <w:r w:rsidR="009530C9" w:rsidRPr="00C65C63">
        <w:t>request</w:t>
      </w:r>
      <w:r w:rsidR="009530C9" w:rsidRPr="00C65C63">
        <w:rPr>
          <w:spacing w:val="-10"/>
        </w:rPr>
        <w:t xml:space="preserve"> </w:t>
      </w:r>
      <w:r w:rsidR="009530C9" w:rsidRPr="00C65C63">
        <w:t>for</w:t>
      </w:r>
      <w:r w:rsidR="009530C9" w:rsidRPr="00C65C63">
        <w:rPr>
          <w:spacing w:val="-11"/>
        </w:rPr>
        <w:t xml:space="preserve"> </w:t>
      </w:r>
      <w:r w:rsidR="009530C9" w:rsidRPr="00C65C63">
        <w:t>information,</w:t>
      </w:r>
      <w:r w:rsidR="009530C9" w:rsidRPr="00C65C63">
        <w:rPr>
          <w:spacing w:val="-10"/>
        </w:rPr>
        <w:t xml:space="preserve"> </w:t>
      </w:r>
      <w:r w:rsidR="009530C9" w:rsidRPr="00C65C63">
        <w:t>which</w:t>
      </w:r>
      <w:r w:rsidR="009530C9" w:rsidRPr="00C65C63">
        <w:rPr>
          <w:spacing w:val="-8"/>
        </w:rPr>
        <w:t xml:space="preserve"> </w:t>
      </w:r>
      <w:r w:rsidR="009530C9" w:rsidRPr="00C65C63">
        <w:t>included</w:t>
      </w:r>
      <w:r w:rsidR="009530C9" w:rsidRPr="00C65C63">
        <w:rPr>
          <w:spacing w:val="-10"/>
        </w:rPr>
        <w:t xml:space="preserve"> </w:t>
      </w:r>
      <w:r w:rsidR="009530C9" w:rsidRPr="00C65C63">
        <w:t>the</w:t>
      </w:r>
      <w:r w:rsidR="009530C9" w:rsidRPr="00C65C63">
        <w:rPr>
          <w:spacing w:val="-11"/>
        </w:rPr>
        <w:t xml:space="preserve"> </w:t>
      </w:r>
      <w:r w:rsidR="009530C9" w:rsidRPr="00C65C63">
        <w:t>SUR,</w:t>
      </w:r>
      <w:r w:rsidR="009530C9" w:rsidRPr="00C65C63">
        <w:rPr>
          <w:spacing w:val="-10"/>
        </w:rPr>
        <w:t xml:space="preserve"> </w:t>
      </w:r>
      <w:r w:rsidR="009530C9" w:rsidRPr="00C65C63">
        <w:t>provided</w:t>
      </w:r>
      <w:r w:rsidR="009530C9" w:rsidRPr="00C65C63">
        <w:rPr>
          <w:spacing w:val="-8"/>
        </w:rPr>
        <w:t xml:space="preserve"> </w:t>
      </w:r>
      <w:r w:rsidR="009530C9" w:rsidRPr="00C65C63">
        <w:t>adequate</w:t>
      </w:r>
      <w:r w:rsidR="009530C9" w:rsidRPr="00C65C63">
        <w:rPr>
          <w:spacing w:val="-11"/>
        </w:rPr>
        <w:t xml:space="preserve"> </w:t>
      </w:r>
      <w:r w:rsidR="009530C9" w:rsidRPr="00C65C63">
        <w:t>information</w:t>
      </w:r>
      <w:r w:rsidR="009530C9" w:rsidRPr="00C65C63">
        <w:rPr>
          <w:spacing w:val="-10"/>
        </w:rPr>
        <w:t xml:space="preserve"> </w:t>
      </w:r>
      <w:r w:rsidR="009530C9" w:rsidRPr="00C65C63">
        <w:t>on</w:t>
      </w:r>
      <w:r w:rsidR="009530C9" w:rsidRPr="00C65C63">
        <w:rPr>
          <w:spacing w:val="-8"/>
        </w:rPr>
        <w:t xml:space="preserve"> </w:t>
      </w:r>
      <w:r w:rsidR="009530C9" w:rsidRPr="00C65C63">
        <w:t>CV</w:t>
      </w:r>
      <w:r w:rsidR="009530C9" w:rsidRPr="00C65C63">
        <w:rPr>
          <w:spacing w:val="-11"/>
        </w:rPr>
        <w:t xml:space="preserve"> </w:t>
      </w:r>
      <w:r w:rsidR="009530C9" w:rsidRPr="00C65C63">
        <w:t>safety to support the initial registration of ertugliflozin. The EMA’s CHMP reviewed the same data as TGA and</w:t>
      </w:r>
      <w:r w:rsidR="009530C9" w:rsidRPr="00C65C63">
        <w:rPr>
          <w:spacing w:val="-8"/>
        </w:rPr>
        <w:t xml:space="preserve"> </w:t>
      </w:r>
      <w:r w:rsidR="009530C9" w:rsidRPr="00C65C63">
        <w:t>issued</w:t>
      </w:r>
      <w:r w:rsidR="009530C9" w:rsidRPr="00C65C63">
        <w:rPr>
          <w:spacing w:val="-7"/>
        </w:rPr>
        <w:t xml:space="preserve"> </w:t>
      </w:r>
      <w:r w:rsidR="009530C9" w:rsidRPr="00C65C63">
        <w:t>a</w:t>
      </w:r>
      <w:r w:rsidR="009530C9" w:rsidRPr="00C65C63">
        <w:rPr>
          <w:spacing w:val="-9"/>
        </w:rPr>
        <w:t xml:space="preserve"> </w:t>
      </w:r>
      <w:r w:rsidR="009530C9" w:rsidRPr="00C65C63">
        <w:t>positive</w:t>
      </w:r>
      <w:r w:rsidR="009530C9" w:rsidRPr="00C65C63">
        <w:rPr>
          <w:spacing w:val="-9"/>
        </w:rPr>
        <w:t xml:space="preserve"> </w:t>
      </w:r>
      <w:r w:rsidR="009530C9" w:rsidRPr="00C65C63">
        <w:t>opinion</w:t>
      </w:r>
      <w:r w:rsidR="009530C9" w:rsidRPr="00C65C63">
        <w:rPr>
          <w:spacing w:val="-7"/>
        </w:rPr>
        <w:t xml:space="preserve"> </w:t>
      </w:r>
      <w:r w:rsidR="009530C9" w:rsidRPr="00C65C63">
        <w:t>for</w:t>
      </w:r>
      <w:r w:rsidR="009530C9" w:rsidRPr="00C65C63">
        <w:rPr>
          <w:spacing w:val="-9"/>
        </w:rPr>
        <w:t xml:space="preserve"> </w:t>
      </w:r>
      <w:r w:rsidR="009530C9" w:rsidRPr="00C65C63">
        <w:t>ertugliflozin</w:t>
      </w:r>
      <w:r w:rsidR="009530C9" w:rsidRPr="00C65C63">
        <w:rPr>
          <w:spacing w:val="-7"/>
        </w:rPr>
        <w:t xml:space="preserve"> </w:t>
      </w:r>
      <w:r w:rsidR="009530C9" w:rsidRPr="00C65C63">
        <w:t>in</w:t>
      </w:r>
      <w:r w:rsidR="009530C9" w:rsidRPr="00C65C63">
        <w:rPr>
          <w:spacing w:val="-13"/>
        </w:rPr>
        <w:t xml:space="preserve"> </w:t>
      </w:r>
      <w:r w:rsidR="009530C9" w:rsidRPr="00C65C63">
        <w:t>January</w:t>
      </w:r>
      <w:r w:rsidR="009530C9" w:rsidRPr="00C65C63">
        <w:rPr>
          <w:spacing w:val="-18"/>
        </w:rPr>
        <w:t xml:space="preserve"> </w:t>
      </w:r>
      <w:r w:rsidR="009530C9" w:rsidRPr="00C65C63">
        <w:t>2018</w:t>
      </w:r>
      <w:r w:rsidR="009530C9" w:rsidRPr="00C65C63">
        <w:rPr>
          <w:spacing w:val="-7"/>
        </w:rPr>
        <w:t xml:space="preserve"> </w:t>
      </w:r>
      <w:r w:rsidR="009530C9" w:rsidRPr="00C65C63">
        <w:t>with</w:t>
      </w:r>
      <w:r w:rsidR="009530C9" w:rsidRPr="00C65C63">
        <w:rPr>
          <w:spacing w:val="-7"/>
        </w:rPr>
        <w:t xml:space="preserve"> </w:t>
      </w:r>
      <w:r w:rsidR="009530C9" w:rsidRPr="00C65C63">
        <w:t>a</w:t>
      </w:r>
      <w:r w:rsidR="009530C9" w:rsidRPr="00C65C63">
        <w:rPr>
          <w:spacing w:val="-7"/>
        </w:rPr>
        <w:t xml:space="preserve"> </w:t>
      </w:r>
      <w:r w:rsidR="009530C9" w:rsidRPr="00C65C63">
        <w:t>commitment</w:t>
      </w:r>
      <w:r w:rsidR="009530C9" w:rsidRPr="00C65C63">
        <w:rPr>
          <w:spacing w:val="-6"/>
        </w:rPr>
        <w:t xml:space="preserve"> </w:t>
      </w:r>
      <w:r w:rsidR="009530C9" w:rsidRPr="00C65C63">
        <w:t>by</w:t>
      </w:r>
      <w:r w:rsidR="009530C9" w:rsidRPr="00C65C63">
        <w:rPr>
          <w:spacing w:val="-20"/>
        </w:rPr>
        <w:t xml:space="preserve"> </w:t>
      </w:r>
      <w:r w:rsidR="00C315CD" w:rsidRPr="00C65C63">
        <w:t>the sponsor</w:t>
      </w:r>
      <w:r w:rsidR="009530C9" w:rsidRPr="00C65C63">
        <w:rPr>
          <w:spacing w:val="-6"/>
        </w:rPr>
        <w:t xml:space="preserve"> </w:t>
      </w:r>
      <w:r w:rsidR="009530C9" w:rsidRPr="00C65C63">
        <w:t>to provide</w:t>
      </w:r>
      <w:r w:rsidR="009530C9" w:rsidRPr="00C65C63">
        <w:rPr>
          <w:spacing w:val="-10"/>
        </w:rPr>
        <w:t xml:space="preserve"> </w:t>
      </w:r>
      <w:r w:rsidR="009530C9" w:rsidRPr="00C65C63">
        <w:t>final</w:t>
      </w:r>
      <w:r w:rsidR="009530C9" w:rsidRPr="00C65C63">
        <w:rPr>
          <w:spacing w:val="-6"/>
        </w:rPr>
        <w:t xml:space="preserve"> </w:t>
      </w:r>
      <w:r w:rsidR="009530C9" w:rsidRPr="00C65C63">
        <w:t>results</w:t>
      </w:r>
      <w:r w:rsidR="009530C9" w:rsidRPr="00C65C63">
        <w:rPr>
          <w:spacing w:val="-6"/>
        </w:rPr>
        <w:t xml:space="preserve"> </w:t>
      </w:r>
      <w:r w:rsidR="009530C9" w:rsidRPr="00C65C63">
        <w:t>from</w:t>
      </w:r>
      <w:r w:rsidR="009530C9" w:rsidRPr="00C65C63">
        <w:rPr>
          <w:spacing w:val="-6"/>
        </w:rPr>
        <w:t xml:space="preserve"> </w:t>
      </w:r>
      <w:r w:rsidR="009530C9" w:rsidRPr="00C65C63">
        <w:t>the</w:t>
      </w:r>
      <w:r w:rsidR="009530C9" w:rsidRPr="00C65C63">
        <w:rPr>
          <w:spacing w:val="-7"/>
        </w:rPr>
        <w:t xml:space="preserve"> </w:t>
      </w:r>
      <w:r w:rsidR="009530C9" w:rsidRPr="00C65C63">
        <w:t>CVOT</w:t>
      </w:r>
      <w:r w:rsidR="009530C9" w:rsidRPr="00C65C63">
        <w:rPr>
          <w:spacing w:val="-6"/>
        </w:rPr>
        <w:t xml:space="preserve"> </w:t>
      </w:r>
      <w:r w:rsidR="009530C9" w:rsidRPr="00C65C63">
        <w:t>after</w:t>
      </w:r>
      <w:r w:rsidR="009530C9" w:rsidRPr="00C65C63">
        <w:rPr>
          <w:spacing w:val="-7"/>
        </w:rPr>
        <w:t xml:space="preserve"> </w:t>
      </w:r>
      <w:r w:rsidR="009530C9" w:rsidRPr="00C65C63">
        <w:t>its</w:t>
      </w:r>
      <w:r w:rsidR="009530C9" w:rsidRPr="00C65C63">
        <w:rPr>
          <w:spacing w:val="-6"/>
        </w:rPr>
        <w:t xml:space="preserve"> </w:t>
      </w:r>
      <w:r w:rsidR="009530C9" w:rsidRPr="00C65C63">
        <w:t>completion.</w:t>
      </w:r>
    </w:p>
    <w:p w14:paraId="678FBC65" w14:textId="2BE24BB3" w:rsidR="009530C9" w:rsidRDefault="009530C9" w:rsidP="00901A31">
      <w:r>
        <w:rPr>
          <w:spacing w:val="-3"/>
        </w:rPr>
        <w:lastRenderedPageBreak/>
        <w:t>In</w:t>
      </w:r>
      <w:r>
        <w:rPr>
          <w:spacing w:val="-8"/>
        </w:rPr>
        <w:t xml:space="preserve"> </w:t>
      </w:r>
      <w:r>
        <w:t>the</w:t>
      </w:r>
      <w:r>
        <w:rPr>
          <w:spacing w:val="-9"/>
        </w:rPr>
        <w:t xml:space="preserve"> </w:t>
      </w:r>
      <w:r>
        <w:t>4</w:t>
      </w:r>
      <w:r w:rsidR="00C315CD">
        <w:t xml:space="preserve"> </w:t>
      </w:r>
      <w:r>
        <w:t>month</w:t>
      </w:r>
      <w:r>
        <w:rPr>
          <w:spacing w:val="-6"/>
        </w:rPr>
        <w:t xml:space="preserve"> </w:t>
      </w:r>
      <w:r>
        <w:t>SUR,</w:t>
      </w:r>
      <w:r>
        <w:rPr>
          <w:spacing w:val="-6"/>
        </w:rPr>
        <w:t xml:space="preserve"> </w:t>
      </w:r>
      <w:r>
        <w:t>the</w:t>
      </w:r>
      <w:r>
        <w:rPr>
          <w:spacing w:val="-12"/>
        </w:rPr>
        <w:t xml:space="preserve"> </w:t>
      </w:r>
      <w:r>
        <w:t>cumulative</w:t>
      </w:r>
      <w:r>
        <w:rPr>
          <w:spacing w:val="-9"/>
        </w:rPr>
        <w:t xml:space="preserve"> </w:t>
      </w:r>
      <w:r>
        <w:t>incidence</w:t>
      </w:r>
      <w:r>
        <w:rPr>
          <w:spacing w:val="-9"/>
        </w:rPr>
        <w:t xml:space="preserve"> </w:t>
      </w:r>
      <w:r>
        <w:t>of</w:t>
      </w:r>
      <w:r>
        <w:rPr>
          <w:spacing w:val="-4"/>
        </w:rPr>
        <w:t xml:space="preserve"> </w:t>
      </w:r>
      <w:r>
        <w:t>AEs</w:t>
      </w:r>
      <w:r>
        <w:rPr>
          <w:spacing w:val="-6"/>
        </w:rPr>
        <w:t xml:space="preserve"> </w:t>
      </w:r>
      <w:r>
        <w:t>resulting</w:t>
      </w:r>
      <w:r>
        <w:rPr>
          <w:spacing w:val="-13"/>
        </w:rPr>
        <w:t xml:space="preserve"> </w:t>
      </w:r>
      <w:r>
        <w:t>in</w:t>
      </w:r>
      <w:r>
        <w:rPr>
          <w:spacing w:val="-6"/>
        </w:rPr>
        <w:t xml:space="preserve"> </w:t>
      </w:r>
      <w:r>
        <w:t>death</w:t>
      </w:r>
      <w:r>
        <w:rPr>
          <w:spacing w:val="-6"/>
        </w:rPr>
        <w:t xml:space="preserve"> </w:t>
      </w:r>
      <w:r>
        <w:t>in</w:t>
      </w:r>
      <w:r>
        <w:rPr>
          <w:spacing w:val="-6"/>
        </w:rPr>
        <w:t xml:space="preserve"> </w:t>
      </w:r>
      <w:r>
        <w:t>the</w:t>
      </w:r>
      <w:r>
        <w:rPr>
          <w:spacing w:val="-9"/>
        </w:rPr>
        <w:t xml:space="preserve"> </w:t>
      </w:r>
      <w:r>
        <w:t>Broad</w:t>
      </w:r>
      <w:r>
        <w:rPr>
          <w:spacing w:val="-6"/>
        </w:rPr>
        <w:t xml:space="preserve"> </w:t>
      </w:r>
      <w:r>
        <w:t>Pool</w:t>
      </w:r>
      <w:r>
        <w:rPr>
          <w:spacing w:val="-5"/>
        </w:rPr>
        <w:t xml:space="preserve"> </w:t>
      </w:r>
      <w:r>
        <w:t>was</w:t>
      </w:r>
      <w:r>
        <w:rPr>
          <w:spacing w:val="-6"/>
        </w:rPr>
        <w:t xml:space="preserve"> </w:t>
      </w:r>
      <w:r>
        <w:t>low</w:t>
      </w:r>
      <w:r>
        <w:rPr>
          <w:spacing w:val="-6"/>
        </w:rPr>
        <w:t xml:space="preserve"> </w:t>
      </w:r>
      <w:r>
        <w:t>and similar across groups; the cumulative in</w:t>
      </w:r>
      <w:r w:rsidR="00A43733">
        <w:t>cidence in the All Post Randomis</w:t>
      </w:r>
      <w:r>
        <w:t>ation Follow-up period was 0.6%, 0.5%, and 0.7% in the ertugliflozin 5</w:t>
      </w:r>
      <w:r w:rsidR="00715B39">
        <w:t xml:space="preserve"> </w:t>
      </w:r>
      <w:r w:rsidR="006D7D02">
        <w:t>mg</w:t>
      </w:r>
      <w:r>
        <w:t>, 15</w:t>
      </w:r>
      <w:r w:rsidR="00715B39">
        <w:t xml:space="preserve"> </w:t>
      </w:r>
      <w:r w:rsidR="006D7D02">
        <w:t>mg</w:t>
      </w:r>
      <w:r>
        <w:t>, and non</w:t>
      </w:r>
      <w:r w:rsidR="00B45B46">
        <w:noBreakHyphen/>
      </w:r>
      <w:r>
        <w:t xml:space="preserve">ertugliflozin groups, respectively. Based on these data, </w:t>
      </w:r>
      <w:r w:rsidR="00C315CD">
        <w:t>the sponsor</w:t>
      </w:r>
      <w:r>
        <w:t xml:space="preserve"> respectfully disagrees that there is an imbalance</w:t>
      </w:r>
      <w:r>
        <w:rPr>
          <w:spacing w:val="-8"/>
        </w:rPr>
        <w:t xml:space="preserve"> </w:t>
      </w:r>
      <w:r>
        <w:t>in</w:t>
      </w:r>
      <w:r>
        <w:rPr>
          <w:spacing w:val="-5"/>
        </w:rPr>
        <w:t xml:space="preserve"> </w:t>
      </w:r>
      <w:r>
        <w:t>death</w:t>
      </w:r>
      <w:r>
        <w:rPr>
          <w:spacing w:val="-5"/>
        </w:rPr>
        <w:t xml:space="preserve"> </w:t>
      </w:r>
      <w:r>
        <w:t>with</w:t>
      </w:r>
      <w:r>
        <w:rPr>
          <w:spacing w:val="-5"/>
        </w:rPr>
        <w:t xml:space="preserve"> </w:t>
      </w:r>
      <w:r>
        <w:t>ertugliflozin</w:t>
      </w:r>
      <w:r>
        <w:rPr>
          <w:spacing w:val="-5"/>
        </w:rPr>
        <w:t xml:space="preserve"> </w:t>
      </w:r>
      <w:r>
        <w:t>and</w:t>
      </w:r>
      <w:r>
        <w:rPr>
          <w:spacing w:val="-7"/>
        </w:rPr>
        <w:t xml:space="preserve"> </w:t>
      </w:r>
      <w:r>
        <w:t>does</w:t>
      </w:r>
      <w:r>
        <w:rPr>
          <w:spacing w:val="-5"/>
        </w:rPr>
        <w:t xml:space="preserve"> </w:t>
      </w:r>
      <w:r>
        <w:t>not</w:t>
      </w:r>
      <w:r>
        <w:rPr>
          <w:spacing w:val="-7"/>
        </w:rPr>
        <w:t xml:space="preserve"> </w:t>
      </w:r>
      <w:r>
        <w:t>agree</w:t>
      </w:r>
      <w:r>
        <w:rPr>
          <w:spacing w:val="-8"/>
        </w:rPr>
        <w:t xml:space="preserve"> </w:t>
      </w:r>
      <w:r>
        <w:t>with</w:t>
      </w:r>
      <w:r>
        <w:rPr>
          <w:spacing w:val="-5"/>
        </w:rPr>
        <w:t xml:space="preserve"> </w:t>
      </w:r>
      <w:r>
        <w:t>adding</w:t>
      </w:r>
      <w:r>
        <w:rPr>
          <w:spacing w:val="-12"/>
        </w:rPr>
        <w:t xml:space="preserve"> </w:t>
      </w:r>
      <w:r>
        <w:t>wording</w:t>
      </w:r>
      <w:r>
        <w:rPr>
          <w:spacing w:val="-10"/>
        </w:rPr>
        <w:t xml:space="preserve"> </w:t>
      </w:r>
      <w:r>
        <w:t>to</w:t>
      </w:r>
      <w:r>
        <w:rPr>
          <w:spacing w:val="-5"/>
        </w:rPr>
        <w:t xml:space="preserve"> </w:t>
      </w:r>
      <w:r>
        <w:t>the</w:t>
      </w:r>
      <w:r>
        <w:rPr>
          <w:spacing w:val="-8"/>
        </w:rPr>
        <w:t xml:space="preserve"> </w:t>
      </w:r>
      <w:r>
        <w:rPr>
          <w:spacing w:val="-4"/>
        </w:rPr>
        <w:t>PI.</w:t>
      </w:r>
    </w:p>
    <w:p w14:paraId="103B678E" w14:textId="507A7448" w:rsidR="009530C9" w:rsidRDefault="009530C9" w:rsidP="00901A31">
      <w:r w:rsidRPr="00C65C63">
        <w:t>Although there was a small imbalance in the incidence of amputations in the SUR Broad Pool (ertugliflozin 5</w:t>
      </w:r>
      <w:r w:rsidR="00715B39">
        <w:t xml:space="preserve"> </w:t>
      </w:r>
      <w:r w:rsidR="006D7D02">
        <w:t>mg</w:t>
      </w:r>
      <w:r w:rsidRPr="00C65C63">
        <w:t>: 0.2%; ertugliflozin 15</w:t>
      </w:r>
      <w:r w:rsidR="00715B39">
        <w:t xml:space="preserve"> </w:t>
      </w:r>
      <w:r w:rsidR="006D7D02">
        <w:t>mg</w:t>
      </w:r>
      <w:r w:rsidRPr="00C65C63">
        <w:t xml:space="preserve">: 0.5%; non-ertugliflozin: 0.1%), the limited number of cases (12 subjects) makes assessment of a causal association with ertugliflozin difficult. </w:t>
      </w:r>
      <w:r w:rsidRPr="00C65C63">
        <w:rPr>
          <w:spacing w:val="-4"/>
        </w:rPr>
        <w:t xml:space="preserve">In </w:t>
      </w:r>
      <w:r w:rsidRPr="00C65C63">
        <w:t>addition, the assessment is confounded by the fact that all subjects had baseline risk factors for</w:t>
      </w:r>
      <w:r w:rsidRPr="00C65C63">
        <w:rPr>
          <w:spacing w:val="-11"/>
        </w:rPr>
        <w:t xml:space="preserve"> </w:t>
      </w:r>
      <w:r w:rsidRPr="00C65C63">
        <w:t>amputation,</w:t>
      </w:r>
      <w:r w:rsidRPr="00C65C63">
        <w:rPr>
          <w:spacing w:val="-10"/>
        </w:rPr>
        <w:t xml:space="preserve"> </w:t>
      </w:r>
      <w:r w:rsidRPr="00C65C63">
        <w:t>as</w:t>
      </w:r>
      <w:r w:rsidRPr="00C65C63">
        <w:rPr>
          <w:spacing w:val="-10"/>
        </w:rPr>
        <w:t xml:space="preserve"> </w:t>
      </w:r>
      <w:r w:rsidRPr="00C65C63">
        <w:t>noted</w:t>
      </w:r>
      <w:r w:rsidRPr="00C65C63">
        <w:rPr>
          <w:spacing w:val="-10"/>
        </w:rPr>
        <w:t xml:space="preserve"> </w:t>
      </w:r>
      <w:r w:rsidRPr="00C65C63">
        <w:t>by</w:t>
      </w:r>
      <w:r w:rsidRPr="00C65C63">
        <w:rPr>
          <w:spacing w:val="-19"/>
        </w:rPr>
        <w:t xml:space="preserve"> </w:t>
      </w:r>
      <w:r w:rsidRPr="00C65C63">
        <w:t>TGA</w:t>
      </w:r>
      <w:r w:rsidRPr="00C65C63">
        <w:rPr>
          <w:spacing w:val="-11"/>
        </w:rPr>
        <w:t xml:space="preserve"> </w:t>
      </w:r>
      <w:r w:rsidRPr="00C65C63">
        <w:t>clinical</w:t>
      </w:r>
      <w:r w:rsidRPr="00C65C63">
        <w:rPr>
          <w:spacing w:val="-10"/>
        </w:rPr>
        <w:t xml:space="preserve"> </w:t>
      </w:r>
      <w:r w:rsidRPr="00C65C63">
        <w:t>evaluator.</w:t>
      </w:r>
      <w:r w:rsidRPr="00C65C63">
        <w:rPr>
          <w:spacing w:val="-10"/>
        </w:rPr>
        <w:t xml:space="preserve"> </w:t>
      </w:r>
      <w:r w:rsidRPr="00C65C63">
        <w:t>VERTIS- CV</w:t>
      </w:r>
      <w:r w:rsidRPr="00C65C63">
        <w:rPr>
          <w:spacing w:val="-10"/>
        </w:rPr>
        <w:t xml:space="preserve"> </w:t>
      </w:r>
      <w:r w:rsidRPr="00C65C63">
        <w:t>is</w:t>
      </w:r>
      <w:r w:rsidRPr="00C65C63">
        <w:rPr>
          <w:spacing w:val="-7"/>
        </w:rPr>
        <w:t xml:space="preserve"> </w:t>
      </w:r>
      <w:r w:rsidRPr="00C65C63">
        <w:t>a</w:t>
      </w:r>
      <w:r w:rsidRPr="00C65C63">
        <w:rPr>
          <w:spacing w:val="-10"/>
        </w:rPr>
        <w:t xml:space="preserve"> </w:t>
      </w:r>
      <w:r w:rsidRPr="00C65C63">
        <w:t>large,</w:t>
      </w:r>
      <w:r w:rsidRPr="00C65C63">
        <w:rPr>
          <w:spacing w:val="-9"/>
        </w:rPr>
        <w:t xml:space="preserve"> </w:t>
      </w:r>
      <w:r w:rsidRPr="00C65C63">
        <w:t>ongoing</w:t>
      </w:r>
      <w:r w:rsidRPr="00C65C63">
        <w:rPr>
          <w:spacing w:val="-14"/>
        </w:rPr>
        <w:t xml:space="preserve"> </w:t>
      </w:r>
      <w:r w:rsidRPr="00C65C63">
        <w:t>CVOT</w:t>
      </w:r>
      <w:r w:rsidRPr="00C65C63">
        <w:rPr>
          <w:spacing w:val="-9"/>
        </w:rPr>
        <w:t xml:space="preserve"> </w:t>
      </w:r>
      <w:r w:rsidRPr="00C65C63">
        <w:t>in</w:t>
      </w:r>
      <w:r w:rsidRPr="00C65C63">
        <w:rPr>
          <w:spacing w:val="-9"/>
        </w:rPr>
        <w:t xml:space="preserve"> </w:t>
      </w:r>
      <w:r w:rsidRPr="00C65C63">
        <w:t>subjects</w:t>
      </w:r>
      <w:r w:rsidRPr="00C65C63">
        <w:rPr>
          <w:spacing w:val="-9"/>
        </w:rPr>
        <w:t xml:space="preserve"> </w:t>
      </w:r>
      <w:r w:rsidRPr="00C65C63">
        <w:t>with</w:t>
      </w:r>
      <w:r w:rsidRPr="00C65C63">
        <w:rPr>
          <w:spacing w:val="-7"/>
        </w:rPr>
        <w:t xml:space="preserve"> </w:t>
      </w:r>
      <w:r w:rsidRPr="00C65C63">
        <w:t>established</w:t>
      </w:r>
      <w:r w:rsidRPr="00C65C63">
        <w:rPr>
          <w:spacing w:val="-9"/>
        </w:rPr>
        <w:t xml:space="preserve"> </w:t>
      </w:r>
      <w:r w:rsidRPr="00C65C63">
        <w:t>CV</w:t>
      </w:r>
      <w:r w:rsidRPr="00C65C63">
        <w:rPr>
          <w:spacing w:val="-10"/>
        </w:rPr>
        <w:t xml:space="preserve"> </w:t>
      </w:r>
      <w:r w:rsidRPr="00C65C63">
        <w:t>disease.</w:t>
      </w:r>
      <w:r w:rsidRPr="00C65C63">
        <w:rPr>
          <w:spacing w:val="-7"/>
        </w:rPr>
        <w:t xml:space="preserve"> </w:t>
      </w:r>
      <w:r w:rsidRPr="00C65C63">
        <w:t>Interim</w:t>
      </w:r>
      <w:r w:rsidRPr="00C65C63">
        <w:rPr>
          <w:spacing w:val="-9"/>
        </w:rPr>
        <w:t xml:space="preserve"> </w:t>
      </w:r>
      <w:r w:rsidRPr="00C65C63">
        <w:t>amputation</w:t>
      </w:r>
      <w:r w:rsidRPr="00C65C63">
        <w:rPr>
          <w:spacing w:val="-9"/>
        </w:rPr>
        <w:t xml:space="preserve"> </w:t>
      </w:r>
      <w:r w:rsidRPr="00C65C63">
        <w:t>data</w:t>
      </w:r>
      <w:r w:rsidRPr="00C65C63">
        <w:rPr>
          <w:spacing w:val="-10"/>
        </w:rPr>
        <w:t xml:space="preserve"> </w:t>
      </w:r>
      <w:r w:rsidRPr="00C65C63">
        <w:t>from</w:t>
      </w:r>
      <w:r w:rsidRPr="00C65C63">
        <w:rPr>
          <w:spacing w:val="-9"/>
        </w:rPr>
        <w:t xml:space="preserve"> </w:t>
      </w:r>
      <w:r w:rsidRPr="00C65C63">
        <w:t xml:space="preserve">the ongoing CVOT, that were previously available to only </w:t>
      </w:r>
      <w:r w:rsidR="00C315CD" w:rsidRPr="00C65C63">
        <w:t>the sponsor</w:t>
      </w:r>
      <w:r w:rsidRPr="00C65C63">
        <w:t>’s firewalled team, were recently released to the public by the US FDA. Compared to the SUR Broad Pool, where there were 12 subjects with 1 or more amputations, there were 61 (on-treatment analysis) and 72 (all follow-up analysis) subjects with 1 or more amputations in the analyses released by the US FDA. The data show that the magnitude of the differences in event rates are small and not dose</w:t>
      </w:r>
      <w:r w:rsidR="002F3CCE" w:rsidRPr="00C65C63">
        <w:t xml:space="preserve"> </w:t>
      </w:r>
      <w:r w:rsidRPr="00C65C63">
        <w:t xml:space="preserve">dependent further supporting </w:t>
      </w:r>
      <w:r w:rsidR="00C315CD" w:rsidRPr="00C65C63">
        <w:t>the sponsor</w:t>
      </w:r>
      <w:r w:rsidRPr="00C65C63">
        <w:t xml:space="preserve">’s position that a causal association with ertugliflozin has not been established. Nevertheless, </w:t>
      </w:r>
      <w:r w:rsidR="00C315CD" w:rsidRPr="00C65C63">
        <w:t>the sponsor</w:t>
      </w:r>
      <w:r w:rsidRPr="00C65C63">
        <w:t xml:space="preserve"> agrees to update the PI to include the requested warning language describing an increased risk of amputation with</w:t>
      </w:r>
      <w:r w:rsidRPr="00C65C63">
        <w:rPr>
          <w:spacing w:val="-9"/>
        </w:rPr>
        <w:t xml:space="preserve"> </w:t>
      </w:r>
      <w:r w:rsidRPr="00C65C63">
        <w:t>another</w:t>
      </w:r>
      <w:r w:rsidRPr="00C65C63">
        <w:rPr>
          <w:spacing w:val="-10"/>
        </w:rPr>
        <w:t xml:space="preserve"> </w:t>
      </w:r>
      <w:r w:rsidRPr="00C65C63">
        <w:t>SGLT2</w:t>
      </w:r>
      <w:r w:rsidRPr="00C65C63">
        <w:rPr>
          <w:spacing w:val="-7"/>
        </w:rPr>
        <w:t xml:space="preserve"> </w:t>
      </w:r>
      <w:r w:rsidRPr="00C65C63">
        <w:t>inhibitor.</w:t>
      </w:r>
      <w:r w:rsidRPr="00C65C63">
        <w:rPr>
          <w:spacing w:val="-9"/>
        </w:rPr>
        <w:t xml:space="preserve"> </w:t>
      </w:r>
      <w:r w:rsidRPr="00C65C63">
        <w:t>With</w:t>
      </w:r>
      <w:r w:rsidRPr="00C65C63">
        <w:rPr>
          <w:spacing w:val="-9"/>
        </w:rPr>
        <w:t xml:space="preserve"> </w:t>
      </w:r>
      <w:r w:rsidRPr="00C65C63">
        <w:rPr>
          <w:spacing w:val="-3"/>
        </w:rPr>
        <w:t>regard</w:t>
      </w:r>
      <w:r w:rsidRPr="00C65C63">
        <w:rPr>
          <w:spacing w:val="-12"/>
        </w:rPr>
        <w:t xml:space="preserve"> </w:t>
      </w:r>
      <w:r w:rsidRPr="00C65C63">
        <w:t>to</w:t>
      </w:r>
      <w:r w:rsidRPr="00C65C63">
        <w:rPr>
          <w:spacing w:val="-7"/>
        </w:rPr>
        <w:t xml:space="preserve"> </w:t>
      </w:r>
      <w:r w:rsidRPr="00C65C63">
        <w:t>amputation</w:t>
      </w:r>
      <w:r w:rsidRPr="00C65C63">
        <w:rPr>
          <w:spacing w:val="-9"/>
        </w:rPr>
        <w:t xml:space="preserve"> </w:t>
      </w:r>
      <w:r w:rsidRPr="00C65C63">
        <w:t>incidence</w:t>
      </w:r>
      <w:r w:rsidRPr="00C65C63">
        <w:rPr>
          <w:spacing w:val="-10"/>
        </w:rPr>
        <w:t xml:space="preserve"> </w:t>
      </w:r>
      <w:r w:rsidRPr="00C65C63">
        <w:t>data,</w:t>
      </w:r>
      <w:r w:rsidRPr="00C65C63">
        <w:rPr>
          <w:spacing w:val="-9"/>
        </w:rPr>
        <w:t xml:space="preserve"> </w:t>
      </w:r>
      <w:r w:rsidR="00C315CD" w:rsidRPr="00C65C63">
        <w:t>the sponsor</w:t>
      </w:r>
      <w:r w:rsidRPr="00C65C63">
        <w:rPr>
          <w:spacing w:val="-9"/>
        </w:rPr>
        <w:t xml:space="preserve"> </w:t>
      </w:r>
      <w:r w:rsidRPr="00C65C63">
        <w:t>is</w:t>
      </w:r>
      <w:r w:rsidRPr="00C65C63">
        <w:rPr>
          <w:spacing w:val="-9"/>
        </w:rPr>
        <w:t xml:space="preserve"> </w:t>
      </w:r>
      <w:r w:rsidRPr="00C65C63">
        <w:t>aware</w:t>
      </w:r>
      <w:r w:rsidRPr="00C65C63">
        <w:rPr>
          <w:spacing w:val="-10"/>
        </w:rPr>
        <w:t xml:space="preserve"> </w:t>
      </w:r>
      <w:r w:rsidRPr="00C65C63">
        <w:t>that</w:t>
      </w:r>
      <w:r w:rsidRPr="00C65C63">
        <w:rPr>
          <w:spacing w:val="-9"/>
        </w:rPr>
        <w:t xml:space="preserve"> </w:t>
      </w:r>
      <w:r w:rsidRPr="00C65C63">
        <w:t>the empagliflozin</w:t>
      </w:r>
      <w:r w:rsidRPr="00C65C63">
        <w:rPr>
          <w:spacing w:val="-8"/>
        </w:rPr>
        <w:t xml:space="preserve"> </w:t>
      </w:r>
      <w:r w:rsidRPr="00C65C63">
        <w:t>PI</w:t>
      </w:r>
      <w:r w:rsidRPr="00C65C63">
        <w:rPr>
          <w:spacing w:val="-16"/>
        </w:rPr>
        <w:t xml:space="preserve"> </w:t>
      </w:r>
      <w:r w:rsidRPr="00C65C63">
        <w:t>contains</w:t>
      </w:r>
      <w:r w:rsidRPr="00C65C63">
        <w:rPr>
          <w:spacing w:val="-3"/>
        </w:rPr>
        <w:t xml:space="preserve"> </w:t>
      </w:r>
      <w:r w:rsidRPr="00C65C63">
        <w:t>such</w:t>
      </w:r>
      <w:r w:rsidRPr="00C65C63">
        <w:rPr>
          <w:spacing w:val="-6"/>
        </w:rPr>
        <w:t xml:space="preserve"> </w:t>
      </w:r>
      <w:r w:rsidRPr="00C65C63">
        <w:t>data</w:t>
      </w:r>
      <w:r w:rsidRPr="00C65C63">
        <w:rPr>
          <w:spacing w:val="-9"/>
        </w:rPr>
        <w:t xml:space="preserve"> </w:t>
      </w:r>
      <w:r w:rsidRPr="00C65C63">
        <w:t>but</w:t>
      </w:r>
      <w:r w:rsidRPr="00C65C63">
        <w:rPr>
          <w:spacing w:val="-5"/>
        </w:rPr>
        <w:t xml:space="preserve"> </w:t>
      </w:r>
      <w:r w:rsidRPr="00C65C63">
        <w:t>notes</w:t>
      </w:r>
      <w:r w:rsidRPr="00C65C63">
        <w:rPr>
          <w:spacing w:val="-8"/>
        </w:rPr>
        <w:t xml:space="preserve"> </w:t>
      </w:r>
      <w:r w:rsidRPr="00C65C63">
        <w:t>that</w:t>
      </w:r>
      <w:r w:rsidRPr="00C65C63">
        <w:rPr>
          <w:spacing w:val="-5"/>
        </w:rPr>
        <w:t xml:space="preserve"> </w:t>
      </w:r>
      <w:r w:rsidRPr="00C65C63">
        <w:t>it</w:t>
      </w:r>
      <w:r w:rsidRPr="00C65C63">
        <w:rPr>
          <w:spacing w:val="-5"/>
        </w:rPr>
        <w:t xml:space="preserve"> </w:t>
      </w:r>
      <w:r w:rsidRPr="00C65C63">
        <w:t>is</w:t>
      </w:r>
      <w:r w:rsidRPr="00C65C63">
        <w:rPr>
          <w:spacing w:val="-6"/>
        </w:rPr>
        <w:t xml:space="preserve"> </w:t>
      </w:r>
      <w:r w:rsidRPr="00C65C63">
        <w:t>based</w:t>
      </w:r>
      <w:r w:rsidRPr="00C65C63">
        <w:rPr>
          <w:spacing w:val="-8"/>
        </w:rPr>
        <w:t xml:space="preserve"> </w:t>
      </w:r>
      <w:r w:rsidRPr="00C65C63">
        <w:t>on</w:t>
      </w:r>
      <w:r w:rsidRPr="00C65C63">
        <w:rPr>
          <w:spacing w:val="-6"/>
        </w:rPr>
        <w:t xml:space="preserve"> </w:t>
      </w:r>
      <w:r w:rsidRPr="00C65C63">
        <w:t>a</w:t>
      </w:r>
      <w:r w:rsidRPr="00C65C63">
        <w:rPr>
          <w:spacing w:val="-9"/>
        </w:rPr>
        <w:t xml:space="preserve"> </w:t>
      </w:r>
      <w:r w:rsidRPr="00C65C63">
        <w:t>relatively</w:t>
      </w:r>
      <w:r w:rsidRPr="00C65C63">
        <w:rPr>
          <w:spacing w:val="-15"/>
        </w:rPr>
        <w:t xml:space="preserve"> </w:t>
      </w:r>
      <w:r w:rsidRPr="00C65C63">
        <w:t>large</w:t>
      </w:r>
      <w:r w:rsidRPr="00C65C63">
        <w:rPr>
          <w:spacing w:val="-9"/>
        </w:rPr>
        <w:t xml:space="preserve"> </w:t>
      </w:r>
      <w:r w:rsidRPr="00C65C63">
        <w:t>number</w:t>
      </w:r>
      <w:r w:rsidRPr="00C65C63">
        <w:rPr>
          <w:spacing w:val="-9"/>
        </w:rPr>
        <w:t xml:space="preserve"> </w:t>
      </w:r>
      <w:r w:rsidRPr="00C65C63">
        <w:t>of</w:t>
      </w:r>
      <w:r w:rsidRPr="00C65C63">
        <w:rPr>
          <w:spacing w:val="-9"/>
        </w:rPr>
        <w:t xml:space="preserve"> </w:t>
      </w:r>
      <w:r w:rsidRPr="00C65C63">
        <w:t>cases</w:t>
      </w:r>
      <w:r w:rsidRPr="00C65C63">
        <w:rPr>
          <w:spacing w:val="-6"/>
        </w:rPr>
        <w:t xml:space="preserve"> </w:t>
      </w:r>
      <w:r w:rsidRPr="00C65C63">
        <w:t>from</w:t>
      </w:r>
      <w:r w:rsidRPr="00C65C63">
        <w:rPr>
          <w:spacing w:val="-5"/>
        </w:rPr>
        <w:t xml:space="preserve"> </w:t>
      </w:r>
      <w:r w:rsidRPr="00C65C63">
        <w:t>a</w:t>
      </w:r>
      <w:r w:rsidR="00490C29" w:rsidRPr="00C65C63">
        <w:t xml:space="preserve"> </w:t>
      </w:r>
      <w:r w:rsidRPr="00C65C63">
        <w:t>completed</w:t>
      </w:r>
      <w:r w:rsidRPr="00C65C63">
        <w:rPr>
          <w:i/>
          <w:spacing w:val="-8"/>
        </w:rPr>
        <w:t xml:space="preserve"> </w:t>
      </w:r>
      <w:r w:rsidRPr="00C65C63">
        <w:t>study</w:t>
      </w:r>
      <w:r w:rsidRPr="00C65C63">
        <w:rPr>
          <w:spacing w:val="-18"/>
        </w:rPr>
        <w:t xml:space="preserve"> </w:t>
      </w:r>
      <w:r w:rsidRPr="00C65C63">
        <w:t>in</w:t>
      </w:r>
      <w:r w:rsidRPr="00C65C63">
        <w:rPr>
          <w:spacing w:val="-7"/>
        </w:rPr>
        <w:t xml:space="preserve"> </w:t>
      </w:r>
      <w:r w:rsidRPr="00C65C63">
        <w:t>subjects</w:t>
      </w:r>
      <w:r w:rsidRPr="00C65C63">
        <w:rPr>
          <w:spacing w:val="-7"/>
        </w:rPr>
        <w:t xml:space="preserve"> </w:t>
      </w:r>
      <w:r w:rsidRPr="00C65C63">
        <w:t>at</w:t>
      </w:r>
      <w:r w:rsidRPr="00C65C63">
        <w:rPr>
          <w:spacing w:val="-6"/>
        </w:rPr>
        <w:t xml:space="preserve"> </w:t>
      </w:r>
      <w:r w:rsidRPr="00C65C63">
        <w:t>higher</w:t>
      </w:r>
      <w:r w:rsidRPr="00C65C63">
        <w:rPr>
          <w:spacing w:val="-9"/>
        </w:rPr>
        <w:t xml:space="preserve"> </w:t>
      </w:r>
      <w:r w:rsidRPr="00C65C63">
        <w:t>risk</w:t>
      </w:r>
      <w:r w:rsidRPr="00C65C63">
        <w:rPr>
          <w:spacing w:val="-8"/>
        </w:rPr>
        <w:t xml:space="preserve"> </w:t>
      </w:r>
      <w:r w:rsidRPr="00C65C63">
        <w:t>for</w:t>
      </w:r>
      <w:r w:rsidRPr="00C65C63">
        <w:rPr>
          <w:spacing w:val="-9"/>
        </w:rPr>
        <w:t xml:space="preserve"> </w:t>
      </w:r>
      <w:r w:rsidRPr="00C65C63">
        <w:t>amputation.</w:t>
      </w:r>
      <w:r w:rsidRPr="00C65C63">
        <w:rPr>
          <w:spacing w:val="-7"/>
        </w:rPr>
        <w:t xml:space="preserve"> </w:t>
      </w:r>
      <w:r w:rsidRPr="00C65C63">
        <w:t>This</w:t>
      </w:r>
      <w:r w:rsidRPr="00C65C63">
        <w:rPr>
          <w:spacing w:val="-8"/>
        </w:rPr>
        <w:t xml:space="preserve"> </w:t>
      </w:r>
      <w:r w:rsidRPr="00C65C63">
        <w:t>is</w:t>
      </w:r>
      <w:r w:rsidRPr="00C65C63">
        <w:rPr>
          <w:spacing w:val="-7"/>
        </w:rPr>
        <w:t xml:space="preserve"> </w:t>
      </w:r>
      <w:r w:rsidRPr="00C65C63">
        <w:t>in</w:t>
      </w:r>
      <w:r w:rsidRPr="00C65C63">
        <w:rPr>
          <w:spacing w:val="-8"/>
        </w:rPr>
        <w:t xml:space="preserve"> </w:t>
      </w:r>
      <w:r w:rsidRPr="00C65C63">
        <w:t>contrast</w:t>
      </w:r>
      <w:r w:rsidRPr="00C65C63">
        <w:rPr>
          <w:spacing w:val="-6"/>
        </w:rPr>
        <w:t xml:space="preserve"> </w:t>
      </w:r>
      <w:r w:rsidRPr="00C65C63">
        <w:t>to</w:t>
      </w:r>
      <w:r w:rsidRPr="00C65C63">
        <w:rPr>
          <w:spacing w:val="-7"/>
        </w:rPr>
        <w:t xml:space="preserve"> </w:t>
      </w:r>
      <w:r w:rsidR="002F3CCE" w:rsidRPr="00C65C63">
        <w:t>the s</w:t>
      </w:r>
      <w:r w:rsidR="00A43733" w:rsidRPr="00C65C63">
        <w:t>p</w:t>
      </w:r>
      <w:r w:rsidR="002F3CCE" w:rsidRPr="00C65C63">
        <w:t>onsor’s</w:t>
      </w:r>
      <w:r w:rsidRPr="00C65C63">
        <w:rPr>
          <w:spacing w:val="-9"/>
        </w:rPr>
        <w:t xml:space="preserve"> </w:t>
      </w:r>
      <w:r w:rsidRPr="00C65C63">
        <w:t>data</w:t>
      </w:r>
      <w:r w:rsidRPr="00C65C63">
        <w:rPr>
          <w:spacing w:val="-9"/>
        </w:rPr>
        <w:t xml:space="preserve"> </w:t>
      </w:r>
      <w:r w:rsidRPr="00C65C63">
        <w:t>which</w:t>
      </w:r>
      <w:r w:rsidRPr="00C65C63">
        <w:rPr>
          <w:spacing w:val="-7"/>
        </w:rPr>
        <w:t xml:space="preserve"> </w:t>
      </w:r>
      <w:r w:rsidRPr="00C65C63">
        <w:t>are</w:t>
      </w:r>
      <w:r w:rsidRPr="00C65C63">
        <w:rPr>
          <w:spacing w:val="-9"/>
        </w:rPr>
        <w:t xml:space="preserve"> </w:t>
      </w:r>
      <w:r w:rsidRPr="00C65C63">
        <w:t>limited and/or</w:t>
      </w:r>
      <w:r w:rsidRPr="00C65C63">
        <w:rPr>
          <w:spacing w:val="-10"/>
        </w:rPr>
        <w:t xml:space="preserve"> </w:t>
      </w:r>
      <w:r w:rsidRPr="00C65C63">
        <w:t>interim</w:t>
      </w:r>
      <w:r w:rsidRPr="00C65C63">
        <w:rPr>
          <w:spacing w:val="-7"/>
        </w:rPr>
        <w:t xml:space="preserve"> </w:t>
      </w:r>
      <w:r w:rsidRPr="00C65C63">
        <w:t>in</w:t>
      </w:r>
      <w:r w:rsidRPr="00C65C63">
        <w:rPr>
          <w:spacing w:val="-10"/>
        </w:rPr>
        <w:t xml:space="preserve"> </w:t>
      </w:r>
      <w:r w:rsidRPr="00C65C63">
        <w:t>nature.</w:t>
      </w:r>
      <w:r w:rsidRPr="00C65C63">
        <w:rPr>
          <w:spacing w:val="-10"/>
        </w:rPr>
        <w:t xml:space="preserve"> </w:t>
      </w:r>
      <w:r w:rsidRPr="00C65C63">
        <w:t>Considering</w:t>
      </w:r>
      <w:r w:rsidRPr="00C65C63">
        <w:rPr>
          <w:spacing w:val="-12"/>
        </w:rPr>
        <w:t xml:space="preserve"> </w:t>
      </w:r>
      <w:r w:rsidRPr="00C65C63">
        <w:t>this,</w:t>
      </w:r>
      <w:r w:rsidRPr="00C65C63">
        <w:rPr>
          <w:spacing w:val="-5"/>
        </w:rPr>
        <w:t xml:space="preserve"> </w:t>
      </w:r>
      <w:r w:rsidRPr="00C65C63">
        <w:t>and</w:t>
      </w:r>
      <w:r w:rsidRPr="00C65C63">
        <w:rPr>
          <w:spacing w:val="-7"/>
        </w:rPr>
        <w:t xml:space="preserve"> </w:t>
      </w:r>
      <w:r w:rsidR="00C315CD" w:rsidRPr="00C65C63">
        <w:t>the sponsor</w:t>
      </w:r>
      <w:r w:rsidRPr="00C65C63">
        <w:t>’s</w:t>
      </w:r>
      <w:r w:rsidRPr="00C65C63">
        <w:rPr>
          <w:spacing w:val="-7"/>
        </w:rPr>
        <w:t xml:space="preserve"> </w:t>
      </w:r>
      <w:r w:rsidRPr="00C65C63">
        <w:t>position</w:t>
      </w:r>
      <w:r w:rsidRPr="00C65C63">
        <w:rPr>
          <w:spacing w:val="-10"/>
        </w:rPr>
        <w:t xml:space="preserve"> </w:t>
      </w:r>
      <w:r w:rsidRPr="00C65C63">
        <w:t>that</w:t>
      </w:r>
      <w:r w:rsidRPr="00C65C63">
        <w:rPr>
          <w:spacing w:val="-7"/>
        </w:rPr>
        <w:t xml:space="preserve"> </w:t>
      </w:r>
      <w:r w:rsidRPr="00C65C63">
        <w:t>a</w:t>
      </w:r>
      <w:r w:rsidRPr="00C65C63">
        <w:rPr>
          <w:spacing w:val="-8"/>
        </w:rPr>
        <w:t xml:space="preserve"> </w:t>
      </w:r>
      <w:r w:rsidRPr="00C65C63">
        <w:t>causal</w:t>
      </w:r>
      <w:r w:rsidRPr="00C65C63">
        <w:rPr>
          <w:spacing w:val="-7"/>
        </w:rPr>
        <w:t xml:space="preserve"> </w:t>
      </w:r>
      <w:r w:rsidRPr="00C65C63">
        <w:t>association</w:t>
      </w:r>
      <w:r w:rsidR="00490C29" w:rsidRPr="00C65C63">
        <w:t xml:space="preserve"> </w:t>
      </w:r>
      <w:r w:rsidRPr="00C65C63">
        <w:t xml:space="preserve">with ertugliflozin has not been established, </w:t>
      </w:r>
      <w:r w:rsidR="00C315CD" w:rsidRPr="00C65C63">
        <w:t>the sponsor</w:t>
      </w:r>
      <w:r w:rsidRPr="00C65C63">
        <w:t xml:space="preserve"> does not agree to add these data to the PI. Of note,</w:t>
      </w:r>
      <w:r w:rsidRPr="00C65C63">
        <w:rPr>
          <w:spacing w:val="-8"/>
        </w:rPr>
        <w:t xml:space="preserve"> </w:t>
      </w:r>
      <w:r w:rsidRPr="00C65C63">
        <w:t>the</w:t>
      </w:r>
      <w:r w:rsidRPr="00C65C63">
        <w:rPr>
          <w:spacing w:val="-9"/>
        </w:rPr>
        <w:t xml:space="preserve"> </w:t>
      </w:r>
      <w:r w:rsidRPr="00C65C63">
        <w:t>US</w:t>
      </w:r>
      <w:r w:rsidRPr="00C65C63">
        <w:rPr>
          <w:spacing w:val="-7"/>
        </w:rPr>
        <w:t xml:space="preserve"> </w:t>
      </w:r>
      <w:r w:rsidRPr="00C65C63">
        <w:t>FDA</w:t>
      </w:r>
      <w:r w:rsidRPr="00C65C63">
        <w:rPr>
          <w:spacing w:val="-9"/>
        </w:rPr>
        <w:t xml:space="preserve"> </w:t>
      </w:r>
      <w:r w:rsidRPr="00C65C63">
        <w:t>informed</w:t>
      </w:r>
      <w:r w:rsidRPr="00C65C63">
        <w:rPr>
          <w:spacing w:val="-6"/>
        </w:rPr>
        <w:t xml:space="preserve"> </w:t>
      </w:r>
      <w:r w:rsidR="00C315CD" w:rsidRPr="00C65C63">
        <w:t>the sponsor</w:t>
      </w:r>
      <w:r w:rsidRPr="00C65C63">
        <w:rPr>
          <w:spacing w:val="-8"/>
        </w:rPr>
        <w:t xml:space="preserve"> </w:t>
      </w:r>
      <w:r w:rsidRPr="00C65C63">
        <w:t>that</w:t>
      </w:r>
      <w:r w:rsidRPr="00C65C63">
        <w:rPr>
          <w:spacing w:val="-6"/>
        </w:rPr>
        <w:t xml:space="preserve"> </w:t>
      </w:r>
      <w:r w:rsidRPr="00C65C63">
        <w:t>they</w:t>
      </w:r>
      <w:r w:rsidRPr="00C65C63">
        <w:rPr>
          <w:spacing w:val="-15"/>
        </w:rPr>
        <w:t xml:space="preserve"> </w:t>
      </w:r>
      <w:r w:rsidR="00060C99" w:rsidRPr="00C65C63">
        <w:t>‘</w:t>
      </w:r>
      <w:r w:rsidRPr="00C65C63">
        <w:rPr>
          <w:i/>
        </w:rPr>
        <w:t>do</w:t>
      </w:r>
      <w:r w:rsidRPr="00C65C63">
        <w:rPr>
          <w:i/>
          <w:spacing w:val="-8"/>
        </w:rPr>
        <w:t xml:space="preserve"> </w:t>
      </w:r>
      <w:r w:rsidRPr="00C65C63">
        <w:rPr>
          <w:i/>
        </w:rPr>
        <w:t>not</w:t>
      </w:r>
      <w:r w:rsidRPr="00C65C63">
        <w:rPr>
          <w:i/>
          <w:spacing w:val="-6"/>
        </w:rPr>
        <w:t xml:space="preserve"> </w:t>
      </w:r>
      <w:r w:rsidRPr="00C65C63">
        <w:rPr>
          <w:i/>
        </w:rPr>
        <w:t>believe</w:t>
      </w:r>
      <w:r w:rsidRPr="00C65C63">
        <w:rPr>
          <w:i/>
          <w:spacing w:val="-9"/>
        </w:rPr>
        <w:t xml:space="preserve"> </w:t>
      </w:r>
      <w:r w:rsidRPr="00C65C63">
        <w:rPr>
          <w:i/>
        </w:rPr>
        <w:t>that</w:t>
      </w:r>
      <w:r w:rsidRPr="00C65C63">
        <w:rPr>
          <w:i/>
          <w:spacing w:val="-8"/>
        </w:rPr>
        <w:t xml:space="preserve"> </w:t>
      </w:r>
      <w:r w:rsidRPr="00C65C63">
        <w:rPr>
          <w:i/>
        </w:rPr>
        <w:t>the</w:t>
      </w:r>
      <w:r w:rsidRPr="00C65C63">
        <w:rPr>
          <w:i/>
          <w:spacing w:val="-7"/>
        </w:rPr>
        <w:t xml:space="preserve"> </w:t>
      </w:r>
      <w:r w:rsidRPr="00C65C63">
        <w:rPr>
          <w:i/>
        </w:rPr>
        <w:t>disclosure</w:t>
      </w:r>
      <w:r w:rsidRPr="00C65C63">
        <w:rPr>
          <w:i/>
          <w:spacing w:val="-9"/>
        </w:rPr>
        <w:t xml:space="preserve"> </w:t>
      </w:r>
      <w:r w:rsidRPr="00C65C63">
        <w:rPr>
          <w:i/>
        </w:rPr>
        <w:t>of</w:t>
      </w:r>
      <w:r w:rsidRPr="00C65C63">
        <w:rPr>
          <w:i/>
          <w:spacing w:val="-9"/>
        </w:rPr>
        <w:t xml:space="preserve"> </w:t>
      </w:r>
      <w:r w:rsidRPr="00C65C63">
        <w:rPr>
          <w:i/>
        </w:rPr>
        <w:t>the</w:t>
      </w:r>
      <w:r w:rsidRPr="00C65C63">
        <w:rPr>
          <w:i/>
          <w:spacing w:val="-9"/>
        </w:rPr>
        <w:t xml:space="preserve"> </w:t>
      </w:r>
      <w:r w:rsidRPr="00C65C63">
        <w:rPr>
          <w:i/>
        </w:rPr>
        <w:t>amputation data from the ongoing CVOT trial endangers the integrity of the trial</w:t>
      </w:r>
      <w:r w:rsidRPr="00C65C63">
        <w:t>.</w:t>
      </w:r>
      <w:r w:rsidR="00060C99" w:rsidRPr="00C65C63">
        <w:t>’</w:t>
      </w:r>
      <w:r w:rsidRPr="00C65C63">
        <w:t xml:space="preserve"> Access to interim data from the ongoing CVOT remains limited to the firewalled team per the Data Access Plan agreed with the </w:t>
      </w:r>
      <w:r w:rsidRPr="00C65C63">
        <w:rPr>
          <w:spacing w:val="-3"/>
        </w:rPr>
        <w:t xml:space="preserve">US </w:t>
      </w:r>
      <w:r w:rsidRPr="00C65C63">
        <w:t>FDA.</w:t>
      </w:r>
    </w:p>
    <w:p w14:paraId="52006589" w14:textId="77777777" w:rsidR="009530C9" w:rsidRDefault="00901A31" w:rsidP="00901A31">
      <w:pPr>
        <w:pStyle w:val="Heading6"/>
      </w:pPr>
      <w:r>
        <w:t>Proposed indication for ertugliflozin use with other antihyperglycaemic agents</w:t>
      </w:r>
    </w:p>
    <w:p w14:paraId="74442663" w14:textId="77777777" w:rsidR="009530C9" w:rsidRDefault="009530C9" w:rsidP="00901A31">
      <w:r>
        <w:t xml:space="preserve">The Delegate expressed concern with regard to the degree of </w:t>
      </w:r>
      <w:r w:rsidRPr="000D7983">
        <w:t xml:space="preserve">experience with ertugliflozin </w:t>
      </w:r>
      <w:r w:rsidRPr="000D7983">
        <w:rPr>
          <w:spacing w:val="-4"/>
        </w:rPr>
        <w:t xml:space="preserve">as </w:t>
      </w:r>
      <w:r w:rsidRPr="000D7983">
        <w:t>combination</w:t>
      </w:r>
      <w:r w:rsidRPr="000D7983">
        <w:rPr>
          <w:spacing w:val="-12"/>
        </w:rPr>
        <w:t xml:space="preserve"> </w:t>
      </w:r>
      <w:r w:rsidRPr="000D7983">
        <w:t>therapy</w:t>
      </w:r>
      <w:r w:rsidRPr="000D7983">
        <w:rPr>
          <w:spacing w:val="-19"/>
        </w:rPr>
        <w:t xml:space="preserve"> </w:t>
      </w:r>
      <w:r w:rsidRPr="000D7983">
        <w:t>with</w:t>
      </w:r>
      <w:r w:rsidRPr="000D7983">
        <w:rPr>
          <w:spacing w:val="-12"/>
        </w:rPr>
        <w:t xml:space="preserve"> </w:t>
      </w:r>
      <w:r w:rsidRPr="000D7983">
        <w:t>insulin,</w:t>
      </w:r>
      <w:r w:rsidRPr="000D7983">
        <w:rPr>
          <w:spacing w:val="-12"/>
        </w:rPr>
        <w:t xml:space="preserve"> </w:t>
      </w:r>
      <w:r w:rsidRPr="000D7983">
        <w:t>sulfonylureas,</w:t>
      </w:r>
      <w:r w:rsidRPr="000D7983">
        <w:rPr>
          <w:spacing w:val="-11"/>
        </w:rPr>
        <w:t xml:space="preserve"> </w:t>
      </w:r>
      <w:r w:rsidRPr="000D7983">
        <w:t>GLP-1</w:t>
      </w:r>
      <w:r w:rsidRPr="000D7983">
        <w:rPr>
          <w:spacing w:val="-11"/>
        </w:rPr>
        <w:t xml:space="preserve"> </w:t>
      </w:r>
      <w:r w:rsidRPr="000D7983">
        <w:t>receptor</w:t>
      </w:r>
      <w:r w:rsidRPr="000D7983">
        <w:rPr>
          <w:spacing w:val="-13"/>
        </w:rPr>
        <w:t xml:space="preserve"> </w:t>
      </w:r>
      <w:r w:rsidRPr="000D7983">
        <w:t>agonists,</w:t>
      </w:r>
      <w:r w:rsidRPr="000D7983">
        <w:rPr>
          <w:spacing w:val="-11"/>
        </w:rPr>
        <w:t xml:space="preserve"> </w:t>
      </w:r>
      <w:r w:rsidR="00302F43">
        <w:rPr>
          <w:spacing w:val="-11"/>
        </w:rPr>
        <w:t>t</w:t>
      </w:r>
      <w:r w:rsidR="00302F43" w:rsidRPr="00302F43">
        <w:t>hiazolidinediones</w:t>
      </w:r>
      <w:r w:rsidRPr="000D7983">
        <w:rPr>
          <w:spacing w:val="-11"/>
        </w:rPr>
        <w:t xml:space="preserve"> </w:t>
      </w:r>
      <w:r w:rsidRPr="000D7983">
        <w:t>and</w:t>
      </w:r>
      <w:r w:rsidRPr="000D7983">
        <w:rPr>
          <w:spacing w:val="-12"/>
        </w:rPr>
        <w:t xml:space="preserve"> </w:t>
      </w:r>
      <w:r w:rsidRPr="000D7983">
        <w:t>alpha</w:t>
      </w:r>
      <w:r w:rsidRPr="000D7983">
        <w:rPr>
          <w:spacing w:val="-11"/>
        </w:rPr>
        <w:t xml:space="preserve"> </w:t>
      </w:r>
      <w:r w:rsidRPr="000D7983">
        <w:t>glucosidase inhibitors.</w:t>
      </w:r>
      <w:r w:rsidRPr="000D7983">
        <w:rPr>
          <w:spacing w:val="-9"/>
        </w:rPr>
        <w:t xml:space="preserve"> </w:t>
      </w:r>
      <w:r w:rsidRPr="000D7983">
        <w:t>However,</w:t>
      </w:r>
      <w:r w:rsidRPr="000D7983">
        <w:rPr>
          <w:spacing w:val="-7"/>
        </w:rPr>
        <w:t xml:space="preserve"> </w:t>
      </w:r>
      <w:r w:rsidR="00C315CD" w:rsidRPr="000D7983">
        <w:t>the sponsor</w:t>
      </w:r>
      <w:r w:rsidRPr="000D7983">
        <w:rPr>
          <w:spacing w:val="-9"/>
        </w:rPr>
        <w:t xml:space="preserve"> </w:t>
      </w:r>
      <w:r w:rsidRPr="000D7983">
        <w:t>notes</w:t>
      </w:r>
      <w:r w:rsidRPr="000D7983">
        <w:rPr>
          <w:spacing w:val="-9"/>
        </w:rPr>
        <w:t xml:space="preserve"> </w:t>
      </w:r>
      <w:r w:rsidRPr="000D7983">
        <w:t>that</w:t>
      </w:r>
      <w:r w:rsidRPr="000D7983">
        <w:rPr>
          <w:spacing w:val="-7"/>
        </w:rPr>
        <w:t xml:space="preserve"> </w:t>
      </w:r>
      <w:r w:rsidRPr="000D7983">
        <w:t>the</w:t>
      </w:r>
      <w:r w:rsidRPr="000D7983">
        <w:rPr>
          <w:spacing w:val="-10"/>
        </w:rPr>
        <w:t xml:space="preserve"> </w:t>
      </w:r>
      <w:r w:rsidRPr="000D7983">
        <w:t>Delegate</w:t>
      </w:r>
      <w:r w:rsidRPr="000D7983">
        <w:rPr>
          <w:spacing w:val="-10"/>
        </w:rPr>
        <w:t xml:space="preserve"> </w:t>
      </w:r>
      <w:r w:rsidRPr="000D7983">
        <w:t>stated</w:t>
      </w:r>
      <w:r w:rsidRPr="000D7983">
        <w:rPr>
          <w:spacing w:val="-9"/>
        </w:rPr>
        <w:t xml:space="preserve"> </w:t>
      </w:r>
      <w:r w:rsidRPr="000D7983">
        <w:t>in</w:t>
      </w:r>
      <w:r w:rsidRPr="000D7983">
        <w:rPr>
          <w:spacing w:val="-7"/>
        </w:rPr>
        <w:t xml:space="preserve"> </w:t>
      </w:r>
      <w:r w:rsidR="002F3CCE" w:rsidRPr="000D7983">
        <w:t>the</w:t>
      </w:r>
      <w:r w:rsidRPr="000D7983">
        <w:rPr>
          <w:spacing w:val="-10"/>
        </w:rPr>
        <w:t xml:space="preserve"> </w:t>
      </w:r>
      <w:r w:rsidRPr="000D7983">
        <w:t>request</w:t>
      </w:r>
      <w:r w:rsidRPr="000D7983">
        <w:rPr>
          <w:spacing w:val="-7"/>
        </w:rPr>
        <w:t xml:space="preserve"> </w:t>
      </w:r>
      <w:r w:rsidRPr="000D7983">
        <w:t>for</w:t>
      </w:r>
      <w:r w:rsidRPr="000D7983">
        <w:rPr>
          <w:spacing w:val="-10"/>
        </w:rPr>
        <w:t xml:space="preserve"> </w:t>
      </w:r>
      <w:r w:rsidRPr="000D7983">
        <w:t>ACM</w:t>
      </w:r>
      <w:r w:rsidRPr="000D7983">
        <w:rPr>
          <w:spacing w:val="-9"/>
        </w:rPr>
        <w:t xml:space="preserve"> </w:t>
      </w:r>
      <w:r w:rsidRPr="000D7983">
        <w:t>advise</w:t>
      </w:r>
      <w:r w:rsidRPr="000D7983">
        <w:rPr>
          <w:spacing w:val="-10"/>
        </w:rPr>
        <w:t xml:space="preserve"> </w:t>
      </w:r>
      <w:r w:rsidRPr="000D7983">
        <w:t>that</w:t>
      </w:r>
      <w:r w:rsidRPr="000D7983">
        <w:rPr>
          <w:spacing w:val="-9"/>
        </w:rPr>
        <w:t xml:space="preserve"> </w:t>
      </w:r>
      <w:r w:rsidRPr="000D7983">
        <w:t>it</w:t>
      </w:r>
      <w:r w:rsidRPr="000D7983">
        <w:rPr>
          <w:spacing w:val="-9"/>
        </w:rPr>
        <w:t xml:space="preserve"> </w:t>
      </w:r>
      <w:r w:rsidRPr="000D7983">
        <w:t>is scientifically reasonable to extrapolate from the data</w:t>
      </w:r>
      <w:r>
        <w:t xml:space="preserve"> generated for other medicines in this class to support a broader range of products in combination with ertugliflozin. The </w:t>
      </w:r>
      <w:r w:rsidR="002F3CCE">
        <w:t>c</w:t>
      </w:r>
      <w:r>
        <w:t xml:space="preserve">linical </w:t>
      </w:r>
      <w:r w:rsidR="002F3CCE">
        <w:t>e</w:t>
      </w:r>
      <w:r>
        <w:t>valuator recommended</w:t>
      </w:r>
      <w:r>
        <w:rPr>
          <w:spacing w:val="-9"/>
        </w:rPr>
        <w:t xml:space="preserve"> </w:t>
      </w:r>
      <w:r>
        <w:t>that</w:t>
      </w:r>
      <w:r>
        <w:rPr>
          <w:spacing w:val="-9"/>
        </w:rPr>
        <w:t xml:space="preserve"> </w:t>
      </w:r>
      <w:r>
        <w:t>the</w:t>
      </w:r>
      <w:r>
        <w:rPr>
          <w:spacing w:val="-10"/>
        </w:rPr>
        <w:t xml:space="preserve"> </w:t>
      </w:r>
      <w:r>
        <w:t>approval</w:t>
      </w:r>
      <w:r>
        <w:rPr>
          <w:spacing w:val="-9"/>
        </w:rPr>
        <w:t xml:space="preserve"> </w:t>
      </w:r>
      <w:r>
        <w:t>can</w:t>
      </w:r>
      <w:r>
        <w:rPr>
          <w:spacing w:val="-9"/>
        </w:rPr>
        <w:t xml:space="preserve"> </w:t>
      </w:r>
      <w:r>
        <w:t>be</w:t>
      </w:r>
      <w:r>
        <w:rPr>
          <w:spacing w:val="-9"/>
        </w:rPr>
        <w:t xml:space="preserve"> </w:t>
      </w:r>
      <w:r>
        <w:t>granted</w:t>
      </w:r>
      <w:r>
        <w:rPr>
          <w:spacing w:val="-9"/>
        </w:rPr>
        <w:t xml:space="preserve"> </w:t>
      </w:r>
      <w:r>
        <w:t>by</w:t>
      </w:r>
      <w:r>
        <w:rPr>
          <w:spacing w:val="-14"/>
        </w:rPr>
        <w:t xml:space="preserve"> </w:t>
      </w:r>
      <w:r>
        <w:t>qualifying</w:t>
      </w:r>
      <w:r>
        <w:rPr>
          <w:spacing w:val="-14"/>
        </w:rPr>
        <w:t xml:space="preserve"> </w:t>
      </w:r>
      <w:r>
        <w:t>the</w:t>
      </w:r>
      <w:r>
        <w:rPr>
          <w:spacing w:val="-10"/>
        </w:rPr>
        <w:t xml:space="preserve"> </w:t>
      </w:r>
      <w:r>
        <w:t>indication</w:t>
      </w:r>
      <w:r>
        <w:rPr>
          <w:spacing w:val="-8"/>
        </w:rPr>
        <w:t xml:space="preserve"> </w:t>
      </w:r>
      <w:r>
        <w:t>with</w:t>
      </w:r>
      <w:r>
        <w:rPr>
          <w:spacing w:val="-9"/>
        </w:rPr>
        <w:t xml:space="preserve"> </w:t>
      </w:r>
      <w:r>
        <w:t>reference</w:t>
      </w:r>
      <w:r>
        <w:rPr>
          <w:spacing w:val="-10"/>
        </w:rPr>
        <w:t xml:space="preserve"> </w:t>
      </w:r>
      <w:r>
        <w:t>to</w:t>
      </w:r>
      <w:r>
        <w:rPr>
          <w:spacing w:val="-9"/>
        </w:rPr>
        <w:t xml:space="preserve"> </w:t>
      </w:r>
      <w:r>
        <w:t>the</w:t>
      </w:r>
      <w:r>
        <w:rPr>
          <w:spacing w:val="-10"/>
        </w:rPr>
        <w:t xml:space="preserve"> </w:t>
      </w:r>
      <w:r w:rsidR="002F3CCE">
        <w:rPr>
          <w:spacing w:val="-10"/>
        </w:rPr>
        <w:t>C</w:t>
      </w:r>
      <w:r>
        <w:t>linical trials,</w:t>
      </w:r>
      <w:r>
        <w:rPr>
          <w:spacing w:val="-11"/>
        </w:rPr>
        <w:t xml:space="preserve"> </w:t>
      </w:r>
      <w:r w:rsidR="002F3CCE">
        <w:rPr>
          <w:spacing w:val="-11"/>
        </w:rPr>
        <w:t>P</w:t>
      </w:r>
      <w:r>
        <w:t>recaution</w:t>
      </w:r>
      <w:r>
        <w:rPr>
          <w:spacing w:val="-11"/>
        </w:rPr>
        <w:t xml:space="preserve"> </w:t>
      </w:r>
      <w:r>
        <w:t>section</w:t>
      </w:r>
      <w:r>
        <w:rPr>
          <w:spacing w:val="-14"/>
        </w:rPr>
        <w:t xml:space="preserve"> </w:t>
      </w:r>
      <w:r>
        <w:t>for</w:t>
      </w:r>
      <w:r>
        <w:rPr>
          <w:spacing w:val="-14"/>
        </w:rPr>
        <w:t xml:space="preserve"> </w:t>
      </w:r>
      <w:r>
        <w:t>available</w:t>
      </w:r>
      <w:r>
        <w:rPr>
          <w:spacing w:val="-12"/>
        </w:rPr>
        <w:t xml:space="preserve"> </w:t>
      </w:r>
      <w:r>
        <w:t>data</w:t>
      </w:r>
      <w:r>
        <w:rPr>
          <w:spacing w:val="-15"/>
        </w:rPr>
        <w:t xml:space="preserve"> </w:t>
      </w:r>
      <w:r>
        <w:t>on</w:t>
      </w:r>
      <w:r>
        <w:rPr>
          <w:spacing w:val="-11"/>
        </w:rPr>
        <w:t xml:space="preserve"> </w:t>
      </w:r>
      <w:r>
        <w:t>the</w:t>
      </w:r>
      <w:r>
        <w:rPr>
          <w:spacing w:val="-12"/>
        </w:rPr>
        <w:t xml:space="preserve"> </w:t>
      </w:r>
      <w:r>
        <w:t>different</w:t>
      </w:r>
      <w:r>
        <w:rPr>
          <w:spacing w:val="-11"/>
        </w:rPr>
        <w:t xml:space="preserve"> </w:t>
      </w:r>
      <w:r>
        <w:t>add-on</w:t>
      </w:r>
      <w:r>
        <w:rPr>
          <w:spacing w:val="-11"/>
        </w:rPr>
        <w:t xml:space="preserve"> </w:t>
      </w:r>
      <w:r>
        <w:t>combination</w:t>
      </w:r>
      <w:r>
        <w:rPr>
          <w:spacing w:val="-11"/>
        </w:rPr>
        <w:t xml:space="preserve"> </w:t>
      </w:r>
      <w:r>
        <w:t>therapies.</w:t>
      </w:r>
      <w:r>
        <w:rPr>
          <w:spacing w:val="-14"/>
        </w:rPr>
        <w:t xml:space="preserve"> </w:t>
      </w:r>
      <w:r w:rsidR="00836955">
        <w:t>The sponsor</w:t>
      </w:r>
      <w:r>
        <w:t xml:space="preserve"> has</w:t>
      </w:r>
      <w:r>
        <w:rPr>
          <w:spacing w:val="-8"/>
        </w:rPr>
        <w:t xml:space="preserve"> </w:t>
      </w:r>
      <w:r>
        <w:t>accepted</w:t>
      </w:r>
      <w:r>
        <w:rPr>
          <w:spacing w:val="-6"/>
        </w:rPr>
        <w:t xml:space="preserve"> </w:t>
      </w:r>
      <w:r>
        <w:t>the</w:t>
      </w:r>
      <w:r>
        <w:rPr>
          <w:spacing w:val="-7"/>
        </w:rPr>
        <w:t xml:space="preserve"> </w:t>
      </w:r>
      <w:r>
        <w:t>clinical</w:t>
      </w:r>
      <w:r>
        <w:rPr>
          <w:spacing w:val="-8"/>
        </w:rPr>
        <w:t xml:space="preserve"> </w:t>
      </w:r>
      <w:r>
        <w:t>evaluator’s</w:t>
      </w:r>
      <w:r>
        <w:rPr>
          <w:spacing w:val="-6"/>
        </w:rPr>
        <w:t xml:space="preserve"> </w:t>
      </w:r>
      <w:r>
        <w:t>recommendation</w:t>
      </w:r>
      <w:r>
        <w:rPr>
          <w:spacing w:val="-9"/>
        </w:rPr>
        <w:t xml:space="preserve"> </w:t>
      </w:r>
      <w:r>
        <w:t>as</w:t>
      </w:r>
      <w:r>
        <w:rPr>
          <w:spacing w:val="-8"/>
        </w:rPr>
        <w:t xml:space="preserve"> </w:t>
      </w:r>
      <w:r>
        <w:t>outlined</w:t>
      </w:r>
      <w:r>
        <w:rPr>
          <w:spacing w:val="-9"/>
        </w:rPr>
        <w:t xml:space="preserve"> </w:t>
      </w:r>
      <w:r>
        <w:t>below.</w:t>
      </w:r>
    </w:p>
    <w:p w14:paraId="75819A33" w14:textId="77777777" w:rsidR="009530C9" w:rsidRPr="00901A31" w:rsidRDefault="00901A31" w:rsidP="00901A31">
      <w:pPr>
        <w:ind w:left="384"/>
        <w:rPr>
          <w:i/>
        </w:rPr>
      </w:pPr>
      <w:r w:rsidRPr="00901A31">
        <w:rPr>
          <w:i/>
        </w:rPr>
        <w:t>Steglatro</w:t>
      </w:r>
      <w:r w:rsidRPr="00901A31">
        <w:rPr>
          <w:i/>
          <w:spacing w:val="-12"/>
        </w:rPr>
        <w:t xml:space="preserve"> </w:t>
      </w:r>
      <w:r w:rsidR="009530C9" w:rsidRPr="00901A31">
        <w:rPr>
          <w:i/>
        </w:rPr>
        <w:t>(ertugliflozin)</w:t>
      </w:r>
      <w:r w:rsidR="009530C9" w:rsidRPr="00901A31">
        <w:rPr>
          <w:i/>
          <w:spacing w:val="-16"/>
        </w:rPr>
        <w:t xml:space="preserve"> </w:t>
      </w:r>
      <w:r w:rsidR="009530C9" w:rsidRPr="00901A31">
        <w:rPr>
          <w:i/>
        </w:rPr>
        <w:t>is</w:t>
      </w:r>
      <w:r w:rsidR="009530C9" w:rsidRPr="00901A31">
        <w:rPr>
          <w:i/>
          <w:spacing w:val="-11"/>
        </w:rPr>
        <w:t xml:space="preserve"> </w:t>
      </w:r>
      <w:r w:rsidR="009530C9" w:rsidRPr="00901A31">
        <w:rPr>
          <w:i/>
        </w:rPr>
        <w:t>indicated</w:t>
      </w:r>
      <w:r w:rsidR="009530C9" w:rsidRPr="00901A31">
        <w:rPr>
          <w:i/>
          <w:spacing w:val="-11"/>
        </w:rPr>
        <w:t xml:space="preserve"> </w:t>
      </w:r>
      <w:r w:rsidR="009530C9" w:rsidRPr="00901A31">
        <w:rPr>
          <w:i/>
        </w:rPr>
        <w:t>as</w:t>
      </w:r>
      <w:r w:rsidR="009530C9" w:rsidRPr="00901A31">
        <w:rPr>
          <w:i/>
          <w:spacing w:val="-11"/>
        </w:rPr>
        <w:t xml:space="preserve"> </w:t>
      </w:r>
      <w:r w:rsidR="009530C9" w:rsidRPr="00901A31">
        <w:rPr>
          <w:i/>
        </w:rPr>
        <w:t>an</w:t>
      </w:r>
      <w:r w:rsidR="009530C9" w:rsidRPr="00901A31">
        <w:rPr>
          <w:i/>
          <w:spacing w:val="-11"/>
        </w:rPr>
        <w:t xml:space="preserve"> </w:t>
      </w:r>
      <w:r w:rsidR="009530C9" w:rsidRPr="00901A31">
        <w:rPr>
          <w:i/>
        </w:rPr>
        <w:t>adjunct</w:t>
      </w:r>
      <w:r w:rsidR="009530C9" w:rsidRPr="00901A31">
        <w:rPr>
          <w:i/>
          <w:spacing w:val="-8"/>
        </w:rPr>
        <w:t xml:space="preserve"> </w:t>
      </w:r>
      <w:r w:rsidR="009530C9" w:rsidRPr="00901A31">
        <w:rPr>
          <w:i/>
        </w:rPr>
        <w:t>to</w:t>
      </w:r>
      <w:r w:rsidR="009530C9" w:rsidRPr="00901A31">
        <w:rPr>
          <w:i/>
          <w:spacing w:val="-11"/>
        </w:rPr>
        <w:t xml:space="preserve"> </w:t>
      </w:r>
      <w:r w:rsidR="009530C9" w:rsidRPr="00901A31">
        <w:rPr>
          <w:i/>
        </w:rPr>
        <w:t>diet</w:t>
      </w:r>
      <w:r w:rsidR="009530C9" w:rsidRPr="00901A31">
        <w:rPr>
          <w:i/>
          <w:spacing w:val="-11"/>
        </w:rPr>
        <w:t xml:space="preserve"> </w:t>
      </w:r>
      <w:r w:rsidR="009530C9" w:rsidRPr="00901A31">
        <w:rPr>
          <w:i/>
        </w:rPr>
        <w:t>and</w:t>
      </w:r>
      <w:r w:rsidR="009530C9" w:rsidRPr="00901A31">
        <w:rPr>
          <w:i/>
          <w:spacing w:val="-11"/>
        </w:rPr>
        <w:t xml:space="preserve"> </w:t>
      </w:r>
      <w:r w:rsidR="009530C9" w:rsidRPr="00901A31">
        <w:rPr>
          <w:i/>
        </w:rPr>
        <w:t>exercise</w:t>
      </w:r>
      <w:r w:rsidR="009530C9" w:rsidRPr="00901A31">
        <w:rPr>
          <w:i/>
          <w:spacing w:val="-10"/>
        </w:rPr>
        <w:t xml:space="preserve"> </w:t>
      </w:r>
      <w:r w:rsidR="009530C9" w:rsidRPr="00901A31">
        <w:rPr>
          <w:i/>
        </w:rPr>
        <w:t>to</w:t>
      </w:r>
      <w:r w:rsidR="009530C9" w:rsidRPr="00901A31">
        <w:rPr>
          <w:i/>
          <w:spacing w:val="-11"/>
        </w:rPr>
        <w:t xml:space="preserve"> </w:t>
      </w:r>
      <w:r w:rsidR="009530C9" w:rsidRPr="00901A31">
        <w:rPr>
          <w:i/>
        </w:rPr>
        <w:t>improve</w:t>
      </w:r>
      <w:r w:rsidR="009530C9" w:rsidRPr="00901A31">
        <w:rPr>
          <w:i/>
          <w:spacing w:val="-12"/>
        </w:rPr>
        <w:t xml:space="preserve"> </w:t>
      </w:r>
      <w:r w:rsidR="009530C9" w:rsidRPr="00901A31">
        <w:rPr>
          <w:i/>
        </w:rPr>
        <w:t>glycaemic control in adults with type 2 diabetes mellitus</w:t>
      </w:r>
      <w:r w:rsidR="009530C9" w:rsidRPr="00901A31">
        <w:rPr>
          <w:i/>
          <w:spacing w:val="-42"/>
        </w:rPr>
        <w:t xml:space="preserve"> </w:t>
      </w:r>
      <w:r w:rsidR="009530C9" w:rsidRPr="00901A31">
        <w:rPr>
          <w:i/>
        </w:rPr>
        <w:t>as:</w:t>
      </w:r>
    </w:p>
    <w:p w14:paraId="0805887F" w14:textId="77777777" w:rsidR="009530C9" w:rsidRPr="00533DAA" w:rsidRDefault="00F14099" w:rsidP="00533DAA">
      <w:pPr>
        <w:pStyle w:val="ListBullet2"/>
        <w:rPr>
          <w:i/>
        </w:rPr>
      </w:pPr>
      <w:r>
        <w:rPr>
          <w:i/>
        </w:rPr>
        <w:t>M</w:t>
      </w:r>
      <w:r w:rsidR="009530C9" w:rsidRPr="00533DAA">
        <w:rPr>
          <w:i/>
        </w:rPr>
        <w:t>onotherapy</w:t>
      </w:r>
      <w:r w:rsidR="009530C9" w:rsidRPr="00533DAA">
        <w:rPr>
          <w:i/>
          <w:spacing w:val="-10"/>
        </w:rPr>
        <w:t xml:space="preserve"> </w:t>
      </w:r>
      <w:r w:rsidR="009530C9" w:rsidRPr="00533DAA">
        <w:rPr>
          <w:i/>
        </w:rPr>
        <w:t>when</w:t>
      </w:r>
      <w:r w:rsidR="009530C9" w:rsidRPr="00533DAA">
        <w:rPr>
          <w:i/>
          <w:spacing w:val="-9"/>
        </w:rPr>
        <w:t xml:space="preserve"> </w:t>
      </w:r>
      <w:r w:rsidR="009530C9" w:rsidRPr="00533DAA">
        <w:rPr>
          <w:i/>
        </w:rPr>
        <w:t>metformin</w:t>
      </w:r>
      <w:r w:rsidR="009530C9" w:rsidRPr="00533DAA">
        <w:rPr>
          <w:i/>
          <w:spacing w:val="-7"/>
        </w:rPr>
        <w:t xml:space="preserve"> </w:t>
      </w:r>
      <w:r w:rsidR="009530C9" w:rsidRPr="00533DAA">
        <w:rPr>
          <w:i/>
        </w:rPr>
        <w:t>is</w:t>
      </w:r>
      <w:r w:rsidR="009530C9" w:rsidRPr="00533DAA">
        <w:rPr>
          <w:i/>
          <w:spacing w:val="-7"/>
        </w:rPr>
        <w:t xml:space="preserve"> </w:t>
      </w:r>
      <w:r w:rsidR="009530C9" w:rsidRPr="00533DAA">
        <w:rPr>
          <w:i/>
        </w:rPr>
        <w:t>considered</w:t>
      </w:r>
      <w:r w:rsidR="009530C9" w:rsidRPr="00533DAA">
        <w:rPr>
          <w:i/>
          <w:spacing w:val="-7"/>
        </w:rPr>
        <w:t xml:space="preserve"> </w:t>
      </w:r>
      <w:r w:rsidR="009530C9" w:rsidRPr="00533DAA">
        <w:rPr>
          <w:i/>
        </w:rPr>
        <w:t>inappropriate</w:t>
      </w:r>
      <w:r w:rsidR="009530C9" w:rsidRPr="00533DAA">
        <w:rPr>
          <w:i/>
          <w:spacing w:val="-10"/>
        </w:rPr>
        <w:t xml:space="preserve"> </w:t>
      </w:r>
      <w:r w:rsidR="009530C9" w:rsidRPr="00533DAA">
        <w:rPr>
          <w:i/>
        </w:rPr>
        <w:t>due</w:t>
      </w:r>
      <w:r w:rsidR="009530C9" w:rsidRPr="00533DAA">
        <w:rPr>
          <w:i/>
          <w:spacing w:val="-10"/>
        </w:rPr>
        <w:t xml:space="preserve"> </w:t>
      </w:r>
      <w:r w:rsidR="009530C9" w:rsidRPr="00533DAA">
        <w:rPr>
          <w:i/>
        </w:rPr>
        <w:t>to</w:t>
      </w:r>
      <w:r w:rsidR="009530C9" w:rsidRPr="00533DAA">
        <w:rPr>
          <w:i/>
          <w:spacing w:val="-9"/>
        </w:rPr>
        <w:t xml:space="preserve"> </w:t>
      </w:r>
      <w:r w:rsidR="009530C9" w:rsidRPr="00533DAA">
        <w:rPr>
          <w:i/>
        </w:rPr>
        <w:t>intolerance</w:t>
      </w:r>
      <w:r>
        <w:rPr>
          <w:i/>
        </w:rPr>
        <w:t xml:space="preserve"> or</w:t>
      </w:r>
    </w:p>
    <w:p w14:paraId="57522E40" w14:textId="77777777" w:rsidR="009530C9" w:rsidRPr="00533DAA" w:rsidRDefault="00F14099" w:rsidP="00533DAA">
      <w:pPr>
        <w:pStyle w:val="ListBullet2"/>
        <w:rPr>
          <w:i/>
        </w:rPr>
      </w:pPr>
      <w:r>
        <w:rPr>
          <w:i/>
        </w:rPr>
        <w:t>I</w:t>
      </w:r>
      <w:r w:rsidR="009530C9" w:rsidRPr="00533DAA">
        <w:rPr>
          <w:i/>
        </w:rPr>
        <w:t xml:space="preserve">n combination with other anti-hyperglycaemic agents (see 5.1 </w:t>
      </w:r>
      <w:r w:rsidR="00533DAA" w:rsidRPr="00533DAA">
        <w:rPr>
          <w:i/>
        </w:rPr>
        <w:t>Pharmacodynamic Properties</w:t>
      </w:r>
      <w:r w:rsidR="009530C9" w:rsidRPr="00533DAA">
        <w:rPr>
          <w:i/>
        </w:rPr>
        <w:t>,</w:t>
      </w:r>
      <w:r w:rsidR="009530C9" w:rsidRPr="00533DAA">
        <w:rPr>
          <w:i/>
          <w:spacing w:val="-14"/>
        </w:rPr>
        <w:t xml:space="preserve"> </w:t>
      </w:r>
      <w:r w:rsidR="009530C9" w:rsidRPr="00533DAA">
        <w:rPr>
          <w:i/>
        </w:rPr>
        <w:t>Clinical</w:t>
      </w:r>
      <w:r w:rsidR="009530C9" w:rsidRPr="00533DAA">
        <w:rPr>
          <w:i/>
          <w:spacing w:val="-12"/>
        </w:rPr>
        <w:t xml:space="preserve"> </w:t>
      </w:r>
      <w:r w:rsidR="009530C9" w:rsidRPr="00533DAA">
        <w:rPr>
          <w:i/>
        </w:rPr>
        <w:t>trials</w:t>
      </w:r>
      <w:r w:rsidR="009530C9" w:rsidRPr="00533DAA">
        <w:rPr>
          <w:i/>
          <w:spacing w:val="-12"/>
        </w:rPr>
        <w:t xml:space="preserve"> </w:t>
      </w:r>
      <w:r w:rsidR="009530C9" w:rsidRPr="00533DAA">
        <w:rPr>
          <w:i/>
        </w:rPr>
        <w:t>and</w:t>
      </w:r>
      <w:r w:rsidR="009530C9" w:rsidRPr="00533DAA">
        <w:rPr>
          <w:i/>
          <w:spacing w:val="-12"/>
        </w:rPr>
        <w:t xml:space="preserve"> </w:t>
      </w:r>
      <w:r w:rsidR="009530C9" w:rsidRPr="00533DAA">
        <w:rPr>
          <w:i/>
        </w:rPr>
        <w:t>4.4</w:t>
      </w:r>
      <w:r w:rsidR="009530C9" w:rsidRPr="00533DAA">
        <w:rPr>
          <w:i/>
          <w:spacing w:val="-12"/>
        </w:rPr>
        <w:t xml:space="preserve"> </w:t>
      </w:r>
      <w:r w:rsidR="00533DAA" w:rsidRPr="00533DAA">
        <w:rPr>
          <w:i/>
        </w:rPr>
        <w:t>Special</w:t>
      </w:r>
      <w:r w:rsidR="00533DAA" w:rsidRPr="00533DAA">
        <w:rPr>
          <w:i/>
          <w:spacing w:val="-13"/>
        </w:rPr>
        <w:t xml:space="preserve"> </w:t>
      </w:r>
      <w:r w:rsidR="00533DAA" w:rsidRPr="00533DAA">
        <w:rPr>
          <w:i/>
        </w:rPr>
        <w:t>Warnings</w:t>
      </w:r>
      <w:r w:rsidR="00533DAA" w:rsidRPr="00533DAA">
        <w:rPr>
          <w:i/>
          <w:spacing w:val="-10"/>
        </w:rPr>
        <w:t xml:space="preserve"> </w:t>
      </w:r>
      <w:r w:rsidR="00533DAA">
        <w:rPr>
          <w:i/>
          <w:spacing w:val="-10"/>
        </w:rPr>
        <w:t>a</w:t>
      </w:r>
      <w:r w:rsidR="00533DAA" w:rsidRPr="00533DAA">
        <w:rPr>
          <w:i/>
        </w:rPr>
        <w:t>nd</w:t>
      </w:r>
      <w:r w:rsidR="00533DAA" w:rsidRPr="00533DAA">
        <w:rPr>
          <w:i/>
          <w:spacing w:val="-14"/>
        </w:rPr>
        <w:t xml:space="preserve"> </w:t>
      </w:r>
      <w:r w:rsidR="00533DAA" w:rsidRPr="00533DAA">
        <w:rPr>
          <w:i/>
        </w:rPr>
        <w:t>Precautions</w:t>
      </w:r>
      <w:r w:rsidR="00533DAA" w:rsidRPr="00533DAA">
        <w:rPr>
          <w:i/>
          <w:spacing w:val="-12"/>
        </w:rPr>
        <w:t xml:space="preserve"> </w:t>
      </w:r>
      <w:r w:rsidRPr="00533DAA">
        <w:rPr>
          <w:i/>
        </w:rPr>
        <w:t>for</w:t>
      </w:r>
      <w:r w:rsidR="00533DAA" w:rsidRPr="00533DAA">
        <w:rPr>
          <w:i/>
          <w:spacing w:val="-13"/>
        </w:rPr>
        <w:t xml:space="preserve"> </w:t>
      </w:r>
      <w:r w:rsidR="00533DAA" w:rsidRPr="00533DAA">
        <w:rPr>
          <w:i/>
        </w:rPr>
        <w:t>Use</w:t>
      </w:r>
      <w:r w:rsidR="00533DAA" w:rsidRPr="00533DAA">
        <w:rPr>
          <w:i/>
          <w:spacing w:val="-14"/>
        </w:rPr>
        <w:t xml:space="preserve"> </w:t>
      </w:r>
      <w:r w:rsidR="009530C9" w:rsidRPr="00533DAA">
        <w:rPr>
          <w:i/>
        </w:rPr>
        <w:t>for available</w:t>
      </w:r>
      <w:r w:rsidR="009530C9" w:rsidRPr="00533DAA">
        <w:rPr>
          <w:i/>
          <w:spacing w:val="-10"/>
        </w:rPr>
        <w:t xml:space="preserve"> </w:t>
      </w:r>
      <w:r w:rsidR="009530C9" w:rsidRPr="00533DAA">
        <w:rPr>
          <w:i/>
        </w:rPr>
        <w:t>data</w:t>
      </w:r>
      <w:r w:rsidR="009530C9" w:rsidRPr="00533DAA">
        <w:rPr>
          <w:i/>
          <w:spacing w:val="-6"/>
        </w:rPr>
        <w:t xml:space="preserve"> </w:t>
      </w:r>
      <w:r w:rsidR="009530C9" w:rsidRPr="00533DAA">
        <w:rPr>
          <w:i/>
        </w:rPr>
        <w:t>on</w:t>
      </w:r>
      <w:r w:rsidR="009530C9" w:rsidRPr="00533DAA">
        <w:rPr>
          <w:i/>
          <w:spacing w:val="-9"/>
        </w:rPr>
        <w:t xml:space="preserve"> </w:t>
      </w:r>
      <w:r w:rsidR="009530C9" w:rsidRPr="00533DAA">
        <w:rPr>
          <w:i/>
        </w:rPr>
        <w:t>different</w:t>
      </w:r>
      <w:r w:rsidR="009530C9" w:rsidRPr="00533DAA">
        <w:rPr>
          <w:i/>
          <w:spacing w:val="-6"/>
        </w:rPr>
        <w:t xml:space="preserve"> </w:t>
      </w:r>
      <w:r w:rsidR="009530C9" w:rsidRPr="00533DAA">
        <w:rPr>
          <w:i/>
        </w:rPr>
        <w:t>add-on</w:t>
      </w:r>
      <w:r w:rsidR="009530C9" w:rsidRPr="00533DAA">
        <w:rPr>
          <w:i/>
          <w:spacing w:val="-9"/>
        </w:rPr>
        <w:t xml:space="preserve"> </w:t>
      </w:r>
      <w:r w:rsidR="009530C9" w:rsidRPr="00533DAA">
        <w:rPr>
          <w:i/>
        </w:rPr>
        <w:t>combination</w:t>
      </w:r>
      <w:r w:rsidR="009530C9" w:rsidRPr="00533DAA">
        <w:rPr>
          <w:i/>
          <w:spacing w:val="-9"/>
        </w:rPr>
        <w:t xml:space="preserve"> </w:t>
      </w:r>
      <w:r w:rsidR="009530C9" w:rsidRPr="00533DAA">
        <w:rPr>
          <w:i/>
        </w:rPr>
        <w:t>therapies).</w:t>
      </w:r>
    </w:p>
    <w:p w14:paraId="06C53D59" w14:textId="77777777" w:rsidR="009530C9" w:rsidRDefault="00533DAA" w:rsidP="00533DAA">
      <w:pPr>
        <w:pStyle w:val="Heading6"/>
      </w:pPr>
      <w:r>
        <w:t>Use in subjects with moderate renal impairment</w:t>
      </w:r>
    </w:p>
    <w:p w14:paraId="57CF289E" w14:textId="255631F3" w:rsidR="009530C9" w:rsidRDefault="009530C9" w:rsidP="00533DAA">
      <w:r>
        <w:t xml:space="preserve">The Delegate expressed concern with regard to the use of ertugliflozin in subjects with renal insufficiency. </w:t>
      </w:r>
      <w:r w:rsidR="00836955">
        <w:t>The sponsor</w:t>
      </w:r>
      <w:r>
        <w:t xml:space="preserve"> believes that the totality of the data for ertugliflozin in subjects with moderate renal impairment, together with data from other studies with </w:t>
      </w:r>
      <w:r>
        <w:lastRenderedPageBreak/>
        <w:t xml:space="preserve">SGLT2 inhibitors in this population, show that ertugliflozin has the expected degree of pharmacodynamic activity (effects on </w:t>
      </w:r>
      <w:r w:rsidR="003F2DE3">
        <w:t>Hb</w:t>
      </w:r>
      <w:r w:rsidR="00A04B32">
        <w:t>A1c</w:t>
      </w:r>
      <w:r>
        <w:t>,</w:t>
      </w:r>
      <w:r>
        <w:rPr>
          <w:spacing w:val="-7"/>
        </w:rPr>
        <w:t xml:space="preserve"> </w:t>
      </w:r>
      <w:r>
        <w:t>FPG,</w:t>
      </w:r>
      <w:r>
        <w:rPr>
          <w:spacing w:val="-7"/>
        </w:rPr>
        <w:t xml:space="preserve"> </w:t>
      </w:r>
      <w:r>
        <w:t>body</w:t>
      </w:r>
      <w:r>
        <w:rPr>
          <w:spacing w:val="-19"/>
        </w:rPr>
        <w:t xml:space="preserve"> </w:t>
      </w:r>
      <w:r>
        <w:t>weight,</w:t>
      </w:r>
      <w:r>
        <w:rPr>
          <w:spacing w:val="-7"/>
        </w:rPr>
        <w:t xml:space="preserve"> </w:t>
      </w:r>
      <w:r>
        <w:t>blood</w:t>
      </w:r>
      <w:r>
        <w:rPr>
          <w:spacing w:val="-7"/>
        </w:rPr>
        <w:t xml:space="preserve"> </w:t>
      </w:r>
      <w:r>
        <w:t>pressure,</w:t>
      </w:r>
      <w:r>
        <w:rPr>
          <w:spacing w:val="-7"/>
        </w:rPr>
        <w:t xml:space="preserve"> </w:t>
      </w:r>
      <w:r>
        <w:t>eGFR)</w:t>
      </w:r>
      <w:r>
        <w:rPr>
          <w:spacing w:val="-8"/>
        </w:rPr>
        <w:t xml:space="preserve"> </w:t>
      </w:r>
      <w:r>
        <w:t>and</w:t>
      </w:r>
      <w:r>
        <w:rPr>
          <w:spacing w:val="-7"/>
        </w:rPr>
        <w:t xml:space="preserve"> </w:t>
      </w:r>
      <w:r>
        <w:t>an</w:t>
      </w:r>
      <w:r>
        <w:rPr>
          <w:spacing w:val="-7"/>
        </w:rPr>
        <w:t xml:space="preserve"> </w:t>
      </w:r>
      <w:r>
        <w:t>acceptable</w:t>
      </w:r>
      <w:r>
        <w:rPr>
          <w:spacing w:val="-10"/>
        </w:rPr>
        <w:t xml:space="preserve"> </w:t>
      </w:r>
      <w:r>
        <w:t>safety</w:t>
      </w:r>
      <w:r>
        <w:rPr>
          <w:spacing w:val="-17"/>
        </w:rPr>
        <w:t xml:space="preserve"> </w:t>
      </w:r>
      <w:r>
        <w:t>profile</w:t>
      </w:r>
      <w:r>
        <w:rPr>
          <w:spacing w:val="-10"/>
        </w:rPr>
        <w:t xml:space="preserve"> </w:t>
      </w:r>
      <w:r>
        <w:t>for</w:t>
      </w:r>
      <w:r>
        <w:rPr>
          <w:spacing w:val="-8"/>
        </w:rPr>
        <w:t xml:space="preserve"> </w:t>
      </w:r>
      <w:r>
        <w:t>an</w:t>
      </w:r>
      <w:r>
        <w:rPr>
          <w:spacing w:val="-9"/>
        </w:rPr>
        <w:t xml:space="preserve"> </w:t>
      </w:r>
      <w:r>
        <w:t>SGLT2</w:t>
      </w:r>
      <w:r>
        <w:rPr>
          <w:spacing w:val="-7"/>
        </w:rPr>
        <w:t xml:space="preserve"> </w:t>
      </w:r>
      <w:r>
        <w:t>inhibitor in patients with Stage 3A</w:t>
      </w:r>
      <w:r>
        <w:rPr>
          <w:spacing w:val="-20"/>
        </w:rPr>
        <w:t xml:space="preserve"> </w:t>
      </w:r>
      <w:r>
        <w:t>CKD.</w:t>
      </w:r>
    </w:p>
    <w:p w14:paraId="41561276" w14:textId="4D6A0343" w:rsidR="009530C9" w:rsidRDefault="009530C9" w:rsidP="00533DAA">
      <w:r>
        <w:rPr>
          <w:spacing w:val="-3"/>
        </w:rPr>
        <w:t>In</w:t>
      </w:r>
      <w:r>
        <w:rPr>
          <w:spacing w:val="-9"/>
        </w:rPr>
        <w:t xml:space="preserve"> </w:t>
      </w:r>
      <w:r>
        <w:t>the</w:t>
      </w:r>
      <w:r>
        <w:rPr>
          <w:spacing w:val="-8"/>
        </w:rPr>
        <w:t xml:space="preserve"> </w:t>
      </w:r>
      <w:r>
        <w:t>Overall</w:t>
      </w:r>
      <w:r>
        <w:rPr>
          <w:spacing w:val="-11"/>
        </w:rPr>
        <w:t xml:space="preserve"> </w:t>
      </w:r>
      <w:r>
        <w:t>Cohort</w:t>
      </w:r>
      <w:r>
        <w:rPr>
          <w:spacing w:val="-9"/>
        </w:rPr>
        <w:t xml:space="preserve"> </w:t>
      </w:r>
      <w:r>
        <w:t>(including</w:t>
      </w:r>
      <w:r>
        <w:rPr>
          <w:spacing w:val="-14"/>
        </w:rPr>
        <w:t xml:space="preserve"> </w:t>
      </w:r>
      <w:r>
        <w:t>subjects</w:t>
      </w:r>
      <w:r>
        <w:rPr>
          <w:spacing w:val="-9"/>
        </w:rPr>
        <w:t xml:space="preserve"> </w:t>
      </w:r>
      <w:r>
        <w:t>who</w:t>
      </w:r>
      <w:r>
        <w:rPr>
          <w:spacing w:val="-9"/>
        </w:rPr>
        <w:t xml:space="preserve"> </w:t>
      </w:r>
      <w:r>
        <w:t>used</w:t>
      </w:r>
      <w:r>
        <w:rPr>
          <w:spacing w:val="-9"/>
        </w:rPr>
        <w:t xml:space="preserve"> </w:t>
      </w:r>
      <w:r>
        <w:t>prohibited</w:t>
      </w:r>
      <w:r>
        <w:rPr>
          <w:spacing w:val="-12"/>
        </w:rPr>
        <w:t xml:space="preserve"> </w:t>
      </w:r>
      <w:r>
        <w:t>metformin)</w:t>
      </w:r>
      <w:proofErr w:type="gramStart"/>
      <w:r>
        <w:t>,</w:t>
      </w:r>
      <w:proofErr w:type="gramEnd"/>
      <w:r>
        <w:rPr>
          <w:spacing w:val="-9"/>
        </w:rPr>
        <w:t xml:space="preserve"> </w:t>
      </w:r>
      <w:r>
        <w:t>the</w:t>
      </w:r>
      <w:r>
        <w:rPr>
          <w:spacing w:val="-10"/>
        </w:rPr>
        <w:t xml:space="preserve"> </w:t>
      </w:r>
      <w:r>
        <w:t>change</w:t>
      </w:r>
      <w:r>
        <w:rPr>
          <w:spacing w:val="-10"/>
        </w:rPr>
        <w:t xml:space="preserve"> </w:t>
      </w:r>
      <w:r>
        <w:t>from</w:t>
      </w:r>
      <w:r>
        <w:rPr>
          <w:spacing w:val="-9"/>
        </w:rPr>
        <w:t xml:space="preserve"> </w:t>
      </w:r>
      <w:r>
        <w:t>baseline in</w:t>
      </w:r>
      <w:r>
        <w:rPr>
          <w:spacing w:val="-10"/>
        </w:rPr>
        <w:t xml:space="preserve"> </w:t>
      </w:r>
      <w:r w:rsidR="003F2DE3">
        <w:t>Hb</w:t>
      </w:r>
      <w:r w:rsidR="00A04B32">
        <w:t>A1c</w:t>
      </w:r>
      <w:r>
        <w:rPr>
          <w:spacing w:val="-10"/>
        </w:rPr>
        <w:t xml:space="preserve"> </w:t>
      </w:r>
      <w:r>
        <w:t>with</w:t>
      </w:r>
      <w:r>
        <w:rPr>
          <w:spacing w:val="-10"/>
        </w:rPr>
        <w:t xml:space="preserve"> </w:t>
      </w:r>
      <w:r>
        <w:t>ertugliflozin</w:t>
      </w:r>
      <w:r>
        <w:rPr>
          <w:spacing w:val="-13"/>
        </w:rPr>
        <w:t xml:space="preserve"> </w:t>
      </w:r>
      <w:r>
        <w:t>is</w:t>
      </w:r>
      <w:r>
        <w:rPr>
          <w:spacing w:val="-10"/>
        </w:rPr>
        <w:t xml:space="preserve"> </w:t>
      </w:r>
      <w:r>
        <w:t>nearly</w:t>
      </w:r>
      <w:r>
        <w:rPr>
          <w:spacing w:val="-17"/>
        </w:rPr>
        <w:t xml:space="preserve"> </w:t>
      </w:r>
      <w:r>
        <w:t>identical</w:t>
      </w:r>
      <w:r>
        <w:rPr>
          <w:spacing w:val="-10"/>
        </w:rPr>
        <w:t xml:space="preserve"> </w:t>
      </w:r>
      <w:r>
        <w:t>to</w:t>
      </w:r>
      <w:r>
        <w:rPr>
          <w:spacing w:val="-10"/>
        </w:rPr>
        <w:t xml:space="preserve"> </w:t>
      </w:r>
      <w:r>
        <w:t>the</w:t>
      </w:r>
      <w:r>
        <w:rPr>
          <w:spacing w:val="-9"/>
        </w:rPr>
        <w:t xml:space="preserve"> </w:t>
      </w:r>
      <w:r>
        <w:t>change</w:t>
      </w:r>
      <w:r>
        <w:rPr>
          <w:spacing w:val="-11"/>
        </w:rPr>
        <w:t xml:space="preserve"> </w:t>
      </w:r>
      <w:r>
        <w:t>from</w:t>
      </w:r>
      <w:r>
        <w:rPr>
          <w:spacing w:val="-10"/>
        </w:rPr>
        <w:t xml:space="preserve"> </w:t>
      </w:r>
      <w:r>
        <w:t>baseline</w:t>
      </w:r>
      <w:r>
        <w:rPr>
          <w:spacing w:val="-11"/>
        </w:rPr>
        <w:t xml:space="preserve"> </w:t>
      </w:r>
      <w:r>
        <w:t>observed</w:t>
      </w:r>
      <w:r>
        <w:rPr>
          <w:spacing w:val="-10"/>
        </w:rPr>
        <w:t xml:space="preserve"> </w:t>
      </w:r>
      <w:r>
        <w:t>with</w:t>
      </w:r>
      <w:r>
        <w:rPr>
          <w:spacing w:val="-10"/>
        </w:rPr>
        <w:t xml:space="preserve"> </w:t>
      </w:r>
      <w:r>
        <w:t>canagliflozin</w:t>
      </w:r>
      <w:r>
        <w:rPr>
          <w:spacing w:val="-10"/>
        </w:rPr>
        <w:t xml:space="preserve"> </w:t>
      </w:r>
      <w:r>
        <w:t>and empagliflozin.</w:t>
      </w:r>
      <w:r>
        <w:rPr>
          <w:spacing w:val="-14"/>
        </w:rPr>
        <w:t xml:space="preserve"> </w:t>
      </w:r>
      <w:r w:rsidR="00836955">
        <w:t>The sponsor</w:t>
      </w:r>
      <w:r>
        <w:rPr>
          <w:spacing w:val="-11"/>
        </w:rPr>
        <w:t xml:space="preserve"> </w:t>
      </w:r>
      <w:r>
        <w:t>believes</w:t>
      </w:r>
      <w:r>
        <w:rPr>
          <w:spacing w:val="-14"/>
        </w:rPr>
        <w:t xml:space="preserve"> </w:t>
      </w:r>
      <w:r>
        <w:t>that</w:t>
      </w:r>
      <w:r>
        <w:rPr>
          <w:spacing w:val="-11"/>
        </w:rPr>
        <w:t xml:space="preserve"> </w:t>
      </w:r>
      <w:r>
        <w:t>these</w:t>
      </w:r>
      <w:r>
        <w:rPr>
          <w:spacing w:val="-12"/>
        </w:rPr>
        <w:t xml:space="preserve"> </w:t>
      </w:r>
      <w:r>
        <w:t>changes</w:t>
      </w:r>
      <w:r>
        <w:rPr>
          <w:spacing w:val="-11"/>
        </w:rPr>
        <w:t xml:space="preserve"> </w:t>
      </w:r>
      <w:r>
        <w:t>from</w:t>
      </w:r>
      <w:r>
        <w:rPr>
          <w:spacing w:val="-11"/>
        </w:rPr>
        <w:t xml:space="preserve"> </w:t>
      </w:r>
      <w:r>
        <w:t>baseline</w:t>
      </w:r>
      <w:r>
        <w:rPr>
          <w:spacing w:val="-12"/>
        </w:rPr>
        <w:t xml:space="preserve"> </w:t>
      </w:r>
      <w:r>
        <w:t>with</w:t>
      </w:r>
      <w:r>
        <w:rPr>
          <w:spacing w:val="-11"/>
        </w:rPr>
        <w:t xml:space="preserve"> </w:t>
      </w:r>
      <w:r>
        <w:t>ertugliflozin</w:t>
      </w:r>
      <w:r>
        <w:rPr>
          <w:spacing w:val="-11"/>
        </w:rPr>
        <w:t xml:space="preserve"> </w:t>
      </w:r>
      <w:r>
        <w:t>(0.3%</w:t>
      </w:r>
      <w:r>
        <w:rPr>
          <w:spacing w:val="-12"/>
        </w:rPr>
        <w:t xml:space="preserve"> </w:t>
      </w:r>
      <w:r>
        <w:t>to</w:t>
      </w:r>
      <w:r>
        <w:rPr>
          <w:spacing w:val="-11"/>
        </w:rPr>
        <w:t xml:space="preserve"> </w:t>
      </w:r>
      <w:r>
        <w:t>0.4% in</w:t>
      </w:r>
      <w:r>
        <w:rPr>
          <w:spacing w:val="-10"/>
        </w:rPr>
        <w:t xml:space="preserve"> </w:t>
      </w:r>
      <w:r>
        <w:t>the</w:t>
      </w:r>
      <w:r>
        <w:rPr>
          <w:spacing w:val="-11"/>
        </w:rPr>
        <w:t xml:space="preserve"> </w:t>
      </w:r>
      <w:r>
        <w:t>overall</w:t>
      </w:r>
      <w:r>
        <w:rPr>
          <w:spacing w:val="-10"/>
        </w:rPr>
        <w:t xml:space="preserve"> </w:t>
      </w:r>
      <w:r>
        <w:t>population</w:t>
      </w:r>
      <w:r>
        <w:rPr>
          <w:spacing w:val="-12"/>
        </w:rPr>
        <w:t xml:space="preserve"> </w:t>
      </w:r>
      <w:r>
        <w:t>for</w:t>
      </w:r>
      <w:r>
        <w:rPr>
          <w:spacing w:val="-11"/>
        </w:rPr>
        <w:t xml:space="preserve"> </w:t>
      </w:r>
      <w:r>
        <w:t>ertugliflozin</w:t>
      </w:r>
      <w:r>
        <w:rPr>
          <w:spacing w:val="-10"/>
        </w:rPr>
        <w:t xml:space="preserve"> </w:t>
      </w:r>
      <w:r>
        <w:t>5</w:t>
      </w:r>
      <w:r w:rsidR="00715B39">
        <w:t xml:space="preserve"> </w:t>
      </w:r>
      <w:r w:rsidR="006D7D02">
        <w:t>mg</w:t>
      </w:r>
      <w:r>
        <w:rPr>
          <w:spacing w:val="-12"/>
        </w:rPr>
        <w:t xml:space="preserve"> </w:t>
      </w:r>
      <w:r>
        <w:t>and</w:t>
      </w:r>
      <w:r>
        <w:rPr>
          <w:spacing w:val="-8"/>
        </w:rPr>
        <w:t xml:space="preserve"> </w:t>
      </w:r>
      <w:r>
        <w:t>15</w:t>
      </w:r>
      <w:r w:rsidR="00715B39">
        <w:t xml:space="preserve"> </w:t>
      </w:r>
      <w:r w:rsidR="006D7D02">
        <w:t>mg</w:t>
      </w:r>
      <w:r>
        <w:t>)</w:t>
      </w:r>
      <w:r>
        <w:rPr>
          <w:spacing w:val="-9"/>
        </w:rPr>
        <w:t xml:space="preserve"> </w:t>
      </w:r>
      <w:r>
        <w:t>are</w:t>
      </w:r>
      <w:r>
        <w:rPr>
          <w:spacing w:val="-9"/>
        </w:rPr>
        <w:t xml:space="preserve"> </w:t>
      </w:r>
      <w:r>
        <w:t>clinically</w:t>
      </w:r>
      <w:r>
        <w:rPr>
          <w:spacing w:val="-19"/>
        </w:rPr>
        <w:t xml:space="preserve"> </w:t>
      </w:r>
      <w:r>
        <w:t>relevant,</w:t>
      </w:r>
      <w:r>
        <w:rPr>
          <w:spacing w:val="-10"/>
        </w:rPr>
        <w:t xml:space="preserve"> </w:t>
      </w:r>
      <w:r>
        <w:t>particularly</w:t>
      </w:r>
      <w:r>
        <w:rPr>
          <w:spacing w:val="-17"/>
        </w:rPr>
        <w:t xml:space="preserve"> </w:t>
      </w:r>
      <w:r>
        <w:t>given</w:t>
      </w:r>
      <w:r>
        <w:rPr>
          <w:spacing w:val="-8"/>
        </w:rPr>
        <w:t xml:space="preserve"> </w:t>
      </w:r>
      <w:r>
        <w:t>the limitations of other AHAs in this patient population (</w:t>
      </w:r>
      <w:r w:rsidR="002F3CCE">
        <w:t>for example,</w:t>
      </w:r>
      <w:r>
        <w:t xml:space="preserve"> hypoglycaemia with sulfonylureas, fluid retention, and fracture risk with</w:t>
      </w:r>
      <w:r>
        <w:rPr>
          <w:spacing w:val="-26"/>
        </w:rPr>
        <w:t xml:space="preserve"> </w:t>
      </w:r>
      <w:r>
        <w:t>TZDs).</w:t>
      </w:r>
    </w:p>
    <w:p w14:paraId="1E0F0346" w14:textId="200C3844" w:rsidR="009530C9" w:rsidRDefault="009530C9" w:rsidP="00533DAA">
      <w:r>
        <w:t xml:space="preserve">Evidence for </w:t>
      </w:r>
      <w:r w:rsidR="003F2DE3">
        <w:t>Hb</w:t>
      </w:r>
      <w:r w:rsidR="00A04B32">
        <w:t>A1c</w:t>
      </w:r>
      <w:r w:rsidR="00B45B46">
        <w:t xml:space="preserve"> </w:t>
      </w:r>
      <w:r>
        <w:t>lowering comes not only from the post hoc analyses in Study</w:t>
      </w:r>
      <w:r w:rsidR="00B45B46">
        <w:t> </w:t>
      </w:r>
      <w:r>
        <w:t>P001/1016, which excluded</w:t>
      </w:r>
      <w:r>
        <w:rPr>
          <w:spacing w:val="-13"/>
        </w:rPr>
        <w:t xml:space="preserve"> </w:t>
      </w:r>
      <w:r>
        <w:t>subjects</w:t>
      </w:r>
      <w:r>
        <w:rPr>
          <w:spacing w:val="-10"/>
        </w:rPr>
        <w:t xml:space="preserve"> </w:t>
      </w:r>
      <w:r>
        <w:t>who</w:t>
      </w:r>
      <w:r>
        <w:rPr>
          <w:spacing w:val="-8"/>
        </w:rPr>
        <w:t xml:space="preserve"> </w:t>
      </w:r>
      <w:r>
        <w:t>tested</w:t>
      </w:r>
      <w:r>
        <w:rPr>
          <w:spacing w:val="-10"/>
        </w:rPr>
        <w:t xml:space="preserve"> </w:t>
      </w:r>
      <w:r>
        <w:t>positive</w:t>
      </w:r>
      <w:r>
        <w:rPr>
          <w:spacing w:val="-11"/>
        </w:rPr>
        <w:t xml:space="preserve"> </w:t>
      </w:r>
      <w:r>
        <w:t>for</w:t>
      </w:r>
      <w:r>
        <w:rPr>
          <w:spacing w:val="-11"/>
        </w:rPr>
        <w:t xml:space="preserve"> </w:t>
      </w:r>
      <w:r>
        <w:t>metformin</w:t>
      </w:r>
      <w:r>
        <w:rPr>
          <w:spacing w:val="-10"/>
        </w:rPr>
        <w:t xml:space="preserve"> </w:t>
      </w:r>
      <w:r>
        <w:t>use</w:t>
      </w:r>
      <w:r>
        <w:rPr>
          <w:spacing w:val="-8"/>
        </w:rPr>
        <w:t xml:space="preserve"> </w:t>
      </w:r>
      <w:r>
        <w:t>but</w:t>
      </w:r>
      <w:r>
        <w:rPr>
          <w:spacing w:val="-10"/>
        </w:rPr>
        <w:t xml:space="preserve"> </w:t>
      </w:r>
      <w:r>
        <w:t>also from an analysis of a moderate renal impairment subgroup of the</w:t>
      </w:r>
      <w:r w:rsidR="00E35B5E">
        <w:t xml:space="preserve"> </w:t>
      </w:r>
      <w:r w:rsidR="005C38A4">
        <w:t>placebo pool</w:t>
      </w:r>
      <w:r>
        <w:t xml:space="preserve"> which did not include subjects from Study P001/1016. Moreover, data from the ertugliflozin </w:t>
      </w:r>
      <w:r w:rsidR="00C3563C">
        <w:t>Phase I</w:t>
      </w:r>
      <w:r>
        <w:rPr>
          <w:spacing w:val="-6"/>
        </w:rPr>
        <w:t xml:space="preserve"> </w:t>
      </w:r>
      <w:r>
        <w:t>study</w:t>
      </w:r>
      <w:r>
        <w:rPr>
          <w:spacing w:val="-17"/>
        </w:rPr>
        <w:t xml:space="preserve"> </w:t>
      </w:r>
      <w:r>
        <w:t>(Study</w:t>
      </w:r>
      <w:r>
        <w:rPr>
          <w:spacing w:val="-15"/>
        </w:rPr>
        <w:t xml:space="preserve"> </w:t>
      </w:r>
      <w:r>
        <w:t>P009/1023)</w:t>
      </w:r>
      <w:r>
        <w:rPr>
          <w:spacing w:val="-9"/>
        </w:rPr>
        <w:t xml:space="preserve"> </w:t>
      </w:r>
      <w:r>
        <w:t>demonstrated</w:t>
      </w:r>
      <w:r>
        <w:rPr>
          <w:spacing w:val="-6"/>
        </w:rPr>
        <w:t xml:space="preserve"> </w:t>
      </w:r>
      <w:r>
        <w:t>effects</w:t>
      </w:r>
      <w:r>
        <w:rPr>
          <w:spacing w:val="-6"/>
        </w:rPr>
        <w:t xml:space="preserve"> </w:t>
      </w:r>
      <w:r>
        <w:t>on</w:t>
      </w:r>
      <w:r>
        <w:rPr>
          <w:spacing w:val="-8"/>
        </w:rPr>
        <w:t xml:space="preserve"> </w:t>
      </w:r>
      <w:r>
        <w:t>UGE24</w:t>
      </w:r>
      <w:r>
        <w:rPr>
          <w:spacing w:val="-8"/>
        </w:rPr>
        <w:t xml:space="preserve"> </w:t>
      </w:r>
      <w:r>
        <w:t>that</w:t>
      </w:r>
      <w:r>
        <w:rPr>
          <w:spacing w:val="-8"/>
        </w:rPr>
        <w:t xml:space="preserve"> </w:t>
      </w:r>
      <w:r>
        <w:t>were</w:t>
      </w:r>
      <w:r>
        <w:rPr>
          <w:spacing w:val="-9"/>
        </w:rPr>
        <w:t xml:space="preserve"> </w:t>
      </w:r>
      <w:r>
        <w:t>approximately</w:t>
      </w:r>
      <w:r>
        <w:rPr>
          <w:spacing w:val="-15"/>
        </w:rPr>
        <w:t xml:space="preserve"> </w:t>
      </w:r>
      <w:r>
        <w:t>half</w:t>
      </w:r>
      <w:r>
        <w:rPr>
          <w:spacing w:val="-9"/>
        </w:rPr>
        <w:t xml:space="preserve"> </w:t>
      </w:r>
      <w:r>
        <w:t>of</w:t>
      </w:r>
      <w:r>
        <w:rPr>
          <w:spacing w:val="-9"/>
        </w:rPr>
        <w:t xml:space="preserve"> </w:t>
      </w:r>
      <w:r>
        <w:t>those observed</w:t>
      </w:r>
      <w:r>
        <w:rPr>
          <w:spacing w:val="-10"/>
        </w:rPr>
        <w:t xml:space="preserve"> </w:t>
      </w:r>
      <w:r>
        <w:t>in</w:t>
      </w:r>
      <w:r>
        <w:rPr>
          <w:spacing w:val="-10"/>
        </w:rPr>
        <w:t xml:space="preserve"> </w:t>
      </w:r>
      <w:r>
        <w:t>subjects</w:t>
      </w:r>
      <w:r>
        <w:rPr>
          <w:spacing w:val="-8"/>
        </w:rPr>
        <w:t xml:space="preserve"> </w:t>
      </w:r>
      <w:r>
        <w:t>with</w:t>
      </w:r>
      <w:r>
        <w:rPr>
          <w:spacing w:val="-8"/>
        </w:rPr>
        <w:t xml:space="preserve"> </w:t>
      </w:r>
      <w:r>
        <w:t>normal</w:t>
      </w:r>
      <w:r>
        <w:rPr>
          <w:spacing w:val="-7"/>
        </w:rPr>
        <w:t xml:space="preserve"> </w:t>
      </w:r>
      <w:r>
        <w:t>renal</w:t>
      </w:r>
      <w:r>
        <w:rPr>
          <w:spacing w:val="-7"/>
        </w:rPr>
        <w:t xml:space="preserve"> </w:t>
      </w:r>
      <w:r>
        <w:t>function.</w:t>
      </w:r>
      <w:r>
        <w:rPr>
          <w:spacing w:val="-8"/>
        </w:rPr>
        <w:t xml:space="preserve"> </w:t>
      </w:r>
      <w:r>
        <w:t>Taken</w:t>
      </w:r>
      <w:r>
        <w:rPr>
          <w:spacing w:val="-10"/>
        </w:rPr>
        <w:t xml:space="preserve"> </w:t>
      </w:r>
      <w:r>
        <w:t>together,</w:t>
      </w:r>
      <w:r>
        <w:rPr>
          <w:spacing w:val="-8"/>
        </w:rPr>
        <w:t xml:space="preserve"> </w:t>
      </w:r>
      <w:r>
        <w:t>this</w:t>
      </w:r>
      <w:r>
        <w:rPr>
          <w:spacing w:val="-8"/>
        </w:rPr>
        <w:t xml:space="preserve"> </w:t>
      </w:r>
      <w:r>
        <w:t>profile</w:t>
      </w:r>
      <w:r>
        <w:rPr>
          <w:spacing w:val="-11"/>
        </w:rPr>
        <w:t xml:space="preserve"> </w:t>
      </w:r>
      <w:r>
        <w:t>is</w:t>
      </w:r>
      <w:r>
        <w:rPr>
          <w:spacing w:val="-8"/>
        </w:rPr>
        <w:t xml:space="preserve"> </w:t>
      </w:r>
      <w:r>
        <w:t>consistent</w:t>
      </w:r>
      <w:r>
        <w:rPr>
          <w:spacing w:val="-10"/>
        </w:rPr>
        <w:t xml:space="preserve"> </w:t>
      </w:r>
      <w:r>
        <w:t>to</w:t>
      </w:r>
      <w:r>
        <w:rPr>
          <w:spacing w:val="-10"/>
        </w:rPr>
        <w:t xml:space="preserve"> </w:t>
      </w:r>
      <w:r>
        <w:t>that</w:t>
      </w:r>
      <w:r>
        <w:rPr>
          <w:spacing w:val="-7"/>
        </w:rPr>
        <w:t xml:space="preserve"> </w:t>
      </w:r>
      <w:r>
        <w:t>of</w:t>
      </w:r>
      <w:r>
        <w:rPr>
          <w:spacing w:val="-11"/>
        </w:rPr>
        <w:t xml:space="preserve"> </w:t>
      </w:r>
      <w:r>
        <w:t>other SGLT2</w:t>
      </w:r>
      <w:r>
        <w:rPr>
          <w:spacing w:val="-9"/>
        </w:rPr>
        <w:t xml:space="preserve"> </w:t>
      </w:r>
      <w:r>
        <w:t>inhibitors</w:t>
      </w:r>
      <w:r>
        <w:rPr>
          <w:spacing w:val="-9"/>
        </w:rPr>
        <w:t xml:space="preserve"> </w:t>
      </w:r>
      <w:r>
        <w:t>in</w:t>
      </w:r>
      <w:r>
        <w:rPr>
          <w:spacing w:val="-9"/>
        </w:rPr>
        <w:t xml:space="preserve"> </w:t>
      </w:r>
      <w:r>
        <w:t>subjects</w:t>
      </w:r>
      <w:r>
        <w:rPr>
          <w:spacing w:val="-6"/>
        </w:rPr>
        <w:t xml:space="preserve"> </w:t>
      </w:r>
      <w:r>
        <w:t>with</w:t>
      </w:r>
      <w:r>
        <w:rPr>
          <w:spacing w:val="-9"/>
        </w:rPr>
        <w:t xml:space="preserve"> </w:t>
      </w:r>
      <w:r>
        <w:t>moderate</w:t>
      </w:r>
      <w:r>
        <w:rPr>
          <w:spacing w:val="-7"/>
        </w:rPr>
        <w:t xml:space="preserve"> </w:t>
      </w:r>
      <w:r>
        <w:t>renal</w:t>
      </w:r>
      <w:r>
        <w:rPr>
          <w:spacing w:val="-6"/>
        </w:rPr>
        <w:t xml:space="preserve"> </w:t>
      </w:r>
      <w:r>
        <w:t>impairment.</w:t>
      </w:r>
    </w:p>
    <w:p w14:paraId="40FD5611" w14:textId="7CDB1E3F" w:rsidR="009530C9" w:rsidRDefault="009530C9" w:rsidP="00533DAA">
      <w:r>
        <w:t>Nevertheless,</w:t>
      </w:r>
      <w:r>
        <w:rPr>
          <w:spacing w:val="-10"/>
        </w:rPr>
        <w:t xml:space="preserve"> </w:t>
      </w:r>
      <w:r w:rsidR="00C315CD">
        <w:t>the sponsor</w:t>
      </w:r>
      <w:r>
        <w:rPr>
          <w:spacing w:val="-8"/>
        </w:rPr>
        <w:t xml:space="preserve"> </w:t>
      </w:r>
      <w:r>
        <w:t>acknowledges</w:t>
      </w:r>
      <w:r>
        <w:rPr>
          <w:spacing w:val="-10"/>
        </w:rPr>
        <w:t xml:space="preserve"> </w:t>
      </w:r>
      <w:r>
        <w:t>that</w:t>
      </w:r>
      <w:r>
        <w:rPr>
          <w:spacing w:val="-10"/>
        </w:rPr>
        <w:t xml:space="preserve"> </w:t>
      </w:r>
      <w:r>
        <w:t>the</w:t>
      </w:r>
      <w:r>
        <w:rPr>
          <w:spacing w:val="-11"/>
        </w:rPr>
        <w:t xml:space="preserve"> </w:t>
      </w:r>
      <w:r>
        <w:t>success</w:t>
      </w:r>
      <w:r>
        <w:rPr>
          <w:spacing w:val="-9"/>
        </w:rPr>
        <w:t xml:space="preserve"> </w:t>
      </w:r>
      <w:r>
        <w:t>criterion</w:t>
      </w:r>
      <w:r>
        <w:rPr>
          <w:spacing w:val="-10"/>
        </w:rPr>
        <w:t xml:space="preserve"> </w:t>
      </w:r>
      <w:r>
        <w:t>for</w:t>
      </w:r>
      <w:r>
        <w:rPr>
          <w:spacing w:val="-11"/>
        </w:rPr>
        <w:t xml:space="preserve"> </w:t>
      </w:r>
      <w:r>
        <w:t>the</w:t>
      </w:r>
      <w:r>
        <w:rPr>
          <w:spacing w:val="-10"/>
        </w:rPr>
        <w:t xml:space="preserve"> </w:t>
      </w:r>
      <w:r>
        <w:t>primary</w:t>
      </w:r>
      <w:r>
        <w:rPr>
          <w:spacing w:val="-20"/>
        </w:rPr>
        <w:t xml:space="preserve"> </w:t>
      </w:r>
      <w:r>
        <w:t>hypothesis</w:t>
      </w:r>
      <w:r>
        <w:rPr>
          <w:spacing w:val="-10"/>
        </w:rPr>
        <w:t xml:space="preserve"> </w:t>
      </w:r>
      <w:r>
        <w:t>in</w:t>
      </w:r>
      <w:r>
        <w:rPr>
          <w:spacing w:val="-10"/>
        </w:rPr>
        <w:t xml:space="preserve"> </w:t>
      </w:r>
      <w:r>
        <w:t xml:space="preserve">Study P001/1016 was not met, most likely because of the confounding effects of surreptitious metformin use among some subjects, which primarily impacted the placebo response. While the proportion of subjects who had a positive assay for metformin was similar, there was a larger </w:t>
      </w:r>
      <w:r w:rsidR="003F2DE3">
        <w:t>Hb</w:t>
      </w:r>
      <w:r w:rsidR="00A04B32">
        <w:t>A1c</w:t>
      </w:r>
      <w:r>
        <w:t xml:space="preserve"> effect in placebo than in ertugliflozin subjects</w:t>
      </w:r>
      <w:r w:rsidR="00B51DF2">
        <w:t xml:space="preserve"> </w:t>
      </w:r>
      <w:r>
        <w:t>as reflected by the attenuation of the placebo</w:t>
      </w:r>
      <w:r>
        <w:rPr>
          <w:spacing w:val="-10"/>
        </w:rPr>
        <w:t xml:space="preserve"> </w:t>
      </w:r>
      <w:r>
        <w:t>response</w:t>
      </w:r>
      <w:r>
        <w:rPr>
          <w:spacing w:val="-11"/>
        </w:rPr>
        <w:t xml:space="preserve"> </w:t>
      </w:r>
      <w:r>
        <w:t>when</w:t>
      </w:r>
      <w:r>
        <w:rPr>
          <w:spacing w:val="-10"/>
        </w:rPr>
        <w:t xml:space="preserve"> </w:t>
      </w:r>
      <w:r>
        <w:t>excluding</w:t>
      </w:r>
      <w:r>
        <w:rPr>
          <w:spacing w:val="-14"/>
        </w:rPr>
        <w:t xml:space="preserve"> </w:t>
      </w:r>
      <w:r>
        <w:t>subjects</w:t>
      </w:r>
      <w:r>
        <w:rPr>
          <w:spacing w:val="-10"/>
        </w:rPr>
        <w:t xml:space="preserve"> </w:t>
      </w:r>
      <w:r>
        <w:t>who</w:t>
      </w:r>
      <w:r>
        <w:rPr>
          <w:spacing w:val="-10"/>
        </w:rPr>
        <w:t xml:space="preserve"> </w:t>
      </w:r>
      <w:r>
        <w:t>tested</w:t>
      </w:r>
      <w:r>
        <w:rPr>
          <w:spacing w:val="-10"/>
        </w:rPr>
        <w:t xml:space="preserve"> </w:t>
      </w:r>
      <w:r>
        <w:t>positive</w:t>
      </w:r>
      <w:r>
        <w:rPr>
          <w:spacing w:val="-11"/>
        </w:rPr>
        <w:t xml:space="preserve"> </w:t>
      </w:r>
      <w:r>
        <w:t>for</w:t>
      </w:r>
      <w:r>
        <w:rPr>
          <w:spacing w:val="-11"/>
        </w:rPr>
        <w:t xml:space="preserve"> </w:t>
      </w:r>
      <w:r>
        <w:t>metformin,</w:t>
      </w:r>
      <w:r>
        <w:rPr>
          <w:spacing w:val="-10"/>
        </w:rPr>
        <w:t xml:space="preserve"> </w:t>
      </w:r>
      <w:r>
        <w:t>with</w:t>
      </w:r>
      <w:r>
        <w:rPr>
          <w:spacing w:val="-13"/>
        </w:rPr>
        <w:t xml:space="preserve"> </w:t>
      </w:r>
      <w:r>
        <w:t>more</w:t>
      </w:r>
      <w:r>
        <w:rPr>
          <w:spacing w:val="-13"/>
        </w:rPr>
        <w:t xml:space="preserve"> </w:t>
      </w:r>
      <w:r>
        <w:t>minimal</w:t>
      </w:r>
      <w:r>
        <w:rPr>
          <w:spacing w:val="-10"/>
        </w:rPr>
        <w:t xml:space="preserve"> </w:t>
      </w:r>
      <w:r>
        <w:t xml:space="preserve">effects on </w:t>
      </w:r>
      <w:r w:rsidR="003F2DE3">
        <w:t>Hb</w:t>
      </w:r>
      <w:r w:rsidR="00A04B32">
        <w:t>A1c</w:t>
      </w:r>
      <w:r w:rsidR="002F3CCE">
        <w:t xml:space="preserve"> in the ertugliflozin groups.</w:t>
      </w:r>
    </w:p>
    <w:p w14:paraId="51DBA882" w14:textId="77777777" w:rsidR="009530C9" w:rsidRDefault="009530C9" w:rsidP="00533DAA">
      <w:r>
        <w:t>Ertugliflozin causes an osmotic diuresis that leads to a transient decrease in eGFR, which is slightly greater</w:t>
      </w:r>
      <w:r>
        <w:rPr>
          <w:spacing w:val="-11"/>
        </w:rPr>
        <w:t xml:space="preserve"> </w:t>
      </w:r>
      <w:r>
        <w:t>in</w:t>
      </w:r>
      <w:r>
        <w:rPr>
          <w:spacing w:val="-10"/>
        </w:rPr>
        <w:t xml:space="preserve"> </w:t>
      </w:r>
      <w:r>
        <w:t>subjects</w:t>
      </w:r>
      <w:r>
        <w:rPr>
          <w:spacing w:val="-10"/>
        </w:rPr>
        <w:t xml:space="preserve"> </w:t>
      </w:r>
      <w:r>
        <w:t>with</w:t>
      </w:r>
      <w:r>
        <w:rPr>
          <w:spacing w:val="-10"/>
        </w:rPr>
        <w:t xml:space="preserve"> </w:t>
      </w:r>
      <w:r>
        <w:t>moderate</w:t>
      </w:r>
      <w:r>
        <w:rPr>
          <w:spacing w:val="-11"/>
        </w:rPr>
        <w:t xml:space="preserve"> </w:t>
      </w:r>
      <w:r>
        <w:t>renal</w:t>
      </w:r>
      <w:r>
        <w:rPr>
          <w:spacing w:val="-10"/>
        </w:rPr>
        <w:t xml:space="preserve"> </w:t>
      </w:r>
      <w:r>
        <w:t>impairment.</w:t>
      </w:r>
      <w:r>
        <w:rPr>
          <w:spacing w:val="-10"/>
        </w:rPr>
        <w:t xml:space="preserve"> </w:t>
      </w:r>
      <w:r>
        <w:t>However,</w:t>
      </w:r>
      <w:r>
        <w:rPr>
          <w:spacing w:val="-10"/>
        </w:rPr>
        <w:t xml:space="preserve"> </w:t>
      </w:r>
      <w:r>
        <w:t>in</w:t>
      </w:r>
      <w:r>
        <w:rPr>
          <w:spacing w:val="-10"/>
        </w:rPr>
        <w:t xml:space="preserve"> </w:t>
      </w:r>
      <w:r>
        <w:t>these</w:t>
      </w:r>
      <w:r>
        <w:rPr>
          <w:spacing w:val="-11"/>
        </w:rPr>
        <w:t xml:space="preserve"> </w:t>
      </w:r>
      <w:r>
        <w:t>subjects,</w:t>
      </w:r>
      <w:r>
        <w:rPr>
          <w:spacing w:val="-10"/>
        </w:rPr>
        <w:t xml:space="preserve"> </w:t>
      </w:r>
      <w:r>
        <w:t>the</w:t>
      </w:r>
      <w:r>
        <w:rPr>
          <w:spacing w:val="-11"/>
        </w:rPr>
        <w:t xml:space="preserve"> </w:t>
      </w:r>
      <w:r>
        <w:t>eGFR</w:t>
      </w:r>
      <w:r>
        <w:rPr>
          <w:spacing w:val="-10"/>
        </w:rPr>
        <w:t xml:space="preserve"> </w:t>
      </w:r>
      <w:r>
        <w:t>decrease</w:t>
      </w:r>
      <w:r>
        <w:rPr>
          <w:spacing w:val="-9"/>
        </w:rPr>
        <w:t xml:space="preserve"> </w:t>
      </w:r>
      <w:r>
        <w:rPr>
          <w:spacing w:val="-3"/>
        </w:rPr>
        <w:t xml:space="preserve">was </w:t>
      </w:r>
      <w:r>
        <w:t>fully reversible foll</w:t>
      </w:r>
      <w:r w:rsidR="002F3CCE">
        <w:t>owing treatment discontinuation</w:t>
      </w:r>
      <w:r>
        <w:t>, providing evidence that acute</w:t>
      </w:r>
      <w:r>
        <w:rPr>
          <w:spacing w:val="-15"/>
        </w:rPr>
        <w:t xml:space="preserve"> </w:t>
      </w:r>
      <w:r>
        <w:t>h</w:t>
      </w:r>
      <w:r w:rsidR="00A43733">
        <w:t>a</w:t>
      </w:r>
      <w:r>
        <w:t>emodynamic</w:t>
      </w:r>
      <w:r>
        <w:rPr>
          <w:spacing w:val="-13"/>
        </w:rPr>
        <w:t xml:space="preserve"> </w:t>
      </w:r>
      <w:r>
        <w:t>changes</w:t>
      </w:r>
      <w:r>
        <w:rPr>
          <w:spacing w:val="-12"/>
        </w:rPr>
        <w:t xml:space="preserve"> </w:t>
      </w:r>
      <w:r>
        <w:t>play</w:t>
      </w:r>
      <w:r>
        <w:rPr>
          <w:spacing w:val="-18"/>
        </w:rPr>
        <w:t xml:space="preserve"> </w:t>
      </w:r>
      <w:r>
        <w:t>a</w:t>
      </w:r>
      <w:r>
        <w:rPr>
          <w:spacing w:val="-13"/>
        </w:rPr>
        <w:t xml:space="preserve"> </w:t>
      </w:r>
      <w:r>
        <w:t>role</w:t>
      </w:r>
      <w:r>
        <w:rPr>
          <w:spacing w:val="-13"/>
        </w:rPr>
        <w:t xml:space="preserve"> </w:t>
      </w:r>
      <w:r>
        <w:t>in</w:t>
      </w:r>
      <w:r>
        <w:rPr>
          <w:spacing w:val="-12"/>
        </w:rPr>
        <w:t xml:space="preserve"> </w:t>
      </w:r>
      <w:r>
        <w:t>the</w:t>
      </w:r>
      <w:r>
        <w:rPr>
          <w:spacing w:val="-11"/>
        </w:rPr>
        <w:t xml:space="preserve"> </w:t>
      </w:r>
      <w:r>
        <w:t>renal</w:t>
      </w:r>
      <w:r>
        <w:rPr>
          <w:spacing w:val="-12"/>
        </w:rPr>
        <w:t xml:space="preserve"> </w:t>
      </w:r>
      <w:r>
        <w:t>function</w:t>
      </w:r>
      <w:r>
        <w:rPr>
          <w:spacing w:val="-12"/>
        </w:rPr>
        <w:t xml:space="preserve"> </w:t>
      </w:r>
      <w:r>
        <w:t>abnormalities</w:t>
      </w:r>
      <w:r>
        <w:rPr>
          <w:spacing w:val="-10"/>
        </w:rPr>
        <w:t xml:space="preserve"> </w:t>
      </w:r>
      <w:r>
        <w:t>observed</w:t>
      </w:r>
      <w:r>
        <w:rPr>
          <w:spacing w:val="-12"/>
        </w:rPr>
        <w:t xml:space="preserve"> </w:t>
      </w:r>
      <w:r>
        <w:t>with</w:t>
      </w:r>
      <w:r>
        <w:rPr>
          <w:spacing w:val="-12"/>
        </w:rPr>
        <w:t xml:space="preserve"> </w:t>
      </w:r>
      <w:r>
        <w:t xml:space="preserve">ertugliflozin. With </w:t>
      </w:r>
      <w:r>
        <w:rPr>
          <w:spacing w:val="-3"/>
        </w:rPr>
        <w:t xml:space="preserve">regard </w:t>
      </w:r>
      <w:r>
        <w:t>to safety, despite potentially greater exposure, ertugliflozin was well tolerated in subjects with moderate renal impairment with a similar safety profile at both doses. Since the selected ertugliflozin doses are near the top of the dose</w:t>
      </w:r>
      <w:r w:rsidR="002F3CCE">
        <w:t xml:space="preserve"> </w:t>
      </w:r>
      <w:r>
        <w:t>response curve and provide near maximal pharmacodynamic effect, any increase in exposure that might occur as a result of renal impairment is not</w:t>
      </w:r>
      <w:r>
        <w:rPr>
          <w:spacing w:val="-9"/>
        </w:rPr>
        <w:t xml:space="preserve"> </w:t>
      </w:r>
      <w:r>
        <w:t>expected</w:t>
      </w:r>
      <w:r>
        <w:rPr>
          <w:spacing w:val="-9"/>
        </w:rPr>
        <w:t xml:space="preserve"> </w:t>
      </w:r>
      <w:r>
        <w:t>to</w:t>
      </w:r>
      <w:r>
        <w:rPr>
          <w:spacing w:val="-12"/>
        </w:rPr>
        <w:t xml:space="preserve"> </w:t>
      </w:r>
      <w:r>
        <w:t>drive</w:t>
      </w:r>
      <w:r>
        <w:rPr>
          <w:spacing w:val="-10"/>
        </w:rPr>
        <w:t xml:space="preserve"> </w:t>
      </w:r>
      <w:r>
        <w:t>any</w:t>
      </w:r>
      <w:r>
        <w:rPr>
          <w:spacing w:val="-14"/>
        </w:rPr>
        <w:t xml:space="preserve"> </w:t>
      </w:r>
      <w:r>
        <w:t>meaningful</w:t>
      </w:r>
      <w:r>
        <w:rPr>
          <w:spacing w:val="-9"/>
        </w:rPr>
        <w:t xml:space="preserve"> </w:t>
      </w:r>
      <w:r>
        <w:t>increase</w:t>
      </w:r>
      <w:r>
        <w:rPr>
          <w:spacing w:val="-10"/>
        </w:rPr>
        <w:t xml:space="preserve"> </w:t>
      </w:r>
      <w:r>
        <w:t>in</w:t>
      </w:r>
      <w:r>
        <w:rPr>
          <w:spacing w:val="-9"/>
        </w:rPr>
        <w:t xml:space="preserve"> </w:t>
      </w:r>
      <w:r>
        <w:t>pharmacodynamic</w:t>
      </w:r>
      <w:r>
        <w:rPr>
          <w:spacing w:val="-10"/>
        </w:rPr>
        <w:t xml:space="preserve"> </w:t>
      </w:r>
      <w:r>
        <w:t>activity,</w:t>
      </w:r>
      <w:r>
        <w:rPr>
          <w:spacing w:val="-8"/>
        </w:rPr>
        <w:t xml:space="preserve"> </w:t>
      </w:r>
      <w:r>
        <w:t>especially</w:t>
      </w:r>
      <w:r>
        <w:rPr>
          <w:spacing w:val="-14"/>
        </w:rPr>
        <w:t xml:space="preserve"> </w:t>
      </w:r>
      <w:r>
        <w:t>given</w:t>
      </w:r>
      <w:r>
        <w:rPr>
          <w:spacing w:val="-9"/>
        </w:rPr>
        <w:t xml:space="preserve"> </w:t>
      </w:r>
      <w:r>
        <w:t>that</w:t>
      </w:r>
      <w:r>
        <w:rPr>
          <w:spacing w:val="-11"/>
        </w:rPr>
        <w:t xml:space="preserve"> </w:t>
      </w:r>
      <w:r>
        <w:t>less glucose is filtered in renally impaired patients. Although the incidence of volume depletion and renal related</w:t>
      </w:r>
      <w:r>
        <w:rPr>
          <w:spacing w:val="-9"/>
        </w:rPr>
        <w:t xml:space="preserve"> </w:t>
      </w:r>
      <w:r>
        <w:t>AEs</w:t>
      </w:r>
      <w:r>
        <w:rPr>
          <w:spacing w:val="-9"/>
        </w:rPr>
        <w:t xml:space="preserve"> </w:t>
      </w:r>
      <w:r>
        <w:t>is</w:t>
      </w:r>
      <w:r>
        <w:rPr>
          <w:spacing w:val="-9"/>
        </w:rPr>
        <w:t xml:space="preserve"> </w:t>
      </w:r>
      <w:r>
        <w:t>higher</w:t>
      </w:r>
      <w:r>
        <w:rPr>
          <w:spacing w:val="-10"/>
        </w:rPr>
        <w:t xml:space="preserve"> </w:t>
      </w:r>
      <w:r>
        <w:t>in</w:t>
      </w:r>
      <w:r>
        <w:rPr>
          <w:spacing w:val="-9"/>
        </w:rPr>
        <w:t xml:space="preserve"> </w:t>
      </w:r>
      <w:r>
        <w:t>subjects</w:t>
      </w:r>
      <w:r>
        <w:rPr>
          <w:spacing w:val="-9"/>
        </w:rPr>
        <w:t xml:space="preserve"> </w:t>
      </w:r>
      <w:r>
        <w:t>with</w:t>
      </w:r>
      <w:r>
        <w:rPr>
          <w:spacing w:val="-12"/>
        </w:rPr>
        <w:t xml:space="preserve"> </w:t>
      </w:r>
      <w:r>
        <w:t>moderate</w:t>
      </w:r>
      <w:r>
        <w:rPr>
          <w:spacing w:val="-10"/>
        </w:rPr>
        <w:t xml:space="preserve"> </w:t>
      </w:r>
      <w:r>
        <w:t>renal</w:t>
      </w:r>
      <w:r>
        <w:rPr>
          <w:spacing w:val="-9"/>
        </w:rPr>
        <w:t xml:space="preserve"> </w:t>
      </w:r>
      <w:r>
        <w:t>impairment,</w:t>
      </w:r>
      <w:r>
        <w:rPr>
          <w:spacing w:val="-9"/>
        </w:rPr>
        <w:t xml:space="preserve"> </w:t>
      </w:r>
      <w:r>
        <w:t>this</w:t>
      </w:r>
      <w:r>
        <w:rPr>
          <w:spacing w:val="-9"/>
        </w:rPr>
        <w:t xml:space="preserve"> </w:t>
      </w:r>
      <w:r>
        <w:t>would</w:t>
      </w:r>
      <w:r>
        <w:rPr>
          <w:spacing w:val="-9"/>
        </w:rPr>
        <w:t xml:space="preserve"> </w:t>
      </w:r>
      <w:r>
        <w:t>be</w:t>
      </w:r>
      <w:r>
        <w:rPr>
          <w:spacing w:val="-10"/>
        </w:rPr>
        <w:t xml:space="preserve"> </w:t>
      </w:r>
      <w:r>
        <w:t>anticipated</w:t>
      </w:r>
      <w:r>
        <w:rPr>
          <w:spacing w:val="-9"/>
        </w:rPr>
        <w:t xml:space="preserve"> </w:t>
      </w:r>
      <w:r>
        <w:t>based</w:t>
      </w:r>
      <w:r>
        <w:rPr>
          <w:spacing w:val="-9"/>
        </w:rPr>
        <w:t xml:space="preserve"> </w:t>
      </w:r>
      <w:r>
        <w:t>on</w:t>
      </w:r>
      <w:r>
        <w:rPr>
          <w:spacing w:val="-8"/>
        </w:rPr>
        <w:t xml:space="preserve"> </w:t>
      </w:r>
      <w:r>
        <w:t>the mechanism</w:t>
      </w:r>
      <w:r>
        <w:rPr>
          <w:spacing w:val="-7"/>
        </w:rPr>
        <w:t xml:space="preserve"> </w:t>
      </w:r>
      <w:r>
        <w:t>of</w:t>
      </w:r>
      <w:r>
        <w:rPr>
          <w:spacing w:val="-8"/>
        </w:rPr>
        <w:t xml:space="preserve"> </w:t>
      </w:r>
      <w:r>
        <w:t>action</w:t>
      </w:r>
      <w:r>
        <w:rPr>
          <w:spacing w:val="-5"/>
        </w:rPr>
        <w:t xml:space="preserve"> </w:t>
      </w:r>
      <w:r>
        <w:t>and</w:t>
      </w:r>
      <w:r>
        <w:rPr>
          <w:spacing w:val="-7"/>
        </w:rPr>
        <w:t xml:space="preserve"> </w:t>
      </w:r>
      <w:r>
        <w:t>is</w:t>
      </w:r>
      <w:r>
        <w:rPr>
          <w:spacing w:val="-7"/>
        </w:rPr>
        <w:t xml:space="preserve"> </w:t>
      </w:r>
      <w:r>
        <w:t>consistent</w:t>
      </w:r>
      <w:r>
        <w:rPr>
          <w:spacing w:val="-7"/>
        </w:rPr>
        <w:t xml:space="preserve"> </w:t>
      </w:r>
      <w:r>
        <w:t>with</w:t>
      </w:r>
      <w:r>
        <w:rPr>
          <w:spacing w:val="-7"/>
        </w:rPr>
        <w:t xml:space="preserve"> </w:t>
      </w:r>
      <w:r>
        <w:t>the</w:t>
      </w:r>
      <w:r>
        <w:rPr>
          <w:spacing w:val="-8"/>
        </w:rPr>
        <w:t xml:space="preserve"> </w:t>
      </w:r>
      <w:r>
        <w:t>findings</w:t>
      </w:r>
      <w:r>
        <w:rPr>
          <w:spacing w:val="-5"/>
        </w:rPr>
        <w:t xml:space="preserve"> </w:t>
      </w:r>
      <w:r>
        <w:t>of</w:t>
      </w:r>
      <w:r>
        <w:rPr>
          <w:spacing w:val="-8"/>
        </w:rPr>
        <w:t xml:space="preserve"> </w:t>
      </w:r>
      <w:r>
        <w:t>other</w:t>
      </w:r>
      <w:r>
        <w:rPr>
          <w:spacing w:val="-8"/>
        </w:rPr>
        <w:t xml:space="preserve"> </w:t>
      </w:r>
      <w:r>
        <w:t>SGLT2</w:t>
      </w:r>
      <w:r>
        <w:rPr>
          <w:spacing w:val="-7"/>
        </w:rPr>
        <w:t xml:space="preserve"> </w:t>
      </w:r>
      <w:r>
        <w:t>inhibitors.</w:t>
      </w:r>
    </w:p>
    <w:p w14:paraId="72DC775D" w14:textId="77777777" w:rsidR="009530C9" w:rsidRDefault="00836955" w:rsidP="00533DAA">
      <w:r>
        <w:t>The sponsor</w:t>
      </w:r>
      <w:r w:rsidR="009530C9">
        <w:rPr>
          <w:spacing w:val="-9"/>
        </w:rPr>
        <w:t xml:space="preserve"> </w:t>
      </w:r>
      <w:r w:rsidR="009530C9">
        <w:t>believes</w:t>
      </w:r>
      <w:r w:rsidR="009530C9">
        <w:rPr>
          <w:spacing w:val="-9"/>
        </w:rPr>
        <w:t xml:space="preserve"> </w:t>
      </w:r>
      <w:r w:rsidR="009530C9">
        <w:t>that</w:t>
      </w:r>
      <w:r w:rsidR="009530C9">
        <w:rPr>
          <w:spacing w:val="-9"/>
        </w:rPr>
        <w:t xml:space="preserve"> </w:t>
      </w:r>
      <w:r w:rsidR="009530C9">
        <w:t>the</w:t>
      </w:r>
      <w:r w:rsidR="009530C9">
        <w:rPr>
          <w:spacing w:val="-10"/>
        </w:rPr>
        <w:t xml:space="preserve"> </w:t>
      </w:r>
      <w:r w:rsidR="009530C9">
        <w:t>totality</w:t>
      </w:r>
      <w:r w:rsidR="009530C9">
        <w:rPr>
          <w:spacing w:val="-20"/>
        </w:rPr>
        <w:t xml:space="preserve"> </w:t>
      </w:r>
      <w:r w:rsidR="009530C9">
        <w:t>of</w:t>
      </w:r>
      <w:r w:rsidR="009530C9">
        <w:rPr>
          <w:spacing w:val="-10"/>
        </w:rPr>
        <w:t xml:space="preserve"> </w:t>
      </w:r>
      <w:r w:rsidR="009530C9">
        <w:t>the</w:t>
      </w:r>
      <w:r w:rsidR="009530C9">
        <w:rPr>
          <w:spacing w:val="-13"/>
        </w:rPr>
        <w:t xml:space="preserve"> </w:t>
      </w:r>
      <w:r w:rsidR="009530C9">
        <w:t>pharmacodynamic,</w:t>
      </w:r>
      <w:r w:rsidR="009530C9">
        <w:rPr>
          <w:spacing w:val="-7"/>
        </w:rPr>
        <w:t xml:space="preserve"> </w:t>
      </w:r>
      <w:r w:rsidR="009530C9">
        <w:t>efficacy</w:t>
      </w:r>
      <w:r w:rsidR="009530C9">
        <w:rPr>
          <w:spacing w:val="-17"/>
        </w:rPr>
        <w:t xml:space="preserve"> </w:t>
      </w:r>
      <w:r w:rsidR="009530C9">
        <w:t>and</w:t>
      </w:r>
      <w:r w:rsidR="009530C9">
        <w:rPr>
          <w:spacing w:val="-9"/>
        </w:rPr>
        <w:t xml:space="preserve"> </w:t>
      </w:r>
      <w:r w:rsidR="009530C9">
        <w:t>safety</w:t>
      </w:r>
      <w:r w:rsidR="009530C9">
        <w:rPr>
          <w:spacing w:val="-17"/>
        </w:rPr>
        <w:t xml:space="preserve"> </w:t>
      </w:r>
      <w:r w:rsidR="009530C9">
        <w:t>data</w:t>
      </w:r>
      <w:r w:rsidR="009530C9">
        <w:rPr>
          <w:spacing w:val="-10"/>
        </w:rPr>
        <w:t xml:space="preserve"> </w:t>
      </w:r>
      <w:r w:rsidR="009530C9">
        <w:t>presented</w:t>
      </w:r>
      <w:r w:rsidR="009530C9">
        <w:rPr>
          <w:spacing w:val="-7"/>
        </w:rPr>
        <w:t xml:space="preserve"> </w:t>
      </w:r>
      <w:r w:rsidR="009530C9">
        <w:t xml:space="preserve">in subjects with moderate renal impairment supports use of ertugliflozin in subjects with eGFR </w:t>
      </w:r>
      <w:r w:rsidR="00EB55BF">
        <w:t xml:space="preserve">≥ </w:t>
      </w:r>
      <w:r w:rsidR="009530C9">
        <w:t>45 to 60 mL/min/1.73</w:t>
      </w:r>
      <w:r w:rsidR="009530C9">
        <w:rPr>
          <w:spacing w:val="-14"/>
        </w:rPr>
        <w:t xml:space="preserve"> </w:t>
      </w:r>
      <w:r w:rsidR="009530C9">
        <w:t>m</w:t>
      </w:r>
      <w:r w:rsidR="009530C9">
        <w:rPr>
          <w:vertAlign w:val="superscript"/>
        </w:rPr>
        <w:t>2</w:t>
      </w:r>
      <w:r w:rsidR="009530C9">
        <w:t>.</w:t>
      </w:r>
    </w:p>
    <w:p w14:paraId="0EDC1975" w14:textId="77777777" w:rsidR="009530C9" w:rsidRDefault="00533DAA" w:rsidP="00533DAA">
      <w:pPr>
        <w:pStyle w:val="Heading6"/>
      </w:pPr>
      <w:r>
        <w:t>Volume depletion and renal adverse events</w:t>
      </w:r>
    </w:p>
    <w:p w14:paraId="2CC95BEC" w14:textId="751EE8AA" w:rsidR="009530C9" w:rsidRDefault="009530C9" w:rsidP="00533DAA">
      <w:r>
        <w:t>The Delegate expressed concern with regard to the incidence of volume depletion and renal AEs with the 15</w:t>
      </w:r>
      <w:r w:rsidR="00715B39">
        <w:t xml:space="preserve"> </w:t>
      </w:r>
      <w:r w:rsidR="006D7D02">
        <w:t>mg</w:t>
      </w:r>
      <w:r>
        <w:t xml:space="preserve"> dose of ertugliflozin relative to other agents in the same class. </w:t>
      </w:r>
      <w:r w:rsidR="00836955">
        <w:t>The sponsor</w:t>
      </w:r>
      <w:r>
        <w:t xml:space="preserve"> would like to clarify that the incidences of volume depletion and renal AEs (which may not be uniformly defined across</w:t>
      </w:r>
      <w:r>
        <w:rPr>
          <w:spacing w:val="-7"/>
        </w:rPr>
        <w:t xml:space="preserve"> </w:t>
      </w:r>
      <w:r>
        <w:t>agents)</w:t>
      </w:r>
      <w:r>
        <w:rPr>
          <w:spacing w:val="-9"/>
        </w:rPr>
        <w:t xml:space="preserve"> </w:t>
      </w:r>
      <w:r>
        <w:t>with</w:t>
      </w:r>
      <w:r>
        <w:rPr>
          <w:spacing w:val="-7"/>
        </w:rPr>
        <w:t xml:space="preserve"> </w:t>
      </w:r>
      <w:r>
        <w:t>the</w:t>
      </w:r>
      <w:r>
        <w:rPr>
          <w:spacing w:val="-8"/>
        </w:rPr>
        <w:t xml:space="preserve"> </w:t>
      </w:r>
      <w:r>
        <w:t>ertugliflozin</w:t>
      </w:r>
      <w:r>
        <w:rPr>
          <w:spacing w:val="-7"/>
        </w:rPr>
        <w:t xml:space="preserve"> </w:t>
      </w:r>
      <w:r>
        <w:t>15</w:t>
      </w:r>
      <w:r w:rsidR="00715B39">
        <w:t xml:space="preserve"> </w:t>
      </w:r>
      <w:r w:rsidR="006D7D02">
        <w:t>mg</w:t>
      </w:r>
      <w:r>
        <w:rPr>
          <w:spacing w:val="-13"/>
        </w:rPr>
        <w:t xml:space="preserve"> </w:t>
      </w:r>
      <w:r>
        <w:t>dose</w:t>
      </w:r>
      <w:r>
        <w:rPr>
          <w:spacing w:val="-8"/>
        </w:rPr>
        <w:t xml:space="preserve"> </w:t>
      </w:r>
      <w:r>
        <w:t>were</w:t>
      </w:r>
      <w:r>
        <w:rPr>
          <w:spacing w:val="-9"/>
        </w:rPr>
        <w:t xml:space="preserve"> </w:t>
      </w:r>
      <w:r>
        <w:t>not</w:t>
      </w:r>
      <w:r>
        <w:rPr>
          <w:spacing w:val="-6"/>
        </w:rPr>
        <w:t xml:space="preserve"> </w:t>
      </w:r>
      <w:r>
        <w:t>higher</w:t>
      </w:r>
      <w:r>
        <w:rPr>
          <w:spacing w:val="-9"/>
        </w:rPr>
        <w:t xml:space="preserve"> </w:t>
      </w:r>
      <w:r>
        <w:t>than</w:t>
      </w:r>
      <w:r>
        <w:rPr>
          <w:spacing w:val="-7"/>
        </w:rPr>
        <w:t xml:space="preserve"> </w:t>
      </w:r>
      <w:r>
        <w:t>those</w:t>
      </w:r>
      <w:r>
        <w:rPr>
          <w:spacing w:val="-8"/>
        </w:rPr>
        <w:t xml:space="preserve"> </w:t>
      </w:r>
      <w:r>
        <w:t>reported</w:t>
      </w:r>
      <w:r>
        <w:rPr>
          <w:spacing w:val="-9"/>
        </w:rPr>
        <w:t xml:space="preserve"> </w:t>
      </w:r>
      <w:r>
        <w:t>with</w:t>
      </w:r>
      <w:r>
        <w:rPr>
          <w:spacing w:val="-9"/>
        </w:rPr>
        <w:t xml:space="preserve"> </w:t>
      </w:r>
      <w:r>
        <w:t>the</w:t>
      </w:r>
      <w:r>
        <w:rPr>
          <w:spacing w:val="-8"/>
        </w:rPr>
        <w:t xml:space="preserve"> </w:t>
      </w:r>
      <w:r>
        <w:t>high</w:t>
      </w:r>
      <w:r>
        <w:rPr>
          <w:spacing w:val="-7"/>
        </w:rPr>
        <w:t xml:space="preserve"> </w:t>
      </w:r>
      <w:r>
        <w:t>dose strength of other agents in the SGLT2 inhibitor</w:t>
      </w:r>
      <w:r>
        <w:rPr>
          <w:spacing w:val="-42"/>
        </w:rPr>
        <w:t xml:space="preserve"> </w:t>
      </w:r>
      <w:r>
        <w:t>class.</w:t>
      </w:r>
    </w:p>
    <w:p w14:paraId="43D82BF9" w14:textId="561F917B" w:rsidR="009530C9" w:rsidRDefault="009530C9" w:rsidP="00533DAA">
      <w:r>
        <w:lastRenderedPageBreak/>
        <w:t xml:space="preserve">The correct incidence of volume depletion AEs in the </w:t>
      </w:r>
      <w:r w:rsidR="005C38A4">
        <w:t>placebo pool</w:t>
      </w:r>
      <w:r>
        <w:t xml:space="preserve"> was 1.7%, 0.8%, and 1.0% in the placebo,</w:t>
      </w:r>
      <w:r>
        <w:rPr>
          <w:spacing w:val="-10"/>
        </w:rPr>
        <w:t xml:space="preserve"> </w:t>
      </w:r>
      <w:r>
        <w:t>ertugliflozin</w:t>
      </w:r>
      <w:r>
        <w:rPr>
          <w:spacing w:val="-8"/>
        </w:rPr>
        <w:t xml:space="preserve"> </w:t>
      </w:r>
      <w:r>
        <w:t>5</w:t>
      </w:r>
      <w:r w:rsidR="00715B39">
        <w:t xml:space="preserve"> </w:t>
      </w:r>
      <w:r w:rsidR="006D7D02">
        <w:t>mg</w:t>
      </w:r>
      <w:r>
        <w:t>,</w:t>
      </w:r>
      <w:r>
        <w:rPr>
          <w:spacing w:val="-10"/>
        </w:rPr>
        <w:t xml:space="preserve"> </w:t>
      </w:r>
      <w:r>
        <w:t>and</w:t>
      </w:r>
      <w:r>
        <w:rPr>
          <w:spacing w:val="-5"/>
        </w:rPr>
        <w:t xml:space="preserve"> </w:t>
      </w:r>
      <w:r>
        <w:t>ertugliflozin</w:t>
      </w:r>
      <w:r>
        <w:rPr>
          <w:spacing w:val="-8"/>
        </w:rPr>
        <w:t xml:space="preserve"> </w:t>
      </w:r>
      <w:r>
        <w:t>15</w:t>
      </w:r>
      <w:r w:rsidR="00715B39">
        <w:t xml:space="preserve"> </w:t>
      </w:r>
      <w:r w:rsidR="006D7D02">
        <w:t>mg</w:t>
      </w:r>
      <w:r>
        <w:rPr>
          <w:spacing w:val="-10"/>
        </w:rPr>
        <w:t xml:space="preserve"> </w:t>
      </w:r>
      <w:r>
        <w:t>groups,</w:t>
      </w:r>
      <w:r>
        <w:rPr>
          <w:spacing w:val="-8"/>
        </w:rPr>
        <w:t xml:space="preserve"> </w:t>
      </w:r>
      <w:r>
        <w:t>respectively</w:t>
      </w:r>
      <w:r>
        <w:rPr>
          <w:spacing w:val="-17"/>
        </w:rPr>
        <w:t xml:space="preserve"> </w:t>
      </w:r>
      <w:r>
        <w:t xml:space="preserve">(error </w:t>
      </w:r>
      <w:r w:rsidR="00D669A9">
        <w:t>in</w:t>
      </w:r>
      <w:r>
        <w:t xml:space="preserve"> the Delegate’s Overview which suggested that the incidence was 1.0% and 1.7% in the ertugliflozin 5</w:t>
      </w:r>
      <w:r w:rsidR="00715B39">
        <w:t xml:space="preserve"> </w:t>
      </w:r>
      <w:r w:rsidR="006D7D02">
        <w:t>mg</w:t>
      </w:r>
      <w:r>
        <w:t xml:space="preserve"> and 15</w:t>
      </w:r>
      <w:r w:rsidR="00715B39">
        <w:t xml:space="preserve"> </w:t>
      </w:r>
      <w:r w:rsidR="006D7D02">
        <w:t>mg</w:t>
      </w:r>
      <w:r>
        <w:t xml:space="preserve"> groups, respectively). With respect to other SGLT2 inhibitors, the incidence of volume depletion AEs was 1.3%, 0.4%, and 1.1% for the high dose of canagliflozin, empagliflozin and dapagliflozin, respectively. Thus, the incidence of volume depletion AEs for ertugliflozin</w:t>
      </w:r>
      <w:r>
        <w:rPr>
          <w:spacing w:val="-8"/>
        </w:rPr>
        <w:t xml:space="preserve"> </w:t>
      </w:r>
      <w:r>
        <w:t>15</w:t>
      </w:r>
      <w:r w:rsidR="00715B39">
        <w:t xml:space="preserve"> </w:t>
      </w:r>
      <w:r w:rsidR="006D7D02">
        <w:t>mg</w:t>
      </w:r>
      <w:r>
        <w:rPr>
          <w:spacing w:val="-14"/>
        </w:rPr>
        <w:t xml:space="preserve"> </w:t>
      </w:r>
      <w:r>
        <w:t>was</w:t>
      </w:r>
      <w:r>
        <w:rPr>
          <w:spacing w:val="-8"/>
        </w:rPr>
        <w:t xml:space="preserve"> </w:t>
      </w:r>
      <w:r>
        <w:t>consistent</w:t>
      </w:r>
      <w:r>
        <w:rPr>
          <w:spacing w:val="-7"/>
        </w:rPr>
        <w:t xml:space="preserve"> </w:t>
      </w:r>
      <w:r>
        <w:t>with</w:t>
      </w:r>
      <w:r>
        <w:rPr>
          <w:spacing w:val="-8"/>
        </w:rPr>
        <w:t xml:space="preserve"> </w:t>
      </w:r>
      <w:r>
        <w:t>incidences</w:t>
      </w:r>
      <w:r>
        <w:rPr>
          <w:spacing w:val="-9"/>
        </w:rPr>
        <w:t xml:space="preserve"> </w:t>
      </w:r>
      <w:r>
        <w:t>reported</w:t>
      </w:r>
      <w:r>
        <w:rPr>
          <w:spacing w:val="-8"/>
        </w:rPr>
        <w:t xml:space="preserve"> </w:t>
      </w:r>
      <w:r>
        <w:t>for</w:t>
      </w:r>
      <w:r>
        <w:rPr>
          <w:spacing w:val="-10"/>
        </w:rPr>
        <w:t xml:space="preserve"> </w:t>
      </w:r>
      <w:r>
        <w:t>the</w:t>
      </w:r>
      <w:r>
        <w:rPr>
          <w:spacing w:val="-10"/>
        </w:rPr>
        <w:t xml:space="preserve"> </w:t>
      </w:r>
      <w:r>
        <w:t>high</w:t>
      </w:r>
      <w:r>
        <w:rPr>
          <w:spacing w:val="-8"/>
        </w:rPr>
        <w:t xml:space="preserve"> </w:t>
      </w:r>
      <w:r>
        <w:t>dose</w:t>
      </w:r>
      <w:r>
        <w:rPr>
          <w:spacing w:val="-10"/>
        </w:rPr>
        <w:t xml:space="preserve"> </w:t>
      </w:r>
      <w:r>
        <w:t>strength</w:t>
      </w:r>
      <w:r>
        <w:rPr>
          <w:spacing w:val="-8"/>
        </w:rPr>
        <w:t xml:space="preserve"> </w:t>
      </w:r>
      <w:r>
        <w:t>of</w:t>
      </w:r>
      <w:r>
        <w:rPr>
          <w:spacing w:val="-10"/>
        </w:rPr>
        <w:t xml:space="preserve"> </w:t>
      </w:r>
      <w:r>
        <w:t>other</w:t>
      </w:r>
      <w:r>
        <w:rPr>
          <w:spacing w:val="-10"/>
        </w:rPr>
        <w:t xml:space="preserve"> </w:t>
      </w:r>
      <w:r>
        <w:t>SGLT2 inhibitors.</w:t>
      </w:r>
    </w:p>
    <w:p w14:paraId="571BD4FC" w14:textId="166F39A7" w:rsidR="009530C9" w:rsidRDefault="009530C9" w:rsidP="00533DAA">
      <w:r>
        <w:t>Similarly, the incidence of renal (renal</w:t>
      </w:r>
      <w:r w:rsidR="009431C8">
        <w:t xml:space="preserve"> </w:t>
      </w:r>
      <w:r>
        <w:t>related) AEs in the Broad Pool (including subjects with moderate</w:t>
      </w:r>
      <w:r>
        <w:rPr>
          <w:spacing w:val="-12"/>
        </w:rPr>
        <w:t xml:space="preserve"> </w:t>
      </w:r>
      <w:r>
        <w:t>renal</w:t>
      </w:r>
      <w:r>
        <w:rPr>
          <w:spacing w:val="-8"/>
        </w:rPr>
        <w:t xml:space="preserve"> </w:t>
      </w:r>
      <w:r>
        <w:t>impairment)</w:t>
      </w:r>
      <w:r>
        <w:rPr>
          <w:spacing w:val="-12"/>
        </w:rPr>
        <w:t xml:space="preserve"> </w:t>
      </w:r>
      <w:r>
        <w:t>was</w:t>
      </w:r>
      <w:r>
        <w:rPr>
          <w:spacing w:val="-9"/>
        </w:rPr>
        <w:t xml:space="preserve"> </w:t>
      </w:r>
      <w:r>
        <w:t>0.4%,</w:t>
      </w:r>
      <w:r>
        <w:rPr>
          <w:spacing w:val="-9"/>
        </w:rPr>
        <w:t xml:space="preserve"> </w:t>
      </w:r>
      <w:r>
        <w:t>0.6%,</w:t>
      </w:r>
      <w:r>
        <w:rPr>
          <w:spacing w:val="-9"/>
        </w:rPr>
        <w:t xml:space="preserve"> </w:t>
      </w:r>
      <w:r>
        <w:t>and</w:t>
      </w:r>
      <w:r>
        <w:rPr>
          <w:spacing w:val="-11"/>
        </w:rPr>
        <w:t xml:space="preserve"> </w:t>
      </w:r>
      <w:r>
        <w:t>0.8%</w:t>
      </w:r>
      <w:r>
        <w:rPr>
          <w:spacing w:val="-12"/>
        </w:rPr>
        <w:t xml:space="preserve"> </w:t>
      </w:r>
      <w:r>
        <w:t>in</w:t>
      </w:r>
      <w:r>
        <w:rPr>
          <w:spacing w:val="-9"/>
        </w:rPr>
        <w:t xml:space="preserve"> </w:t>
      </w:r>
      <w:r>
        <w:t>the</w:t>
      </w:r>
      <w:r>
        <w:rPr>
          <w:spacing w:val="-12"/>
        </w:rPr>
        <w:t xml:space="preserve"> </w:t>
      </w:r>
      <w:r>
        <w:t>non-ertugliflozin,</w:t>
      </w:r>
      <w:r>
        <w:rPr>
          <w:spacing w:val="-9"/>
        </w:rPr>
        <w:t xml:space="preserve"> </w:t>
      </w:r>
      <w:r>
        <w:t>ertugliflozin</w:t>
      </w:r>
      <w:r>
        <w:rPr>
          <w:spacing w:val="-11"/>
        </w:rPr>
        <w:t xml:space="preserve"> </w:t>
      </w:r>
      <w:r>
        <w:t>5</w:t>
      </w:r>
      <w:r w:rsidR="00715B39">
        <w:t xml:space="preserve"> </w:t>
      </w:r>
      <w:r w:rsidR="006D7D02">
        <w:t>mg</w:t>
      </w:r>
      <w:r>
        <w:t>,</w:t>
      </w:r>
      <w:r>
        <w:rPr>
          <w:spacing w:val="-11"/>
        </w:rPr>
        <w:t xml:space="preserve"> </w:t>
      </w:r>
      <w:r>
        <w:t>and ertugliflozin</w:t>
      </w:r>
      <w:r>
        <w:rPr>
          <w:spacing w:val="-10"/>
        </w:rPr>
        <w:t xml:space="preserve"> </w:t>
      </w:r>
      <w:r>
        <w:t>15</w:t>
      </w:r>
      <w:r w:rsidR="00715B39">
        <w:t xml:space="preserve"> </w:t>
      </w:r>
      <w:r w:rsidR="006D7D02">
        <w:t>mg</w:t>
      </w:r>
      <w:r>
        <w:rPr>
          <w:spacing w:val="-10"/>
        </w:rPr>
        <w:t xml:space="preserve"> </w:t>
      </w:r>
      <w:r>
        <w:t>groups,</w:t>
      </w:r>
      <w:r>
        <w:rPr>
          <w:spacing w:val="-10"/>
        </w:rPr>
        <w:t xml:space="preserve"> </w:t>
      </w:r>
      <w:r>
        <w:t>respectively.</w:t>
      </w:r>
      <w:r>
        <w:rPr>
          <w:spacing w:val="-13"/>
        </w:rPr>
        <w:t xml:space="preserve"> </w:t>
      </w:r>
      <w:r>
        <w:t>With</w:t>
      </w:r>
      <w:r>
        <w:rPr>
          <w:spacing w:val="-10"/>
        </w:rPr>
        <w:t xml:space="preserve"> </w:t>
      </w:r>
      <w:r>
        <w:t>respect</w:t>
      </w:r>
      <w:r>
        <w:rPr>
          <w:spacing w:val="-7"/>
        </w:rPr>
        <w:t xml:space="preserve"> </w:t>
      </w:r>
      <w:r>
        <w:t>to</w:t>
      </w:r>
      <w:r>
        <w:rPr>
          <w:spacing w:val="-13"/>
        </w:rPr>
        <w:t xml:space="preserve"> </w:t>
      </w:r>
      <w:r>
        <w:t>other</w:t>
      </w:r>
      <w:r>
        <w:rPr>
          <w:spacing w:val="-11"/>
        </w:rPr>
        <w:t xml:space="preserve"> </w:t>
      </w:r>
      <w:r>
        <w:t>SGLT2</w:t>
      </w:r>
      <w:r>
        <w:rPr>
          <w:spacing w:val="-8"/>
        </w:rPr>
        <w:t xml:space="preserve"> </w:t>
      </w:r>
      <w:r>
        <w:t>inhibitors,</w:t>
      </w:r>
      <w:r>
        <w:rPr>
          <w:spacing w:val="-10"/>
        </w:rPr>
        <w:t xml:space="preserve"> </w:t>
      </w:r>
      <w:r>
        <w:t>the incidence of renal AEs was 0</w:t>
      </w:r>
      <w:r w:rsidR="00D669A9">
        <w:t xml:space="preserve">.9%, 1.3%, and 4.0% </w:t>
      </w:r>
      <w:r w:rsidR="00F85404">
        <w:t>(</w:t>
      </w:r>
      <w:r w:rsidR="00D669A9">
        <w:t>all Phase II</w:t>
      </w:r>
      <w:r>
        <w:t>b/</w:t>
      </w:r>
      <w:r w:rsidR="00D669A9">
        <w:t>III</w:t>
      </w:r>
      <w:r>
        <w:t xml:space="preserve"> study pool</w:t>
      </w:r>
      <w:r w:rsidR="00F85404">
        <w:t xml:space="preserve">) </w:t>
      </w:r>
      <w:r>
        <w:t>for the high dose of canagliflozin, empagliflozin, and dapagliflozin, respectively. Thus, there was not an increase in the incidence of renal AEs with ertugliflozin 15</w:t>
      </w:r>
      <w:r w:rsidR="00715B39">
        <w:t xml:space="preserve"> </w:t>
      </w:r>
      <w:r w:rsidR="006D7D02">
        <w:t>mg</w:t>
      </w:r>
      <w:r>
        <w:t xml:space="preserve"> relative to the high dose strength of other SGLT2 inhibitors.</w:t>
      </w:r>
    </w:p>
    <w:p w14:paraId="61C6A61B" w14:textId="77777777" w:rsidR="009530C9" w:rsidRDefault="00533DAA" w:rsidP="00533DAA">
      <w:pPr>
        <w:pStyle w:val="Heading5"/>
      </w:pPr>
      <w:r>
        <w:t>Other issues</w:t>
      </w:r>
    </w:p>
    <w:p w14:paraId="1CDF3C7E" w14:textId="77777777" w:rsidR="009530C9" w:rsidRDefault="00836955" w:rsidP="00533DAA">
      <w:r>
        <w:t>The sponsor</w:t>
      </w:r>
      <w:r w:rsidR="009530C9">
        <w:t xml:space="preserve"> wishes to address other issues raised by the Delegate in </w:t>
      </w:r>
      <w:r w:rsidR="00D669A9">
        <w:t>the</w:t>
      </w:r>
      <w:r w:rsidR="009530C9">
        <w:t xml:space="preserve"> </w:t>
      </w:r>
      <w:r w:rsidR="00060C99">
        <w:t>‘</w:t>
      </w:r>
      <w:r w:rsidR="009530C9">
        <w:t>Request for ACM Advice.</w:t>
      </w:r>
      <w:r w:rsidR="00060C99">
        <w:t>’</w:t>
      </w:r>
    </w:p>
    <w:p w14:paraId="3B2069B7" w14:textId="77777777" w:rsidR="009530C9" w:rsidRDefault="00533DAA" w:rsidP="00533DAA">
      <w:pPr>
        <w:pStyle w:val="Heading6"/>
      </w:pPr>
      <w:r>
        <w:t>Biopharmaceutics</w:t>
      </w:r>
    </w:p>
    <w:p w14:paraId="6584774E" w14:textId="77777777" w:rsidR="009530C9" w:rsidRDefault="00836955" w:rsidP="00533DAA">
      <w:r w:rsidRPr="006D7B64">
        <w:t>The sponsor</w:t>
      </w:r>
      <w:r w:rsidR="009530C9" w:rsidRPr="006D7B64">
        <w:rPr>
          <w:spacing w:val="-12"/>
        </w:rPr>
        <w:t xml:space="preserve"> </w:t>
      </w:r>
      <w:r w:rsidR="009530C9" w:rsidRPr="006D7B64">
        <w:t>addressed</w:t>
      </w:r>
      <w:r w:rsidR="009530C9" w:rsidRPr="006D7B64">
        <w:rPr>
          <w:spacing w:val="-12"/>
        </w:rPr>
        <w:t xml:space="preserve"> </w:t>
      </w:r>
      <w:r w:rsidR="009530C9" w:rsidRPr="006D7B64">
        <w:t>TGA</w:t>
      </w:r>
      <w:r w:rsidR="009530C9" w:rsidRPr="006D7B64">
        <w:rPr>
          <w:spacing w:val="-15"/>
        </w:rPr>
        <w:t xml:space="preserve"> </w:t>
      </w:r>
      <w:r w:rsidR="009530C9" w:rsidRPr="006D7B64">
        <w:t>questions</w:t>
      </w:r>
      <w:r w:rsidR="009530C9" w:rsidRPr="006D7B64">
        <w:rPr>
          <w:spacing w:val="-12"/>
        </w:rPr>
        <w:t xml:space="preserve"> </w:t>
      </w:r>
      <w:r w:rsidR="009530C9" w:rsidRPr="006D7B64">
        <w:t>concerning</w:t>
      </w:r>
      <w:r w:rsidR="009530C9" w:rsidRPr="006D7B64">
        <w:rPr>
          <w:spacing w:val="-16"/>
        </w:rPr>
        <w:t xml:space="preserve"> </w:t>
      </w:r>
      <w:r w:rsidR="009530C9" w:rsidRPr="006D7B64">
        <w:t>the</w:t>
      </w:r>
      <w:r w:rsidR="009530C9" w:rsidRPr="006D7B64">
        <w:rPr>
          <w:spacing w:val="-16"/>
        </w:rPr>
        <w:t xml:space="preserve"> </w:t>
      </w:r>
      <w:r w:rsidR="009530C9" w:rsidRPr="006D7B64">
        <w:t>biowaiver</w:t>
      </w:r>
      <w:r w:rsidR="009530C9" w:rsidRPr="006D7B64">
        <w:rPr>
          <w:spacing w:val="-13"/>
        </w:rPr>
        <w:t xml:space="preserve"> </w:t>
      </w:r>
      <w:r w:rsidR="009530C9" w:rsidRPr="006D7B64">
        <w:t>and</w:t>
      </w:r>
      <w:r w:rsidR="009530C9" w:rsidRPr="006D7B64">
        <w:rPr>
          <w:spacing w:val="-12"/>
        </w:rPr>
        <w:t xml:space="preserve"> </w:t>
      </w:r>
      <w:r w:rsidR="009530C9" w:rsidRPr="006D7B64">
        <w:t>bioanalytical</w:t>
      </w:r>
      <w:r w:rsidR="009530C9" w:rsidRPr="006D7B64">
        <w:rPr>
          <w:spacing w:val="-12"/>
        </w:rPr>
        <w:t xml:space="preserve"> </w:t>
      </w:r>
      <w:r w:rsidR="009530C9" w:rsidRPr="006D7B64">
        <w:t>methods</w:t>
      </w:r>
      <w:r w:rsidR="009530C9" w:rsidRPr="006D7B64">
        <w:rPr>
          <w:spacing w:val="-12"/>
        </w:rPr>
        <w:t xml:space="preserve"> </w:t>
      </w:r>
      <w:r w:rsidR="009530C9" w:rsidRPr="006D7B64">
        <w:t>on 23</w:t>
      </w:r>
      <w:r w:rsidR="009530C9" w:rsidRPr="006D7B64">
        <w:rPr>
          <w:spacing w:val="-7"/>
        </w:rPr>
        <w:t xml:space="preserve"> </w:t>
      </w:r>
      <w:r w:rsidR="009530C9" w:rsidRPr="006D7B64">
        <w:t>February</w:t>
      </w:r>
      <w:r w:rsidR="009530C9" w:rsidRPr="006D7B64">
        <w:rPr>
          <w:spacing w:val="-15"/>
        </w:rPr>
        <w:t xml:space="preserve"> </w:t>
      </w:r>
      <w:r w:rsidR="009530C9" w:rsidRPr="006D7B64">
        <w:t>2018</w:t>
      </w:r>
      <w:r w:rsidR="009530C9" w:rsidRPr="006D7B64">
        <w:rPr>
          <w:spacing w:val="-6"/>
        </w:rPr>
        <w:t xml:space="preserve"> </w:t>
      </w:r>
      <w:r w:rsidR="009530C9" w:rsidRPr="006D7B64">
        <w:t>and</w:t>
      </w:r>
      <w:r w:rsidR="009530C9" w:rsidRPr="006D7B64">
        <w:rPr>
          <w:spacing w:val="-3"/>
        </w:rPr>
        <w:t xml:space="preserve"> </w:t>
      </w:r>
      <w:r w:rsidR="009530C9" w:rsidRPr="006D7B64">
        <w:t>was</w:t>
      </w:r>
      <w:r w:rsidR="009530C9" w:rsidRPr="006D7B64">
        <w:rPr>
          <w:spacing w:val="-7"/>
        </w:rPr>
        <w:t xml:space="preserve"> </w:t>
      </w:r>
      <w:r w:rsidR="009530C9" w:rsidRPr="006D7B64">
        <w:t>subsequently</w:t>
      </w:r>
      <w:r w:rsidR="009530C9" w:rsidRPr="006D7B64">
        <w:rPr>
          <w:spacing w:val="-14"/>
        </w:rPr>
        <w:t xml:space="preserve"> </w:t>
      </w:r>
      <w:r w:rsidR="009530C9" w:rsidRPr="006D7B64">
        <w:t>advised</w:t>
      </w:r>
      <w:r w:rsidR="009530C9" w:rsidRPr="006D7B64">
        <w:rPr>
          <w:spacing w:val="-6"/>
        </w:rPr>
        <w:t xml:space="preserve"> </w:t>
      </w:r>
      <w:r w:rsidR="009530C9" w:rsidRPr="006D7B64">
        <w:t>that</w:t>
      </w:r>
      <w:r w:rsidR="009530C9" w:rsidRPr="006D7B64">
        <w:rPr>
          <w:spacing w:val="-5"/>
        </w:rPr>
        <w:t xml:space="preserve"> </w:t>
      </w:r>
      <w:r w:rsidR="009530C9" w:rsidRPr="006D7B64">
        <w:t>these</w:t>
      </w:r>
      <w:r w:rsidR="009530C9" w:rsidRPr="006D7B64">
        <w:rPr>
          <w:spacing w:val="-8"/>
        </w:rPr>
        <w:t xml:space="preserve"> </w:t>
      </w:r>
      <w:r w:rsidR="009530C9" w:rsidRPr="006D7B64">
        <w:t>matters</w:t>
      </w:r>
      <w:r w:rsidR="009530C9" w:rsidRPr="006D7B64">
        <w:rPr>
          <w:spacing w:val="-7"/>
        </w:rPr>
        <w:t xml:space="preserve"> </w:t>
      </w:r>
      <w:r w:rsidR="009530C9" w:rsidRPr="006D7B64">
        <w:t>were</w:t>
      </w:r>
      <w:r w:rsidR="009530C9" w:rsidRPr="006D7B64">
        <w:rPr>
          <w:spacing w:val="-7"/>
        </w:rPr>
        <w:t xml:space="preserve"> </w:t>
      </w:r>
      <w:r w:rsidR="009530C9" w:rsidRPr="006D7B64">
        <w:t>considered</w:t>
      </w:r>
      <w:r w:rsidR="009530C9" w:rsidRPr="006D7B64">
        <w:rPr>
          <w:spacing w:val="-6"/>
        </w:rPr>
        <w:t xml:space="preserve"> </w:t>
      </w:r>
      <w:r w:rsidR="009530C9" w:rsidRPr="006D7B64">
        <w:t>resolved.</w:t>
      </w:r>
    </w:p>
    <w:p w14:paraId="25E1E5C5" w14:textId="77777777" w:rsidR="009530C9" w:rsidRDefault="00533DAA" w:rsidP="00533DAA">
      <w:pPr>
        <w:pStyle w:val="Heading6"/>
      </w:pPr>
      <w:r>
        <w:t>Drug</w:t>
      </w:r>
      <w:r w:rsidR="009530C9">
        <w:rPr>
          <w:spacing w:val="-11"/>
        </w:rPr>
        <w:t xml:space="preserve"> </w:t>
      </w:r>
      <w:r>
        <w:t>interactions</w:t>
      </w:r>
    </w:p>
    <w:p w14:paraId="663888C3" w14:textId="77777777" w:rsidR="009530C9" w:rsidRDefault="009530C9" w:rsidP="00533DAA">
      <w:r>
        <w:t>The</w:t>
      </w:r>
      <w:r>
        <w:rPr>
          <w:spacing w:val="-11"/>
        </w:rPr>
        <w:t xml:space="preserve"> </w:t>
      </w:r>
      <w:r>
        <w:t>Delegate</w:t>
      </w:r>
      <w:r>
        <w:rPr>
          <w:spacing w:val="-11"/>
        </w:rPr>
        <w:t xml:space="preserve"> </w:t>
      </w:r>
      <w:r>
        <w:t>noted</w:t>
      </w:r>
      <w:r>
        <w:rPr>
          <w:spacing w:val="-10"/>
        </w:rPr>
        <w:t xml:space="preserve"> </w:t>
      </w:r>
      <w:r>
        <w:t>that</w:t>
      </w:r>
      <w:r>
        <w:rPr>
          <w:spacing w:val="-10"/>
        </w:rPr>
        <w:t xml:space="preserve"> </w:t>
      </w:r>
      <w:r>
        <w:t>the</w:t>
      </w:r>
      <w:r>
        <w:rPr>
          <w:spacing w:val="-11"/>
        </w:rPr>
        <w:t xml:space="preserve"> </w:t>
      </w:r>
      <w:r>
        <w:t>issue</w:t>
      </w:r>
      <w:r>
        <w:rPr>
          <w:spacing w:val="-11"/>
        </w:rPr>
        <w:t xml:space="preserve"> </w:t>
      </w:r>
      <w:r>
        <w:t>of</w:t>
      </w:r>
      <w:r>
        <w:rPr>
          <w:spacing w:val="-11"/>
        </w:rPr>
        <w:t xml:space="preserve"> </w:t>
      </w:r>
      <w:r>
        <w:t>certain</w:t>
      </w:r>
      <w:r>
        <w:rPr>
          <w:spacing w:val="-10"/>
        </w:rPr>
        <w:t xml:space="preserve"> </w:t>
      </w:r>
      <w:r>
        <w:t>drug</w:t>
      </w:r>
      <w:r>
        <w:rPr>
          <w:spacing w:val="-15"/>
        </w:rPr>
        <w:t xml:space="preserve"> </w:t>
      </w:r>
      <w:r>
        <w:t>interactions</w:t>
      </w:r>
      <w:r>
        <w:rPr>
          <w:spacing w:val="-10"/>
        </w:rPr>
        <w:t xml:space="preserve"> </w:t>
      </w:r>
      <w:r>
        <w:t>not</w:t>
      </w:r>
      <w:r>
        <w:rPr>
          <w:spacing w:val="-10"/>
        </w:rPr>
        <w:t xml:space="preserve"> </w:t>
      </w:r>
      <w:r>
        <w:t>studied</w:t>
      </w:r>
      <w:r>
        <w:rPr>
          <w:spacing w:val="-8"/>
        </w:rPr>
        <w:t xml:space="preserve"> </w:t>
      </w:r>
      <w:r>
        <w:t>remains</w:t>
      </w:r>
      <w:r>
        <w:rPr>
          <w:spacing w:val="-10"/>
        </w:rPr>
        <w:t xml:space="preserve"> </w:t>
      </w:r>
      <w:r>
        <w:t>unresolved.</w:t>
      </w:r>
      <w:r>
        <w:rPr>
          <w:spacing w:val="-10"/>
        </w:rPr>
        <w:t xml:space="preserve"> </w:t>
      </w:r>
      <w:r>
        <w:t>Although ertugliflozin</w:t>
      </w:r>
      <w:r>
        <w:rPr>
          <w:spacing w:val="-6"/>
        </w:rPr>
        <w:t xml:space="preserve"> </w:t>
      </w:r>
      <w:r>
        <w:t>did</w:t>
      </w:r>
      <w:r>
        <w:rPr>
          <w:spacing w:val="-6"/>
        </w:rPr>
        <w:t xml:space="preserve"> </w:t>
      </w:r>
      <w:r>
        <w:t>not</w:t>
      </w:r>
      <w:r>
        <w:rPr>
          <w:spacing w:val="-8"/>
        </w:rPr>
        <w:t xml:space="preserve"> </w:t>
      </w:r>
      <w:r>
        <w:t>induce</w:t>
      </w:r>
      <w:r>
        <w:rPr>
          <w:spacing w:val="-7"/>
        </w:rPr>
        <w:t xml:space="preserve"> </w:t>
      </w:r>
      <w:r>
        <w:t>or</w:t>
      </w:r>
      <w:r>
        <w:rPr>
          <w:spacing w:val="-9"/>
        </w:rPr>
        <w:t xml:space="preserve"> </w:t>
      </w:r>
      <w:r>
        <w:t>inhibit</w:t>
      </w:r>
      <w:r>
        <w:rPr>
          <w:spacing w:val="-6"/>
        </w:rPr>
        <w:t xml:space="preserve"> </w:t>
      </w:r>
      <w:r>
        <w:t>a</w:t>
      </w:r>
      <w:r>
        <w:rPr>
          <w:spacing w:val="-7"/>
        </w:rPr>
        <w:t xml:space="preserve"> </w:t>
      </w:r>
      <w:r>
        <w:t>range</w:t>
      </w:r>
      <w:r>
        <w:rPr>
          <w:spacing w:val="-7"/>
        </w:rPr>
        <w:t xml:space="preserve"> </w:t>
      </w:r>
      <w:r>
        <w:t>of</w:t>
      </w:r>
      <w:r>
        <w:rPr>
          <w:spacing w:val="-9"/>
        </w:rPr>
        <w:t xml:space="preserve"> </w:t>
      </w:r>
      <w:r>
        <w:t>CYP</w:t>
      </w:r>
      <w:r>
        <w:rPr>
          <w:spacing w:val="-6"/>
        </w:rPr>
        <w:t xml:space="preserve"> </w:t>
      </w:r>
      <w:r>
        <w:t>enzymes,</w:t>
      </w:r>
      <w:r>
        <w:rPr>
          <w:spacing w:val="-6"/>
        </w:rPr>
        <w:t xml:space="preserve"> </w:t>
      </w:r>
      <w:r>
        <w:t>it</w:t>
      </w:r>
      <w:r>
        <w:rPr>
          <w:spacing w:val="-8"/>
        </w:rPr>
        <w:t xml:space="preserve"> </w:t>
      </w:r>
      <w:r>
        <w:t>is</w:t>
      </w:r>
      <w:r>
        <w:rPr>
          <w:spacing w:val="-6"/>
        </w:rPr>
        <w:t xml:space="preserve"> </w:t>
      </w:r>
      <w:r>
        <w:t>in</w:t>
      </w:r>
      <w:r>
        <w:rPr>
          <w:spacing w:val="-6"/>
        </w:rPr>
        <w:t xml:space="preserve"> </w:t>
      </w:r>
      <w:r>
        <w:t>part</w:t>
      </w:r>
      <w:r>
        <w:rPr>
          <w:spacing w:val="-8"/>
        </w:rPr>
        <w:t xml:space="preserve"> </w:t>
      </w:r>
      <w:r>
        <w:t>a</w:t>
      </w:r>
      <w:r>
        <w:rPr>
          <w:spacing w:val="-9"/>
        </w:rPr>
        <w:t xml:space="preserve"> </w:t>
      </w:r>
      <w:r>
        <w:t>substrate</w:t>
      </w:r>
      <w:r>
        <w:rPr>
          <w:spacing w:val="-7"/>
        </w:rPr>
        <w:t xml:space="preserve"> </w:t>
      </w:r>
      <w:r>
        <w:t>for</w:t>
      </w:r>
      <w:r>
        <w:rPr>
          <w:spacing w:val="-7"/>
        </w:rPr>
        <w:t xml:space="preserve"> </w:t>
      </w:r>
      <w:r>
        <w:t>both</w:t>
      </w:r>
      <w:r>
        <w:rPr>
          <w:spacing w:val="-8"/>
        </w:rPr>
        <w:t xml:space="preserve"> </w:t>
      </w:r>
      <w:r>
        <w:t xml:space="preserve">CYP3A4 and CYP3A5; however, no studies have examined the effects of a strong CYP3A inhibitor, such </w:t>
      </w:r>
      <w:r>
        <w:rPr>
          <w:spacing w:val="-4"/>
        </w:rPr>
        <w:t xml:space="preserve">as </w:t>
      </w:r>
      <w:r>
        <w:t xml:space="preserve">clarithromycin or itraconazole, on the PKs of ertugliflozin. Furthermore, pharmacokinetic interactions between ertugliflozin and other commonly administered drugs in this patient population such as diuretics, warfarin, </w:t>
      </w:r>
      <w:r w:rsidR="00F14099">
        <w:t>and digoxin</w:t>
      </w:r>
      <w:r w:rsidR="00D669A9">
        <w:t xml:space="preserve"> and so on</w:t>
      </w:r>
      <w:r>
        <w:t xml:space="preserve"> were not evaluated. The effect of smoking and alcohol use on ertugliflozin PKs was also not specifically</w:t>
      </w:r>
      <w:r>
        <w:rPr>
          <w:spacing w:val="-45"/>
        </w:rPr>
        <w:t xml:space="preserve"> </w:t>
      </w:r>
      <w:r>
        <w:t>studied.</w:t>
      </w:r>
    </w:p>
    <w:p w14:paraId="21E384A6" w14:textId="77777777" w:rsidR="009530C9" w:rsidRDefault="00836955" w:rsidP="00533DAA">
      <w:r>
        <w:t>The sponsor</w:t>
      </w:r>
      <w:r w:rsidR="009530C9">
        <w:t xml:space="preserve"> clarifies that the primary clearance mechanism of ertugliflozin is glucuronidation by UGT1A9 and UGT2B7 (86%), with minor contributions from oxidative metabolism (12%). </w:t>
      </w:r>
      <w:r w:rsidR="00D669A9">
        <w:t>The sponsor</w:t>
      </w:r>
      <w:r w:rsidR="009530C9">
        <w:t xml:space="preserve"> clarifies</w:t>
      </w:r>
      <w:r w:rsidR="009530C9">
        <w:rPr>
          <w:spacing w:val="-10"/>
        </w:rPr>
        <w:t xml:space="preserve"> </w:t>
      </w:r>
      <w:r w:rsidR="009530C9">
        <w:t>that</w:t>
      </w:r>
      <w:r w:rsidR="009530C9">
        <w:rPr>
          <w:spacing w:val="-10"/>
        </w:rPr>
        <w:t xml:space="preserve"> </w:t>
      </w:r>
      <w:r w:rsidR="009530C9">
        <w:t>the</w:t>
      </w:r>
      <w:r w:rsidR="009530C9">
        <w:rPr>
          <w:spacing w:val="-11"/>
        </w:rPr>
        <w:t xml:space="preserve"> </w:t>
      </w:r>
      <w:r w:rsidR="009530C9">
        <w:t>minor</w:t>
      </w:r>
      <w:r w:rsidR="009530C9">
        <w:rPr>
          <w:spacing w:val="-11"/>
        </w:rPr>
        <w:t xml:space="preserve"> </w:t>
      </w:r>
      <w:r w:rsidR="009530C9">
        <w:t>oxidative</w:t>
      </w:r>
      <w:r w:rsidR="009530C9">
        <w:rPr>
          <w:spacing w:val="-11"/>
        </w:rPr>
        <w:t xml:space="preserve"> </w:t>
      </w:r>
      <w:r w:rsidR="009530C9">
        <w:t>pathway</w:t>
      </w:r>
      <w:r w:rsidR="009530C9">
        <w:rPr>
          <w:spacing w:val="-19"/>
        </w:rPr>
        <w:t xml:space="preserve"> </w:t>
      </w:r>
      <w:r w:rsidR="009530C9">
        <w:t>of</w:t>
      </w:r>
      <w:r w:rsidR="009530C9">
        <w:rPr>
          <w:spacing w:val="-9"/>
        </w:rPr>
        <w:t xml:space="preserve"> </w:t>
      </w:r>
      <w:r w:rsidR="009530C9">
        <w:t>ertugliflozin</w:t>
      </w:r>
      <w:r w:rsidR="009530C9">
        <w:rPr>
          <w:spacing w:val="-10"/>
        </w:rPr>
        <w:t xml:space="preserve"> </w:t>
      </w:r>
      <w:r w:rsidR="009530C9">
        <w:t>is</w:t>
      </w:r>
      <w:r w:rsidR="009530C9">
        <w:rPr>
          <w:spacing w:val="-10"/>
        </w:rPr>
        <w:t xml:space="preserve"> </w:t>
      </w:r>
      <w:r w:rsidR="00F14099">
        <w:t>catalysed</w:t>
      </w:r>
      <w:r w:rsidR="009530C9">
        <w:rPr>
          <w:spacing w:val="-10"/>
        </w:rPr>
        <w:t xml:space="preserve"> </w:t>
      </w:r>
      <w:r w:rsidR="009530C9">
        <w:t>primarily</w:t>
      </w:r>
      <w:r w:rsidR="009530C9">
        <w:rPr>
          <w:spacing w:val="-19"/>
        </w:rPr>
        <w:t xml:space="preserve"> </w:t>
      </w:r>
      <w:r w:rsidR="009530C9">
        <w:rPr>
          <w:spacing w:val="2"/>
        </w:rPr>
        <w:t>by</w:t>
      </w:r>
      <w:r w:rsidR="009530C9">
        <w:rPr>
          <w:spacing w:val="-16"/>
        </w:rPr>
        <w:t xml:space="preserve"> </w:t>
      </w:r>
      <w:r w:rsidR="009530C9">
        <w:t>CYP3A4,</w:t>
      </w:r>
      <w:r w:rsidR="009530C9">
        <w:rPr>
          <w:spacing w:val="-10"/>
        </w:rPr>
        <w:t xml:space="preserve"> </w:t>
      </w:r>
      <w:r w:rsidR="009530C9">
        <w:t>with</w:t>
      </w:r>
      <w:r w:rsidR="009530C9">
        <w:rPr>
          <w:spacing w:val="-8"/>
        </w:rPr>
        <w:t xml:space="preserve"> </w:t>
      </w:r>
      <w:r w:rsidR="009530C9">
        <w:t>lesser</w:t>
      </w:r>
      <w:r w:rsidR="00533DAA">
        <w:t xml:space="preserve"> </w:t>
      </w:r>
      <w:r w:rsidR="009530C9">
        <w:t>involvement of CYP3A5 and CYP2C8. Therefore, no specific drug interaction study with a strong CYP3A</w:t>
      </w:r>
      <w:r w:rsidR="009530C9">
        <w:rPr>
          <w:spacing w:val="-13"/>
        </w:rPr>
        <w:t xml:space="preserve"> </w:t>
      </w:r>
      <w:r w:rsidR="009530C9">
        <w:t>inhibitor,</w:t>
      </w:r>
      <w:r w:rsidR="009530C9">
        <w:rPr>
          <w:spacing w:val="-11"/>
        </w:rPr>
        <w:t xml:space="preserve"> </w:t>
      </w:r>
      <w:r w:rsidR="009530C9">
        <w:t>such</w:t>
      </w:r>
      <w:r w:rsidR="009530C9">
        <w:rPr>
          <w:spacing w:val="-11"/>
        </w:rPr>
        <w:t xml:space="preserve"> </w:t>
      </w:r>
      <w:r w:rsidR="009530C9">
        <w:t>as</w:t>
      </w:r>
      <w:r w:rsidR="009530C9">
        <w:rPr>
          <w:spacing w:val="-13"/>
        </w:rPr>
        <w:t xml:space="preserve"> </w:t>
      </w:r>
      <w:r w:rsidR="009530C9">
        <w:t>clarithromycin</w:t>
      </w:r>
      <w:r w:rsidR="009530C9">
        <w:rPr>
          <w:spacing w:val="-11"/>
        </w:rPr>
        <w:t xml:space="preserve"> </w:t>
      </w:r>
      <w:r w:rsidR="009530C9">
        <w:t>or</w:t>
      </w:r>
      <w:r w:rsidR="009530C9">
        <w:rPr>
          <w:spacing w:val="-12"/>
        </w:rPr>
        <w:t xml:space="preserve"> </w:t>
      </w:r>
      <w:r w:rsidR="009530C9">
        <w:t>itraconazole</w:t>
      </w:r>
      <w:r w:rsidR="009530C9">
        <w:rPr>
          <w:spacing w:val="-12"/>
        </w:rPr>
        <w:t xml:space="preserve"> </w:t>
      </w:r>
      <w:r w:rsidR="009530C9">
        <w:t>was</w:t>
      </w:r>
      <w:r w:rsidR="009530C9">
        <w:rPr>
          <w:spacing w:val="-11"/>
        </w:rPr>
        <w:t xml:space="preserve"> </w:t>
      </w:r>
      <w:r w:rsidR="009530C9">
        <w:t>considered</w:t>
      </w:r>
      <w:r w:rsidR="009530C9">
        <w:rPr>
          <w:spacing w:val="-13"/>
        </w:rPr>
        <w:t xml:space="preserve"> </w:t>
      </w:r>
      <w:r w:rsidR="009530C9">
        <w:t>necessary</w:t>
      </w:r>
      <w:r w:rsidR="00D669A9">
        <w:t>.</w:t>
      </w:r>
    </w:p>
    <w:p w14:paraId="306485AF" w14:textId="77777777" w:rsidR="009530C9" w:rsidRDefault="009530C9" w:rsidP="00533DAA">
      <w:r>
        <w:t>Across</w:t>
      </w:r>
      <w:r>
        <w:rPr>
          <w:spacing w:val="-10"/>
        </w:rPr>
        <w:t xml:space="preserve"> </w:t>
      </w:r>
      <w:r>
        <w:t>the</w:t>
      </w:r>
      <w:r>
        <w:rPr>
          <w:spacing w:val="-10"/>
        </w:rPr>
        <w:t xml:space="preserve"> </w:t>
      </w:r>
      <w:r w:rsidR="00F97771">
        <w:t>Phase III</w:t>
      </w:r>
      <w:r>
        <w:rPr>
          <w:spacing w:val="-10"/>
        </w:rPr>
        <w:t xml:space="preserve"> </w:t>
      </w:r>
      <w:r>
        <w:t>studies,</w:t>
      </w:r>
      <w:r>
        <w:rPr>
          <w:spacing w:val="-8"/>
        </w:rPr>
        <w:t xml:space="preserve"> </w:t>
      </w:r>
      <w:r>
        <w:t>a</w:t>
      </w:r>
      <w:r>
        <w:rPr>
          <w:spacing w:val="-10"/>
        </w:rPr>
        <w:t xml:space="preserve"> </w:t>
      </w:r>
      <w:r>
        <w:t>high</w:t>
      </w:r>
      <w:r>
        <w:rPr>
          <w:spacing w:val="-10"/>
        </w:rPr>
        <w:t xml:space="preserve"> </w:t>
      </w:r>
      <w:r>
        <w:t>proportion</w:t>
      </w:r>
      <w:r>
        <w:rPr>
          <w:spacing w:val="-8"/>
        </w:rPr>
        <w:t xml:space="preserve"> </w:t>
      </w:r>
      <w:r>
        <w:t>of</w:t>
      </w:r>
      <w:r>
        <w:rPr>
          <w:spacing w:val="-10"/>
        </w:rPr>
        <w:t xml:space="preserve"> </w:t>
      </w:r>
      <w:r>
        <w:t>subjects</w:t>
      </w:r>
      <w:r>
        <w:rPr>
          <w:spacing w:val="-8"/>
        </w:rPr>
        <w:t xml:space="preserve"> </w:t>
      </w:r>
      <w:r>
        <w:t>were</w:t>
      </w:r>
      <w:r>
        <w:rPr>
          <w:spacing w:val="-10"/>
        </w:rPr>
        <w:t xml:space="preserve"> </w:t>
      </w:r>
      <w:r>
        <w:t>receiving</w:t>
      </w:r>
      <w:r>
        <w:rPr>
          <w:spacing w:val="-14"/>
        </w:rPr>
        <w:t xml:space="preserve"> </w:t>
      </w:r>
      <w:r>
        <w:t>concomitant</w:t>
      </w:r>
      <w:r>
        <w:rPr>
          <w:spacing w:val="-10"/>
        </w:rPr>
        <w:t xml:space="preserve"> </w:t>
      </w:r>
      <w:r>
        <w:t>antihypertension medication</w:t>
      </w:r>
      <w:r>
        <w:rPr>
          <w:spacing w:val="-12"/>
        </w:rPr>
        <w:t xml:space="preserve"> </w:t>
      </w:r>
      <w:r>
        <w:t>(ranging</w:t>
      </w:r>
      <w:r>
        <w:rPr>
          <w:spacing w:val="-16"/>
        </w:rPr>
        <w:t xml:space="preserve"> </w:t>
      </w:r>
      <w:r>
        <w:t>from</w:t>
      </w:r>
      <w:r>
        <w:rPr>
          <w:spacing w:val="-12"/>
        </w:rPr>
        <w:t xml:space="preserve"> </w:t>
      </w:r>
      <w:r>
        <w:t>50.5%</w:t>
      </w:r>
      <w:r>
        <w:rPr>
          <w:spacing w:val="-12"/>
        </w:rPr>
        <w:t xml:space="preserve"> </w:t>
      </w:r>
      <w:r>
        <w:t>to</w:t>
      </w:r>
      <w:r>
        <w:rPr>
          <w:spacing w:val="-12"/>
        </w:rPr>
        <w:t xml:space="preserve"> </w:t>
      </w:r>
      <w:r>
        <w:t>96.6%),</w:t>
      </w:r>
      <w:r>
        <w:rPr>
          <w:spacing w:val="-12"/>
        </w:rPr>
        <w:t xml:space="preserve"> </w:t>
      </w:r>
      <w:r>
        <w:t>including</w:t>
      </w:r>
      <w:r>
        <w:rPr>
          <w:spacing w:val="-16"/>
        </w:rPr>
        <w:t xml:space="preserve"> </w:t>
      </w:r>
      <w:r>
        <w:t>concomitant</w:t>
      </w:r>
      <w:r>
        <w:rPr>
          <w:spacing w:val="-12"/>
        </w:rPr>
        <w:t xml:space="preserve"> </w:t>
      </w:r>
      <w:r>
        <w:t>diuretic</w:t>
      </w:r>
      <w:r>
        <w:rPr>
          <w:spacing w:val="-15"/>
        </w:rPr>
        <w:t xml:space="preserve"> </w:t>
      </w:r>
      <w:r>
        <w:t>medication</w:t>
      </w:r>
      <w:r>
        <w:rPr>
          <w:spacing w:val="-12"/>
        </w:rPr>
        <w:t xml:space="preserve"> </w:t>
      </w:r>
      <w:r>
        <w:t>(ranging</w:t>
      </w:r>
      <w:r>
        <w:rPr>
          <w:spacing w:val="-14"/>
        </w:rPr>
        <w:t xml:space="preserve"> </w:t>
      </w:r>
      <w:r>
        <w:t>from 15.7% to 24.0%) and anti</w:t>
      </w:r>
      <w:r w:rsidR="00F14099">
        <w:t>-</w:t>
      </w:r>
      <w:r>
        <w:t>dyslipid</w:t>
      </w:r>
      <w:r w:rsidR="00F14099">
        <w:t>a</w:t>
      </w:r>
      <w:r>
        <w:t>emia medication (ranging from 32.0% to 77.3%). Thus, there is a large</w:t>
      </w:r>
      <w:r>
        <w:rPr>
          <w:spacing w:val="-10"/>
        </w:rPr>
        <w:t xml:space="preserve"> </w:t>
      </w:r>
      <w:r>
        <w:t>clinical</w:t>
      </w:r>
      <w:r>
        <w:rPr>
          <w:spacing w:val="-3"/>
        </w:rPr>
        <w:t xml:space="preserve"> </w:t>
      </w:r>
      <w:r>
        <w:t>experience</w:t>
      </w:r>
      <w:r>
        <w:rPr>
          <w:spacing w:val="-7"/>
        </w:rPr>
        <w:t xml:space="preserve"> </w:t>
      </w:r>
      <w:r>
        <w:t>with</w:t>
      </w:r>
      <w:r>
        <w:rPr>
          <w:spacing w:val="-9"/>
        </w:rPr>
        <w:t xml:space="preserve"> </w:t>
      </w:r>
      <w:r>
        <w:t>use</w:t>
      </w:r>
      <w:r>
        <w:rPr>
          <w:spacing w:val="-10"/>
        </w:rPr>
        <w:t xml:space="preserve"> </w:t>
      </w:r>
      <w:r>
        <w:t>of</w:t>
      </w:r>
      <w:r>
        <w:rPr>
          <w:spacing w:val="-9"/>
        </w:rPr>
        <w:t xml:space="preserve"> </w:t>
      </w:r>
      <w:r>
        <w:t>these</w:t>
      </w:r>
      <w:r>
        <w:rPr>
          <w:spacing w:val="-10"/>
        </w:rPr>
        <w:t xml:space="preserve"> </w:t>
      </w:r>
      <w:r>
        <w:t>concomitant</w:t>
      </w:r>
      <w:r>
        <w:rPr>
          <w:spacing w:val="-8"/>
        </w:rPr>
        <w:t xml:space="preserve"> </w:t>
      </w:r>
      <w:r>
        <w:t>medications.</w:t>
      </w:r>
    </w:p>
    <w:p w14:paraId="1B6958F4" w14:textId="77777777" w:rsidR="009530C9" w:rsidRDefault="009530C9" w:rsidP="00533DAA">
      <w:r>
        <w:t>Moreover,</w:t>
      </w:r>
      <w:r>
        <w:rPr>
          <w:spacing w:val="-11"/>
        </w:rPr>
        <w:t xml:space="preserve"> </w:t>
      </w:r>
      <w:r>
        <w:t>there</w:t>
      </w:r>
      <w:r>
        <w:rPr>
          <w:spacing w:val="-9"/>
        </w:rPr>
        <w:t xml:space="preserve"> </w:t>
      </w:r>
      <w:r>
        <w:t>was</w:t>
      </w:r>
      <w:r>
        <w:rPr>
          <w:spacing w:val="-8"/>
        </w:rPr>
        <w:t xml:space="preserve"> </w:t>
      </w:r>
      <w:r>
        <w:t>no</w:t>
      </w:r>
      <w:r>
        <w:rPr>
          <w:spacing w:val="-8"/>
        </w:rPr>
        <w:t xml:space="preserve"> </w:t>
      </w:r>
      <w:r>
        <w:t>supportive</w:t>
      </w:r>
      <w:r>
        <w:rPr>
          <w:spacing w:val="-9"/>
        </w:rPr>
        <w:t xml:space="preserve"> </w:t>
      </w:r>
      <w:r>
        <w:t>evidence</w:t>
      </w:r>
      <w:r>
        <w:rPr>
          <w:spacing w:val="-9"/>
        </w:rPr>
        <w:t xml:space="preserve"> </w:t>
      </w:r>
      <w:r>
        <w:t>that</w:t>
      </w:r>
      <w:r>
        <w:rPr>
          <w:spacing w:val="-8"/>
        </w:rPr>
        <w:t xml:space="preserve"> </w:t>
      </w:r>
      <w:r>
        <w:t>smoking</w:t>
      </w:r>
      <w:r>
        <w:rPr>
          <w:spacing w:val="-13"/>
        </w:rPr>
        <w:t xml:space="preserve"> </w:t>
      </w:r>
      <w:r>
        <w:t>and</w:t>
      </w:r>
      <w:r>
        <w:rPr>
          <w:spacing w:val="-8"/>
        </w:rPr>
        <w:t xml:space="preserve"> </w:t>
      </w:r>
      <w:r>
        <w:t>alcohol</w:t>
      </w:r>
      <w:r>
        <w:rPr>
          <w:spacing w:val="-8"/>
        </w:rPr>
        <w:t xml:space="preserve"> </w:t>
      </w:r>
      <w:r>
        <w:t>induces</w:t>
      </w:r>
      <w:r>
        <w:rPr>
          <w:spacing w:val="-8"/>
        </w:rPr>
        <w:t xml:space="preserve"> </w:t>
      </w:r>
      <w:r>
        <w:t>or</w:t>
      </w:r>
      <w:r>
        <w:rPr>
          <w:spacing w:val="-9"/>
        </w:rPr>
        <w:t xml:space="preserve"> </w:t>
      </w:r>
      <w:r>
        <w:t>inhibits</w:t>
      </w:r>
      <w:r>
        <w:rPr>
          <w:spacing w:val="-8"/>
        </w:rPr>
        <w:t xml:space="preserve"> </w:t>
      </w:r>
      <w:r>
        <w:t>UGT1A9, major</w:t>
      </w:r>
      <w:r>
        <w:rPr>
          <w:spacing w:val="-10"/>
        </w:rPr>
        <w:t xml:space="preserve"> </w:t>
      </w:r>
      <w:r>
        <w:t>enzyme</w:t>
      </w:r>
      <w:r>
        <w:rPr>
          <w:spacing w:val="-8"/>
        </w:rPr>
        <w:t xml:space="preserve"> </w:t>
      </w:r>
      <w:r>
        <w:t>for</w:t>
      </w:r>
      <w:r>
        <w:rPr>
          <w:spacing w:val="-10"/>
        </w:rPr>
        <w:t xml:space="preserve"> </w:t>
      </w:r>
      <w:r>
        <w:t>ertugliflozin</w:t>
      </w:r>
      <w:r>
        <w:rPr>
          <w:spacing w:val="-7"/>
        </w:rPr>
        <w:t xml:space="preserve"> </w:t>
      </w:r>
      <w:r>
        <w:t>metabolism,</w:t>
      </w:r>
      <w:r>
        <w:rPr>
          <w:spacing w:val="-7"/>
        </w:rPr>
        <w:t xml:space="preserve"> </w:t>
      </w:r>
      <w:r>
        <w:t>and</w:t>
      </w:r>
      <w:r>
        <w:rPr>
          <w:spacing w:val="-7"/>
        </w:rPr>
        <w:t xml:space="preserve"> </w:t>
      </w:r>
      <w:r>
        <w:t>hence</w:t>
      </w:r>
      <w:r>
        <w:rPr>
          <w:spacing w:val="-8"/>
        </w:rPr>
        <w:t xml:space="preserve"> </w:t>
      </w:r>
      <w:r>
        <w:t>were</w:t>
      </w:r>
      <w:r>
        <w:rPr>
          <w:spacing w:val="-11"/>
        </w:rPr>
        <w:t xml:space="preserve"> </w:t>
      </w:r>
      <w:r>
        <w:t>not</w:t>
      </w:r>
      <w:r>
        <w:rPr>
          <w:spacing w:val="-7"/>
        </w:rPr>
        <w:t xml:space="preserve"> </w:t>
      </w:r>
      <w:r>
        <w:t>studied.</w:t>
      </w:r>
    </w:p>
    <w:p w14:paraId="33863BF8" w14:textId="77777777" w:rsidR="009530C9" w:rsidRDefault="009530C9" w:rsidP="00533DAA">
      <w:pPr>
        <w:pStyle w:val="Heading6"/>
      </w:pPr>
      <w:r>
        <w:t>RMP</w:t>
      </w:r>
      <w:r w:rsidR="00533DAA">
        <w:t xml:space="preserve"> Risk of</w:t>
      </w:r>
      <w:r>
        <w:rPr>
          <w:spacing w:val="-22"/>
        </w:rPr>
        <w:t xml:space="preserve"> </w:t>
      </w:r>
      <w:r w:rsidR="00533DAA">
        <w:t>malignancy</w:t>
      </w:r>
    </w:p>
    <w:p w14:paraId="3FB75CD4" w14:textId="77777777" w:rsidR="009530C9" w:rsidRDefault="009530C9" w:rsidP="00533DAA">
      <w:r>
        <w:t>The</w:t>
      </w:r>
      <w:r>
        <w:rPr>
          <w:spacing w:val="-16"/>
        </w:rPr>
        <w:t xml:space="preserve"> </w:t>
      </w:r>
      <w:r>
        <w:t>Delegate</w:t>
      </w:r>
      <w:r>
        <w:rPr>
          <w:spacing w:val="-16"/>
        </w:rPr>
        <w:t xml:space="preserve"> </w:t>
      </w:r>
      <w:r>
        <w:t>expressed</w:t>
      </w:r>
      <w:r>
        <w:rPr>
          <w:spacing w:val="-13"/>
        </w:rPr>
        <w:t xml:space="preserve"> </w:t>
      </w:r>
      <w:r>
        <w:t>concern</w:t>
      </w:r>
      <w:r>
        <w:rPr>
          <w:spacing w:val="-13"/>
        </w:rPr>
        <w:t xml:space="preserve"> </w:t>
      </w:r>
      <w:r>
        <w:t>with</w:t>
      </w:r>
      <w:r>
        <w:rPr>
          <w:spacing w:val="-13"/>
        </w:rPr>
        <w:t xml:space="preserve"> </w:t>
      </w:r>
      <w:r>
        <w:t>regard</w:t>
      </w:r>
      <w:r>
        <w:rPr>
          <w:spacing w:val="-13"/>
        </w:rPr>
        <w:t xml:space="preserve"> </w:t>
      </w:r>
      <w:r>
        <w:t>to</w:t>
      </w:r>
      <w:r>
        <w:rPr>
          <w:spacing w:val="-15"/>
        </w:rPr>
        <w:t xml:space="preserve"> </w:t>
      </w:r>
      <w:r>
        <w:t>malignancies</w:t>
      </w:r>
      <w:r>
        <w:rPr>
          <w:spacing w:val="-13"/>
        </w:rPr>
        <w:t xml:space="preserve"> </w:t>
      </w:r>
      <w:r>
        <w:t>in</w:t>
      </w:r>
      <w:r>
        <w:rPr>
          <w:spacing w:val="-15"/>
        </w:rPr>
        <w:t xml:space="preserve"> </w:t>
      </w:r>
      <w:r>
        <w:t>the</w:t>
      </w:r>
      <w:r>
        <w:rPr>
          <w:spacing w:val="-16"/>
        </w:rPr>
        <w:t xml:space="preserve"> </w:t>
      </w:r>
      <w:r>
        <w:t>ertugliflozin</w:t>
      </w:r>
      <w:r>
        <w:rPr>
          <w:spacing w:val="-15"/>
        </w:rPr>
        <w:t xml:space="preserve"> </w:t>
      </w:r>
      <w:r>
        <w:t>clinical</w:t>
      </w:r>
      <w:r>
        <w:rPr>
          <w:spacing w:val="-13"/>
        </w:rPr>
        <w:t xml:space="preserve"> </w:t>
      </w:r>
      <w:r>
        <w:t>development program</w:t>
      </w:r>
      <w:r>
        <w:rPr>
          <w:spacing w:val="-7"/>
        </w:rPr>
        <w:t xml:space="preserve"> </w:t>
      </w:r>
      <w:r>
        <w:t>and</w:t>
      </w:r>
      <w:r>
        <w:rPr>
          <w:spacing w:val="-5"/>
        </w:rPr>
        <w:t xml:space="preserve"> </w:t>
      </w:r>
      <w:r>
        <w:t>has</w:t>
      </w:r>
      <w:r>
        <w:rPr>
          <w:spacing w:val="-5"/>
        </w:rPr>
        <w:t xml:space="preserve"> </w:t>
      </w:r>
      <w:r>
        <w:t>requested</w:t>
      </w:r>
      <w:r>
        <w:rPr>
          <w:spacing w:val="-5"/>
        </w:rPr>
        <w:t xml:space="preserve"> </w:t>
      </w:r>
      <w:r>
        <w:t>that</w:t>
      </w:r>
      <w:r>
        <w:rPr>
          <w:spacing w:val="-7"/>
        </w:rPr>
        <w:t xml:space="preserve"> </w:t>
      </w:r>
      <w:r>
        <w:t>malignancy</w:t>
      </w:r>
      <w:r>
        <w:rPr>
          <w:spacing w:val="-17"/>
        </w:rPr>
        <w:t xml:space="preserve"> </w:t>
      </w:r>
      <w:r>
        <w:t>be</w:t>
      </w:r>
      <w:r>
        <w:rPr>
          <w:spacing w:val="-6"/>
        </w:rPr>
        <w:t xml:space="preserve"> </w:t>
      </w:r>
      <w:r>
        <w:t>added</w:t>
      </w:r>
      <w:r>
        <w:rPr>
          <w:spacing w:val="-5"/>
        </w:rPr>
        <w:t xml:space="preserve"> </w:t>
      </w:r>
      <w:r>
        <w:t>as</w:t>
      </w:r>
      <w:r>
        <w:rPr>
          <w:spacing w:val="-5"/>
        </w:rPr>
        <w:t xml:space="preserve"> </w:t>
      </w:r>
      <w:r>
        <w:t>an</w:t>
      </w:r>
      <w:r>
        <w:rPr>
          <w:spacing w:val="-7"/>
        </w:rPr>
        <w:t xml:space="preserve"> </w:t>
      </w:r>
      <w:r>
        <w:t>important</w:t>
      </w:r>
      <w:r>
        <w:rPr>
          <w:spacing w:val="-5"/>
        </w:rPr>
        <w:t xml:space="preserve"> </w:t>
      </w:r>
      <w:r>
        <w:t>potential</w:t>
      </w:r>
      <w:r>
        <w:rPr>
          <w:spacing w:val="-5"/>
        </w:rPr>
        <w:t xml:space="preserve"> </w:t>
      </w:r>
      <w:r>
        <w:t>risk</w:t>
      </w:r>
      <w:r>
        <w:rPr>
          <w:spacing w:val="-5"/>
        </w:rPr>
        <w:t xml:space="preserve"> </w:t>
      </w:r>
      <w:r>
        <w:t>in</w:t>
      </w:r>
      <w:r>
        <w:rPr>
          <w:spacing w:val="-7"/>
        </w:rPr>
        <w:t xml:space="preserve"> </w:t>
      </w:r>
      <w:r>
        <w:t>the</w:t>
      </w:r>
      <w:r>
        <w:rPr>
          <w:spacing w:val="-8"/>
        </w:rPr>
        <w:t xml:space="preserve"> </w:t>
      </w:r>
      <w:r>
        <w:t>RMP.</w:t>
      </w:r>
    </w:p>
    <w:p w14:paraId="787112A5" w14:textId="6C2F0FA3" w:rsidR="009530C9" w:rsidRDefault="009530C9" w:rsidP="00533DAA">
      <w:r>
        <w:lastRenderedPageBreak/>
        <w:t>Malignancies reported in ertugliflozin groups reflected a wide range of unrelated types of neoplasms, both</w:t>
      </w:r>
      <w:r>
        <w:rPr>
          <w:spacing w:val="-10"/>
        </w:rPr>
        <w:t xml:space="preserve"> </w:t>
      </w:r>
      <w:r>
        <w:t>solid</w:t>
      </w:r>
      <w:r>
        <w:rPr>
          <w:spacing w:val="-8"/>
        </w:rPr>
        <w:t xml:space="preserve"> </w:t>
      </w:r>
      <w:r>
        <w:t>and</w:t>
      </w:r>
      <w:r>
        <w:rPr>
          <w:spacing w:val="-10"/>
        </w:rPr>
        <w:t xml:space="preserve"> </w:t>
      </w:r>
      <w:r w:rsidR="00191A6D">
        <w:t>haematological</w:t>
      </w:r>
      <w:r>
        <w:t>,</w:t>
      </w:r>
      <w:r>
        <w:rPr>
          <w:spacing w:val="-8"/>
        </w:rPr>
        <w:t xml:space="preserve"> </w:t>
      </w:r>
      <w:r>
        <w:t>with</w:t>
      </w:r>
      <w:r>
        <w:rPr>
          <w:spacing w:val="-8"/>
        </w:rPr>
        <w:t xml:space="preserve"> </w:t>
      </w:r>
      <w:r>
        <w:t>no</w:t>
      </w:r>
      <w:r>
        <w:rPr>
          <w:spacing w:val="-10"/>
        </w:rPr>
        <w:t xml:space="preserve"> </w:t>
      </w:r>
      <w:r>
        <w:t>notable</w:t>
      </w:r>
      <w:r>
        <w:rPr>
          <w:spacing w:val="-10"/>
        </w:rPr>
        <w:t xml:space="preserve"> </w:t>
      </w:r>
      <w:r>
        <w:t>temporal</w:t>
      </w:r>
      <w:r>
        <w:rPr>
          <w:spacing w:val="-7"/>
        </w:rPr>
        <w:t xml:space="preserve"> </w:t>
      </w:r>
      <w:r>
        <w:t>pattern</w:t>
      </w:r>
      <w:r>
        <w:rPr>
          <w:spacing w:val="-10"/>
        </w:rPr>
        <w:t xml:space="preserve"> </w:t>
      </w:r>
      <w:r>
        <w:t>of</w:t>
      </w:r>
      <w:r>
        <w:rPr>
          <w:spacing w:val="-10"/>
        </w:rPr>
        <w:t xml:space="preserve"> </w:t>
      </w:r>
      <w:r>
        <w:t>onset</w:t>
      </w:r>
      <w:r w:rsidR="00B51DF2">
        <w:rPr>
          <w:spacing w:val="-7"/>
        </w:rPr>
        <w:t xml:space="preserve"> </w:t>
      </w:r>
      <w:r>
        <w:t>and</w:t>
      </w:r>
      <w:r>
        <w:rPr>
          <w:spacing w:val="-8"/>
        </w:rPr>
        <w:t xml:space="preserve"> </w:t>
      </w:r>
      <w:r>
        <w:t xml:space="preserve">no notable difference in neoplasm type relative to the non-ertugliflozin group. To date, there has been no reported plausible mechanism of action to support a causal relationship between SGLT2 inhibition </w:t>
      </w:r>
      <w:r>
        <w:rPr>
          <w:spacing w:val="-3"/>
        </w:rPr>
        <w:t xml:space="preserve">and </w:t>
      </w:r>
      <w:r w:rsidR="00191A6D">
        <w:t>tumour</w:t>
      </w:r>
      <w:r>
        <w:t xml:space="preserve"> promotion and the nonclinical data with ertugliflozin also do not support a relevant risk to humans for </w:t>
      </w:r>
      <w:r w:rsidR="00191A6D">
        <w:t>tumour</w:t>
      </w:r>
      <w:r>
        <w:t xml:space="preserve"> development with ertugliflozin. At this time, </w:t>
      </w:r>
      <w:r w:rsidR="00C315CD">
        <w:t>the sponsor</w:t>
      </w:r>
      <w:r>
        <w:t xml:space="preserve"> does not believe that the data with ertugliflozin warrant adding an additional risk to the RMP related to malignancy.</w:t>
      </w:r>
    </w:p>
    <w:p w14:paraId="24E537C8" w14:textId="77777777" w:rsidR="009530C9" w:rsidRDefault="00533DAA" w:rsidP="00533DAA">
      <w:pPr>
        <w:pStyle w:val="Heading6"/>
      </w:pPr>
      <w:r>
        <w:t>Use with</w:t>
      </w:r>
      <w:r w:rsidR="009530C9">
        <w:rPr>
          <w:spacing w:val="-5"/>
        </w:rPr>
        <w:t xml:space="preserve"> </w:t>
      </w:r>
      <w:r>
        <w:t>diuretics</w:t>
      </w:r>
    </w:p>
    <w:p w14:paraId="0899C675" w14:textId="77777777" w:rsidR="009530C9" w:rsidRDefault="009530C9" w:rsidP="00533DAA">
      <w:r>
        <w:t>The</w:t>
      </w:r>
      <w:r>
        <w:rPr>
          <w:spacing w:val="-9"/>
        </w:rPr>
        <w:t xml:space="preserve"> </w:t>
      </w:r>
      <w:r>
        <w:t>Delegate’s</w:t>
      </w:r>
      <w:r>
        <w:rPr>
          <w:spacing w:val="-8"/>
        </w:rPr>
        <w:t xml:space="preserve"> </w:t>
      </w:r>
      <w:r>
        <w:t>overview</w:t>
      </w:r>
      <w:r>
        <w:rPr>
          <w:spacing w:val="-9"/>
        </w:rPr>
        <w:t xml:space="preserve"> </w:t>
      </w:r>
      <w:r>
        <w:t>suggested</w:t>
      </w:r>
      <w:r>
        <w:rPr>
          <w:spacing w:val="-8"/>
        </w:rPr>
        <w:t xml:space="preserve"> </w:t>
      </w:r>
      <w:r>
        <w:t>that</w:t>
      </w:r>
      <w:r>
        <w:rPr>
          <w:spacing w:val="-8"/>
        </w:rPr>
        <w:t xml:space="preserve"> </w:t>
      </w:r>
      <w:r>
        <w:t>there</w:t>
      </w:r>
      <w:r>
        <w:rPr>
          <w:spacing w:val="-9"/>
        </w:rPr>
        <w:t xml:space="preserve"> </w:t>
      </w:r>
      <w:r>
        <w:t>is</w:t>
      </w:r>
      <w:r>
        <w:rPr>
          <w:spacing w:val="-8"/>
        </w:rPr>
        <w:t xml:space="preserve"> </w:t>
      </w:r>
      <w:r>
        <w:t>no</w:t>
      </w:r>
      <w:r>
        <w:rPr>
          <w:spacing w:val="-6"/>
        </w:rPr>
        <w:t xml:space="preserve"> </w:t>
      </w:r>
      <w:r>
        <w:t>efficacy</w:t>
      </w:r>
      <w:r>
        <w:rPr>
          <w:spacing w:val="-18"/>
        </w:rPr>
        <w:t xml:space="preserve"> </w:t>
      </w:r>
      <w:r>
        <w:t>or</w:t>
      </w:r>
      <w:r>
        <w:rPr>
          <w:spacing w:val="-9"/>
        </w:rPr>
        <w:t xml:space="preserve"> </w:t>
      </w:r>
      <w:r>
        <w:t>safety</w:t>
      </w:r>
      <w:r>
        <w:rPr>
          <w:spacing w:val="-18"/>
        </w:rPr>
        <w:t xml:space="preserve"> </w:t>
      </w:r>
      <w:r>
        <w:t>data</w:t>
      </w:r>
      <w:r>
        <w:rPr>
          <w:spacing w:val="-7"/>
        </w:rPr>
        <w:t xml:space="preserve"> </w:t>
      </w:r>
      <w:r>
        <w:t>for</w:t>
      </w:r>
      <w:r>
        <w:rPr>
          <w:spacing w:val="-9"/>
        </w:rPr>
        <w:t xml:space="preserve"> </w:t>
      </w:r>
      <w:r>
        <w:t>ertugliflozin</w:t>
      </w:r>
      <w:r>
        <w:rPr>
          <w:spacing w:val="-8"/>
        </w:rPr>
        <w:t xml:space="preserve"> </w:t>
      </w:r>
      <w:r>
        <w:t>when</w:t>
      </w:r>
      <w:r>
        <w:rPr>
          <w:spacing w:val="-6"/>
        </w:rPr>
        <w:t xml:space="preserve"> </w:t>
      </w:r>
      <w:r>
        <w:t>used</w:t>
      </w:r>
      <w:r>
        <w:rPr>
          <w:spacing w:val="-8"/>
        </w:rPr>
        <w:t xml:space="preserve"> </w:t>
      </w:r>
      <w:r>
        <w:t>in combination</w:t>
      </w:r>
      <w:r>
        <w:rPr>
          <w:spacing w:val="-10"/>
        </w:rPr>
        <w:t xml:space="preserve"> </w:t>
      </w:r>
      <w:r>
        <w:t>with</w:t>
      </w:r>
      <w:r>
        <w:rPr>
          <w:spacing w:val="-10"/>
        </w:rPr>
        <w:t xml:space="preserve"> </w:t>
      </w:r>
      <w:r>
        <w:t>a</w:t>
      </w:r>
      <w:r>
        <w:rPr>
          <w:spacing w:val="-11"/>
        </w:rPr>
        <w:t xml:space="preserve"> </w:t>
      </w:r>
      <w:r>
        <w:t>diuretic.</w:t>
      </w:r>
      <w:r>
        <w:rPr>
          <w:spacing w:val="-10"/>
        </w:rPr>
        <w:t xml:space="preserve"> </w:t>
      </w:r>
      <w:r w:rsidR="00836955">
        <w:t>The sponsor</w:t>
      </w:r>
      <w:r>
        <w:rPr>
          <w:spacing w:val="-12"/>
        </w:rPr>
        <w:t xml:space="preserve"> </w:t>
      </w:r>
      <w:r>
        <w:t>notes</w:t>
      </w:r>
      <w:r>
        <w:rPr>
          <w:spacing w:val="-10"/>
        </w:rPr>
        <w:t xml:space="preserve"> </w:t>
      </w:r>
      <w:r>
        <w:t>that</w:t>
      </w:r>
      <w:r>
        <w:rPr>
          <w:spacing w:val="-12"/>
        </w:rPr>
        <w:t xml:space="preserve"> </w:t>
      </w:r>
      <w:r>
        <w:t>subjects</w:t>
      </w:r>
      <w:r>
        <w:rPr>
          <w:spacing w:val="-12"/>
        </w:rPr>
        <w:t xml:space="preserve"> </w:t>
      </w:r>
      <w:r>
        <w:t>taking</w:t>
      </w:r>
      <w:r>
        <w:rPr>
          <w:spacing w:val="-14"/>
        </w:rPr>
        <w:t xml:space="preserve"> </w:t>
      </w:r>
      <w:r>
        <w:t>diuretics</w:t>
      </w:r>
      <w:r>
        <w:rPr>
          <w:spacing w:val="-10"/>
        </w:rPr>
        <w:t xml:space="preserve"> </w:t>
      </w:r>
      <w:r>
        <w:t>were</w:t>
      </w:r>
      <w:r>
        <w:rPr>
          <w:spacing w:val="-13"/>
        </w:rPr>
        <w:t xml:space="preserve"> </w:t>
      </w:r>
      <w:r>
        <w:t>included in the clinical trials and safety data were included in the original submission. There is no reason to expect that the glucose</w:t>
      </w:r>
      <w:r w:rsidR="00D669A9">
        <w:t xml:space="preserve"> </w:t>
      </w:r>
      <w:r>
        <w:t>lowering effects of SGLT2 inhibitors, including</w:t>
      </w:r>
      <w:r>
        <w:rPr>
          <w:spacing w:val="-16"/>
        </w:rPr>
        <w:t xml:space="preserve"> </w:t>
      </w:r>
      <w:r>
        <w:t>ertugliflozin,</w:t>
      </w:r>
      <w:r>
        <w:rPr>
          <w:spacing w:val="-12"/>
        </w:rPr>
        <w:t xml:space="preserve"> </w:t>
      </w:r>
      <w:r>
        <w:t>are</w:t>
      </w:r>
      <w:r>
        <w:rPr>
          <w:spacing w:val="-13"/>
        </w:rPr>
        <w:t xml:space="preserve"> </w:t>
      </w:r>
      <w:r>
        <w:t>impacted</w:t>
      </w:r>
      <w:r>
        <w:rPr>
          <w:spacing w:val="-12"/>
        </w:rPr>
        <w:t xml:space="preserve"> </w:t>
      </w:r>
      <w:r>
        <w:t>when</w:t>
      </w:r>
      <w:r>
        <w:rPr>
          <w:spacing w:val="-12"/>
        </w:rPr>
        <w:t xml:space="preserve"> </w:t>
      </w:r>
      <w:r>
        <w:t>used</w:t>
      </w:r>
      <w:r>
        <w:rPr>
          <w:spacing w:val="-12"/>
        </w:rPr>
        <w:t xml:space="preserve"> </w:t>
      </w:r>
      <w:r>
        <w:t>in</w:t>
      </w:r>
      <w:r>
        <w:rPr>
          <w:spacing w:val="-14"/>
        </w:rPr>
        <w:t xml:space="preserve"> </w:t>
      </w:r>
      <w:r>
        <w:t>combination</w:t>
      </w:r>
      <w:r>
        <w:rPr>
          <w:spacing w:val="-12"/>
        </w:rPr>
        <w:t xml:space="preserve"> </w:t>
      </w:r>
      <w:r>
        <w:t>with</w:t>
      </w:r>
      <w:r>
        <w:rPr>
          <w:spacing w:val="-12"/>
        </w:rPr>
        <w:t xml:space="preserve"> </w:t>
      </w:r>
      <w:r>
        <w:t>diuretics.</w:t>
      </w:r>
    </w:p>
    <w:p w14:paraId="0E5F1EF8" w14:textId="77777777" w:rsidR="009530C9" w:rsidRDefault="00533DAA" w:rsidP="00533DAA">
      <w:pPr>
        <w:pStyle w:val="Heading6"/>
      </w:pPr>
      <w:r>
        <w:t>Conclusion</w:t>
      </w:r>
    </w:p>
    <w:p w14:paraId="7233C6DD" w14:textId="09C25CFD" w:rsidR="009530C9" w:rsidRDefault="009530C9" w:rsidP="00533DAA">
      <w:r>
        <w:rPr>
          <w:spacing w:val="-3"/>
        </w:rPr>
        <w:t>In</w:t>
      </w:r>
      <w:r>
        <w:rPr>
          <w:spacing w:val="-8"/>
        </w:rPr>
        <w:t xml:space="preserve"> </w:t>
      </w:r>
      <w:r>
        <w:t>the</w:t>
      </w:r>
      <w:r>
        <w:rPr>
          <w:spacing w:val="-7"/>
        </w:rPr>
        <w:t xml:space="preserve"> </w:t>
      </w:r>
      <w:r>
        <w:t>general</w:t>
      </w:r>
      <w:r>
        <w:rPr>
          <w:spacing w:val="-6"/>
        </w:rPr>
        <w:t xml:space="preserve"> </w:t>
      </w:r>
      <w:r>
        <w:t>population</w:t>
      </w:r>
      <w:r>
        <w:rPr>
          <w:spacing w:val="-8"/>
        </w:rPr>
        <w:t xml:space="preserve"> </w:t>
      </w:r>
      <w:r>
        <w:t>with</w:t>
      </w:r>
      <w:r>
        <w:rPr>
          <w:spacing w:val="-7"/>
        </w:rPr>
        <w:t xml:space="preserve"> </w:t>
      </w:r>
      <w:r>
        <w:t>T2DM,</w:t>
      </w:r>
      <w:r>
        <w:rPr>
          <w:spacing w:val="-8"/>
        </w:rPr>
        <w:t xml:space="preserve"> </w:t>
      </w:r>
      <w:r>
        <w:t>both</w:t>
      </w:r>
      <w:r>
        <w:rPr>
          <w:spacing w:val="-7"/>
        </w:rPr>
        <w:t xml:space="preserve"> </w:t>
      </w:r>
      <w:r>
        <w:t>ertugliflozin</w:t>
      </w:r>
      <w:r>
        <w:rPr>
          <w:spacing w:val="-8"/>
        </w:rPr>
        <w:t xml:space="preserve"> </w:t>
      </w:r>
      <w:r>
        <w:t>5</w:t>
      </w:r>
      <w:r w:rsidR="00715B39">
        <w:t xml:space="preserve"> </w:t>
      </w:r>
      <w:r w:rsidR="006D7D02">
        <w:t>mg</w:t>
      </w:r>
      <w:r>
        <w:rPr>
          <w:spacing w:val="-13"/>
        </w:rPr>
        <w:t xml:space="preserve"> </w:t>
      </w:r>
      <w:r>
        <w:t>and</w:t>
      </w:r>
      <w:r>
        <w:rPr>
          <w:spacing w:val="-7"/>
        </w:rPr>
        <w:t xml:space="preserve"> </w:t>
      </w:r>
      <w:r>
        <w:t>15</w:t>
      </w:r>
      <w:r w:rsidR="00715B39">
        <w:t xml:space="preserve"> </w:t>
      </w:r>
      <w:r w:rsidR="006D7D02">
        <w:t>mg</w:t>
      </w:r>
      <w:r>
        <w:rPr>
          <w:spacing w:val="-13"/>
        </w:rPr>
        <w:t xml:space="preserve"> </w:t>
      </w:r>
      <w:r>
        <w:t>once</w:t>
      </w:r>
      <w:r>
        <w:rPr>
          <w:spacing w:val="-9"/>
        </w:rPr>
        <w:t xml:space="preserve"> </w:t>
      </w:r>
      <w:r>
        <w:t>daily</w:t>
      </w:r>
      <w:r>
        <w:rPr>
          <w:spacing w:val="-18"/>
        </w:rPr>
        <w:t xml:space="preserve"> </w:t>
      </w:r>
      <w:r>
        <w:t>provide</w:t>
      </w:r>
      <w:r>
        <w:rPr>
          <w:spacing w:val="-7"/>
        </w:rPr>
        <w:t xml:space="preserve"> </w:t>
      </w:r>
      <w:r>
        <w:t>clinically meaningful</w:t>
      </w:r>
      <w:r>
        <w:rPr>
          <w:spacing w:val="-13"/>
        </w:rPr>
        <w:t xml:space="preserve"> </w:t>
      </w:r>
      <w:r>
        <w:t>improvement</w:t>
      </w:r>
      <w:r>
        <w:rPr>
          <w:spacing w:val="-13"/>
        </w:rPr>
        <w:t xml:space="preserve"> </w:t>
      </w:r>
      <w:r>
        <w:t>in</w:t>
      </w:r>
      <w:r>
        <w:rPr>
          <w:spacing w:val="-14"/>
        </w:rPr>
        <w:t xml:space="preserve"> </w:t>
      </w:r>
      <w:r>
        <w:t>glycaemia.</w:t>
      </w:r>
      <w:r>
        <w:rPr>
          <w:spacing w:val="-14"/>
        </w:rPr>
        <w:t xml:space="preserve"> </w:t>
      </w:r>
      <w:r>
        <w:t>The</w:t>
      </w:r>
      <w:r>
        <w:rPr>
          <w:spacing w:val="-15"/>
        </w:rPr>
        <w:t xml:space="preserve"> </w:t>
      </w:r>
      <w:r>
        <w:t>incremental</w:t>
      </w:r>
      <w:r>
        <w:rPr>
          <w:spacing w:val="-13"/>
        </w:rPr>
        <w:t xml:space="preserve"> </w:t>
      </w:r>
      <w:r>
        <w:t>improvement</w:t>
      </w:r>
      <w:r>
        <w:rPr>
          <w:spacing w:val="-13"/>
        </w:rPr>
        <w:t xml:space="preserve"> </w:t>
      </w:r>
      <w:r>
        <w:t>with</w:t>
      </w:r>
      <w:r>
        <w:rPr>
          <w:spacing w:val="-15"/>
        </w:rPr>
        <w:t xml:space="preserve"> </w:t>
      </w:r>
      <w:r>
        <w:t>ertugliflozin</w:t>
      </w:r>
      <w:r>
        <w:rPr>
          <w:spacing w:val="-14"/>
        </w:rPr>
        <w:t xml:space="preserve"> </w:t>
      </w:r>
      <w:r>
        <w:t>15</w:t>
      </w:r>
      <w:r w:rsidR="00715B39">
        <w:t xml:space="preserve"> </w:t>
      </w:r>
      <w:r w:rsidR="006D7D02">
        <w:t>mg</w:t>
      </w:r>
      <w:r>
        <w:rPr>
          <w:spacing w:val="-17"/>
        </w:rPr>
        <w:t xml:space="preserve"> </w:t>
      </w:r>
      <w:r>
        <w:t>over</w:t>
      </w:r>
      <w:r w:rsidR="00533DAA">
        <w:t xml:space="preserve"> </w:t>
      </w:r>
      <w:r>
        <w:t>5</w:t>
      </w:r>
      <w:r w:rsidR="00715B39">
        <w:t xml:space="preserve"> </w:t>
      </w:r>
      <w:r w:rsidR="006D7D02">
        <w:t>mg</w:t>
      </w:r>
      <w:r>
        <w:t>, as well as the acceptable and similar safety profiles of both doses supports the dosing recommendation</w:t>
      </w:r>
      <w:r>
        <w:rPr>
          <w:spacing w:val="-6"/>
        </w:rPr>
        <w:t xml:space="preserve"> </w:t>
      </w:r>
      <w:r>
        <w:t>to</w:t>
      </w:r>
      <w:r>
        <w:rPr>
          <w:spacing w:val="-8"/>
        </w:rPr>
        <w:t xml:space="preserve"> </w:t>
      </w:r>
      <w:r>
        <w:t>increase</w:t>
      </w:r>
      <w:r>
        <w:rPr>
          <w:spacing w:val="-9"/>
        </w:rPr>
        <w:t xml:space="preserve"> </w:t>
      </w:r>
      <w:r>
        <w:t>ertugliflozin</w:t>
      </w:r>
      <w:r>
        <w:rPr>
          <w:spacing w:val="-6"/>
        </w:rPr>
        <w:t xml:space="preserve"> </w:t>
      </w:r>
      <w:r>
        <w:t>dose</w:t>
      </w:r>
      <w:r>
        <w:rPr>
          <w:spacing w:val="-9"/>
        </w:rPr>
        <w:t xml:space="preserve"> </w:t>
      </w:r>
      <w:r>
        <w:t>from</w:t>
      </w:r>
      <w:r>
        <w:rPr>
          <w:spacing w:val="-5"/>
        </w:rPr>
        <w:t xml:space="preserve"> </w:t>
      </w:r>
      <w:r>
        <w:t>5</w:t>
      </w:r>
      <w:r w:rsidR="00715B39">
        <w:t xml:space="preserve"> </w:t>
      </w:r>
      <w:r w:rsidR="006D7D02">
        <w:t>mg</w:t>
      </w:r>
      <w:r>
        <w:rPr>
          <w:spacing w:val="-13"/>
        </w:rPr>
        <w:t xml:space="preserve"> </w:t>
      </w:r>
      <w:r>
        <w:t>to</w:t>
      </w:r>
      <w:r>
        <w:rPr>
          <w:spacing w:val="-6"/>
        </w:rPr>
        <w:t xml:space="preserve"> </w:t>
      </w:r>
      <w:r>
        <w:t>15</w:t>
      </w:r>
      <w:r w:rsidR="00715B39">
        <w:t> </w:t>
      </w:r>
      <w:r w:rsidR="006D7D02">
        <w:t>mg</w:t>
      </w:r>
      <w:r>
        <w:rPr>
          <w:spacing w:val="-13"/>
        </w:rPr>
        <w:t xml:space="preserve"> </w:t>
      </w:r>
      <w:r>
        <w:t>in</w:t>
      </w:r>
      <w:r>
        <w:rPr>
          <w:spacing w:val="-6"/>
        </w:rPr>
        <w:t xml:space="preserve"> </w:t>
      </w:r>
      <w:r>
        <w:t>subjects</w:t>
      </w:r>
      <w:r>
        <w:rPr>
          <w:spacing w:val="-6"/>
        </w:rPr>
        <w:t xml:space="preserve"> </w:t>
      </w:r>
      <w:r>
        <w:t>who</w:t>
      </w:r>
      <w:r>
        <w:rPr>
          <w:spacing w:val="-6"/>
        </w:rPr>
        <w:t xml:space="preserve"> </w:t>
      </w:r>
      <w:r>
        <w:t>are</w:t>
      </w:r>
      <w:r>
        <w:rPr>
          <w:spacing w:val="-9"/>
        </w:rPr>
        <w:t xml:space="preserve"> </w:t>
      </w:r>
      <w:r>
        <w:t>tolerating</w:t>
      </w:r>
      <w:r>
        <w:rPr>
          <w:spacing w:val="-13"/>
        </w:rPr>
        <w:t xml:space="preserve"> </w:t>
      </w:r>
      <w:r>
        <w:t>5</w:t>
      </w:r>
      <w:r w:rsidR="00715B39">
        <w:t xml:space="preserve"> </w:t>
      </w:r>
      <w:r w:rsidR="006D7D02">
        <w:t>mg</w:t>
      </w:r>
      <w:r>
        <w:t xml:space="preserve"> and need additional glycaemic</w:t>
      </w:r>
      <w:r>
        <w:rPr>
          <w:spacing w:val="-33"/>
        </w:rPr>
        <w:t xml:space="preserve"> </w:t>
      </w:r>
      <w:r>
        <w:t>control.</w:t>
      </w:r>
    </w:p>
    <w:p w14:paraId="47610405" w14:textId="4C1C2395" w:rsidR="009530C9" w:rsidRDefault="009530C9" w:rsidP="00533DAA">
      <w:r>
        <w:t>The</w:t>
      </w:r>
      <w:r>
        <w:rPr>
          <w:spacing w:val="-12"/>
        </w:rPr>
        <w:t xml:space="preserve"> </w:t>
      </w:r>
      <w:r>
        <w:t>glycaemic</w:t>
      </w:r>
      <w:r>
        <w:rPr>
          <w:spacing w:val="-12"/>
        </w:rPr>
        <w:t xml:space="preserve"> </w:t>
      </w:r>
      <w:r>
        <w:t>efficacy</w:t>
      </w:r>
      <w:r>
        <w:rPr>
          <w:spacing w:val="-18"/>
        </w:rPr>
        <w:t xml:space="preserve"> </w:t>
      </w:r>
      <w:r>
        <w:t>of</w:t>
      </w:r>
      <w:r>
        <w:rPr>
          <w:spacing w:val="-12"/>
        </w:rPr>
        <w:t xml:space="preserve"> </w:t>
      </w:r>
      <w:r>
        <w:t>the</w:t>
      </w:r>
      <w:r>
        <w:rPr>
          <w:spacing w:val="-12"/>
        </w:rPr>
        <w:t xml:space="preserve"> </w:t>
      </w:r>
      <w:r>
        <w:t>SGLT2</w:t>
      </w:r>
      <w:r>
        <w:rPr>
          <w:spacing w:val="-11"/>
        </w:rPr>
        <w:t xml:space="preserve"> </w:t>
      </w:r>
      <w:r>
        <w:t>inhibitors</w:t>
      </w:r>
      <w:r>
        <w:rPr>
          <w:spacing w:val="-11"/>
        </w:rPr>
        <w:t xml:space="preserve"> </w:t>
      </w:r>
      <w:r>
        <w:t>is</w:t>
      </w:r>
      <w:r>
        <w:rPr>
          <w:spacing w:val="-13"/>
        </w:rPr>
        <w:t xml:space="preserve"> </w:t>
      </w:r>
      <w:r>
        <w:t>related</w:t>
      </w:r>
      <w:r>
        <w:rPr>
          <w:spacing w:val="-11"/>
        </w:rPr>
        <w:t xml:space="preserve"> </w:t>
      </w:r>
      <w:r>
        <w:t>to</w:t>
      </w:r>
      <w:r>
        <w:rPr>
          <w:spacing w:val="-11"/>
        </w:rPr>
        <w:t xml:space="preserve"> </w:t>
      </w:r>
      <w:r>
        <w:t>renal</w:t>
      </w:r>
      <w:r>
        <w:rPr>
          <w:spacing w:val="-11"/>
        </w:rPr>
        <w:t xml:space="preserve"> </w:t>
      </w:r>
      <w:r>
        <w:t>function,</w:t>
      </w:r>
      <w:r>
        <w:rPr>
          <w:spacing w:val="-11"/>
        </w:rPr>
        <w:t xml:space="preserve"> </w:t>
      </w:r>
      <w:r>
        <w:t>with</w:t>
      </w:r>
      <w:r>
        <w:rPr>
          <w:spacing w:val="-11"/>
        </w:rPr>
        <w:t xml:space="preserve"> </w:t>
      </w:r>
      <w:r>
        <w:t>attenuated</w:t>
      </w:r>
      <w:r>
        <w:rPr>
          <w:spacing w:val="-9"/>
        </w:rPr>
        <w:t xml:space="preserve"> </w:t>
      </w:r>
      <w:r>
        <w:t>glycaemic efficacy as renal function declines. Based on the totality of evidence available, ertugliflozin 15</w:t>
      </w:r>
      <w:r w:rsidR="00715B39">
        <w:t xml:space="preserve"> </w:t>
      </w:r>
      <w:r w:rsidR="006D7D02">
        <w:t>mg</w:t>
      </w:r>
      <w:r>
        <w:t xml:space="preserve"> provides clinically meaningful efficacy in subjects with Stage 3A CKD with an acceptable safety profile.</w:t>
      </w:r>
    </w:p>
    <w:p w14:paraId="6FE417B1" w14:textId="31DFCE40" w:rsidR="009530C9" w:rsidRDefault="009530C9" w:rsidP="00533DAA">
      <w:r>
        <w:t xml:space="preserve">Based on the totality of the efficacy and safety data, </w:t>
      </w:r>
      <w:r w:rsidR="00C315CD">
        <w:t>the sponsor</w:t>
      </w:r>
      <w:r>
        <w:t xml:space="preserve"> believes that there is a positive benefit:</w:t>
      </w:r>
      <w:r w:rsidR="009569DF">
        <w:t xml:space="preserve"> </w:t>
      </w:r>
      <w:r>
        <w:t>risk</w:t>
      </w:r>
      <w:r>
        <w:rPr>
          <w:spacing w:val="-11"/>
        </w:rPr>
        <w:t xml:space="preserve"> </w:t>
      </w:r>
      <w:r>
        <w:t>profile</w:t>
      </w:r>
      <w:r>
        <w:rPr>
          <w:spacing w:val="-12"/>
        </w:rPr>
        <w:t xml:space="preserve"> </w:t>
      </w:r>
      <w:r>
        <w:t>for</w:t>
      </w:r>
      <w:r>
        <w:rPr>
          <w:spacing w:val="-12"/>
        </w:rPr>
        <w:t xml:space="preserve"> </w:t>
      </w:r>
      <w:r>
        <w:t>ertugliflozin</w:t>
      </w:r>
      <w:r>
        <w:rPr>
          <w:spacing w:val="-11"/>
        </w:rPr>
        <w:t xml:space="preserve"> </w:t>
      </w:r>
      <w:r>
        <w:t>5</w:t>
      </w:r>
      <w:r w:rsidR="00715B39">
        <w:t xml:space="preserve"> </w:t>
      </w:r>
      <w:r w:rsidR="006D7D02">
        <w:t>mg</w:t>
      </w:r>
      <w:r>
        <w:rPr>
          <w:spacing w:val="-16"/>
        </w:rPr>
        <w:t xml:space="preserve"> </w:t>
      </w:r>
      <w:r>
        <w:t>and</w:t>
      </w:r>
      <w:r>
        <w:rPr>
          <w:spacing w:val="-11"/>
        </w:rPr>
        <w:t xml:space="preserve"> </w:t>
      </w:r>
      <w:r>
        <w:t>15</w:t>
      </w:r>
      <w:r w:rsidR="00715B39">
        <w:t xml:space="preserve"> </w:t>
      </w:r>
      <w:r w:rsidR="006D7D02">
        <w:t>mg</w:t>
      </w:r>
      <w:r>
        <w:t>,</w:t>
      </w:r>
      <w:r>
        <w:rPr>
          <w:spacing w:val="-9"/>
        </w:rPr>
        <w:t xml:space="preserve"> </w:t>
      </w:r>
      <w:r>
        <w:t>as</w:t>
      </w:r>
      <w:r>
        <w:rPr>
          <w:spacing w:val="-7"/>
        </w:rPr>
        <w:t xml:space="preserve"> </w:t>
      </w:r>
      <w:r>
        <w:t>well</w:t>
      </w:r>
      <w:r>
        <w:rPr>
          <w:spacing w:val="-11"/>
        </w:rPr>
        <w:t xml:space="preserve"> </w:t>
      </w:r>
      <w:r>
        <w:t>as</w:t>
      </w:r>
      <w:r>
        <w:rPr>
          <w:spacing w:val="-9"/>
        </w:rPr>
        <w:t xml:space="preserve"> </w:t>
      </w:r>
      <w:r>
        <w:t>the</w:t>
      </w:r>
      <w:r>
        <w:rPr>
          <w:spacing w:val="-10"/>
        </w:rPr>
        <w:t xml:space="preserve"> </w:t>
      </w:r>
      <w:r>
        <w:t>FDCs</w:t>
      </w:r>
      <w:r>
        <w:rPr>
          <w:spacing w:val="-9"/>
        </w:rPr>
        <w:t xml:space="preserve"> </w:t>
      </w:r>
      <w:r>
        <w:t>ertugliflozin/sitagliptin</w:t>
      </w:r>
      <w:r>
        <w:rPr>
          <w:spacing w:val="-9"/>
        </w:rPr>
        <w:t xml:space="preserve"> </w:t>
      </w:r>
      <w:r>
        <w:rPr>
          <w:spacing w:val="-3"/>
        </w:rPr>
        <w:t xml:space="preserve">and </w:t>
      </w:r>
      <w:r>
        <w:t>ertugliflozin/metformin.</w:t>
      </w:r>
    </w:p>
    <w:p w14:paraId="1C6DE660" w14:textId="77777777" w:rsidR="008E7846" w:rsidRDefault="008E7846" w:rsidP="008E7846">
      <w:pPr>
        <w:pStyle w:val="Heading4"/>
      </w:pPr>
      <w:r>
        <w:t>Advisory Committee Considerations</w:t>
      </w:r>
      <w:r w:rsidR="00456765">
        <w:rPr>
          <w:rStyle w:val="FootnoteReference"/>
        </w:rPr>
        <w:footnoteReference w:id="38"/>
      </w:r>
    </w:p>
    <w:p w14:paraId="3F2BBB21" w14:textId="77777777" w:rsidR="00F60FF1" w:rsidRPr="00891959" w:rsidRDefault="00F60FF1" w:rsidP="00A14876">
      <w:r>
        <w:t>Three related applications</w:t>
      </w:r>
      <w:r w:rsidR="00970132">
        <w:t>: a</w:t>
      </w:r>
      <w:r>
        <w:t xml:space="preserve"> new chemical entity </w:t>
      </w:r>
      <w:r w:rsidR="00970132">
        <w:t>e</w:t>
      </w:r>
      <w:r w:rsidRPr="00891959">
        <w:t>rtugliflozin (</w:t>
      </w:r>
      <w:r w:rsidR="0014173A" w:rsidRPr="00891959">
        <w:t>Steglatro</w:t>
      </w:r>
      <w:r w:rsidRPr="00891959">
        <w:t xml:space="preserve">), </w:t>
      </w:r>
      <w:r>
        <w:t xml:space="preserve">as well as 2 new combination products </w:t>
      </w:r>
      <w:r w:rsidR="00970132">
        <w:t>e</w:t>
      </w:r>
      <w:r w:rsidRPr="00891959">
        <w:t>rtugliflozin/</w:t>
      </w:r>
      <w:r w:rsidR="00970132">
        <w:t>s</w:t>
      </w:r>
      <w:r w:rsidRPr="00891959">
        <w:t>itagliptin (</w:t>
      </w:r>
      <w:r w:rsidR="00453FBE">
        <w:t>Steglujan</w:t>
      </w:r>
      <w:r w:rsidRPr="00891959">
        <w:t xml:space="preserve">) and </w:t>
      </w:r>
      <w:r w:rsidR="00970132">
        <w:t>e</w:t>
      </w:r>
      <w:r w:rsidRPr="00891959">
        <w:t>rtugliflozin/</w:t>
      </w:r>
      <w:r w:rsidR="00970132">
        <w:t>m</w:t>
      </w:r>
      <w:r w:rsidRPr="00891959">
        <w:t>etformin (</w:t>
      </w:r>
      <w:r w:rsidR="0014173A" w:rsidRPr="00891959">
        <w:t>Segluromet</w:t>
      </w:r>
      <w:r w:rsidRPr="00891959">
        <w:t>)</w:t>
      </w:r>
      <w:r w:rsidR="0014173A">
        <w:t xml:space="preserve"> were submitted.</w:t>
      </w:r>
    </w:p>
    <w:p w14:paraId="0BB6BB0E" w14:textId="1FBBB5D6" w:rsidR="00F60FF1" w:rsidRDefault="00F60FF1" w:rsidP="00F60FF1">
      <w:r w:rsidRPr="00C12AE4">
        <w:t xml:space="preserve">The ACM taking into account the submitted evidence of efficacy, safety and quality, </w:t>
      </w:r>
      <w:r>
        <w:t xml:space="preserve">the ACM considered </w:t>
      </w:r>
      <w:r w:rsidR="0014173A">
        <w:rPr>
          <w:noProof/>
        </w:rPr>
        <w:t>Steglatro</w:t>
      </w:r>
      <w:r w:rsidR="0014173A" w:rsidRPr="00C12AE4">
        <w:t xml:space="preserve"> </w:t>
      </w:r>
      <w:r>
        <w:rPr>
          <w:noProof/>
        </w:rPr>
        <w:t>tablets</w:t>
      </w:r>
      <w:r w:rsidRPr="00C12AE4">
        <w:t xml:space="preserve"> containing </w:t>
      </w:r>
      <w:r w:rsidR="006C336C">
        <w:rPr>
          <w:noProof/>
        </w:rPr>
        <w:t>5</w:t>
      </w:r>
      <w:r w:rsidR="00715B39">
        <w:rPr>
          <w:noProof/>
        </w:rPr>
        <w:t xml:space="preserve"> </w:t>
      </w:r>
      <w:r w:rsidR="006D7D02">
        <w:rPr>
          <w:noProof/>
        </w:rPr>
        <w:t>mg</w:t>
      </w:r>
      <w:r>
        <w:rPr>
          <w:noProof/>
        </w:rPr>
        <w:t xml:space="preserve"> and 1</w:t>
      </w:r>
      <w:r w:rsidR="006C336C">
        <w:rPr>
          <w:noProof/>
        </w:rPr>
        <w:t>5</w:t>
      </w:r>
      <w:r w:rsidR="00715B39">
        <w:rPr>
          <w:noProof/>
        </w:rPr>
        <w:t xml:space="preserve"> </w:t>
      </w:r>
      <w:r w:rsidR="006D7D02">
        <w:rPr>
          <w:noProof/>
        </w:rPr>
        <w:t>mg</w:t>
      </w:r>
      <w:r w:rsidRPr="00C12AE4">
        <w:t xml:space="preserve"> of </w:t>
      </w:r>
      <w:r>
        <w:rPr>
          <w:noProof/>
        </w:rPr>
        <w:t>Ertugliflozin</w:t>
      </w:r>
      <w:r w:rsidRPr="00C12AE4">
        <w:t xml:space="preserve"> to have an overall positive benefit-risk profile for the</w:t>
      </w:r>
      <w:r>
        <w:t xml:space="preserve"> proposed amended</w:t>
      </w:r>
      <w:r w:rsidRPr="00C12AE4">
        <w:t xml:space="preserve"> </w:t>
      </w:r>
      <w:r>
        <w:t>indication:</w:t>
      </w:r>
    </w:p>
    <w:p w14:paraId="7C32C84C" w14:textId="77777777" w:rsidR="00F60FF1" w:rsidRPr="0014173A" w:rsidRDefault="0014173A" w:rsidP="0014173A">
      <w:pPr>
        <w:ind w:left="644"/>
        <w:rPr>
          <w:i/>
        </w:rPr>
      </w:pPr>
      <w:r w:rsidRPr="0014173A">
        <w:rPr>
          <w:i/>
        </w:rPr>
        <w:t xml:space="preserve">Steglatro </w:t>
      </w:r>
      <w:r w:rsidR="00F60FF1" w:rsidRPr="0014173A">
        <w:rPr>
          <w:i/>
        </w:rPr>
        <w:t>(Ertugliflozin) is indicated as an adjunct to diet and exercise to improve glycaemic control in adults with type 2 diabetes mellitus as:</w:t>
      </w:r>
    </w:p>
    <w:p w14:paraId="433AFF00" w14:textId="77777777" w:rsidR="00F60FF1" w:rsidRPr="004A4114" w:rsidRDefault="00F14099" w:rsidP="004A4114">
      <w:pPr>
        <w:pStyle w:val="ListBullet"/>
        <w:ind w:left="1151" w:hanging="357"/>
        <w:rPr>
          <w:i/>
        </w:rPr>
      </w:pPr>
      <w:r w:rsidRPr="004A4114">
        <w:rPr>
          <w:i/>
        </w:rPr>
        <w:lastRenderedPageBreak/>
        <w:t>M</w:t>
      </w:r>
      <w:r w:rsidR="00F60FF1" w:rsidRPr="004A4114">
        <w:rPr>
          <w:i/>
        </w:rPr>
        <w:t>onotherapy when metformin is considered inappropriate due to intolerance; or</w:t>
      </w:r>
    </w:p>
    <w:p w14:paraId="49557259" w14:textId="77777777" w:rsidR="00F60FF1" w:rsidRPr="004A4114" w:rsidRDefault="00F14099" w:rsidP="004A4114">
      <w:pPr>
        <w:pStyle w:val="ListBullet"/>
        <w:ind w:left="1151" w:hanging="357"/>
        <w:rPr>
          <w:i/>
        </w:rPr>
      </w:pPr>
      <w:r w:rsidRPr="004A4114">
        <w:rPr>
          <w:i/>
        </w:rPr>
        <w:t>I</w:t>
      </w:r>
      <w:r w:rsidR="00F60FF1" w:rsidRPr="004A4114">
        <w:rPr>
          <w:i/>
        </w:rPr>
        <w:t xml:space="preserve">n combination with other anti-hyperglycaemic agents (see 5.1 </w:t>
      </w:r>
      <w:r w:rsidR="0014173A" w:rsidRPr="004A4114">
        <w:rPr>
          <w:i/>
        </w:rPr>
        <w:t>Pharmacodynamic Properties</w:t>
      </w:r>
      <w:r w:rsidR="00F60FF1" w:rsidRPr="004A4114">
        <w:rPr>
          <w:i/>
        </w:rPr>
        <w:t xml:space="preserve">, Clinical Trials and 4.4 </w:t>
      </w:r>
      <w:r w:rsidR="0014173A" w:rsidRPr="004A4114">
        <w:rPr>
          <w:i/>
        </w:rPr>
        <w:t xml:space="preserve">Special Warnings and Precautions for Use </w:t>
      </w:r>
      <w:r w:rsidR="00F60FF1" w:rsidRPr="004A4114">
        <w:rPr>
          <w:i/>
        </w:rPr>
        <w:t>for available data on different add-on combination therapies).</w:t>
      </w:r>
    </w:p>
    <w:p w14:paraId="6E10A7E1" w14:textId="77777777" w:rsidR="00F60FF1" w:rsidRDefault="00F60FF1" w:rsidP="0014173A">
      <w:r w:rsidRPr="00C12AE4">
        <w:t xml:space="preserve">In </w:t>
      </w:r>
      <w:r>
        <w:t>providing this advice,</w:t>
      </w:r>
      <w:r w:rsidRPr="00C12AE4">
        <w:t xml:space="preserve"> the ACM </w:t>
      </w:r>
      <w:r>
        <w:t>noted that:</w:t>
      </w:r>
    </w:p>
    <w:p w14:paraId="100563FE" w14:textId="77777777" w:rsidR="00F60FF1" w:rsidRDefault="00F60FF1" w:rsidP="0014173A">
      <w:pPr>
        <w:pStyle w:val="ListBullet"/>
      </w:pPr>
      <w:r>
        <w:t>There is an on-going long term cardiovascular trial currently underway and due to be completed in 2019</w:t>
      </w:r>
      <w:r w:rsidR="0014173A">
        <w:t>.</w:t>
      </w:r>
    </w:p>
    <w:p w14:paraId="39D9C77D" w14:textId="77777777" w:rsidR="00F60FF1" w:rsidRDefault="00F60FF1" w:rsidP="0014173A">
      <w:pPr>
        <w:pStyle w:val="ListBullet"/>
      </w:pPr>
      <w:r>
        <w:t>There are three other registered SGLT-2 inhibitors: empagliflozin, dapagliflozin and canagliflozin</w:t>
      </w:r>
      <w:r w:rsidR="0014173A">
        <w:t>.</w:t>
      </w:r>
    </w:p>
    <w:p w14:paraId="72C6D36F" w14:textId="77777777" w:rsidR="00F60FF1" w:rsidRDefault="00F60FF1" w:rsidP="0014173A">
      <w:pPr>
        <w:pStyle w:val="ListBullet"/>
      </w:pPr>
      <w:r>
        <w:t>Ertugliflozin, ertugliflozin/metformin and ertugliflozin/sitagliptin were approved by the FDA in December 2017</w:t>
      </w:r>
      <w:r w:rsidR="0014173A">
        <w:t>.</w:t>
      </w:r>
    </w:p>
    <w:p w14:paraId="50AA3F09" w14:textId="77777777" w:rsidR="00F60FF1" w:rsidRDefault="00F60FF1" w:rsidP="0014173A">
      <w:pPr>
        <w:pStyle w:val="ListBullet"/>
      </w:pPr>
      <w:r>
        <w:t xml:space="preserve">Ertugliflozin, </w:t>
      </w:r>
      <w:r w:rsidR="00F14099">
        <w:t>ertugliflozin</w:t>
      </w:r>
      <w:r>
        <w:t>/metformin and ertugliflozin/sitagliptin were given a positive recommendation by the CHMP in January 2018</w:t>
      </w:r>
      <w:r w:rsidR="0014173A">
        <w:t>.</w:t>
      </w:r>
    </w:p>
    <w:p w14:paraId="2E4123E6" w14:textId="77777777" w:rsidR="00F60FF1" w:rsidRPr="00761325" w:rsidRDefault="00F60FF1" w:rsidP="0014173A">
      <w:pPr>
        <w:pStyle w:val="Heading5"/>
      </w:pPr>
      <w:r w:rsidRPr="00761325">
        <w:t>Proposed conditions of registration</w:t>
      </w:r>
    </w:p>
    <w:p w14:paraId="140AEA0D" w14:textId="77777777" w:rsidR="00F60FF1" w:rsidRPr="00761325" w:rsidRDefault="00F60FF1" w:rsidP="0014173A">
      <w:pPr>
        <w:pStyle w:val="ListBullet"/>
      </w:pPr>
      <w:r w:rsidRPr="00761325">
        <w:t xml:space="preserve">Timely submission of the results of on-going </w:t>
      </w:r>
      <w:r>
        <w:t>trials</w:t>
      </w:r>
      <w:r w:rsidRPr="00761325">
        <w:t xml:space="preserve"> and making TGA aware of safety concerns that arise in t</w:t>
      </w:r>
      <w:r>
        <w:t>he interim;</w:t>
      </w:r>
    </w:p>
    <w:p w14:paraId="01C1B0BF" w14:textId="77777777" w:rsidR="00F60FF1" w:rsidRPr="00761325" w:rsidRDefault="00F60FF1" w:rsidP="0014173A">
      <w:pPr>
        <w:pStyle w:val="ListBullet"/>
      </w:pPr>
      <w:r w:rsidRPr="00761325">
        <w:t>Implementation of the Risk Management Plan version most recently approved by the TGA’s Pharmacovi</w:t>
      </w:r>
      <w:r>
        <w:t xml:space="preserve">gilance </w:t>
      </w:r>
      <w:r w:rsidR="0014173A">
        <w:t>and</w:t>
      </w:r>
      <w:r>
        <w:t xml:space="preserve"> Special Access Branch;</w:t>
      </w:r>
    </w:p>
    <w:p w14:paraId="7EA62F74" w14:textId="77777777" w:rsidR="00F60FF1" w:rsidRPr="00761325" w:rsidRDefault="00F60FF1" w:rsidP="0014173A">
      <w:pPr>
        <w:pStyle w:val="ListBullet"/>
      </w:pPr>
      <w:r w:rsidRPr="00761325">
        <w:t>Finalisation of the Product Information to the satisfaction of the TGA.</w:t>
      </w:r>
    </w:p>
    <w:p w14:paraId="48776B74" w14:textId="77777777" w:rsidR="00F60FF1" w:rsidRPr="00B86411" w:rsidRDefault="00F60FF1" w:rsidP="0014173A">
      <w:pPr>
        <w:pStyle w:val="Heading5"/>
      </w:pPr>
      <w:r w:rsidRPr="00B86411">
        <w:t>Proposed amendments to the PI</w:t>
      </w:r>
      <w:r>
        <w:t>/CMI</w:t>
      </w:r>
    </w:p>
    <w:p w14:paraId="28622AB7" w14:textId="77777777" w:rsidR="00F60FF1" w:rsidRDefault="00F60FF1" w:rsidP="00302F43">
      <w:pPr>
        <w:pStyle w:val="ListBullet"/>
      </w:pPr>
      <w:r>
        <w:t xml:space="preserve">ACM </w:t>
      </w:r>
      <w:r w:rsidRPr="00302F43">
        <w:t xml:space="preserve">noted that the PI recommends that patient discuss the </w:t>
      </w:r>
      <w:r w:rsidR="00302F43" w:rsidRPr="00302F43">
        <w:t>diabetic ketoacidosis (</w:t>
      </w:r>
      <w:r w:rsidRPr="00302F43">
        <w:t>DKA</w:t>
      </w:r>
      <w:r w:rsidR="00302F43" w:rsidRPr="00302F43">
        <w:t>)</w:t>
      </w:r>
      <w:r w:rsidRPr="00302F43">
        <w:t xml:space="preserve"> risks with</w:t>
      </w:r>
      <w:r>
        <w:t xml:space="preserve"> their doctor, including symptoms, treatment management before, during and after surgery where necessary</w:t>
      </w:r>
      <w:r w:rsidR="00932892">
        <w:t>.</w:t>
      </w:r>
    </w:p>
    <w:p w14:paraId="590D85B2" w14:textId="77777777" w:rsidR="00F60FF1" w:rsidRDefault="00F60FF1" w:rsidP="0014173A">
      <w:pPr>
        <w:pStyle w:val="ListBullet"/>
      </w:pPr>
      <w:r>
        <w:t>Reference to the importance of proper routine preventative foot care</w:t>
      </w:r>
      <w:r w:rsidR="00932892">
        <w:t>.</w:t>
      </w:r>
    </w:p>
    <w:p w14:paraId="76CEE7FC" w14:textId="77777777" w:rsidR="00F60FF1" w:rsidRPr="00E806E6" w:rsidRDefault="00F60FF1" w:rsidP="0014173A">
      <w:pPr>
        <w:pStyle w:val="ListBullet"/>
      </w:pPr>
      <w:r w:rsidRPr="00E806E6">
        <w:t>A statement in the Dosage and Administration section of the PI and relevant sections of the CMI to ensure the reference of the impact of food and dosing</w:t>
      </w:r>
      <w:r w:rsidR="00932892">
        <w:t>.</w:t>
      </w:r>
    </w:p>
    <w:p w14:paraId="7AA6A515" w14:textId="77777777" w:rsidR="00F60FF1" w:rsidRPr="00E806E6" w:rsidRDefault="00F60FF1" w:rsidP="0014173A">
      <w:pPr>
        <w:pStyle w:val="ListBullet"/>
      </w:pPr>
      <w:r w:rsidRPr="00E806E6">
        <w:t>The terminology for Chronic Kidney Disease stages should be included in the PI when referring to degrees of renal impairment</w:t>
      </w:r>
      <w:r w:rsidR="00932892">
        <w:t>.</w:t>
      </w:r>
    </w:p>
    <w:p w14:paraId="6617FE1A" w14:textId="77777777" w:rsidR="00F60FF1" w:rsidRPr="00B86411" w:rsidRDefault="00F60FF1" w:rsidP="0014173A">
      <w:pPr>
        <w:pStyle w:val="ListBullet"/>
      </w:pPr>
      <w:r w:rsidRPr="00B86411">
        <w:t>Amendments to the PI and CMI as proposed in details by the Delegate and evaluators to be finalised in negotiations with the Delegate.</w:t>
      </w:r>
    </w:p>
    <w:p w14:paraId="417C25CE" w14:textId="77777777" w:rsidR="00F60FF1" w:rsidRPr="00C12AE4" w:rsidRDefault="00F60FF1" w:rsidP="00F60FF1">
      <w:pPr>
        <w:pStyle w:val="subheading1"/>
      </w:pPr>
      <w:r w:rsidRPr="00C12AE4">
        <w:t>Specific Advice</w:t>
      </w:r>
    </w:p>
    <w:p w14:paraId="52C31B10" w14:textId="77777777" w:rsidR="00F60FF1" w:rsidRPr="00C12AE4" w:rsidRDefault="00F60FF1" w:rsidP="00F60FF1">
      <w:r w:rsidRPr="00C12AE4">
        <w:t>The ACM advised th</w:t>
      </w:r>
      <w:r w:rsidR="00932892">
        <w:t>e following in response to the D</w:t>
      </w:r>
      <w:r w:rsidRPr="00C12AE4">
        <w:t>elegate’s specific questions on the submission:</w:t>
      </w:r>
    </w:p>
    <w:p w14:paraId="21F21CBD" w14:textId="106439B4" w:rsidR="00F60FF1" w:rsidRPr="00932892" w:rsidRDefault="00F60FF1" w:rsidP="00932892">
      <w:pPr>
        <w:pStyle w:val="Numberbullet0"/>
        <w:numPr>
          <w:ilvl w:val="0"/>
          <w:numId w:val="34"/>
        </w:numPr>
        <w:rPr>
          <w:i/>
          <w:noProof/>
        </w:rPr>
      </w:pPr>
      <w:r w:rsidRPr="00932892">
        <w:rPr>
          <w:i/>
          <w:noProof/>
        </w:rPr>
        <w:t>Should the 1</w:t>
      </w:r>
      <w:r w:rsidR="006C336C" w:rsidRPr="00932892">
        <w:rPr>
          <w:i/>
          <w:noProof/>
        </w:rPr>
        <w:t>5</w:t>
      </w:r>
      <w:r w:rsidR="00715B39">
        <w:rPr>
          <w:i/>
          <w:noProof/>
        </w:rPr>
        <w:t xml:space="preserve"> </w:t>
      </w:r>
      <w:r w:rsidR="006D7D02">
        <w:rPr>
          <w:i/>
          <w:noProof/>
        </w:rPr>
        <w:t>mg</w:t>
      </w:r>
      <w:r w:rsidRPr="00932892">
        <w:rPr>
          <w:i/>
          <w:noProof/>
        </w:rPr>
        <w:t xml:space="preserve"> dose be approved? Although there was some benefit of 1</w:t>
      </w:r>
      <w:r w:rsidR="006C336C" w:rsidRPr="00932892">
        <w:rPr>
          <w:i/>
          <w:noProof/>
        </w:rPr>
        <w:t>5</w:t>
      </w:r>
      <w:r w:rsidR="00715B39">
        <w:rPr>
          <w:i/>
          <w:noProof/>
        </w:rPr>
        <w:t xml:space="preserve"> </w:t>
      </w:r>
      <w:r w:rsidR="006D7D02">
        <w:rPr>
          <w:i/>
          <w:noProof/>
        </w:rPr>
        <w:t>mg</w:t>
      </w:r>
      <w:r w:rsidRPr="00932892">
        <w:rPr>
          <w:i/>
          <w:noProof/>
        </w:rPr>
        <w:t xml:space="preserve"> over </w:t>
      </w:r>
      <w:r w:rsidR="006C336C" w:rsidRPr="00932892">
        <w:rPr>
          <w:i/>
          <w:noProof/>
        </w:rPr>
        <w:t>5</w:t>
      </w:r>
      <w:r w:rsidR="00715B39">
        <w:rPr>
          <w:i/>
          <w:noProof/>
        </w:rPr>
        <w:t> </w:t>
      </w:r>
      <w:r w:rsidR="006D7D02">
        <w:rPr>
          <w:i/>
          <w:noProof/>
        </w:rPr>
        <w:t>mg</w:t>
      </w:r>
      <w:r w:rsidRPr="00932892">
        <w:rPr>
          <w:i/>
          <w:noProof/>
        </w:rPr>
        <w:t xml:space="preserve"> in clinical trials, this does not mean an individual patient will respond better to 1</w:t>
      </w:r>
      <w:r w:rsidR="006C336C" w:rsidRPr="00932892">
        <w:rPr>
          <w:i/>
          <w:noProof/>
        </w:rPr>
        <w:t>5</w:t>
      </w:r>
      <w:r w:rsidR="00715B39">
        <w:rPr>
          <w:i/>
          <w:noProof/>
        </w:rPr>
        <w:t> </w:t>
      </w:r>
      <w:r w:rsidR="006D7D02">
        <w:rPr>
          <w:i/>
          <w:noProof/>
        </w:rPr>
        <w:t>mg</w:t>
      </w:r>
      <w:r w:rsidRPr="00932892">
        <w:rPr>
          <w:i/>
          <w:noProof/>
        </w:rPr>
        <w:t xml:space="preserve"> than </w:t>
      </w:r>
      <w:r w:rsidR="006C336C" w:rsidRPr="00932892">
        <w:rPr>
          <w:i/>
          <w:noProof/>
        </w:rPr>
        <w:t>5</w:t>
      </w:r>
      <w:r w:rsidR="00715B39">
        <w:rPr>
          <w:i/>
          <w:noProof/>
        </w:rPr>
        <w:t xml:space="preserve"> </w:t>
      </w:r>
      <w:r w:rsidR="006D7D02">
        <w:rPr>
          <w:i/>
          <w:noProof/>
        </w:rPr>
        <w:t>mg</w:t>
      </w:r>
      <w:r w:rsidRPr="00932892">
        <w:rPr>
          <w:i/>
          <w:noProof/>
        </w:rPr>
        <w:t>. There were more AEs with 1</w:t>
      </w:r>
      <w:r w:rsidR="006C336C" w:rsidRPr="00932892">
        <w:rPr>
          <w:i/>
          <w:noProof/>
        </w:rPr>
        <w:t>5</w:t>
      </w:r>
      <w:r w:rsidR="00715B39">
        <w:rPr>
          <w:i/>
          <w:noProof/>
        </w:rPr>
        <w:t xml:space="preserve"> </w:t>
      </w:r>
      <w:r w:rsidR="006D7D02">
        <w:rPr>
          <w:i/>
          <w:noProof/>
        </w:rPr>
        <w:t>mg</w:t>
      </w:r>
      <w:r w:rsidRPr="00932892">
        <w:rPr>
          <w:i/>
          <w:noProof/>
        </w:rPr>
        <w:t>.</w:t>
      </w:r>
    </w:p>
    <w:p w14:paraId="60455606" w14:textId="767E5B7A" w:rsidR="00F60FF1" w:rsidRPr="008477A9" w:rsidRDefault="00F60FF1" w:rsidP="00F60FF1">
      <w:pPr>
        <w:rPr>
          <w:noProof/>
        </w:rPr>
      </w:pPr>
      <w:r w:rsidRPr="008477A9">
        <w:t xml:space="preserve">The ACM </w:t>
      </w:r>
      <w:r w:rsidRPr="008477A9">
        <w:rPr>
          <w:noProof/>
        </w:rPr>
        <w:t xml:space="preserve">noted that the use of </w:t>
      </w:r>
      <w:r>
        <w:rPr>
          <w:noProof/>
        </w:rPr>
        <w:t>ertugliflozin 1</w:t>
      </w:r>
      <w:r w:rsidR="006C336C">
        <w:rPr>
          <w:noProof/>
        </w:rPr>
        <w:t>5</w:t>
      </w:r>
      <w:r w:rsidR="00715B39">
        <w:rPr>
          <w:noProof/>
        </w:rPr>
        <w:t xml:space="preserve"> </w:t>
      </w:r>
      <w:r w:rsidR="006D7D02">
        <w:rPr>
          <w:noProof/>
        </w:rPr>
        <w:t>mg</w:t>
      </w:r>
      <w:r>
        <w:rPr>
          <w:noProof/>
        </w:rPr>
        <w:t xml:space="preserve"> </w:t>
      </w:r>
      <w:r w:rsidRPr="008477A9">
        <w:rPr>
          <w:noProof/>
        </w:rPr>
        <w:t>resulted in an incremental</w:t>
      </w:r>
      <w:r w:rsidR="003F2DE3">
        <w:t>Hb</w:t>
      </w:r>
      <w:r w:rsidR="00A04B32">
        <w:t>A1c</w:t>
      </w:r>
      <w:r w:rsidRPr="008477A9">
        <w:rPr>
          <w:noProof/>
        </w:rPr>
        <w:t xml:space="preserve"> reduction of 0.15% relative to ertugliflozin </w:t>
      </w:r>
      <w:r w:rsidR="006C336C">
        <w:rPr>
          <w:noProof/>
        </w:rPr>
        <w:t>5</w:t>
      </w:r>
      <w:r w:rsidR="00715B39">
        <w:rPr>
          <w:noProof/>
        </w:rPr>
        <w:t xml:space="preserve"> </w:t>
      </w:r>
      <w:r w:rsidR="006D7D02">
        <w:rPr>
          <w:noProof/>
        </w:rPr>
        <w:t>mg</w:t>
      </w:r>
      <w:r>
        <w:rPr>
          <w:noProof/>
        </w:rPr>
        <w:t>.</w:t>
      </w:r>
      <w:r w:rsidR="009A3F68">
        <w:rPr>
          <w:noProof/>
        </w:rPr>
        <w:t xml:space="preserve"> </w:t>
      </w:r>
      <w:r>
        <w:rPr>
          <w:noProof/>
        </w:rPr>
        <w:t>Taken together with the no long-term cardiovascular studies, the clinical importance of the 1</w:t>
      </w:r>
      <w:r w:rsidR="006C336C">
        <w:rPr>
          <w:noProof/>
        </w:rPr>
        <w:t>5</w:t>
      </w:r>
      <w:r w:rsidR="00715B39">
        <w:rPr>
          <w:noProof/>
        </w:rPr>
        <w:t xml:space="preserve"> </w:t>
      </w:r>
      <w:r w:rsidR="006D7D02">
        <w:rPr>
          <w:noProof/>
        </w:rPr>
        <w:t>mg</w:t>
      </w:r>
      <w:r>
        <w:rPr>
          <w:noProof/>
        </w:rPr>
        <w:t xml:space="preserve"> dose was questioned.</w:t>
      </w:r>
    </w:p>
    <w:p w14:paraId="5F021C70" w14:textId="42D8D9C3" w:rsidR="00F60FF1" w:rsidRDefault="00F60FF1" w:rsidP="00F85404">
      <w:pPr>
        <w:pStyle w:val="ListBullet"/>
        <w:rPr>
          <w:noProof/>
        </w:rPr>
      </w:pPr>
      <w:r>
        <w:rPr>
          <w:noProof/>
        </w:rPr>
        <w:lastRenderedPageBreak/>
        <w:t>As a long</w:t>
      </w:r>
      <w:r w:rsidR="00191A6D">
        <w:rPr>
          <w:noProof/>
        </w:rPr>
        <w:t>-</w:t>
      </w:r>
      <w:r>
        <w:rPr>
          <w:noProof/>
        </w:rPr>
        <w:t>term cardiovascular study is currenly underway and there appeared to be no safety signals at present, the ACM was of the view that the 1</w:t>
      </w:r>
      <w:r w:rsidR="006C336C">
        <w:rPr>
          <w:noProof/>
        </w:rPr>
        <w:t>5</w:t>
      </w:r>
      <w:r w:rsidR="00715B39">
        <w:rPr>
          <w:noProof/>
        </w:rPr>
        <w:t xml:space="preserve"> </w:t>
      </w:r>
      <w:r w:rsidR="006D7D02">
        <w:rPr>
          <w:noProof/>
        </w:rPr>
        <w:t>mg</w:t>
      </w:r>
      <w:r>
        <w:rPr>
          <w:noProof/>
        </w:rPr>
        <w:t xml:space="preserve"> dose could be approved.</w:t>
      </w:r>
    </w:p>
    <w:p w14:paraId="6F09E2FB" w14:textId="22C2A0F3" w:rsidR="00F60FF1" w:rsidRDefault="00F60FF1" w:rsidP="00F85404">
      <w:pPr>
        <w:pStyle w:val="ListBullet"/>
        <w:rPr>
          <w:noProof/>
        </w:rPr>
      </w:pPr>
      <w:r>
        <w:rPr>
          <w:noProof/>
        </w:rPr>
        <w:t>Patients with renal impairment had a numerically greater improvement with 1</w:t>
      </w:r>
      <w:r w:rsidR="006C336C">
        <w:rPr>
          <w:noProof/>
        </w:rPr>
        <w:t>5</w:t>
      </w:r>
      <w:r w:rsidR="00715B39">
        <w:rPr>
          <w:noProof/>
        </w:rPr>
        <w:t xml:space="preserve"> </w:t>
      </w:r>
      <w:r w:rsidR="006D7D02">
        <w:rPr>
          <w:noProof/>
        </w:rPr>
        <w:t>mg</w:t>
      </w:r>
      <w:r>
        <w:rPr>
          <w:noProof/>
        </w:rPr>
        <w:t xml:space="preserve"> than </w:t>
      </w:r>
      <w:r w:rsidR="006C336C">
        <w:rPr>
          <w:noProof/>
        </w:rPr>
        <w:t>5</w:t>
      </w:r>
      <w:r w:rsidR="00715B39">
        <w:rPr>
          <w:noProof/>
        </w:rPr>
        <w:t> </w:t>
      </w:r>
      <w:r w:rsidR="006D7D02">
        <w:rPr>
          <w:noProof/>
        </w:rPr>
        <w:t>mg</w:t>
      </w:r>
      <w:r>
        <w:rPr>
          <w:noProof/>
        </w:rPr>
        <w:t>.</w:t>
      </w:r>
    </w:p>
    <w:p w14:paraId="69559F68" w14:textId="77777777" w:rsidR="00F60FF1" w:rsidRPr="00932892" w:rsidRDefault="00F60FF1" w:rsidP="00932892">
      <w:pPr>
        <w:pStyle w:val="Numberbullet0"/>
        <w:rPr>
          <w:i/>
          <w:noProof/>
        </w:rPr>
      </w:pPr>
      <w:r w:rsidRPr="00932892">
        <w:rPr>
          <w:i/>
          <w:noProof/>
        </w:rPr>
        <w:t>Should we need to wait for the results of the cardiovascular meta-analysis or long term cardiovascular study before approval?</w:t>
      </w:r>
    </w:p>
    <w:p w14:paraId="14D14C19" w14:textId="77777777" w:rsidR="00F60FF1" w:rsidRDefault="00F60FF1" w:rsidP="00F60FF1">
      <w:pPr>
        <w:pStyle w:val="ListBullet2"/>
        <w:numPr>
          <w:ilvl w:val="0"/>
          <w:numId w:val="0"/>
        </w:numPr>
      </w:pPr>
      <w:r>
        <w:t>The ACM noted that a cardiovascular outcomes trial is still on-going, and that t</w:t>
      </w:r>
      <w:r>
        <w:rPr>
          <w:noProof/>
        </w:rPr>
        <w:t>he timely presentation of results of CVOT should be a condition of registration.</w:t>
      </w:r>
    </w:p>
    <w:p w14:paraId="3C612377" w14:textId="77777777" w:rsidR="00F60FF1" w:rsidRPr="00932892" w:rsidRDefault="00F60FF1" w:rsidP="00932892">
      <w:pPr>
        <w:pStyle w:val="Numberbullet0"/>
        <w:rPr>
          <w:noProof/>
        </w:rPr>
      </w:pPr>
      <w:r w:rsidRPr="00932892">
        <w:rPr>
          <w:i/>
          <w:noProof/>
        </w:rPr>
        <w:t>Is use with ‘other anti-hyperglycaemic agents’ appropriate when the clinical studies are limited to combination with metformin, and sitagliptin.</w:t>
      </w:r>
    </w:p>
    <w:p w14:paraId="759A5189" w14:textId="77777777" w:rsidR="00F60FF1" w:rsidRPr="00BE3580" w:rsidRDefault="00F60FF1" w:rsidP="00F60FF1">
      <w:pPr>
        <w:rPr>
          <w:noProof/>
        </w:rPr>
      </w:pPr>
      <w:r w:rsidRPr="00BE3580">
        <w:rPr>
          <w:noProof/>
        </w:rPr>
        <w:t xml:space="preserve">That the </w:t>
      </w:r>
      <w:r>
        <w:rPr>
          <w:noProof/>
        </w:rPr>
        <w:t>proposed indication would create consistency among drugs of this class, and including a reference to the clinical trial, warnings and precautions sectionswould provide more detail on the combinations studied for health professionals.</w:t>
      </w:r>
    </w:p>
    <w:p w14:paraId="3C36F5A6" w14:textId="77777777" w:rsidR="00456765" w:rsidRDefault="00F60FF1" w:rsidP="00F60FF1">
      <w:r w:rsidRPr="00C12AE4">
        <w:t xml:space="preserve">The ACM advised that implementation by the sponsor of the recommendations outlined above to the satisfaction of the TGA, in addition to the evidence of efficacy and safety provided would support the safe and effective use of </w:t>
      </w:r>
      <w:r>
        <w:t xml:space="preserve">these </w:t>
      </w:r>
      <w:r w:rsidRPr="00C12AE4">
        <w:t>product</w:t>
      </w:r>
      <w:r>
        <w:t>s.</w:t>
      </w:r>
    </w:p>
    <w:p w14:paraId="237AA4F8" w14:textId="77777777" w:rsidR="00490C29" w:rsidRPr="000D7983" w:rsidRDefault="00490C29" w:rsidP="00170607">
      <w:pPr>
        <w:pStyle w:val="Heading4"/>
      </w:pPr>
      <w:r w:rsidRPr="000D7983">
        <w:t xml:space="preserve">Post-ACM </w:t>
      </w:r>
      <w:r w:rsidR="00170607" w:rsidRPr="000D7983">
        <w:t>deliberations</w:t>
      </w:r>
    </w:p>
    <w:p w14:paraId="33177265" w14:textId="77777777" w:rsidR="00490C29" w:rsidRPr="00533DAA" w:rsidRDefault="00490C29" w:rsidP="00490C29">
      <w:r w:rsidRPr="000D7983">
        <w:t>The Delegate reviewed the sponsor’s pre-ACM response and considered the recommendations of the ACM</w:t>
      </w:r>
      <w:r w:rsidR="000D7983" w:rsidRPr="000D7983">
        <w:t xml:space="preserve"> and responded as follows:</w:t>
      </w:r>
    </w:p>
    <w:p w14:paraId="258C5E4A" w14:textId="77777777" w:rsidR="00490C29" w:rsidRDefault="00490C29" w:rsidP="00490C29">
      <w:pPr>
        <w:pStyle w:val="Heading5"/>
      </w:pPr>
      <w:r>
        <w:t>Regarding Steglatro</w:t>
      </w:r>
    </w:p>
    <w:p w14:paraId="150A0F4F" w14:textId="77777777" w:rsidR="00490C29" w:rsidRDefault="00490C29" w:rsidP="00490C29">
      <w:r>
        <w:t>The proposed indication:</w:t>
      </w:r>
    </w:p>
    <w:p w14:paraId="3DF9F5AF" w14:textId="77777777" w:rsidR="00490C29" w:rsidRPr="00533DAA" w:rsidRDefault="00490C29" w:rsidP="00170607">
      <w:pPr>
        <w:ind w:left="720"/>
        <w:rPr>
          <w:i/>
        </w:rPr>
      </w:pPr>
      <w:r w:rsidRPr="00533DAA">
        <w:rPr>
          <w:i/>
        </w:rPr>
        <w:t>Steglatro (ertugliflozin) is indicated as an adjunct to diet and exercise to improve glycaemic control in adults with type 2 diabetes mellitus as:</w:t>
      </w:r>
      <w:r w:rsidR="00170607">
        <w:rPr>
          <w:i/>
        </w:rPr>
        <w:t xml:space="preserve"> </w:t>
      </w:r>
      <w:r w:rsidRPr="00533DAA">
        <w:rPr>
          <w:i/>
        </w:rPr>
        <w:t>monotherapy</w:t>
      </w:r>
      <w:r w:rsidRPr="00533DAA">
        <w:rPr>
          <w:i/>
          <w:spacing w:val="7"/>
        </w:rPr>
        <w:t xml:space="preserve"> </w:t>
      </w:r>
      <w:r w:rsidRPr="00533DAA">
        <w:rPr>
          <w:i/>
        </w:rPr>
        <w:t>when</w:t>
      </w:r>
      <w:r w:rsidRPr="00533DAA">
        <w:rPr>
          <w:i/>
          <w:spacing w:val="6"/>
        </w:rPr>
        <w:t xml:space="preserve"> </w:t>
      </w:r>
      <w:r w:rsidRPr="00533DAA">
        <w:rPr>
          <w:i/>
        </w:rPr>
        <w:t>metformin</w:t>
      </w:r>
      <w:r w:rsidRPr="00533DAA">
        <w:rPr>
          <w:i/>
          <w:spacing w:val="7"/>
        </w:rPr>
        <w:t xml:space="preserve"> </w:t>
      </w:r>
      <w:r w:rsidRPr="00533DAA">
        <w:rPr>
          <w:i/>
        </w:rPr>
        <w:t>is</w:t>
      </w:r>
      <w:r w:rsidRPr="00533DAA">
        <w:rPr>
          <w:i/>
          <w:spacing w:val="7"/>
        </w:rPr>
        <w:t xml:space="preserve"> </w:t>
      </w:r>
      <w:r w:rsidRPr="00533DAA">
        <w:rPr>
          <w:i/>
        </w:rPr>
        <w:t>considered</w:t>
      </w:r>
      <w:r w:rsidRPr="00533DAA">
        <w:rPr>
          <w:i/>
          <w:spacing w:val="7"/>
        </w:rPr>
        <w:t xml:space="preserve"> </w:t>
      </w:r>
      <w:r w:rsidRPr="00533DAA">
        <w:rPr>
          <w:i/>
        </w:rPr>
        <w:t>inappropriate</w:t>
      </w:r>
      <w:r w:rsidRPr="00533DAA">
        <w:rPr>
          <w:i/>
          <w:spacing w:val="7"/>
        </w:rPr>
        <w:t xml:space="preserve"> </w:t>
      </w:r>
      <w:r w:rsidRPr="00533DAA">
        <w:rPr>
          <w:i/>
        </w:rPr>
        <w:t>due</w:t>
      </w:r>
      <w:r w:rsidRPr="00533DAA">
        <w:rPr>
          <w:i/>
          <w:spacing w:val="7"/>
        </w:rPr>
        <w:t xml:space="preserve"> </w:t>
      </w:r>
      <w:r w:rsidRPr="00533DAA">
        <w:rPr>
          <w:i/>
        </w:rPr>
        <w:t>to</w:t>
      </w:r>
      <w:r w:rsidRPr="00533DAA">
        <w:rPr>
          <w:i/>
          <w:spacing w:val="6"/>
        </w:rPr>
        <w:t xml:space="preserve"> </w:t>
      </w:r>
      <w:r w:rsidRPr="00533DAA">
        <w:rPr>
          <w:i/>
        </w:rPr>
        <w:t>intolerance</w:t>
      </w:r>
      <w:r w:rsidR="00170607">
        <w:rPr>
          <w:i/>
        </w:rPr>
        <w:t xml:space="preserve"> </w:t>
      </w:r>
      <w:r w:rsidRPr="00533DAA">
        <w:rPr>
          <w:i/>
        </w:rPr>
        <w:t>or in combination with other anti-hyperglycaemic</w:t>
      </w:r>
      <w:r w:rsidRPr="00533DAA">
        <w:rPr>
          <w:i/>
          <w:spacing w:val="12"/>
        </w:rPr>
        <w:t xml:space="preserve"> </w:t>
      </w:r>
      <w:r w:rsidRPr="00533DAA">
        <w:rPr>
          <w:i/>
        </w:rPr>
        <w:t>agents</w:t>
      </w:r>
    </w:p>
    <w:p w14:paraId="395305F4" w14:textId="77777777" w:rsidR="00F14099" w:rsidRDefault="00F14099" w:rsidP="00F85404">
      <w:proofErr w:type="gramStart"/>
      <w:r>
        <w:t>is</w:t>
      </w:r>
      <w:proofErr w:type="gramEnd"/>
      <w:r>
        <w:t xml:space="preserve"> accepted.</w:t>
      </w:r>
    </w:p>
    <w:p w14:paraId="41183124" w14:textId="77777777" w:rsidR="00490C29" w:rsidRDefault="00490C29" w:rsidP="00490C29">
      <w:r>
        <w:t>In relation to the statement ‘</w:t>
      </w:r>
      <w:r w:rsidRPr="0014173A">
        <w:rPr>
          <w:i/>
        </w:rPr>
        <w:t>see 5.1 Pharmacodynamic Properties, Clinical trials and 4.4 Special Warnings and Precautions For Use for available data on different add-on combination therapies</w:t>
      </w:r>
      <w:r>
        <w:rPr>
          <w:i/>
        </w:rPr>
        <w:t>’</w:t>
      </w:r>
      <w:r>
        <w:t xml:space="preserve"> please note that references to other sections of the PI under the indications section are not part of the indication. This reference is acceptable to aid reader’s understanding however it would be preferable if this were formatted on the next line so as not to detract from the main</w:t>
      </w:r>
      <w:r>
        <w:rPr>
          <w:spacing w:val="2"/>
        </w:rPr>
        <w:t xml:space="preserve"> </w:t>
      </w:r>
      <w:r>
        <w:t>indication.</w:t>
      </w:r>
    </w:p>
    <w:p w14:paraId="58220134" w14:textId="77777777" w:rsidR="00490C29" w:rsidRDefault="00490C29" w:rsidP="00170607">
      <w:pPr>
        <w:pStyle w:val="Heading6"/>
      </w:pPr>
      <w:r>
        <w:t>Doses</w:t>
      </w:r>
    </w:p>
    <w:p w14:paraId="2B94FA8A" w14:textId="5283F690" w:rsidR="00490C29" w:rsidRDefault="00490C29" w:rsidP="00490C29">
      <w:r>
        <w:t xml:space="preserve">The ACM were of the view that although there was only a marginal improvement in </w:t>
      </w:r>
      <w:r w:rsidR="003F2DE3">
        <w:t>Hb</w:t>
      </w:r>
      <w:r w:rsidR="00A04B32">
        <w:t>A1c</w:t>
      </w:r>
      <w:r>
        <w:t xml:space="preserve"> with the bigger dose, the margin of improvement was similar to other larger doses of drugs in this class. Overall, the safety of the two doses w</w:t>
      </w:r>
      <w:r w:rsidR="00A06ADD">
        <w:t>as</w:t>
      </w:r>
      <w:r>
        <w:t xml:space="preserve"> similar. It appears the larger dose may be more efficacious in renal impairment. Thus, at this stage </w:t>
      </w:r>
      <w:r w:rsidR="00A06ADD">
        <w:t>the Delegate</w:t>
      </w:r>
      <w:r>
        <w:t xml:space="preserve"> accept</w:t>
      </w:r>
      <w:r w:rsidR="00A06ADD">
        <w:t>s</w:t>
      </w:r>
      <w:r>
        <w:t xml:space="preserve"> both the 5</w:t>
      </w:r>
      <w:r w:rsidR="00715B39">
        <w:t xml:space="preserve"> </w:t>
      </w:r>
      <w:r w:rsidR="006D7D02">
        <w:t>mg</w:t>
      </w:r>
      <w:r>
        <w:t xml:space="preserve"> and 15</w:t>
      </w:r>
      <w:r w:rsidR="00715B39">
        <w:t xml:space="preserve"> </w:t>
      </w:r>
      <w:r w:rsidR="006D7D02">
        <w:t>mg</w:t>
      </w:r>
      <w:r>
        <w:t xml:space="preserve"> dose for registration. However, if in a post- market setting more AEs occur with the larger dose this may need to be reconsidered.</w:t>
      </w:r>
    </w:p>
    <w:p w14:paraId="0D5C4106" w14:textId="77777777" w:rsidR="00490C29" w:rsidRDefault="00170607" w:rsidP="00170607">
      <w:pPr>
        <w:pStyle w:val="Heading6"/>
      </w:pPr>
      <w:r>
        <w:t>Use in renal impairment</w:t>
      </w:r>
    </w:p>
    <w:p w14:paraId="27374232" w14:textId="77777777" w:rsidR="00490C29" w:rsidRDefault="00490C29" w:rsidP="00490C29">
      <w:r>
        <w:t>The ACM noted the transient decrease in eGFR on initiating treatment with this class of medicines, which may be a PD effect related to the effects of renal vasculature. Although there is yet no data for ertugliflozin, other drugs of this class have an overall positive effect on renal function.</w:t>
      </w:r>
    </w:p>
    <w:p w14:paraId="0DF348CA" w14:textId="77777777" w:rsidR="00490C29" w:rsidRDefault="00490C29" w:rsidP="00170607">
      <w:r>
        <w:lastRenderedPageBreak/>
        <w:t xml:space="preserve">Thus, </w:t>
      </w:r>
      <w:r w:rsidR="00170607">
        <w:t>the Delegate</w:t>
      </w:r>
      <w:r>
        <w:t xml:space="preserve"> accept</w:t>
      </w:r>
      <w:r w:rsidR="00170607">
        <w:t>s</w:t>
      </w:r>
      <w:r>
        <w:t xml:space="preserve"> the current recommendations in the PI in relation to renal impairment.</w:t>
      </w:r>
    </w:p>
    <w:p w14:paraId="493C31F1" w14:textId="77777777" w:rsidR="00490C29" w:rsidRDefault="00490C29" w:rsidP="00490C29">
      <w:r>
        <w:t>Please see amendments recommended in PI</w:t>
      </w:r>
    </w:p>
    <w:p w14:paraId="2554CC1C" w14:textId="77777777" w:rsidR="00490C29" w:rsidRDefault="00490C29" w:rsidP="00170607">
      <w:pPr>
        <w:pStyle w:val="Heading5"/>
      </w:pPr>
      <w:r>
        <w:t xml:space="preserve">Regarding </w:t>
      </w:r>
      <w:r w:rsidR="00170607" w:rsidRPr="00170607">
        <w:t>Steglujan</w:t>
      </w:r>
    </w:p>
    <w:p w14:paraId="412714AE" w14:textId="624B86D7" w:rsidR="00490C29" w:rsidRDefault="00170607" w:rsidP="00170607">
      <w:r>
        <w:t>T</w:t>
      </w:r>
      <w:r w:rsidR="00490C29">
        <w:t>he proposed indication is acceptable</w:t>
      </w:r>
      <w:r w:rsidR="00191A6D">
        <w:t>.</w:t>
      </w:r>
    </w:p>
    <w:p w14:paraId="13512E21" w14:textId="77777777" w:rsidR="00490C29" w:rsidRDefault="00490C29" w:rsidP="00170607">
      <w:pPr>
        <w:pStyle w:val="Heading5"/>
      </w:pPr>
      <w:r>
        <w:t xml:space="preserve">Regarding </w:t>
      </w:r>
      <w:r w:rsidR="00170607" w:rsidRPr="00170607">
        <w:t>Segluromet</w:t>
      </w:r>
    </w:p>
    <w:p w14:paraId="2C637671" w14:textId="77777777" w:rsidR="00490C29" w:rsidRDefault="00490C29" w:rsidP="00170607">
      <w:r>
        <w:t>The proposed indication is acceptable.</w:t>
      </w:r>
    </w:p>
    <w:p w14:paraId="7EC38757" w14:textId="77777777" w:rsidR="00490C29" w:rsidRDefault="00490C29" w:rsidP="00170607">
      <w:r>
        <w:t xml:space="preserve">The metformin black box warning needs to be included in the </w:t>
      </w:r>
      <w:r w:rsidR="00170607">
        <w:t>P</w:t>
      </w:r>
      <w:r>
        <w:t>recautions section</w:t>
      </w:r>
      <w:r w:rsidR="00170607">
        <w:t>.</w:t>
      </w:r>
    </w:p>
    <w:p w14:paraId="2E2C20F3" w14:textId="77777777" w:rsidR="008E7846" w:rsidRPr="002E238E" w:rsidRDefault="008E7846" w:rsidP="008E7846">
      <w:pPr>
        <w:pStyle w:val="Heading3"/>
      </w:pPr>
      <w:bookmarkStart w:id="285" w:name="_Toc247691532"/>
      <w:bookmarkStart w:id="286" w:name="_Toc314842516"/>
      <w:bookmarkStart w:id="287" w:name="_Toc4405842"/>
      <w:bookmarkEnd w:id="233"/>
      <w:bookmarkEnd w:id="280"/>
      <w:bookmarkEnd w:id="281"/>
      <w:r>
        <w:t>Outcome</w:t>
      </w:r>
      <w:bookmarkEnd w:id="285"/>
      <w:bookmarkEnd w:id="286"/>
      <w:bookmarkEnd w:id="287"/>
    </w:p>
    <w:p w14:paraId="6DF8C5FE" w14:textId="77777777" w:rsidR="00744D99" w:rsidRDefault="00D23139" w:rsidP="00932892">
      <w:bookmarkStart w:id="288" w:name="_Toc247691533"/>
      <w:bookmarkStart w:id="289" w:name="_Toc314842517"/>
      <w:r w:rsidRPr="00D23139">
        <w:t>Based on a review of quality, safety and efficacy, TGA</w:t>
      </w:r>
      <w:r w:rsidR="00932892">
        <w:t xml:space="preserve"> </w:t>
      </w:r>
      <w:r w:rsidR="00744D99" w:rsidRPr="00453FBE">
        <w:t>approve the registration</w:t>
      </w:r>
      <w:r w:rsidR="00744D99">
        <w:rPr>
          <w:b/>
        </w:rPr>
        <w:t xml:space="preserve"> </w:t>
      </w:r>
      <w:r w:rsidR="00744D99">
        <w:t>of</w:t>
      </w:r>
    </w:p>
    <w:p w14:paraId="7BD0988E" w14:textId="77777777" w:rsidR="006C5A36" w:rsidRDefault="00F30D27" w:rsidP="00F85404">
      <w:pPr>
        <w:pStyle w:val="Heading4"/>
      </w:pPr>
      <w:r>
        <w:t>Steglatro a</w:t>
      </w:r>
      <w:r w:rsidR="006C5A36">
        <w:t>pplication PM-2017-1328-1-5</w:t>
      </w:r>
    </w:p>
    <w:p w14:paraId="0C798663" w14:textId="0719D621" w:rsidR="00744D99" w:rsidRPr="00F85404" w:rsidRDefault="00453FBE" w:rsidP="00F85404">
      <w:pPr>
        <w:pStyle w:val="ListBullet"/>
        <w:rPr>
          <w:b/>
        </w:rPr>
      </w:pPr>
      <w:r w:rsidRPr="00F85404">
        <w:rPr>
          <w:i/>
        </w:rPr>
        <w:t>S</w:t>
      </w:r>
      <w:r w:rsidR="00932892" w:rsidRPr="00F85404">
        <w:rPr>
          <w:i/>
        </w:rPr>
        <w:t xml:space="preserve">teglatro </w:t>
      </w:r>
      <w:r w:rsidR="00744D99" w:rsidRPr="00F85404">
        <w:rPr>
          <w:i/>
        </w:rPr>
        <w:t>5 ertugliflozin 5</w:t>
      </w:r>
      <w:r w:rsidR="00715B39" w:rsidRPr="00F85404">
        <w:rPr>
          <w:i/>
        </w:rPr>
        <w:t xml:space="preserve"> </w:t>
      </w:r>
      <w:r w:rsidR="006D7D02" w:rsidRPr="00F85404">
        <w:rPr>
          <w:i/>
        </w:rPr>
        <w:t>mg</w:t>
      </w:r>
      <w:r w:rsidR="00744D99" w:rsidRPr="00F85404">
        <w:rPr>
          <w:i/>
        </w:rPr>
        <w:t xml:space="preserve"> film-coated tablet blister</w:t>
      </w:r>
      <w:r w:rsidR="00744D99" w:rsidRPr="00F85404">
        <w:rPr>
          <w:i/>
          <w:spacing w:val="-3"/>
        </w:rPr>
        <w:t xml:space="preserve"> </w:t>
      </w:r>
      <w:r w:rsidR="00744D99" w:rsidRPr="00F85404">
        <w:rPr>
          <w:i/>
        </w:rPr>
        <w:t>pack</w:t>
      </w:r>
    </w:p>
    <w:p w14:paraId="2D252EC0" w14:textId="610FE999" w:rsidR="00744D99" w:rsidRPr="00F85404" w:rsidRDefault="00932892" w:rsidP="00F85404">
      <w:pPr>
        <w:pStyle w:val="ListBullet"/>
        <w:rPr>
          <w:b/>
        </w:rPr>
      </w:pPr>
      <w:r w:rsidRPr="00F85404">
        <w:rPr>
          <w:i/>
        </w:rPr>
        <w:t xml:space="preserve">Steglatro </w:t>
      </w:r>
      <w:r w:rsidR="00744D99" w:rsidRPr="00F85404">
        <w:rPr>
          <w:i/>
        </w:rPr>
        <w:t>15 ertugliflozin 15</w:t>
      </w:r>
      <w:r w:rsidR="00715B39" w:rsidRPr="00F85404">
        <w:rPr>
          <w:i/>
        </w:rPr>
        <w:t xml:space="preserve"> </w:t>
      </w:r>
      <w:r w:rsidR="006D7D02" w:rsidRPr="00F85404">
        <w:rPr>
          <w:i/>
        </w:rPr>
        <w:t>mg</w:t>
      </w:r>
      <w:r w:rsidR="00744D99" w:rsidRPr="00F85404">
        <w:rPr>
          <w:i/>
        </w:rPr>
        <w:t xml:space="preserve"> film-coated tablet blister</w:t>
      </w:r>
      <w:r w:rsidR="00744D99" w:rsidRPr="00F85404">
        <w:rPr>
          <w:i/>
          <w:spacing w:val="-8"/>
        </w:rPr>
        <w:t xml:space="preserve"> </w:t>
      </w:r>
      <w:r w:rsidR="00744D99" w:rsidRPr="00F85404">
        <w:rPr>
          <w:i/>
        </w:rPr>
        <w:t>pack</w:t>
      </w:r>
    </w:p>
    <w:p w14:paraId="067F4ABA" w14:textId="12DE54C3" w:rsidR="00744D99" w:rsidRPr="00F85404" w:rsidRDefault="00744D99" w:rsidP="00F85404">
      <w:pPr>
        <w:pStyle w:val="ListBullet"/>
        <w:rPr>
          <w:b/>
        </w:rPr>
      </w:pPr>
      <w:r w:rsidRPr="00F85404">
        <w:rPr>
          <w:i/>
        </w:rPr>
        <w:t>MSD-</w:t>
      </w:r>
      <w:r w:rsidR="00932892" w:rsidRPr="00F85404">
        <w:rPr>
          <w:i/>
        </w:rPr>
        <w:t>Ertugliflozin</w:t>
      </w:r>
      <w:r w:rsidRPr="00F85404">
        <w:rPr>
          <w:i/>
        </w:rPr>
        <w:t xml:space="preserve"> 5 ertugliflozin 5</w:t>
      </w:r>
      <w:r w:rsidR="00715B39" w:rsidRPr="00F85404">
        <w:rPr>
          <w:i/>
        </w:rPr>
        <w:t xml:space="preserve"> </w:t>
      </w:r>
      <w:r w:rsidR="006D7D02" w:rsidRPr="00F85404">
        <w:rPr>
          <w:i/>
        </w:rPr>
        <w:t>mg</w:t>
      </w:r>
      <w:r w:rsidRPr="00F85404">
        <w:rPr>
          <w:i/>
        </w:rPr>
        <w:t xml:space="preserve"> film-coated tablet blister</w:t>
      </w:r>
      <w:r w:rsidRPr="00F85404">
        <w:rPr>
          <w:i/>
          <w:spacing w:val="-11"/>
        </w:rPr>
        <w:t xml:space="preserve"> </w:t>
      </w:r>
      <w:r w:rsidRPr="00F85404">
        <w:rPr>
          <w:i/>
        </w:rPr>
        <w:t>pack</w:t>
      </w:r>
    </w:p>
    <w:p w14:paraId="5C628647" w14:textId="5434767C" w:rsidR="00490C29" w:rsidRPr="00F85404" w:rsidRDefault="00744D99" w:rsidP="00F85404">
      <w:pPr>
        <w:pStyle w:val="ListBullet"/>
        <w:rPr>
          <w:b/>
        </w:rPr>
      </w:pPr>
      <w:r w:rsidRPr="00F85404">
        <w:rPr>
          <w:i/>
        </w:rPr>
        <w:t>MSD-</w:t>
      </w:r>
      <w:r w:rsidR="00932892" w:rsidRPr="00F85404">
        <w:rPr>
          <w:i/>
        </w:rPr>
        <w:t xml:space="preserve">Ertugliflozin </w:t>
      </w:r>
      <w:r w:rsidRPr="00F85404">
        <w:rPr>
          <w:i/>
        </w:rPr>
        <w:t>15 ertugliflozin 15</w:t>
      </w:r>
      <w:r w:rsidR="00715B39" w:rsidRPr="00F85404">
        <w:rPr>
          <w:i/>
        </w:rPr>
        <w:t xml:space="preserve"> </w:t>
      </w:r>
      <w:r w:rsidR="006D7D02" w:rsidRPr="00F85404">
        <w:rPr>
          <w:i/>
        </w:rPr>
        <w:t>mg</w:t>
      </w:r>
      <w:r w:rsidRPr="00F85404">
        <w:rPr>
          <w:i/>
        </w:rPr>
        <w:t xml:space="preserve"> film-coated tablet blister pack</w:t>
      </w:r>
      <w:r w:rsidR="00490C29" w:rsidRPr="00F85404">
        <w:rPr>
          <w:i/>
        </w:rPr>
        <w:t>.</w:t>
      </w:r>
    </w:p>
    <w:p w14:paraId="4AC64149" w14:textId="77777777" w:rsidR="00744D99" w:rsidRPr="00453FBE" w:rsidRDefault="00744D99" w:rsidP="00490C29">
      <w:r w:rsidRPr="00453FBE">
        <w:t>The approved indications for these therapeutic goods</w:t>
      </w:r>
      <w:r w:rsidRPr="00453FBE">
        <w:rPr>
          <w:spacing w:val="-9"/>
        </w:rPr>
        <w:t xml:space="preserve"> </w:t>
      </w:r>
      <w:r w:rsidRPr="00453FBE">
        <w:rPr>
          <w:spacing w:val="-3"/>
        </w:rPr>
        <w:t>are:</w:t>
      </w:r>
    </w:p>
    <w:p w14:paraId="32C37226" w14:textId="0161FBF8" w:rsidR="00744D99" w:rsidRPr="00932892" w:rsidRDefault="00744D99" w:rsidP="00932892">
      <w:pPr>
        <w:ind w:left="360"/>
        <w:rPr>
          <w:i/>
        </w:rPr>
      </w:pPr>
      <w:r w:rsidRPr="00932892">
        <w:rPr>
          <w:i/>
        </w:rPr>
        <w:t>&lt;TRADENAME</w:t>
      </w:r>
      <w:r w:rsidR="00AD51CF">
        <w:rPr>
          <w:i/>
        </w:rPr>
        <w:t xml:space="preserve">&gt; </w:t>
      </w:r>
      <w:r w:rsidRPr="00932892">
        <w:rPr>
          <w:i/>
        </w:rPr>
        <w:t>(ertugliflozin) is indicated as an adjunct to diet and exercise to improve glycaemic control in adults with type 2 diabetes mellitus as:</w:t>
      </w:r>
    </w:p>
    <w:p w14:paraId="0EFEF379" w14:textId="77777777" w:rsidR="00744D99" w:rsidRPr="00932892" w:rsidRDefault="00744D99" w:rsidP="00932892">
      <w:pPr>
        <w:pStyle w:val="ListBullet2"/>
        <w:rPr>
          <w:i/>
        </w:rPr>
      </w:pPr>
      <w:r w:rsidRPr="00932892">
        <w:rPr>
          <w:i/>
        </w:rPr>
        <w:t>monotherapy when metformin is considered inappropriate due to intolerance; or</w:t>
      </w:r>
    </w:p>
    <w:p w14:paraId="65CF305D" w14:textId="77777777" w:rsidR="00F60FF1" w:rsidRPr="00D23139" w:rsidRDefault="00744D99" w:rsidP="00744D99">
      <w:pPr>
        <w:pStyle w:val="ListBullet2"/>
      </w:pPr>
      <w:proofErr w:type="gramStart"/>
      <w:r w:rsidRPr="00932892">
        <w:rPr>
          <w:i/>
        </w:rPr>
        <w:t>in</w:t>
      </w:r>
      <w:proofErr w:type="gramEnd"/>
      <w:r w:rsidRPr="00932892">
        <w:rPr>
          <w:i/>
        </w:rPr>
        <w:t xml:space="preserve"> combination with other anti-hyperglycaemic</w:t>
      </w:r>
      <w:r w:rsidRPr="00932892">
        <w:rPr>
          <w:i/>
          <w:spacing w:val="-4"/>
        </w:rPr>
        <w:t xml:space="preserve"> </w:t>
      </w:r>
      <w:r w:rsidRPr="00932892">
        <w:rPr>
          <w:i/>
        </w:rPr>
        <w:t>agents</w:t>
      </w:r>
      <w:r w:rsidR="00932892" w:rsidRPr="00932892">
        <w:rPr>
          <w:i/>
        </w:rPr>
        <w:t xml:space="preserve"> </w:t>
      </w:r>
      <w:r w:rsidRPr="00932892">
        <w:rPr>
          <w:i/>
        </w:rPr>
        <w:t xml:space="preserve">[see 5.1 </w:t>
      </w:r>
      <w:r w:rsidR="00932892" w:rsidRPr="00932892">
        <w:rPr>
          <w:i/>
        </w:rPr>
        <w:t>Pharmacodynamic Properties</w:t>
      </w:r>
      <w:r w:rsidRPr="00932892">
        <w:rPr>
          <w:i/>
        </w:rPr>
        <w:t xml:space="preserve">, Clinical trials and 4.4 </w:t>
      </w:r>
      <w:r w:rsidR="00932892" w:rsidRPr="00932892">
        <w:rPr>
          <w:i/>
        </w:rPr>
        <w:t xml:space="preserve">Special Warnings </w:t>
      </w:r>
      <w:r w:rsidR="00932892">
        <w:rPr>
          <w:i/>
        </w:rPr>
        <w:t>a</w:t>
      </w:r>
      <w:r w:rsidR="00932892" w:rsidRPr="00932892">
        <w:rPr>
          <w:i/>
        </w:rPr>
        <w:t xml:space="preserve">nd Precautions </w:t>
      </w:r>
      <w:r w:rsidR="00932892">
        <w:rPr>
          <w:i/>
        </w:rPr>
        <w:t>f</w:t>
      </w:r>
      <w:r w:rsidR="00932892" w:rsidRPr="00932892">
        <w:rPr>
          <w:i/>
        </w:rPr>
        <w:t xml:space="preserve">or Use </w:t>
      </w:r>
      <w:r w:rsidRPr="00932892">
        <w:rPr>
          <w:i/>
        </w:rPr>
        <w:t>for available data on different add-on combination therapies]</w:t>
      </w:r>
      <w:r>
        <w:t>.</w:t>
      </w:r>
    </w:p>
    <w:p w14:paraId="587F3D98" w14:textId="77777777" w:rsidR="00D23139" w:rsidRPr="00D23139" w:rsidRDefault="00D23139" w:rsidP="00383069">
      <w:pPr>
        <w:pStyle w:val="Heading5"/>
      </w:pPr>
      <w:r w:rsidRPr="00D23139">
        <w:t>Specific conditions of registration applying to these goods</w:t>
      </w:r>
    </w:p>
    <w:p w14:paraId="246AD9F2" w14:textId="270C126A" w:rsidR="00744D99" w:rsidRDefault="00932892" w:rsidP="00F85404">
      <w:pPr>
        <w:pStyle w:val="Numberbullet0"/>
        <w:numPr>
          <w:ilvl w:val="0"/>
          <w:numId w:val="51"/>
        </w:numPr>
      </w:pPr>
      <w:r>
        <w:t xml:space="preserve">Steglatro </w:t>
      </w:r>
      <w:r w:rsidR="00744D99">
        <w:t>5 and 15; MSD-</w:t>
      </w:r>
      <w:r>
        <w:t>Ertugliflozin</w:t>
      </w:r>
      <w:r w:rsidR="00744D99">
        <w:t xml:space="preserve"> 5 and 15 ertugliflozin are to be included in the Black Triangle Scheme. The PI and CMI documents for </w:t>
      </w:r>
      <w:r>
        <w:t xml:space="preserve">Steglatro </w:t>
      </w:r>
      <w:r w:rsidR="00744D99">
        <w:t xml:space="preserve">5 </w:t>
      </w:r>
      <w:r w:rsidR="00744D99" w:rsidRPr="00191A6D">
        <w:rPr>
          <w:spacing w:val="-3"/>
        </w:rPr>
        <w:t xml:space="preserve">and </w:t>
      </w:r>
      <w:r w:rsidR="00744D99">
        <w:t>15; MSD</w:t>
      </w:r>
      <w:r w:rsidR="00191A6D">
        <w:noBreakHyphen/>
      </w:r>
      <w:r>
        <w:t>Ertugliflozin</w:t>
      </w:r>
      <w:r w:rsidRPr="00191A6D">
        <w:rPr>
          <w:spacing w:val="-5"/>
        </w:rPr>
        <w:t xml:space="preserve"> </w:t>
      </w:r>
      <w:r w:rsidR="00744D99">
        <w:t>5</w:t>
      </w:r>
      <w:r w:rsidR="00744D99" w:rsidRPr="00191A6D">
        <w:rPr>
          <w:spacing w:val="-5"/>
        </w:rPr>
        <w:t xml:space="preserve"> </w:t>
      </w:r>
      <w:r w:rsidR="00744D99">
        <w:t>and</w:t>
      </w:r>
      <w:r w:rsidR="00744D99" w:rsidRPr="00191A6D">
        <w:rPr>
          <w:spacing w:val="-1"/>
        </w:rPr>
        <w:t xml:space="preserve"> </w:t>
      </w:r>
      <w:r w:rsidR="00744D99">
        <w:t>15</w:t>
      </w:r>
      <w:r w:rsidR="00744D99" w:rsidRPr="00191A6D">
        <w:rPr>
          <w:spacing w:val="-5"/>
        </w:rPr>
        <w:t xml:space="preserve"> </w:t>
      </w:r>
      <w:r w:rsidR="00744D99">
        <w:t>must</w:t>
      </w:r>
      <w:r w:rsidR="00744D99" w:rsidRPr="00191A6D">
        <w:rPr>
          <w:spacing w:val="-1"/>
        </w:rPr>
        <w:t xml:space="preserve"> </w:t>
      </w:r>
      <w:r w:rsidR="00744D99">
        <w:t>include</w:t>
      </w:r>
      <w:r w:rsidR="00744D99" w:rsidRPr="00191A6D">
        <w:rPr>
          <w:spacing w:val="-5"/>
        </w:rPr>
        <w:t xml:space="preserve"> </w:t>
      </w:r>
      <w:r w:rsidR="00744D99">
        <w:t>the</w:t>
      </w:r>
      <w:r w:rsidR="00744D99" w:rsidRPr="00191A6D">
        <w:rPr>
          <w:spacing w:val="-5"/>
        </w:rPr>
        <w:t xml:space="preserve"> </w:t>
      </w:r>
      <w:r w:rsidR="00744D99">
        <w:t>black</w:t>
      </w:r>
      <w:r w:rsidR="00744D99" w:rsidRPr="00191A6D">
        <w:rPr>
          <w:spacing w:val="-4"/>
        </w:rPr>
        <w:t xml:space="preserve"> </w:t>
      </w:r>
      <w:r w:rsidR="00744D99">
        <w:t>triangle</w:t>
      </w:r>
      <w:r w:rsidR="00744D99" w:rsidRPr="00191A6D">
        <w:rPr>
          <w:spacing w:val="-5"/>
        </w:rPr>
        <w:t xml:space="preserve"> </w:t>
      </w:r>
      <w:r w:rsidR="00744D99">
        <w:t>symbol</w:t>
      </w:r>
      <w:r w:rsidR="00744D99" w:rsidRPr="00191A6D">
        <w:rPr>
          <w:spacing w:val="-5"/>
        </w:rPr>
        <w:t xml:space="preserve"> </w:t>
      </w:r>
      <w:r w:rsidR="00744D99">
        <w:t>and</w:t>
      </w:r>
      <w:r w:rsidR="00744D99" w:rsidRPr="00191A6D">
        <w:rPr>
          <w:spacing w:val="-1"/>
        </w:rPr>
        <w:t xml:space="preserve"> </w:t>
      </w:r>
      <w:r w:rsidR="00744D99">
        <w:t>mandatory accompanying text for five years, which starts from the date that the sponsor notifies the TGA of supply of the</w:t>
      </w:r>
      <w:r w:rsidR="00744D99" w:rsidRPr="00191A6D">
        <w:rPr>
          <w:spacing w:val="-9"/>
        </w:rPr>
        <w:t xml:space="preserve"> </w:t>
      </w:r>
      <w:r w:rsidR="00744D99">
        <w:t>products.</w:t>
      </w:r>
    </w:p>
    <w:p w14:paraId="3237D7B5" w14:textId="77777777" w:rsidR="00744D99" w:rsidRDefault="00744D99" w:rsidP="00F85404">
      <w:pPr>
        <w:pStyle w:val="Numberbullet0"/>
        <w:numPr>
          <w:ilvl w:val="0"/>
          <w:numId w:val="51"/>
        </w:numPr>
      </w:pPr>
      <w:r>
        <w:t xml:space="preserve">Any changes to which the sponsor has agreed should be included in a revised RMP </w:t>
      </w:r>
      <w:r w:rsidRPr="00191A6D">
        <w:rPr>
          <w:spacing w:val="-3"/>
        </w:rPr>
        <w:t xml:space="preserve">and </w:t>
      </w:r>
      <w:r>
        <w:t>ASA. However, irrespective of whether or not they are included in the currently available version of the RMP document, the agreed changes become part of the risk management system.</w:t>
      </w:r>
    </w:p>
    <w:p w14:paraId="235AF679" w14:textId="77777777" w:rsidR="00744D99" w:rsidRDefault="00744D99" w:rsidP="00F85404">
      <w:pPr>
        <w:pStyle w:val="Numberbullet0"/>
        <w:numPr>
          <w:ilvl w:val="0"/>
          <w:numId w:val="51"/>
        </w:numPr>
      </w:pPr>
      <w:r>
        <w:t>The ertugliflozin EU-Risk Management Plan (EU-RMP), version 1.1, dated</w:t>
      </w:r>
      <w:r w:rsidR="00932892">
        <w:t xml:space="preserve"> </w:t>
      </w:r>
      <w:r>
        <w:t>15 August 2017, (data lock point 31 May 2016), with Australian Specific Annex, version 1.1, dated 24 November 2017, included with submission PM-2017-01328-1-5,</w:t>
      </w:r>
      <w:r w:rsidR="00932892">
        <w:t xml:space="preserve"> </w:t>
      </w:r>
      <w:r>
        <w:t>and any subsequent revisions, as agreed with the TGA will be implemented in Australia.</w:t>
      </w:r>
    </w:p>
    <w:p w14:paraId="73AE50E0" w14:textId="77777777" w:rsidR="00744D99" w:rsidRDefault="00744D99" w:rsidP="00F85404">
      <w:pPr>
        <w:pStyle w:val="Numberbullet0"/>
        <w:numPr>
          <w:ilvl w:val="0"/>
          <w:numId w:val="51"/>
        </w:numPr>
      </w:pPr>
      <w:r>
        <w:t xml:space="preserve">Submit the results of Study 8835-004/B1521021 </w:t>
      </w:r>
      <w:r w:rsidR="004D4A17">
        <w:t>Randomised</w:t>
      </w:r>
      <w:r>
        <w:t>, Double-blind, Placebo- Controlled, Parallel-Group Study To Assess Cardiovascular Outcomes Following Treatment with Ertugliflozin in Subjects with</w:t>
      </w:r>
      <w:r w:rsidRPr="00191A6D">
        <w:rPr>
          <w:spacing w:val="-36"/>
        </w:rPr>
        <w:t xml:space="preserve"> </w:t>
      </w:r>
      <w:r>
        <w:t>T2DM and Established Vascular Disease.</w:t>
      </w:r>
    </w:p>
    <w:p w14:paraId="0161A82D" w14:textId="77777777" w:rsidR="00744D99" w:rsidRDefault="00744D99" w:rsidP="00F85404">
      <w:pPr>
        <w:pStyle w:val="Numberbullet0"/>
        <w:numPr>
          <w:ilvl w:val="0"/>
          <w:numId w:val="51"/>
        </w:numPr>
      </w:pPr>
      <w:r>
        <w:lastRenderedPageBreak/>
        <w:t xml:space="preserve">You </w:t>
      </w:r>
      <w:r w:rsidR="00383069">
        <w:t xml:space="preserve">[the sponsor] </w:t>
      </w:r>
      <w:r>
        <w:t>should review the results of 20 commercial scale API batches and revise the ertugliflozin drug substance specification if</w:t>
      </w:r>
      <w:r w:rsidRPr="00191A6D">
        <w:rPr>
          <w:spacing w:val="-8"/>
        </w:rPr>
        <w:t xml:space="preserve"> </w:t>
      </w:r>
      <w:r>
        <w:t>warranted.</w:t>
      </w:r>
    </w:p>
    <w:p w14:paraId="1A7D7122" w14:textId="77777777" w:rsidR="006C5A36" w:rsidRPr="006C5A36" w:rsidRDefault="00F14099" w:rsidP="00F85404">
      <w:pPr>
        <w:pStyle w:val="Heading4"/>
      </w:pPr>
      <w:r>
        <w:t>Steglujan</w:t>
      </w:r>
      <w:r w:rsidR="00F30D27">
        <w:t xml:space="preserve"> a</w:t>
      </w:r>
      <w:r w:rsidR="006C5A36" w:rsidRPr="00383069">
        <w:t>pplication PM-2017-1329-1-5</w:t>
      </w:r>
    </w:p>
    <w:p w14:paraId="5969F453" w14:textId="09B36CEF" w:rsidR="00744D99" w:rsidRPr="00F85404" w:rsidRDefault="00453FBE" w:rsidP="00F85404">
      <w:pPr>
        <w:pStyle w:val="ListBullet"/>
        <w:rPr>
          <w:b/>
        </w:rPr>
      </w:pPr>
      <w:r w:rsidRPr="00F85404">
        <w:rPr>
          <w:i/>
        </w:rPr>
        <w:t>Steglujan</w:t>
      </w:r>
      <w:r w:rsidR="00744D99" w:rsidRPr="00F85404">
        <w:rPr>
          <w:i/>
        </w:rPr>
        <w:t xml:space="preserve"> 5/100 ertugliflozin/sitagliptin (as phosphate monohydrate) 5</w:t>
      </w:r>
      <w:r w:rsidR="00715B39" w:rsidRPr="00F85404">
        <w:rPr>
          <w:i/>
        </w:rPr>
        <w:t xml:space="preserve"> </w:t>
      </w:r>
      <w:r w:rsidR="006D7D02" w:rsidRPr="00F85404">
        <w:rPr>
          <w:i/>
        </w:rPr>
        <w:t>mg</w:t>
      </w:r>
      <w:r w:rsidR="00744D99" w:rsidRPr="00F85404">
        <w:rPr>
          <w:i/>
        </w:rPr>
        <w:t>/100</w:t>
      </w:r>
      <w:r w:rsidR="00715B39" w:rsidRPr="00F85404">
        <w:rPr>
          <w:i/>
        </w:rPr>
        <w:t xml:space="preserve"> </w:t>
      </w:r>
      <w:r w:rsidR="006D7D02" w:rsidRPr="00F85404">
        <w:rPr>
          <w:i/>
        </w:rPr>
        <w:t>mg</w:t>
      </w:r>
      <w:r w:rsidR="00744D99" w:rsidRPr="00F85404">
        <w:rPr>
          <w:i/>
        </w:rPr>
        <w:t xml:space="preserve"> film-coated tablet blister pack</w:t>
      </w:r>
    </w:p>
    <w:p w14:paraId="50CF0ABA" w14:textId="7A8C399F" w:rsidR="00744D99" w:rsidRPr="00F85404" w:rsidRDefault="00453FBE" w:rsidP="00F85404">
      <w:pPr>
        <w:pStyle w:val="ListBullet"/>
        <w:rPr>
          <w:b/>
        </w:rPr>
      </w:pPr>
      <w:r w:rsidRPr="00F85404">
        <w:rPr>
          <w:i/>
        </w:rPr>
        <w:t>Steglujan</w:t>
      </w:r>
      <w:r w:rsidR="00744D99" w:rsidRPr="00F85404">
        <w:rPr>
          <w:i/>
        </w:rPr>
        <w:t xml:space="preserve"> 15/100 ertugliflozin/sitagliptin (as phosphate monohydrate) 15</w:t>
      </w:r>
      <w:r w:rsidR="00744D99" w:rsidRPr="00F85404">
        <w:rPr>
          <w:i/>
          <w:spacing w:val="-36"/>
        </w:rPr>
        <w:t xml:space="preserve"> </w:t>
      </w:r>
      <w:r w:rsidR="00715B39" w:rsidRPr="00F85404">
        <w:rPr>
          <w:i/>
        </w:rPr>
        <w:t xml:space="preserve"> </w:t>
      </w:r>
      <w:r w:rsidR="006D7D02" w:rsidRPr="00F85404">
        <w:rPr>
          <w:i/>
        </w:rPr>
        <w:t>mg</w:t>
      </w:r>
      <w:r w:rsidR="00744D99" w:rsidRPr="00F85404">
        <w:rPr>
          <w:i/>
        </w:rPr>
        <w:t>/100</w:t>
      </w:r>
      <w:r w:rsidR="00715B39" w:rsidRPr="00F85404">
        <w:rPr>
          <w:i/>
        </w:rPr>
        <w:t xml:space="preserve"> </w:t>
      </w:r>
      <w:r w:rsidR="006D7D02" w:rsidRPr="00F85404">
        <w:rPr>
          <w:i/>
        </w:rPr>
        <w:t>mg</w:t>
      </w:r>
      <w:r w:rsidR="00744D99" w:rsidRPr="00F85404">
        <w:rPr>
          <w:i/>
        </w:rPr>
        <w:t xml:space="preserve"> film-coated tablet blister pack</w:t>
      </w:r>
    </w:p>
    <w:p w14:paraId="31DB5963" w14:textId="1180DC67" w:rsidR="00744D99" w:rsidRPr="00F85404" w:rsidRDefault="00744D99" w:rsidP="00F85404">
      <w:pPr>
        <w:pStyle w:val="ListBullet"/>
        <w:rPr>
          <w:b/>
        </w:rPr>
      </w:pPr>
      <w:r w:rsidRPr="00F85404">
        <w:rPr>
          <w:i/>
        </w:rPr>
        <w:t>MSD-</w:t>
      </w:r>
      <w:r w:rsidR="00490C29" w:rsidRPr="00F85404">
        <w:rPr>
          <w:i/>
        </w:rPr>
        <w:t xml:space="preserve">Ertugliflozin-Sitagliptin </w:t>
      </w:r>
      <w:r w:rsidRPr="00F85404">
        <w:rPr>
          <w:i/>
        </w:rPr>
        <w:t>5/100 ertugliflozin/sitagliptin (as phosphate monohydrate) 5</w:t>
      </w:r>
      <w:r w:rsidR="00715B39" w:rsidRPr="00F85404">
        <w:rPr>
          <w:i/>
        </w:rPr>
        <w:t> </w:t>
      </w:r>
      <w:r w:rsidR="006D7D02" w:rsidRPr="00F85404">
        <w:rPr>
          <w:i/>
        </w:rPr>
        <w:t>mg</w:t>
      </w:r>
      <w:r w:rsidRPr="00F85404">
        <w:rPr>
          <w:i/>
        </w:rPr>
        <w:t>/100</w:t>
      </w:r>
      <w:r w:rsidR="00715B39" w:rsidRPr="00F85404">
        <w:rPr>
          <w:i/>
        </w:rPr>
        <w:t xml:space="preserve"> </w:t>
      </w:r>
      <w:r w:rsidR="006D7D02" w:rsidRPr="00F85404">
        <w:rPr>
          <w:i/>
        </w:rPr>
        <w:t>mg</w:t>
      </w:r>
      <w:r w:rsidRPr="00F85404">
        <w:rPr>
          <w:i/>
        </w:rPr>
        <w:t xml:space="preserve"> film-coated tablet blister</w:t>
      </w:r>
      <w:r w:rsidRPr="00F85404">
        <w:rPr>
          <w:i/>
          <w:spacing w:val="-8"/>
        </w:rPr>
        <w:t xml:space="preserve"> </w:t>
      </w:r>
      <w:r w:rsidRPr="00F85404">
        <w:rPr>
          <w:i/>
        </w:rPr>
        <w:t>pack</w:t>
      </w:r>
    </w:p>
    <w:p w14:paraId="4701004F" w14:textId="0277B6F6" w:rsidR="00744D99" w:rsidRPr="00F85404" w:rsidRDefault="00744D99" w:rsidP="00F85404">
      <w:pPr>
        <w:pStyle w:val="ListBullet"/>
        <w:rPr>
          <w:b/>
        </w:rPr>
      </w:pPr>
      <w:r w:rsidRPr="00F85404">
        <w:rPr>
          <w:i/>
        </w:rPr>
        <w:t>MSD-</w:t>
      </w:r>
      <w:r w:rsidR="00490C29" w:rsidRPr="00F85404">
        <w:rPr>
          <w:i/>
        </w:rPr>
        <w:t xml:space="preserve">Ertugliflozin-Sitagliptin </w:t>
      </w:r>
      <w:r w:rsidRPr="00F85404">
        <w:rPr>
          <w:i/>
        </w:rPr>
        <w:t>15/100 ertugliflozin/sitagliptin (as phosphate monohydrate) 15</w:t>
      </w:r>
      <w:r w:rsidR="00715B39" w:rsidRPr="00F85404">
        <w:rPr>
          <w:i/>
        </w:rPr>
        <w:t xml:space="preserve"> </w:t>
      </w:r>
      <w:r w:rsidR="006D7D02" w:rsidRPr="00F85404">
        <w:rPr>
          <w:i/>
        </w:rPr>
        <w:t>mg</w:t>
      </w:r>
      <w:r w:rsidRPr="00F85404">
        <w:rPr>
          <w:i/>
        </w:rPr>
        <w:t>/100</w:t>
      </w:r>
      <w:r w:rsidR="00715B39" w:rsidRPr="00F85404">
        <w:rPr>
          <w:i/>
        </w:rPr>
        <w:t xml:space="preserve"> </w:t>
      </w:r>
      <w:r w:rsidR="006D7D02" w:rsidRPr="00F85404">
        <w:rPr>
          <w:i/>
        </w:rPr>
        <w:t>mg</w:t>
      </w:r>
      <w:r w:rsidRPr="00F85404">
        <w:rPr>
          <w:i/>
        </w:rPr>
        <w:t xml:space="preserve"> film-coated tablet blister</w:t>
      </w:r>
      <w:r w:rsidRPr="00F85404">
        <w:rPr>
          <w:i/>
          <w:spacing w:val="-7"/>
        </w:rPr>
        <w:t xml:space="preserve"> </w:t>
      </w:r>
      <w:r w:rsidRPr="00F85404">
        <w:rPr>
          <w:i/>
        </w:rPr>
        <w:t>pack</w:t>
      </w:r>
    </w:p>
    <w:p w14:paraId="0C75AC45" w14:textId="77777777" w:rsidR="00744D99" w:rsidRDefault="00744D99" w:rsidP="00453FBE">
      <w:pPr>
        <w:spacing w:before="101"/>
      </w:pPr>
      <w:r>
        <w:t>The approved indications for these therapeutic goods are:</w:t>
      </w:r>
    </w:p>
    <w:p w14:paraId="195E972E" w14:textId="737A1FAC" w:rsidR="00744D99" w:rsidRPr="00453FBE" w:rsidRDefault="00744D99" w:rsidP="00453FBE">
      <w:pPr>
        <w:ind w:left="720"/>
        <w:rPr>
          <w:i/>
        </w:rPr>
      </w:pPr>
      <w:r w:rsidRPr="00453FBE">
        <w:rPr>
          <w:i/>
        </w:rPr>
        <w:t>&lt;TRADENAME</w:t>
      </w:r>
      <w:proofErr w:type="gramStart"/>
      <w:r w:rsidR="00AD51CF">
        <w:rPr>
          <w:i/>
        </w:rPr>
        <w:t xml:space="preserve">&gt;  </w:t>
      </w:r>
      <w:r w:rsidRPr="00453FBE">
        <w:rPr>
          <w:i/>
        </w:rPr>
        <w:t>(</w:t>
      </w:r>
      <w:proofErr w:type="gramEnd"/>
      <w:r w:rsidRPr="00453FBE">
        <w:rPr>
          <w:i/>
        </w:rPr>
        <w:t xml:space="preserve">ertugliflozin and sitagliptin phosphate monohydrate) is indicated as an adjunct to diet and exercise to improve glycaemic control in adults with type 2 diabetes mellitus when treatment with both ertugliflozin and sitagliptin is appropriate.[see 5.1 </w:t>
      </w:r>
      <w:r w:rsidR="00453FBE" w:rsidRPr="00453FBE">
        <w:rPr>
          <w:i/>
        </w:rPr>
        <w:t>Pharmacodynamic Properties</w:t>
      </w:r>
      <w:r w:rsidRPr="00453FBE">
        <w:rPr>
          <w:i/>
        </w:rPr>
        <w:t xml:space="preserve">, Clinical trials, and 4.4 </w:t>
      </w:r>
      <w:r w:rsidR="00453FBE" w:rsidRPr="00453FBE">
        <w:rPr>
          <w:i/>
        </w:rPr>
        <w:t xml:space="preserve">Special Warnings </w:t>
      </w:r>
      <w:r w:rsidR="00453FBE">
        <w:rPr>
          <w:i/>
        </w:rPr>
        <w:t>and Precautions f</w:t>
      </w:r>
      <w:r w:rsidR="00453FBE" w:rsidRPr="00453FBE">
        <w:rPr>
          <w:i/>
        </w:rPr>
        <w:t>or Use</w:t>
      </w:r>
      <w:r w:rsidRPr="00453FBE">
        <w:rPr>
          <w:i/>
        </w:rPr>
        <w:t>]</w:t>
      </w:r>
    </w:p>
    <w:p w14:paraId="5CDA7775" w14:textId="77777777" w:rsidR="00744D99" w:rsidRPr="00D23139" w:rsidRDefault="00744D99" w:rsidP="00383069">
      <w:pPr>
        <w:pStyle w:val="Heading5"/>
      </w:pPr>
      <w:r w:rsidRPr="00D23139">
        <w:t>Specific conditions of registration applying to these goods</w:t>
      </w:r>
    </w:p>
    <w:p w14:paraId="4425A2BD" w14:textId="77777777" w:rsidR="00744D99" w:rsidRDefault="00453FBE" w:rsidP="00F85404">
      <w:pPr>
        <w:pStyle w:val="Numberbullet0"/>
        <w:numPr>
          <w:ilvl w:val="0"/>
          <w:numId w:val="52"/>
        </w:numPr>
      </w:pPr>
      <w:r>
        <w:t>Steglujan</w:t>
      </w:r>
      <w:r w:rsidR="00744D99">
        <w:t xml:space="preserve"> 5/100 and 15/100 and MSD-</w:t>
      </w:r>
      <w:r w:rsidR="006C5A36">
        <w:t xml:space="preserve">Ertugliflozin-Sitagliptin </w:t>
      </w:r>
      <w:r w:rsidR="00744D99">
        <w:t xml:space="preserve">5/100 and 15/100 (ertugliflozin/sitagliptin phosphate monohydrate) is to be included in the Black Triangle Scheme. The PI and CMI documents </w:t>
      </w:r>
      <w:r w:rsidR="00744D99" w:rsidRPr="00191A6D">
        <w:rPr>
          <w:spacing w:val="-3"/>
        </w:rPr>
        <w:t xml:space="preserve">for </w:t>
      </w:r>
      <w:r>
        <w:t>Steglujan</w:t>
      </w:r>
      <w:r w:rsidR="00744D99">
        <w:t xml:space="preserve"> 5/100 and 15/100 and MSD-</w:t>
      </w:r>
      <w:r w:rsidR="006C5A36">
        <w:t xml:space="preserve">Ertugliflozin-Sitagliptin </w:t>
      </w:r>
      <w:r w:rsidR="00744D99">
        <w:t xml:space="preserve">5/100 and 15/100 must include the black triangle symbol and mandatory accompanying text </w:t>
      </w:r>
      <w:r w:rsidR="00744D99" w:rsidRPr="00191A6D">
        <w:rPr>
          <w:spacing w:val="-3"/>
        </w:rPr>
        <w:t xml:space="preserve">for </w:t>
      </w:r>
      <w:r w:rsidR="00744D99">
        <w:t>five years, which starts from the date that the sponsor notifies the TGA of supply of the</w:t>
      </w:r>
      <w:r w:rsidR="00744D99" w:rsidRPr="00191A6D">
        <w:rPr>
          <w:spacing w:val="-26"/>
        </w:rPr>
        <w:t xml:space="preserve"> </w:t>
      </w:r>
      <w:r w:rsidR="00744D99">
        <w:t>product.</w:t>
      </w:r>
    </w:p>
    <w:p w14:paraId="72E10154" w14:textId="77777777" w:rsidR="00744D99" w:rsidRDefault="00744D99" w:rsidP="00F85404">
      <w:pPr>
        <w:pStyle w:val="Numberbullet0"/>
        <w:numPr>
          <w:ilvl w:val="0"/>
          <w:numId w:val="52"/>
        </w:numPr>
      </w:pPr>
      <w:r>
        <w:t xml:space="preserve">Any changes to which the sponsor has agreed should be included in a revised RMP </w:t>
      </w:r>
      <w:r w:rsidRPr="00191A6D">
        <w:rPr>
          <w:spacing w:val="-3"/>
        </w:rPr>
        <w:t xml:space="preserve">and </w:t>
      </w:r>
      <w:r>
        <w:t>ASA. However, irrespective of whether or not they are included in the currently available version of the RMP document, the agreed changes become part of the risk management system.</w:t>
      </w:r>
    </w:p>
    <w:p w14:paraId="3CFCD719" w14:textId="77777777" w:rsidR="00744D99" w:rsidRDefault="00744D99" w:rsidP="00453FBE">
      <w:pPr>
        <w:ind w:left="426"/>
      </w:pPr>
      <w:r>
        <w:t>The ertugliflozin/sitagliptin phosphate monohydrate EU-Risk Management Plan (EU-RMP), version 1.1, dated 15 August 2017 (data lock point 31 May 2016), with Australian Specific Annex, version 1.1, dated 24 November, included with submission PM-2017-01329-1-5, and any subsequent revisions, as agreed with the TGA will be implemented in Australia.</w:t>
      </w:r>
    </w:p>
    <w:p w14:paraId="4AD49CFE" w14:textId="77777777" w:rsidR="00744D99" w:rsidRDefault="00744D99" w:rsidP="00F85404">
      <w:pPr>
        <w:pStyle w:val="Numberbullet0"/>
      </w:pPr>
      <w:r>
        <w:t>Submit the</w:t>
      </w:r>
      <w:r>
        <w:rPr>
          <w:spacing w:val="-3"/>
        </w:rPr>
        <w:t xml:space="preserve"> </w:t>
      </w:r>
      <w:r>
        <w:t>results:</w:t>
      </w:r>
    </w:p>
    <w:p w14:paraId="59979DFB" w14:textId="77777777" w:rsidR="00744D99" w:rsidRDefault="00453FBE" w:rsidP="00F85404">
      <w:pPr>
        <w:pStyle w:val="Numberbullet2"/>
      </w:pPr>
      <w:r>
        <w:t>F</w:t>
      </w:r>
      <w:r w:rsidR="00744D99">
        <w:t xml:space="preserve">rom the ongoing Phase B of all 7 </w:t>
      </w:r>
      <w:r w:rsidR="00F97771">
        <w:t>Phase III</w:t>
      </w:r>
      <w:r w:rsidR="00744D99">
        <w:t xml:space="preserve"> studies to enable assessment of long- term efficacy and safety of ertugliflozin component of the proposed</w:t>
      </w:r>
      <w:r w:rsidR="00744D99">
        <w:rPr>
          <w:spacing w:val="-16"/>
        </w:rPr>
        <w:t xml:space="preserve"> </w:t>
      </w:r>
      <w:r w:rsidR="00744D99">
        <w:t>FDC.</w:t>
      </w:r>
    </w:p>
    <w:p w14:paraId="28947AA1" w14:textId="2F1E1201" w:rsidR="00744D99" w:rsidRDefault="00453FBE" w:rsidP="00F85404">
      <w:pPr>
        <w:pStyle w:val="Numberbullet2"/>
      </w:pPr>
      <w:r>
        <w:t>O</w:t>
      </w:r>
      <w:r w:rsidR="00744D99">
        <w:t xml:space="preserve">f the cardiovascular meta-analysis (CVMA) of adjudicated, confirmed CV events from the </w:t>
      </w:r>
      <w:r w:rsidR="00C3563C">
        <w:t>Phase II</w:t>
      </w:r>
      <w:r w:rsidR="00744D99">
        <w:t>/</w:t>
      </w:r>
      <w:r w:rsidR="002B47E9">
        <w:t xml:space="preserve">III </w:t>
      </w:r>
      <w:r w:rsidR="00744D99">
        <w:t>studies and from the ongoing CV outcome study</w:t>
      </w:r>
      <w:r w:rsidR="00744D99">
        <w:rPr>
          <w:spacing w:val="-32"/>
        </w:rPr>
        <w:t xml:space="preserve"> </w:t>
      </w:r>
      <w:r w:rsidR="00744D99">
        <w:t>(P004/1021) upon completion.</w:t>
      </w:r>
    </w:p>
    <w:p w14:paraId="63314129" w14:textId="77777777" w:rsidR="00744D99" w:rsidRDefault="00744D99" w:rsidP="00F85404">
      <w:pPr>
        <w:pStyle w:val="Numberbullet0"/>
      </w:pPr>
      <w:r>
        <w:t xml:space="preserve">You </w:t>
      </w:r>
      <w:r w:rsidR="006C5A36">
        <w:t xml:space="preserve">[the sponsor] </w:t>
      </w:r>
      <w:r>
        <w:t>should review the results of 20 commercial scale API batches and revise the ertugliflozin drug substance specification if</w:t>
      </w:r>
      <w:r>
        <w:rPr>
          <w:spacing w:val="-8"/>
        </w:rPr>
        <w:t xml:space="preserve"> </w:t>
      </w:r>
      <w:r>
        <w:t>warranted.</w:t>
      </w:r>
    </w:p>
    <w:p w14:paraId="739DB774" w14:textId="2FA58841" w:rsidR="006C5A36" w:rsidRPr="006C5A36" w:rsidRDefault="00F30D27" w:rsidP="00383069">
      <w:pPr>
        <w:pStyle w:val="Heading4"/>
      </w:pPr>
      <w:r>
        <w:t>Segluromet a</w:t>
      </w:r>
      <w:r w:rsidR="006C5A36" w:rsidRPr="006C5A36">
        <w:t>pplication PM-2017-1330-1-5</w:t>
      </w:r>
    </w:p>
    <w:p w14:paraId="0493DD1F" w14:textId="35420F6E" w:rsidR="00744D99" w:rsidRPr="00F85404" w:rsidRDefault="00453FBE" w:rsidP="00F85404">
      <w:pPr>
        <w:pStyle w:val="ListBullet"/>
        <w:rPr>
          <w:b/>
        </w:rPr>
      </w:pPr>
      <w:r w:rsidRPr="00F85404">
        <w:rPr>
          <w:i/>
        </w:rPr>
        <w:t>Segluromet</w:t>
      </w:r>
      <w:r w:rsidR="00744D99" w:rsidRPr="00F85404">
        <w:rPr>
          <w:i/>
        </w:rPr>
        <w:t xml:space="preserve"> 2.5/500 ertugliflozin/metformin hydrochloride 2.5</w:t>
      </w:r>
      <w:r w:rsidR="00715B39" w:rsidRPr="00F85404">
        <w:rPr>
          <w:i/>
        </w:rPr>
        <w:t xml:space="preserve"> </w:t>
      </w:r>
      <w:r w:rsidR="006D7D02" w:rsidRPr="00F85404">
        <w:rPr>
          <w:i/>
        </w:rPr>
        <w:t>mg</w:t>
      </w:r>
      <w:r w:rsidR="00744D99" w:rsidRPr="00F85404">
        <w:rPr>
          <w:i/>
        </w:rPr>
        <w:t>/500</w:t>
      </w:r>
      <w:r w:rsidR="00715B39" w:rsidRPr="00F85404">
        <w:rPr>
          <w:i/>
        </w:rPr>
        <w:t xml:space="preserve"> </w:t>
      </w:r>
      <w:r w:rsidR="006D7D02" w:rsidRPr="00F85404">
        <w:rPr>
          <w:i/>
        </w:rPr>
        <w:t>mg</w:t>
      </w:r>
      <w:r w:rsidR="00744D99" w:rsidRPr="00F85404">
        <w:rPr>
          <w:i/>
        </w:rPr>
        <w:t xml:space="preserve"> film- coated tablet blister pack</w:t>
      </w:r>
    </w:p>
    <w:p w14:paraId="3796AB08" w14:textId="38CD7B4B" w:rsidR="00744D99" w:rsidRPr="00F85404" w:rsidRDefault="00453FBE" w:rsidP="00F85404">
      <w:pPr>
        <w:pStyle w:val="ListBullet"/>
        <w:rPr>
          <w:b/>
        </w:rPr>
      </w:pPr>
      <w:r w:rsidRPr="00F85404">
        <w:rPr>
          <w:i/>
        </w:rPr>
        <w:lastRenderedPageBreak/>
        <w:t>Segluromet</w:t>
      </w:r>
      <w:r w:rsidR="00744D99" w:rsidRPr="00F85404">
        <w:rPr>
          <w:i/>
        </w:rPr>
        <w:t xml:space="preserve"> 2.5/1000 ertugliflozin/metformin hydrochloride 2.5</w:t>
      </w:r>
      <w:r w:rsidR="00715B39" w:rsidRPr="00F85404">
        <w:rPr>
          <w:i/>
        </w:rPr>
        <w:t xml:space="preserve"> </w:t>
      </w:r>
      <w:r w:rsidR="006D7D02" w:rsidRPr="00F85404">
        <w:rPr>
          <w:i/>
        </w:rPr>
        <w:t>mg</w:t>
      </w:r>
      <w:r w:rsidR="00744D99" w:rsidRPr="00F85404">
        <w:rPr>
          <w:i/>
        </w:rPr>
        <w:t>/1000</w:t>
      </w:r>
      <w:r w:rsidR="00715B39" w:rsidRPr="00F85404">
        <w:rPr>
          <w:i/>
        </w:rPr>
        <w:t xml:space="preserve"> </w:t>
      </w:r>
      <w:r w:rsidR="006D7D02" w:rsidRPr="00F85404">
        <w:rPr>
          <w:i/>
        </w:rPr>
        <w:t>mg</w:t>
      </w:r>
      <w:r w:rsidR="00744D99" w:rsidRPr="00F85404">
        <w:rPr>
          <w:i/>
        </w:rPr>
        <w:t xml:space="preserve"> film-coated tablet blister pack</w:t>
      </w:r>
    </w:p>
    <w:p w14:paraId="2A2C114C" w14:textId="28B9A310" w:rsidR="00744D99" w:rsidRPr="00F85404" w:rsidRDefault="00453FBE" w:rsidP="00F85404">
      <w:pPr>
        <w:pStyle w:val="ListBullet"/>
        <w:rPr>
          <w:b/>
        </w:rPr>
      </w:pPr>
      <w:r w:rsidRPr="00F85404">
        <w:rPr>
          <w:i/>
        </w:rPr>
        <w:t>Segluromet</w:t>
      </w:r>
      <w:r w:rsidR="00744D99" w:rsidRPr="00F85404">
        <w:rPr>
          <w:i/>
        </w:rPr>
        <w:t xml:space="preserve"> 7.5/500 ertugliflozin/metformin hydrochloride 7.5</w:t>
      </w:r>
      <w:r w:rsidR="00715B39" w:rsidRPr="00F85404">
        <w:rPr>
          <w:i/>
        </w:rPr>
        <w:t xml:space="preserve"> </w:t>
      </w:r>
      <w:r w:rsidR="006D7D02" w:rsidRPr="00F85404">
        <w:rPr>
          <w:i/>
        </w:rPr>
        <w:t>mg</w:t>
      </w:r>
      <w:r w:rsidR="00744D99" w:rsidRPr="00F85404">
        <w:rPr>
          <w:i/>
        </w:rPr>
        <w:t>/500</w:t>
      </w:r>
      <w:r w:rsidR="00715B39" w:rsidRPr="00F85404">
        <w:rPr>
          <w:i/>
        </w:rPr>
        <w:t xml:space="preserve"> </w:t>
      </w:r>
      <w:r w:rsidR="006D7D02" w:rsidRPr="00F85404">
        <w:rPr>
          <w:i/>
        </w:rPr>
        <w:t>mg</w:t>
      </w:r>
      <w:r w:rsidR="00744D99" w:rsidRPr="00F85404">
        <w:rPr>
          <w:i/>
        </w:rPr>
        <w:t xml:space="preserve"> film- coated tablet blister pack</w:t>
      </w:r>
    </w:p>
    <w:p w14:paraId="77A05DB5" w14:textId="4F9DCC20" w:rsidR="00744D99" w:rsidRPr="00F85404" w:rsidRDefault="00453FBE" w:rsidP="00F85404">
      <w:pPr>
        <w:pStyle w:val="ListBullet"/>
        <w:rPr>
          <w:b/>
        </w:rPr>
      </w:pPr>
      <w:r w:rsidRPr="00F85404">
        <w:rPr>
          <w:i/>
        </w:rPr>
        <w:t>Segluromet</w:t>
      </w:r>
      <w:r w:rsidR="00744D99" w:rsidRPr="00F85404">
        <w:rPr>
          <w:i/>
        </w:rPr>
        <w:t xml:space="preserve"> 7.5/1000 ertugliflozin/metformin hydrochloride 7.5</w:t>
      </w:r>
      <w:r w:rsidR="00715B39" w:rsidRPr="00F85404">
        <w:rPr>
          <w:i/>
        </w:rPr>
        <w:t xml:space="preserve"> </w:t>
      </w:r>
      <w:r w:rsidR="006D7D02" w:rsidRPr="00F85404">
        <w:rPr>
          <w:i/>
        </w:rPr>
        <w:t>mg</w:t>
      </w:r>
      <w:r w:rsidR="00744D99" w:rsidRPr="00F85404">
        <w:rPr>
          <w:i/>
        </w:rPr>
        <w:t>/1000</w:t>
      </w:r>
      <w:r w:rsidR="00715B39" w:rsidRPr="00F85404">
        <w:rPr>
          <w:i/>
        </w:rPr>
        <w:t xml:space="preserve"> </w:t>
      </w:r>
      <w:r w:rsidR="006D7D02" w:rsidRPr="00F85404">
        <w:rPr>
          <w:i/>
        </w:rPr>
        <w:t>mg</w:t>
      </w:r>
      <w:r w:rsidR="00744D99" w:rsidRPr="00F85404">
        <w:rPr>
          <w:i/>
        </w:rPr>
        <w:t xml:space="preserve"> film-coated tablet blister pack</w:t>
      </w:r>
    </w:p>
    <w:p w14:paraId="5E37E56F" w14:textId="7D24097C" w:rsidR="00744D99" w:rsidRPr="00F85404" w:rsidRDefault="00744D99" w:rsidP="00F85404">
      <w:pPr>
        <w:pStyle w:val="ListBullet"/>
        <w:rPr>
          <w:b/>
        </w:rPr>
      </w:pPr>
      <w:r w:rsidRPr="00F85404">
        <w:rPr>
          <w:i/>
        </w:rPr>
        <w:t>MSD-</w:t>
      </w:r>
      <w:r w:rsidR="00453FBE" w:rsidRPr="00F85404">
        <w:rPr>
          <w:i/>
        </w:rPr>
        <w:t xml:space="preserve">Ertugliflozin-Metformin </w:t>
      </w:r>
      <w:r w:rsidRPr="00F85404">
        <w:rPr>
          <w:i/>
        </w:rPr>
        <w:t>2.5/500 ertugliflozin/metformin</w:t>
      </w:r>
      <w:r w:rsidRPr="00F85404">
        <w:rPr>
          <w:i/>
          <w:spacing w:val="-8"/>
        </w:rPr>
        <w:t xml:space="preserve"> </w:t>
      </w:r>
      <w:r w:rsidRPr="00F85404">
        <w:rPr>
          <w:i/>
        </w:rPr>
        <w:t>hydrochloride</w:t>
      </w:r>
      <w:r w:rsidR="00453FBE" w:rsidRPr="00F85404">
        <w:rPr>
          <w:i/>
        </w:rPr>
        <w:t xml:space="preserve"> </w:t>
      </w:r>
      <w:r w:rsidRPr="00F85404">
        <w:rPr>
          <w:i/>
        </w:rPr>
        <w:t>2.5</w:t>
      </w:r>
      <w:r w:rsidR="00715B39" w:rsidRPr="00F85404">
        <w:rPr>
          <w:i/>
        </w:rPr>
        <w:t xml:space="preserve"> </w:t>
      </w:r>
      <w:r w:rsidR="006D7D02" w:rsidRPr="00F85404">
        <w:rPr>
          <w:i/>
        </w:rPr>
        <w:t>mg</w:t>
      </w:r>
      <w:r w:rsidRPr="00F85404">
        <w:rPr>
          <w:i/>
        </w:rPr>
        <w:t>/500</w:t>
      </w:r>
      <w:r w:rsidR="00715B39" w:rsidRPr="00F85404">
        <w:rPr>
          <w:i/>
        </w:rPr>
        <w:t xml:space="preserve"> </w:t>
      </w:r>
      <w:r w:rsidR="006D7D02" w:rsidRPr="00F85404">
        <w:rPr>
          <w:i/>
        </w:rPr>
        <w:t>mg</w:t>
      </w:r>
      <w:r w:rsidRPr="00F85404">
        <w:rPr>
          <w:i/>
        </w:rPr>
        <w:t xml:space="preserve"> film-coated tablet blister pack</w:t>
      </w:r>
    </w:p>
    <w:p w14:paraId="2169B6C2" w14:textId="285217AC" w:rsidR="00744D99" w:rsidRPr="00F85404" w:rsidRDefault="00744D99" w:rsidP="00F85404">
      <w:pPr>
        <w:pStyle w:val="ListBullet"/>
        <w:rPr>
          <w:b/>
        </w:rPr>
      </w:pPr>
      <w:r w:rsidRPr="00F85404">
        <w:rPr>
          <w:i/>
        </w:rPr>
        <w:t>MSD-</w:t>
      </w:r>
      <w:r w:rsidR="00453FBE" w:rsidRPr="00F85404">
        <w:rPr>
          <w:i/>
        </w:rPr>
        <w:t xml:space="preserve">Ertugliflozin-Metformin </w:t>
      </w:r>
      <w:r w:rsidRPr="00F85404">
        <w:rPr>
          <w:i/>
          <w:spacing w:val="-3"/>
        </w:rPr>
        <w:t xml:space="preserve">2.5/1000 </w:t>
      </w:r>
      <w:r w:rsidRPr="00F85404">
        <w:rPr>
          <w:i/>
        </w:rPr>
        <w:t>ertugliflozin/metformin</w:t>
      </w:r>
      <w:r w:rsidRPr="00F85404">
        <w:rPr>
          <w:i/>
          <w:spacing w:val="1"/>
        </w:rPr>
        <w:t xml:space="preserve"> </w:t>
      </w:r>
      <w:r w:rsidRPr="00F85404">
        <w:rPr>
          <w:i/>
        </w:rPr>
        <w:t>hydrochloride</w:t>
      </w:r>
      <w:r w:rsidR="00453FBE" w:rsidRPr="00F85404">
        <w:rPr>
          <w:i/>
        </w:rPr>
        <w:t xml:space="preserve"> </w:t>
      </w:r>
      <w:r w:rsidRPr="00F85404">
        <w:rPr>
          <w:i/>
        </w:rPr>
        <w:t>2.5</w:t>
      </w:r>
      <w:r w:rsidR="00715B39" w:rsidRPr="00F85404">
        <w:rPr>
          <w:i/>
        </w:rPr>
        <w:t xml:space="preserve"> </w:t>
      </w:r>
      <w:r w:rsidR="006D7D02" w:rsidRPr="00F85404">
        <w:rPr>
          <w:i/>
        </w:rPr>
        <w:t>mg</w:t>
      </w:r>
      <w:r w:rsidRPr="00F85404">
        <w:rPr>
          <w:i/>
        </w:rPr>
        <w:t>/1000</w:t>
      </w:r>
      <w:r w:rsidR="00715B39" w:rsidRPr="00F85404">
        <w:rPr>
          <w:i/>
        </w:rPr>
        <w:t> </w:t>
      </w:r>
      <w:r w:rsidR="006D7D02" w:rsidRPr="00F85404">
        <w:rPr>
          <w:i/>
        </w:rPr>
        <w:t>mg</w:t>
      </w:r>
      <w:r w:rsidRPr="00F85404">
        <w:rPr>
          <w:i/>
        </w:rPr>
        <w:t xml:space="preserve"> film-coated tablet blister pack</w:t>
      </w:r>
    </w:p>
    <w:p w14:paraId="6F94E560" w14:textId="751DFD49" w:rsidR="00744D99" w:rsidRPr="00F85404" w:rsidRDefault="00744D99" w:rsidP="00F85404">
      <w:pPr>
        <w:pStyle w:val="ListBullet"/>
        <w:rPr>
          <w:b/>
        </w:rPr>
      </w:pPr>
      <w:r w:rsidRPr="00F85404">
        <w:rPr>
          <w:i/>
        </w:rPr>
        <w:t>MSD-</w:t>
      </w:r>
      <w:r w:rsidR="00453FBE" w:rsidRPr="00F85404">
        <w:rPr>
          <w:i/>
        </w:rPr>
        <w:t xml:space="preserve">Ertugliflozin-Metformin </w:t>
      </w:r>
      <w:r w:rsidRPr="00F85404">
        <w:rPr>
          <w:i/>
        </w:rPr>
        <w:t>7.5/500 ertugliflozin/metformin</w:t>
      </w:r>
      <w:r w:rsidRPr="00F85404">
        <w:rPr>
          <w:i/>
          <w:spacing w:val="-8"/>
        </w:rPr>
        <w:t xml:space="preserve"> </w:t>
      </w:r>
      <w:r w:rsidRPr="00F85404">
        <w:rPr>
          <w:i/>
        </w:rPr>
        <w:t>hydrochloride</w:t>
      </w:r>
      <w:r w:rsidR="00453FBE" w:rsidRPr="00F85404">
        <w:rPr>
          <w:i/>
        </w:rPr>
        <w:t xml:space="preserve"> </w:t>
      </w:r>
      <w:r w:rsidRPr="00F85404">
        <w:rPr>
          <w:i/>
        </w:rPr>
        <w:t>7.5</w:t>
      </w:r>
      <w:r w:rsidR="00715B39" w:rsidRPr="00F85404">
        <w:rPr>
          <w:i/>
        </w:rPr>
        <w:t xml:space="preserve"> </w:t>
      </w:r>
      <w:r w:rsidR="006D7D02" w:rsidRPr="00F85404">
        <w:rPr>
          <w:i/>
        </w:rPr>
        <w:t>mg</w:t>
      </w:r>
      <w:r w:rsidRPr="00F85404">
        <w:rPr>
          <w:i/>
        </w:rPr>
        <w:t>/500</w:t>
      </w:r>
      <w:r w:rsidR="00715B39" w:rsidRPr="00F85404">
        <w:rPr>
          <w:i/>
        </w:rPr>
        <w:t xml:space="preserve"> </w:t>
      </w:r>
      <w:r w:rsidR="006D7D02" w:rsidRPr="00F85404">
        <w:rPr>
          <w:i/>
        </w:rPr>
        <w:t>mg</w:t>
      </w:r>
      <w:r w:rsidRPr="00F85404">
        <w:rPr>
          <w:i/>
        </w:rPr>
        <w:t xml:space="preserve"> film-coated tablet blister pack</w:t>
      </w:r>
    </w:p>
    <w:p w14:paraId="3E3076DB" w14:textId="191764BE" w:rsidR="00490C29" w:rsidRPr="00F85404" w:rsidRDefault="00744D99" w:rsidP="00F85404">
      <w:pPr>
        <w:pStyle w:val="ListBullet"/>
        <w:rPr>
          <w:b/>
        </w:rPr>
      </w:pPr>
      <w:r w:rsidRPr="00F85404">
        <w:rPr>
          <w:i/>
        </w:rPr>
        <w:t>MSD-</w:t>
      </w:r>
      <w:r w:rsidR="00453FBE" w:rsidRPr="00F85404">
        <w:rPr>
          <w:i/>
        </w:rPr>
        <w:t xml:space="preserve">Ertugliflozin-Metformin </w:t>
      </w:r>
      <w:r w:rsidRPr="00F85404">
        <w:rPr>
          <w:i/>
          <w:spacing w:val="-3"/>
        </w:rPr>
        <w:t xml:space="preserve">7.5/1000 </w:t>
      </w:r>
      <w:r w:rsidRPr="00F85404">
        <w:rPr>
          <w:i/>
        </w:rPr>
        <w:t>ertugliflozin/metformin</w:t>
      </w:r>
      <w:r w:rsidRPr="00F85404">
        <w:rPr>
          <w:i/>
          <w:spacing w:val="1"/>
        </w:rPr>
        <w:t xml:space="preserve"> </w:t>
      </w:r>
      <w:r w:rsidRPr="00F85404">
        <w:rPr>
          <w:i/>
        </w:rPr>
        <w:t>hydrochloride</w:t>
      </w:r>
      <w:r w:rsidR="00453FBE" w:rsidRPr="00F85404">
        <w:rPr>
          <w:i/>
        </w:rPr>
        <w:t xml:space="preserve"> </w:t>
      </w:r>
      <w:r w:rsidRPr="00F85404">
        <w:rPr>
          <w:i/>
        </w:rPr>
        <w:t>7.5</w:t>
      </w:r>
      <w:r w:rsidR="00715B39" w:rsidRPr="00F85404">
        <w:rPr>
          <w:i/>
        </w:rPr>
        <w:t xml:space="preserve"> </w:t>
      </w:r>
      <w:r w:rsidR="006D7D02" w:rsidRPr="00F85404">
        <w:rPr>
          <w:i/>
        </w:rPr>
        <w:t>mg</w:t>
      </w:r>
      <w:r w:rsidRPr="00F85404">
        <w:rPr>
          <w:i/>
        </w:rPr>
        <w:t>/1000</w:t>
      </w:r>
      <w:r w:rsidR="00715B39" w:rsidRPr="00F85404">
        <w:rPr>
          <w:i/>
        </w:rPr>
        <w:t> </w:t>
      </w:r>
      <w:r w:rsidR="006D7D02" w:rsidRPr="00F85404">
        <w:rPr>
          <w:i/>
        </w:rPr>
        <w:t>mg</w:t>
      </w:r>
      <w:r w:rsidRPr="00F85404">
        <w:rPr>
          <w:i/>
        </w:rPr>
        <w:t xml:space="preserve"> film-coated tablet blister pack</w:t>
      </w:r>
      <w:r w:rsidR="00490C29" w:rsidRPr="00F85404">
        <w:rPr>
          <w:i/>
        </w:rPr>
        <w:t>.</w:t>
      </w:r>
    </w:p>
    <w:p w14:paraId="644C8773" w14:textId="77777777" w:rsidR="00744D99" w:rsidRPr="00453FBE" w:rsidRDefault="00744D99" w:rsidP="00490C29">
      <w:r w:rsidRPr="00453FBE">
        <w:t>The approved indications for these therapeutic goods are:</w:t>
      </w:r>
    </w:p>
    <w:p w14:paraId="66F52316" w14:textId="2B32F023" w:rsidR="00744D99" w:rsidRPr="00453FBE" w:rsidRDefault="00744D99" w:rsidP="00453FBE">
      <w:pPr>
        <w:ind w:left="360"/>
        <w:rPr>
          <w:i/>
        </w:rPr>
      </w:pPr>
      <w:r w:rsidRPr="00453FBE">
        <w:rPr>
          <w:i/>
        </w:rPr>
        <w:t>&lt;TRADENAME</w:t>
      </w:r>
      <w:proofErr w:type="gramStart"/>
      <w:r w:rsidR="00AD51CF">
        <w:rPr>
          <w:i/>
        </w:rPr>
        <w:t xml:space="preserve">&gt;  </w:t>
      </w:r>
      <w:r w:rsidRPr="00453FBE">
        <w:rPr>
          <w:i/>
        </w:rPr>
        <w:t>(</w:t>
      </w:r>
      <w:proofErr w:type="gramEnd"/>
      <w:r w:rsidRPr="00453FBE">
        <w:rPr>
          <w:i/>
        </w:rPr>
        <w:t>ertugliflozin and metformin hydrochloride) is indicated as an adjunct to diet and exercise to improve glycaemic control in adults with type 2 diabetes mellitus when treatment with both ertugliflozin and metformin is appropriate</w:t>
      </w:r>
      <w:r w:rsidR="00490C29">
        <w:rPr>
          <w:i/>
        </w:rPr>
        <w:t xml:space="preserve"> </w:t>
      </w:r>
      <w:r w:rsidRPr="00453FBE">
        <w:rPr>
          <w:i/>
        </w:rPr>
        <w:t xml:space="preserve">[see 5.1 </w:t>
      </w:r>
      <w:r w:rsidR="00453FBE" w:rsidRPr="00453FBE">
        <w:rPr>
          <w:i/>
        </w:rPr>
        <w:t>Pharmacodynamic Properties</w:t>
      </w:r>
      <w:r w:rsidRPr="00453FBE">
        <w:rPr>
          <w:i/>
        </w:rPr>
        <w:t xml:space="preserve">, Clinical trials and 4.2 </w:t>
      </w:r>
      <w:r w:rsidR="00453FBE" w:rsidRPr="00453FBE">
        <w:rPr>
          <w:i/>
        </w:rPr>
        <w:t xml:space="preserve">Dose </w:t>
      </w:r>
      <w:r w:rsidR="00453FBE">
        <w:rPr>
          <w:i/>
        </w:rPr>
        <w:t>and Method o</w:t>
      </w:r>
      <w:r w:rsidR="00453FBE" w:rsidRPr="00453FBE">
        <w:rPr>
          <w:i/>
        </w:rPr>
        <w:t>f Administration</w:t>
      </w:r>
      <w:r w:rsidRPr="00453FBE">
        <w:rPr>
          <w:i/>
        </w:rPr>
        <w:t>].</w:t>
      </w:r>
    </w:p>
    <w:p w14:paraId="654FFACD" w14:textId="77777777" w:rsidR="00744D99" w:rsidRPr="00D23139" w:rsidRDefault="00744D99" w:rsidP="00383069">
      <w:pPr>
        <w:pStyle w:val="Heading5"/>
      </w:pPr>
      <w:r w:rsidRPr="00D23139">
        <w:t>Specific conditions of registration applying to these goods</w:t>
      </w:r>
    </w:p>
    <w:p w14:paraId="48557552" w14:textId="77777777" w:rsidR="0096579A" w:rsidRDefault="00490C29" w:rsidP="00F85404">
      <w:pPr>
        <w:pStyle w:val="Numberbullet0"/>
        <w:numPr>
          <w:ilvl w:val="0"/>
          <w:numId w:val="53"/>
        </w:numPr>
      </w:pPr>
      <w:r>
        <w:t>T</w:t>
      </w:r>
      <w:r w:rsidR="0096579A">
        <w:t xml:space="preserve">o be included in the Black Triangle Scheme. The PI and CMI documents for </w:t>
      </w:r>
      <w:r w:rsidR="00453FBE">
        <w:t>Segluromet</w:t>
      </w:r>
      <w:r w:rsidR="0096579A">
        <w:t xml:space="preserve"> 2.5/500, 2.5/1000, 7.5/500 and 7.5/1000 and</w:t>
      </w:r>
      <w:r>
        <w:t xml:space="preserve"> </w:t>
      </w:r>
      <w:r w:rsidR="0096579A">
        <w:t>MSD-</w:t>
      </w:r>
      <w:r>
        <w:t xml:space="preserve">Ertugliflozin-Metformin </w:t>
      </w:r>
      <w:r w:rsidR="0096579A">
        <w:t>2.5/500, 2.5/1000, 7.5/500 and 7.5/1000 must</w:t>
      </w:r>
      <w:r>
        <w:t xml:space="preserve"> </w:t>
      </w:r>
      <w:r w:rsidR="0096579A">
        <w:t>include the black triangle symbol and mandatory accompanying text for five years, which starts from the date that the sponsor notifies the TGA of supply of the product.</w:t>
      </w:r>
    </w:p>
    <w:p w14:paraId="1182A561" w14:textId="77777777" w:rsidR="0096579A" w:rsidRDefault="0096579A" w:rsidP="00F85404">
      <w:pPr>
        <w:pStyle w:val="Numberbullet0"/>
        <w:numPr>
          <w:ilvl w:val="0"/>
          <w:numId w:val="53"/>
        </w:numPr>
      </w:pPr>
      <w:r>
        <w:t xml:space="preserve">Any changes to which the sponsor has agreed should be included in a revised RMP </w:t>
      </w:r>
      <w:r w:rsidRPr="002B47E9">
        <w:rPr>
          <w:spacing w:val="-3"/>
        </w:rPr>
        <w:t xml:space="preserve">and </w:t>
      </w:r>
      <w:r>
        <w:t xml:space="preserve">ASA. However, irrespective of whether or not they are included in the currently available version of the RMP document, the agreed changes become part of the risk management system. </w:t>
      </w:r>
      <w:r w:rsidRPr="0096579A">
        <w:t>The ertugliflozin/metformin hydrochloride EU-Risk Management Plan (EU-RMP), version 1.1, dated 15 August 2017 (data lock point 31 May 2016), with Australian Specific Annex, version 1.1, dated 24 November, included with submission</w:t>
      </w:r>
      <w:r>
        <w:t xml:space="preserve"> PM-2017-01330-1-5, and any subsequent revisions, as agreed with the TGA will be implemented in Australia.</w:t>
      </w:r>
    </w:p>
    <w:p w14:paraId="5C0F44DE" w14:textId="77777777" w:rsidR="0096579A" w:rsidRDefault="0096579A" w:rsidP="00F85404">
      <w:pPr>
        <w:pStyle w:val="Numberbullet0"/>
        <w:numPr>
          <w:ilvl w:val="0"/>
          <w:numId w:val="53"/>
        </w:numPr>
      </w:pPr>
      <w:r>
        <w:t>Submit the</w:t>
      </w:r>
      <w:r w:rsidRPr="002B47E9">
        <w:rPr>
          <w:spacing w:val="-3"/>
        </w:rPr>
        <w:t xml:space="preserve"> </w:t>
      </w:r>
      <w:r>
        <w:t>results:</w:t>
      </w:r>
    </w:p>
    <w:p w14:paraId="50D1CF31" w14:textId="77777777" w:rsidR="0096579A" w:rsidRDefault="00490C29" w:rsidP="00F85404">
      <w:pPr>
        <w:pStyle w:val="Numberbullet2"/>
      </w:pPr>
      <w:r>
        <w:t>F</w:t>
      </w:r>
      <w:r w:rsidR="0096579A">
        <w:t xml:space="preserve">rom the ongoing Phase B of all 7 </w:t>
      </w:r>
      <w:r w:rsidR="00F97771">
        <w:t>Phase III</w:t>
      </w:r>
      <w:r w:rsidR="0096579A">
        <w:t xml:space="preserve"> studies to enable assessment of long-term efficacy and safety of ertugliflozin component of the proposed</w:t>
      </w:r>
      <w:r w:rsidR="0096579A">
        <w:rPr>
          <w:spacing w:val="-29"/>
        </w:rPr>
        <w:t xml:space="preserve"> </w:t>
      </w:r>
      <w:r w:rsidR="0096579A">
        <w:t>FDC.</w:t>
      </w:r>
    </w:p>
    <w:p w14:paraId="1C065CC6" w14:textId="43D908F4" w:rsidR="0096579A" w:rsidRDefault="00490C29" w:rsidP="00F85404">
      <w:pPr>
        <w:pStyle w:val="Numberbullet2"/>
      </w:pPr>
      <w:r>
        <w:t>O</w:t>
      </w:r>
      <w:r w:rsidR="0096579A">
        <w:t xml:space="preserve">f the cardiovascular meta-analysis (CVMA) of adjudicated, confirmed CV events from the </w:t>
      </w:r>
      <w:r w:rsidR="00C3563C">
        <w:t>Phase II</w:t>
      </w:r>
      <w:r w:rsidR="0096579A">
        <w:t>/</w:t>
      </w:r>
      <w:r w:rsidR="002B47E9">
        <w:t xml:space="preserve">III </w:t>
      </w:r>
      <w:r w:rsidR="0096579A">
        <w:t>studies and from the ongoing CV outcome study</w:t>
      </w:r>
      <w:r w:rsidR="0096579A">
        <w:rPr>
          <w:spacing w:val="-32"/>
        </w:rPr>
        <w:t xml:space="preserve"> </w:t>
      </w:r>
      <w:r w:rsidR="0096579A">
        <w:t>(P004/1021) upon completion.</w:t>
      </w:r>
    </w:p>
    <w:p w14:paraId="3B21E6D4" w14:textId="77777777" w:rsidR="00744D99" w:rsidRDefault="0096579A" w:rsidP="00F85404">
      <w:pPr>
        <w:pStyle w:val="Numberbullet0"/>
      </w:pPr>
      <w:r>
        <w:t xml:space="preserve">You </w:t>
      </w:r>
      <w:r w:rsidR="00383069">
        <w:t xml:space="preserve">[the sponsor] </w:t>
      </w:r>
      <w:r>
        <w:t>should review the results of 20 commercial scale API batches and revise the ertugliflozin drug substance specification if</w:t>
      </w:r>
      <w:r w:rsidRPr="00A06ADD">
        <w:rPr>
          <w:spacing w:val="-8"/>
        </w:rPr>
        <w:t xml:space="preserve"> </w:t>
      </w:r>
      <w:r>
        <w:t>warranted.</w:t>
      </w:r>
    </w:p>
    <w:p w14:paraId="1EA1371F" w14:textId="77777777" w:rsidR="008E7846" w:rsidRDefault="00A80B5B" w:rsidP="00D23139">
      <w:pPr>
        <w:pStyle w:val="Heading2"/>
      </w:pPr>
      <w:bookmarkStart w:id="290" w:name="_Toc4405843"/>
      <w:proofErr w:type="gramStart"/>
      <w:r>
        <w:lastRenderedPageBreak/>
        <w:t>Attachment</w:t>
      </w:r>
      <w:r w:rsidR="00383069">
        <w:t>s</w:t>
      </w:r>
      <w:r>
        <w:t xml:space="preserve"> 1</w:t>
      </w:r>
      <w:r w:rsidR="00383069">
        <w:t>A-C</w:t>
      </w:r>
      <w:r>
        <w:t>.</w:t>
      </w:r>
      <w:proofErr w:type="gramEnd"/>
      <w:r>
        <w:t xml:space="preserve"> </w:t>
      </w:r>
      <w:r w:rsidR="008E7846">
        <w:t xml:space="preserve">Product </w:t>
      </w:r>
      <w:r w:rsidR="00AA0ED0">
        <w:t>I</w:t>
      </w:r>
      <w:r w:rsidR="008E7846">
        <w:t>nformation</w:t>
      </w:r>
      <w:bookmarkEnd w:id="288"/>
      <w:bookmarkEnd w:id="289"/>
      <w:bookmarkEnd w:id="290"/>
    </w:p>
    <w:p w14:paraId="29CC6D84" w14:textId="783953E6" w:rsidR="00C80137" w:rsidRDefault="006136D7" w:rsidP="00C80137">
      <w:pPr>
        <w:rPr>
          <w:color w:val="000000"/>
          <w:lang w:eastAsia="en-AU"/>
        </w:rPr>
      </w:pPr>
      <w:r w:rsidRPr="002B3624">
        <w:t xml:space="preserve">The </w:t>
      </w:r>
      <w:r>
        <w:t>PI</w:t>
      </w:r>
      <w:r w:rsidRPr="002B3624">
        <w:t xml:space="preserve"> for </w:t>
      </w:r>
      <w:r w:rsidR="00490C29">
        <w:t>Steglatro</w:t>
      </w:r>
      <w:r w:rsidRPr="002B3624">
        <w:t xml:space="preserve"> </w:t>
      </w:r>
      <w:r>
        <w:t xml:space="preserve">approved with the submission which is described in </w:t>
      </w:r>
      <w:r w:rsidRPr="002B3624">
        <w:t>this AusPAR is at Attachment 1</w:t>
      </w:r>
      <w:r w:rsidR="006C5A36">
        <w:t>A</w:t>
      </w:r>
      <w:r w:rsidRPr="002B3624">
        <w:t xml:space="preserve">. </w:t>
      </w:r>
      <w:r w:rsidR="006C5A36" w:rsidRPr="002B3624">
        <w:t xml:space="preserve">The </w:t>
      </w:r>
      <w:r w:rsidR="006C5A36">
        <w:t>PI</w:t>
      </w:r>
      <w:r w:rsidR="006C5A36" w:rsidRPr="002B3624">
        <w:t xml:space="preserve"> for </w:t>
      </w:r>
      <w:r w:rsidR="006C5A36">
        <w:t>Steglujan</w:t>
      </w:r>
      <w:r w:rsidR="006C5A36" w:rsidRPr="002B3624">
        <w:t xml:space="preserve"> </w:t>
      </w:r>
      <w:r w:rsidR="006C5A36">
        <w:t xml:space="preserve">approved with the submission which is described in </w:t>
      </w:r>
      <w:r w:rsidR="006C5A36" w:rsidRPr="002B3624">
        <w:t xml:space="preserve">this AusPAR is at Attachment </w:t>
      </w:r>
      <w:r w:rsidR="006C5A36">
        <w:t>1B</w:t>
      </w:r>
      <w:r w:rsidR="006C5A36" w:rsidRPr="002B3624">
        <w:t>.</w:t>
      </w:r>
      <w:r w:rsidR="006C5A36">
        <w:t xml:space="preserve"> </w:t>
      </w:r>
      <w:r w:rsidR="006C5A36" w:rsidRPr="002B3624">
        <w:t xml:space="preserve">The </w:t>
      </w:r>
      <w:r w:rsidR="006C5A36">
        <w:t>PI</w:t>
      </w:r>
      <w:r w:rsidR="006C5A36" w:rsidRPr="002B3624">
        <w:t xml:space="preserve"> for </w:t>
      </w:r>
      <w:r w:rsidR="006C5A36" w:rsidRPr="006C5A36">
        <w:t>Segluromet</w:t>
      </w:r>
      <w:r w:rsidR="006C5A36">
        <w:t xml:space="preserve"> approved with the submission which is described in </w:t>
      </w:r>
      <w:r w:rsidR="006C5A36" w:rsidRPr="002B3624">
        <w:t>this AusPAR is at Attachment 1</w:t>
      </w:r>
      <w:r w:rsidR="006C5A36">
        <w:t>C</w:t>
      </w:r>
      <w:r w:rsidR="006C5A36" w:rsidRPr="002B3624">
        <w:t>.</w:t>
      </w:r>
      <w:r w:rsidR="006C5A36">
        <w:t xml:space="preserve"> </w:t>
      </w:r>
      <w:r w:rsidRPr="002B3624">
        <w:t xml:space="preserve">For the most recent </w:t>
      </w:r>
      <w:r>
        <w:t>PI</w:t>
      </w:r>
      <w:r w:rsidR="006C5A36">
        <w:t>s</w:t>
      </w:r>
      <w:r>
        <w:t>,</w:t>
      </w:r>
      <w:r w:rsidRPr="002B3624">
        <w:t xml:space="preserve"> please refer to the </w:t>
      </w:r>
      <w:r w:rsidRPr="007C6B9B">
        <w:t xml:space="preserve">TGA website at </w:t>
      </w:r>
      <w:r w:rsidR="007C6B9B" w:rsidRPr="007C6B9B">
        <w:t>&lt;</w:t>
      </w:r>
      <w:hyperlink r:id="rId45" w:history="1">
        <w:r w:rsidR="007C6B9B" w:rsidRPr="007C6B9B">
          <w:rPr>
            <w:rStyle w:val="Hyperlink"/>
          </w:rPr>
          <w:t>https://www.tga.gov.au/product-information-pi</w:t>
        </w:r>
      </w:hyperlink>
      <w:proofErr w:type="gramStart"/>
      <w:r w:rsidR="00AD51CF">
        <w:t xml:space="preserve">&gt; </w:t>
      </w:r>
      <w:r w:rsidR="006C5A36">
        <w:t>.</w:t>
      </w:r>
      <w:proofErr w:type="gramEnd"/>
    </w:p>
    <w:p w14:paraId="22921ED9" w14:textId="0F787DEB" w:rsidR="00C80137" w:rsidRDefault="00C80137" w:rsidP="00C80137">
      <w:pPr>
        <w:pStyle w:val="Heading2"/>
        <w:rPr>
          <w:lang w:eastAsia="en-AU"/>
        </w:rPr>
      </w:pPr>
      <w:bookmarkStart w:id="291" w:name="_Toc4405844"/>
      <w:proofErr w:type="gramStart"/>
      <w:r>
        <w:rPr>
          <w:lang w:eastAsia="en-AU"/>
        </w:rPr>
        <w:t>Attachment 2.</w:t>
      </w:r>
      <w:proofErr w:type="gramEnd"/>
      <w:r w:rsidR="00A80B5B">
        <w:rPr>
          <w:lang w:eastAsia="en-AU"/>
        </w:rPr>
        <w:t xml:space="preserve"> </w:t>
      </w:r>
      <w:r w:rsidR="004A4114">
        <w:rPr>
          <w:lang w:eastAsia="en-AU"/>
        </w:rPr>
        <w:t xml:space="preserve">(Parts 1 and 2) </w:t>
      </w:r>
      <w:r>
        <w:rPr>
          <w:lang w:eastAsia="en-AU"/>
        </w:rPr>
        <w:t>Extract from the Clinical Evaluation Report</w:t>
      </w:r>
      <w:r w:rsidR="006C5A36">
        <w:rPr>
          <w:lang w:eastAsia="en-AU"/>
        </w:rPr>
        <w:t xml:space="preserve"> </w:t>
      </w:r>
      <w:r w:rsidR="00B51DF2">
        <w:rPr>
          <w:lang w:eastAsia="en-AU"/>
        </w:rPr>
        <w:t xml:space="preserve">for </w:t>
      </w:r>
      <w:r w:rsidR="006C5A36">
        <w:rPr>
          <w:lang w:eastAsia="en-AU"/>
        </w:rPr>
        <w:t>Steglatro</w:t>
      </w:r>
      <w:bookmarkEnd w:id="291"/>
    </w:p>
    <w:p w14:paraId="5AB61FA8" w14:textId="77777777" w:rsidR="006C5A36" w:rsidRDefault="006C5A36" w:rsidP="006C5A36">
      <w:pPr>
        <w:pStyle w:val="Heading2"/>
        <w:rPr>
          <w:lang w:eastAsia="en-AU"/>
        </w:rPr>
      </w:pPr>
      <w:bookmarkStart w:id="292" w:name="_Toc4405845"/>
      <w:proofErr w:type="gramStart"/>
      <w:r>
        <w:rPr>
          <w:lang w:eastAsia="en-AU"/>
        </w:rPr>
        <w:t>Attachment 3.</w:t>
      </w:r>
      <w:proofErr w:type="gramEnd"/>
      <w:r>
        <w:rPr>
          <w:lang w:eastAsia="en-AU"/>
        </w:rPr>
        <w:t xml:space="preserve"> Extract from the Clinical Evaluation Report </w:t>
      </w:r>
      <w:r w:rsidR="00B51DF2">
        <w:rPr>
          <w:lang w:eastAsia="en-AU"/>
        </w:rPr>
        <w:t xml:space="preserve">for </w:t>
      </w:r>
      <w:r>
        <w:t>Steglujan</w:t>
      </w:r>
      <w:bookmarkEnd w:id="292"/>
    </w:p>
    <w:p w14:paraId="17E94C0C" w14:textId="77777777" w:rsidR="006C5A36" w:rsidRDefault="006C5A36" w:rsidP="006C5A36">
      <w:pPr>
        <w:pStyle w:val="Heading2"/>
        <w:rPr>
          <w:lang w:eastAsia="en-AU"/>
        </w:rPr>
      </w:pPr>
      <w:bookmarkStart w:id="293" w:name="_Toc4405846"/>
      <w:proofErr w:type="gramStart"/>
      <w:r>
        <w:rPr>
          <w:lang w:eastAsia="en-AU"/>
        </w:rPr>
        <w:t>Attachment 4.</w:t>
      </w:r>
      <w:proofErr w:type="gramEnd"/>
      <w:r>
        <w:rPr>
          <w:lang w:eastAsia="en-AU"/>
        </w:rPr>
        <w:t xml:space="preserve"> Extract from the Clinical Evaluation Report </w:t>
      </w:r>
      <w:r w:rsidR="00B51DF2">
        <w:rPr>
          <w:lang w:eastAsia="en-AU"/>
        </w:rPr>
        <w:t xml:space="preserve">for </w:t>
      </w:r>
      <w:r w:rsidRPr="006C5A36">
        <w:rPr>
          <w:lang w:eastAsia="en-AU"/>
        </w:rPr>
        <w:t>Segluromet</w:t>
      </w:r>
      <w:bookmarkEnd w:id="293"/>
    </w:p>
    <w:p w14:paraId="6C171DEE" w14:textId="77777777" w:rsidR="00383069" w:rsidRDefault="00383069" w:rsidP="00C80137">
      <w:pPr>
        <w:autoSpaceDE w:val="0"/>
        <w:autoSpaceDN w:val="0"/>
        <w:adjustRightInd w:val="0"/>
        <w:spacing w:after="0"/>
        <w:rPr>
          <w:b/>
        </w:rPr>
      </w:pPr>
    </w:p>
    <w:p w14:paraId="4DE42ECB" w14:textId="77777777" w:rsidR="00C80137" w:rsidRPr="001D043B" w:rsidRDefault="00C80137" w:rsidP="003A7F6C">
      <w:pPr>
        <w:pStyle w:val="TableTitle"/>
        <w:sectPr w:rsidR="00C80137" w:rsidRPr="001D043B" w:rsidSect="00B452CE">
          <w:headerReference w:type="even" r:id="rId46"/>
          <w:headerReference w:type="default" r:id="rId47"/>
          <w:headerReference w:type="first" r:id="rId48"/>
          <w:footerReference w:type="first" r:id="rId49"/>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561ABC75" w14:textId="77777777" w:rsidTr="00A05FA4">
        <w:trPr>
          <w:trHeight w:hRule="exact" w:val="704"/>
        </w:trPr>
        <w:tc>
          <w:tcPr>
            <w:tcW w:w="9175" w:type="dxa"/>
          </w:tcPr>
          <w:p w14:paraId="45E3FAD6" w14:textId="77777777" w:rsidR="001C32CD" w:rsidRPr="00487162" w:rsidRDefault="001C32CD" w:rsidP="00A05FA4">
            <w:pPr>
              <w:pStyle w:val="TGASignoff"/>
            </w:pPr>
            <w:r w:rsidRPr="00487162">
              <w:lastRenderedPageBreak/>
              <w:t>Therapeutic Goods Administration</w:t>
            </w:r>
          </w:p>
        </w:tc>
      </w:tr>
      <w:tr w:rsidR="001C32CD" w:rsidRPr="004C239D" w14:paraId="402369CF" w14:textId="77777777" w:rsidTr="00A05FA4">
        <w:trPr>
          <w:trHeight w:val="1221"/>
        </w:trPr>
        <w:tc>
          <w:tcPr>
            <w:tcW w:w="9175" w:type="dxa"/>
            <w:tcMar>
              <w:top w:w="28" w:type="dxa"/>
            </w:tcMar>
          </w:tcPr>
          <w:p w14:paraId="5ABCB0BD" w14:textId="77777777" w:rsidR="001C32CD" w:rsidRPr="00487162" w:rsidRDefault="001C32CD" w:rsidP="00A05FA4">
            <w:pPr>
              <w:pStyle w:val="Address"/>
            </w:pPr>
            <w:r w:rsidRPr="00487162">
              <w:t>PO Box 100 Woden ACT 2606 Australia</w:t>
            </w:r>
          </w:p>
          <w:p w14:paraId="13D53381" w14:textId="77777777" w:rsidR="001C32CD" w:rsidRPr="00487162" w:rsidRDefault="001C32CD" w:rsidP="00A05FA4">
            <w:pPr>
              <w:pStyle w:val="Address"/>
            </w:pPr>
            <w:r w:rsidRPr="00487162">
              <w:t xml:space="preserve">Email: </w:t>
            </w:r>
            <w:hyperlink r:id="rId50" w:history="1">
              <w:r w:rsidRPr="004C239D">
                <w:rPr>
                  <w:rStyle w:val="Hyperlink"/>
                </w:rPr>
                <w:t>info@tga.gov.au</w:t>
              </w:r>
            </w:hyperlink>
            <w:r w:rsidR="009A3F68">
              <w:t xml:space="preserve"> </w:t>
            </w:r>
            <w:r w:rsidRPr="00487162">
              <w:t>Phone: 1800 020 653</w:t>
            </w:r>
            <w:r w:rsidR="009A3F68">
              <w:t xml:space="preserve"> </w:t>
            </w:r>
            <w:r w:rsidRPr="00487162">
              <w:t>Fax: 02 6232 8605</w:t>
            </w:r>
          </w:p>
          <w:p w14:paraId="7525A477" w14:textId="77777777" w:rsidR="001C32CD" w:rsidRPr="004C239D" w:rsidRDefault="000F7272" w:rsidP="00A05FA4">
            <w:pPr>
              <w:pStyle w:val="Address"/>
              <w:spacing w:line="260" w:lineRule="atLeast"/>
              <w:rPr>
                <w:b/>
                <w:color w:val="0000FF"/>
                <w:u w:val="single"/>
              </w:rPr>
            </w:pPr>
            <w:hyperlink r:id="rId51" w:history="1">
              <w:r w:rsidR="007C6B9B" w:rsidRPr="007C6B9B">
                <w:rPr>
                  <w:rStyle w:val="Hyperlink"/>
                  <w:b/>
                </w:rPr>
                <w:t>https://www.tga.gov.au</w:t>
              </w:r>
            </w:hyperlink>
          </w:p>
        </w:tc>
      </w:tr>
    </w:tbl>
    <w:p w14:paraId="299EF85A" w14:textId="77777777" w:rsidR="00774E1D" w:rsidRPr="008A5E0B" w:rsidRDefault="00774E1D" w:rsidP="004C239D"/>
    <w:sectPr w:rsidR="00774E1D" w:rsidRPr="008A5E0B" w:rsidSect="001C32CD">
      <w:headerReference w:type="even" r:id="rId52"/>
      <w:headerReference w:type="default" r:id="rId53"/>
      <w:footerReference w:type="default" r:id="rId54"/>
      <w:headerReference w:type="first" r:id="rId55"/>
      <w:footerReference w:type="first" r:id="rId56"/>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B3DB39" w14:textId="77777777" w:rsidR="000F7272" w:rsidRDefault="000F7272" w:rsidP="00C40A36">
      <w:pPr>
        <w:spacing w:after="0"/>
      </w:pPr>
      <w:r>
        <w:separator/>
      </w:r>
    </w:p>
  </w:endnote>
  <w:endnote w:type="continuationSeparator" w:id="0">
    <w:p w14:paraId="61DDE2E7" w14:textId="77777777" w:rsidR="000F7272" w:rsidRDefault="000F7272" w:rsidP="00C40A36">
      <w:pPr>
        <w:spacing w:after="0"/>
      </w:pPr>
      <w:r>
        <w:continuationSeparator/>
      </w:r>
    </w:p>
  </w:endnote>
  <w:endnote w:type="continuationNotice" w:id="1">
    <w:p w14:paraId="4F922993" w14:textId="77777777" w:rsidR="000F7272" w:rsidRDefault="000F727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MT">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00"/>
    <w:family w:val="roman"/>
    <w:notTrueType/>
    <w:pitch w:val="default"/>
    <w:sig w:usb0="00000003" w:usb1="08070000" w:usb2="00000010" w:usb3="00000000" w:csb0="0002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Arial-ItalicMT">
    <w:altName w:val="MS Gothic"/>
    <w:panose1 w:val="00000000000000000000"/>
    <w:charset w:val="00"/>
    <w:family w:val="swiss"/>
    <w:notTrueType/>
    <w:pitch w:val="default"/>
    <w:sig w:usb0="00000000" w:usb1="08070000" w:usb2="00000010" w:usb3="00000000" w:csb0="00020001" w:csb1="00000000"/>
  </w:font>
  <w:font w:name="SymbolMT">
    <w:altName w:val="MS Mincho"/>
    <w:panose1 w:val="00000000000000000000"/>
    <w:charset w:val="80"/>
    <w:family w:val="auto"/>
    <w:notTrueType/>
    <w:pitch w:val="default"/>
    <w:sig w:usb0="00000001" w:usb1="080F0000" w:usb2="00000010" w:usb3="00000000" w:csb0="001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0F7272" w:rsidRPr="00487162" w14:paraId="54ECDE28" w14:textId="77777777" w:rsidTr="00DB750B">
      <w:trPr>
        <w:trHeight w:val="269"/>
      </w:trPr>
      <w:tc>
        <w:tcPr>
          <w:tcW w:w="7371" w:type="dxa"/>
          <w:tcMar>
            <w:top w:w="142" w:type="dxa"/>
            <w:bottom w:w="0" w:type="dxa"/>
          </w:tcMar>
        </w:tcPr>
        <w:p w14:paraId="342D3F05" w14:textId="3557403E" w:rsidR="000F7272" w:rsidRPr="00F038D1" w:rsidRDefault="000F7272" w:rsidP="000F7272">
          <w:pPr>
            <w:autoSpaceDE w:val="0"/>
            <w:autoSpaceDN w:val="0"/>
            <w:adjustRightInd w:val="0"/>
            <w:spacing w:line="240" w:lineRule="auto"/>
            <w:rPr>
              <w:sz w:val="17"/>
              <w:szCs w:val="17"/>
            </w:rPr>
          </w:pPr>
          <w:r w:rsidRPr="00F038D1">
            <w:rPr>
              <w:sz w:val="17"/>
              <w:szCs w:val="17"/>
            </w:rPr>
            <w:t xml:space="preserve">AusPAR </w:t>
          </w:r>
          <w:r>
            <w:rPr>
              <w:sz w:val="17"/>
              <w:szCs w:val="17"/>
            </w:rPr>
            <w:t xml:space="preserve">Steglatro, Steglujan and Segluromet - </w:t>
          </w:r>
          <w:r w:rsidRPr="00F038D1">
            <w:rPr>
              <w:sz w:val="17"/>
              <w:szCs w:val="17"/>
            </w:rPr>
            <w:t xml:space="preserve">Ertugliflozin monotherapy; </w:t>
          </w:r>
          <w:r w:rsidRPr="00F038D1">
            <w:rPr>
              <w:sz w:val="17"/>
              <w:szCs w:val="17"/>
              <w:lang w:eastAsia="en-AU"/>
            </w:rPr>
            <w:t>Ertugliflozin Sitagliptin FDC; Ertugliflozin Metformin FDC</w:t>
          </w:r>
          <w:r>
            <w:rPr>
              <w:sz w:val="17"/>
              <w:szCs w:val="17"/>
              <w:lang w:eastAsia="en-AU"/>
            </w:rPr>
            <w:t xml:space="preserve"> - </w:t>
          </w:r>
          <w:r w:rsidRPr="00F038D1">
            <w:rPr>
              <w:sz w:val="17"/>
              <w:szCs w:val="17"/>
            </w:rPr>
            <w:t>Merck Sharpe and Dohme Pty Ltd PM-2017-013</w:t>
          </w:r>
          <w:r>
            <w:rPr>
              <w:sz w:val="17"/>
              <w:szCs w:val="17"/>
            </w:rPr>
            <w:t>2</w:t>
          </w:r>
          <w:r w:rsidRPr="00F038D1">
            <w:rPr>
              <w:sz w:val="17"/>
              <w:szCs w:val="17"/>
            </w:rPr>
            <w:t>8-1-5</w:t>
          </w:r>
          <w:r>
            <w:rPr>
              <w:sz w:val="17"/>
              <w:szCs w:val="17"/>
            </w:rPr>
            <w:t>;</w:t>
          </w:r>
          <w:r w:rsidRPr="00F038D1">
            <w:rPr>
              <w:sz w:val="17"/>
              <w:szCs w:val="17"/>
              <w:lang w:eastAsia="en-AU"/>
            </w:rPr>
            <w:t>PM-2017-01329-1-5</w:t>
          </w:r>
          <w:r>
            <w:rPr>
              <w:sz w:val="17"/>
              <w:szCs w:val="17"/>
              <w:lang w:eastAsia="en-AU"/>
            </w:rPr>
            <w:t xml:space="preserve"> and </w:t>
          </w:r>
          <w:r w:rsidRPr="00F038D1">
            <w:rPr>
              <w:sz w:val="17"/>
              <w:szCs w:val="17"/>
              <w:lang w:eastAsia="en-AU"/>
            </w:rPr>
            <w:t xml:space="preserve">PM-2017-01330-1-5 </w:t>
          </w:r>
          <w:r>
            <w:rPr>
              <w:sz w:val="17"/>
              <w:szCs w:val="17"/>
            </w:rPr>
            <w:t>FINAL  5 February 2019</w:t>
          </w:r>
        </w:p>
      </w:tc>
      <w:tc>
        <w:tcPr>
          <w:tcW w:w="1490" w:type="dxa"/>
          <w:tcMar>
            <w:top w:w="142" w:type="dxa"/>
            <w:bottom w:w="0" w:type="dxa"/>
          </w:tcMar>
        </w:tcPr>
        <w:p w14:paraId="46D783EC" w14:textId="77777777" w:rsidR="000F7272" w:rsidRPr="00487162" w:rsidRDefault="000F7272" w:rsidP="00DB750B">
          <w:pPr>
            <w:pStyle w:val="Footer"/>
            <w:jc w:val="right"/>
          </w:pPr>
          <w:r w:rsidRPr="00487162">
            <w:t xml:space="preserve">Page </w:t>
          </w:r>
          <w:r>
            <w:fldChar w:fldCharType="begin"/>
          </w:r>
          <w:r>
            <w:instrText xml:space="preserve"> PAGE  \* Arabic </w:instrText>
          </w:r>
          <w:r>
            <w:fldChar w:fldCharType="separate"/>
          </w:r>
          <w:r w:rsidR="00127692">
            <w:rPr>
              <w:noProof/>
            </w:rPr>
            <w:t>3</w:t>
          </w:r>
          <w:r>
            <w:fldChar w:fldCharType="end"/>
          </w:r>
          <w:r w:rsidRPr="00487162">
            <w:t xml:space="preserve"> of </w:t>
          </w:r>
          <w:r>
            <w:fldChar w:fldCharType="begin"/>
          </w:r>
          <w:r>
            <w:instrText xml:space="preserve"> NUMPAGES  \* Arabic </w:instrText>
          </w:r>
          <w:r>
            <w:fldChar w:fldCharType="separate"/>
          </w:r>
          <w:r w:rsidR="00127692">
            <w:rPr>
              <w:noProof/>
            </w:rPr>
            <w:t>125</w:t>
          </w:r>
          <w:r>
            <w:rPr>
              <w:noProof/>
            </w:rPr>
            <w:fldChar w:fldCharType="end"/>
          </w:r>
        </w:p>
      </w:tc>
    </w:tr>
  </w:tbl>
  <w:p w14:paraId="1E13942D" w14:textId="49A9E66A" w:rsidR="000F7272" w:rsidRDefault="000F7272"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F7272" w:rsidRPr="00487162" w14:paraId="5FB3F505" w14:textId="77777777" w:rsidTr="00E45619">
      <w:trPr>
        <w:trHeight w:val="269"/>
      </w:trPr>
      <w:tc>
        <w:tcPr>
          <w:tcW w:w="4519" w:type="dxa"/>
          <w:tcBorders>
            <w:top w:val="single" w:sz="4" w:space="0" w:color="auto"/>
          </w:tcBorders>
          <w:tcMar>
            <w:top w:w="142" w:type="dxa"/>
            <w:bottom w:w="0" w:type="dxa"/>
          </w:tcMar>
        </w:tcPr>
        <w:p w14:paraId="391A32F5" w14:textId="4F0FB9A9" w:rsidR="000F7272" w:rsidRPr="00487162" w:rsidRDefault="000F7272" w:rsidP="00FE1DEE">
          <w:pPr>
            <w:pStyle w:val="Footer"/>
          </w:pPr>
          <w:r w:rsidRPr="00487162">
            <w:t>Document title, Part #, Section # - Section title</w:t>
          </w:r>
        </w:p>
        <w:p w14:paraId="3D21ACC2" w14:textId="77777777" w:rsidR="000F7272" w:rsidRPr="00487162" w:rsidRDefault="000F7272" w:rsidP="00FE1DEE">
          <w:pPr>
            <w:pStyle w:val="Footer"/>
          </w:pPr>
          <w:r w:rsidRPr="00487162">
            <w:t>V1.0 October 2010</w:t>
          </w:r>
        </w:p>
      </w:tc>
      <w:tc>
        <w:tcPr>
          <w:tcW w:w="4342" w:type="dxa"/>
          <w:tcBorders>
            <w:top w:val="single" w:sz="4" w:space="0" w:color="auto"/>
          </w:tcBorders>
          <w:tcMar>
            <w:top w:w="142" w:type="dxa"/>
            <w:bottom w:w="0" w:type="dxa"/>
          </w:tcMar>
        </w:tcPr>
        <w:p w14:paraId="4FED5A74" w14:textId="63DD41C2" w:rsidR="000F7272" w:rsidRPr="00487162" w:rsidRDefault="000F727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127</w:t>
          </w:r>
          <w:r>
            <w:rPr>
              <w:noProof/>
            </w:rPr>
            <w:fldChar w:fldCharType="end"/>
          </w:r>
        </w:p>
      </w:tc>
    </w:tr>
  </w:tbl>
  <w:p w14:paraId="15CBBBB4" w14:textId="77777777" w:rsidR="000F7272" w:rsidRDefault="000F72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4A6C4" w14:textId="60DF7373" w:rsidR="000F7272" w:rsidRPr="001C32CD" w:rsidRDefault="000F7272"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F7272" w14:paraId="40F5D039" w14:textId="77777777" w:rsidTr="0010601F">
      <w:trPr>
        <w:trHeight w:val="108"/>
      </w:trPr>
      <w:tc>
        <w:tcPr>
          <w:tcW w:w="8875" w:type="dxa"/>
          <w:gridSpan w:val="2"/>
          <w:tcBorders>
            <w:bottom w:val="single" w:sz="4" w:space="0" w:color="auto"/>
          </w:tcBorders>
          <w:tcMar>
            <w:right w:w="284" w:type="dxa"/>
          </w:tcMar>
        </w:tcPr>
        <w:p w14:paraId="01F61510" w14:textId="77777777" w:rsidR="000F7272" w:rsidRDefault="000F7272" w:rsidP="006E08B3">
          <w:pPr>
            <w:pStyle w:val="Heading3"/>
          </w:pPr>
          <w:r>
            <w:t>Copyright</w:t>
          </w:r>
        </w:p>
        <w:p w14:paraId="5892C5D3" w14:textId="77777777" w:rsidR="000F7272" w:rsidRDefault="000F7272" w:rsidP="006E08B3">
          <w:r>
            <w:rPr>
              <w:rFonts w:cs="Arial"/>
            </w:rPr>
            <w:t>©</w:t>
          </w:r>
          <w:r>
            <w:t xml:space="preserve"> Commonwealth of Australia [add year]</w:t>
          </w:r>
        </w:p>
        <w:p w14:paraId="11BC26A5" w14:textId="77777777" w:rsidR="000F7272" w:rsidRDefault="000F7272" w:rsidP="006E08B3"/>
        <w:p w14:paraId="7A233D23" w14:textId="77777777" w:rsidR="000F7272" w:rsidRDefault="000F727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34ED6692" w14:textId="77777777" w:rsidR="000F7272" w:rsidRDefault="000F7272" w:rsidP="006E08B3"/>
        <w:p w14:paraId="1284B673" w14:textId="77777777" w:rsidR="000F7272" w:rsidRDefault="000F7272" w:rsidP="006E08B3">
          <w:pPr>
            <w:pStyle w:val="Heading3"/>
          </w:pPr>
          <w:r>
            <w:t>Confidentiality</w:t>
          </w:r>
        </w:p>
        <w:p w14:paraId="0858113A" w14:textId="77777777" w:rsidR="000F7272" w:rsidRDefault="000F727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599A16F" w14:textId="77777777" w:rsidR="000F7272" w:rsidRDefault="000F7272" w:rsidP="006E08B3"/>
        <w:p w14:paraId="61D2DE1D" w14:textId="77777777" w:rsidR="000F7272" w:rsidRDefault="000F7272" w:rsidP="006E08B3">
          <w:r>
            <w:t>For submission made by individuals, all personal details, other than your name, will be removed from your submission before it is published on the TGA’s Internet site.</w:t>
          </w:r>
        </w:p>
        <w:p w14:paraId="719FE09D" w14:textId="77777777" w:rsidR="000F7272" w:rsidRDefault="000F7272" w:rsidP="006E08B3"/>
        <w:p w14:paraId="1D78DE53" w14:textId="77777777" w:rsidR="000F7272" w:rsidRDefault="000F7272" w:rsidP="006E08B3">
          <w:r>
            <w:t>In addition, a list of parties making submissions will be published. If you do not wish to be identified with your submission you must specifically request this in the space provided ib the submission coversheet.</w:t>
          </w:r>
        </w:p>
      </w:tc>
    </w:tr>
    <w:tr w:rsidR="000F7272" w14:paraId="7107BA9C" w14:textId="77777777" w:rsidTr="0010601F">
      <w:trPr>
        <w:trHeight w:val="417"/>
      </w:trPr>
      <w:tc>
        <w:tcPr>
          <w:tcW w:w="4519" w:type="dxa"/>
          <w:tcBorders>
            <w:top w:val="single" w:sz="4" w:space="0" w:color="auto"/>
          </w:tcBorders>
          <w:tcMar>
            <w:top w:w="142" w:type="dxa"/>
            <w:bottom w:w="0" w:type="dxa"/>
          </w:tcMar>
        </w:tcPr>
        <w:p w14:paraId="3141EBC8" w14:textId="77777777" w:rsidR="000F7272" w:rsidRDefault="000F7272" w:rsidP="006E08B3">
          <w:r>
            <w:t>Document title, Part #, Section # - Section title</w:t>
          </w:r>
        </w:p>
        <w:p w14:paraId="48FF1FAA" w14:textId="77777777" w:rsidR="000F7272" w:rsidRDefault="000F7272" w:rsidP="006E08B3">
          <w:r>
            <w:t>V1.0 October 2010</w:t>
          </w:r>
        </w:p>
      </w:tc>
      <w:tc>
        <w:tcPr>
          <w:tcW w:w="4356" w:type="dxa"/>
          <w:tcBorders>
            <w:top w:val="single" w:sz="4" w:space="0" w:color="auto"/>
          </w:tcBorders>
          <w:tcMar>
            <w:top w:w="142" w:type="dxa"/>
            <w:bottom w:w="0" w:type="dxa"/>
          </w:tcMar>
        </w:tcPr>
        <w:p w14:paraId="7E6E8596" w14:textId="4E96E10A" w:rsidR="000F7272" w:rsidRDefault="000F727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127</w:t>
          </w:r>
          <w:r>
            <w:rPr>
              <w:noProof/>
            </w:rPr>
            <w:fldChar w:fldCharType="end"/>
          </w:r>
          <w:r>
            <w:t xml:space="preserve"> </w:t>
          </w:r>
        </w:p>
      </w:tc>
    </w:tr>
  </w:tbl>
  <w:p w14:paraId="508EDAE5" w14:textId="77777777" w:rsidR="000F7272" w:rsidRDefault="000F727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92CA68" w14:textId="77777777" w:rsidR="000F7272" w:rsidRDefault="000F7272" w:rsidP="00C40A36">
      <w:pPr>
        <w:spacing w:after="0"/>
      </w:pPr>
      <w:r>
        <w:separator/>
      </w:r>
    </w:p>
  </w:footnote>
  <w:footnote w:type="continuationSeparator" w:id="0">
    <w:p w14:paraId="42EE6E1C" w14:textId="77777777" w:rsidR="000F7272" w:rsidRDefault="000F7272" w:rsidP="00C40A36">
      <w:pPr>
        <w:spacing w:after="0"/>
      </w:pPr>
      <w:r>
        <w:continuationSeparator/>
      </w:r>
    </w:p>
  </w:footnote>
  <w:footnote w:type="continuationNotice" w:id="1">
    <w:p w14:paraId="1E4E8051" w14:textId="77777777" w:rsidR="000F7272" w:rsidRDefault="000F7272">
      <w:pPr>
        <w:spacing w:before="0" w:after="0" w:line="240" w:lineRule="auto"/>
      </w:pPr>
    </w:p>
  </w:footnote>
  <w:footnote w:id="2">
    <w:p w14:paraId="4ED34217" w14:textId="77777777" w:rsidR="000F7272" w:rsidRPr="00171215" w:rsidRDefault="000F7272" w:rsidP="00BF2AB2">
      <w:pPr>
        <w:pStyle w:val="FootnoteText"/>
        <w:rPr>
          <w:lang w:val="en-US"/>
        </w:rPr>
      </w:pPr>
      <w:r>
        <w:rPr>
          <w:rStyle w:val="FootnoteReference"/>
        </w:rPr>
        <w:footnoteRef/>
      </w:r>
      <w:r w:rsidRPr="00171215">
        <w:rPr>
          <w:lang w:val="en-US"/>
        </w:rPr>
        <w:t>Wanner</w:t>
      </w:r>
      <w:r>
        <w:rPr>
          <w:lang w:val="en-US"/>
        </w:rPr>
        <w:t xml:space="preserve"> C</w:t>
      </w:r>
      <w:r w:rsidRPr="00171215">
        <w:rPr>
          <w:lang w:val="en-US"/>
        </w:rPr>
        <w:t xml:space="preserve"> Empagliflozin and Progression of Kidney Disease in Type 2 Diabetes,</w:t>
      </w:r>
      <w:r>
        <w:rPr>
          <w:lang w:val="en-US"/>
        </w:rPr>
        <w:t xml:space="preserve"> </w:t>
      </w:r>
      <w:r w:rsidRPr="00571879">
        <w:rPr>
          <w:i/>
          <w:lang w:val="en-US"/>
        </w:rPr>
        <w:t>N Engl J Med</w:t>
      </w:r>
      <w:r>
        <w:rPr>
          <w:lang w:val="en-US"/>
        </w:rPr>
        <w:t xml:space="preserve"> 375:323-334</w:t>
      </w:r>
    </w:p>
  </w:footnote>
  <w:footnote w:id="3">
    <w:p w14:paraId="199B3BB5" w14:textId="77777777" w:rsidR="000F7272" w:rsidRPr="000B5869" w:rsidRDefault="000F7272" w:rsidP="00BF2AB2">
      <w:pPr>
        <w:pStyle w:val="FootnoteText"/>
        <w:rPr>
          <w:lang w:val="en-US"/>
        </w:rPr>
      </w:pPr>
      <w:r>
        <w:rPr>
          <w:rStyle w:val="FootnoteReference"/>
        </w:rPr>
        <w:footnoteRef/>
      </w:r>
      <w:r>
        <w:t xml:space="preserve"> </w:t>
      </w:r>
      <w:r>
        <w:rPr>
          <w:lang w:val="en-US"/>
        </w:rPr>
        <w:t xml:space="preserve">Neal B. </w:t>
      </w:r>
      <w:r w:rsidRPr="000B5869">
        <w:rPr>
          <w:lang w:val="en-US"/>
        </w:rPr>
        <w:t>Canagliflozin and Cardiovascular and Renal Events in Type 2 Diabetes</w:t>
      </w:r>
      <w:r>
        <w:rPr>
          <w:lang w:val="en-US"/>
        </w:rPr>
        <w:t xml:space="preserve"> </w:t>
      </w:r>
      <w:r w:rsidRPr="00571879">
        <w:rPr>
          <w:i/>
          <w:lang w:val="en-US"/>
        </w:rPr>
        <w:t>N Engl J Med</w:t>
      </w:r>
      <w:r>
        <w:rPr>
          <w:lang w:val="en-US"/>
        </w:rPr>
        <w:t xml:space="preserve"> 377:644-657</w:t>
      </w:r>
    </w:p>
  </w:footnote>
  <w:footnote w:id="4">
    <w:p w14:paraId="271024EC" w14:textId="63AA38EB" w:rsidR="000F7272" w:rsidRPr="00F85404" w:rsidRDefault="000F7272" w:rsidP="00326C01">
      <w:pPr>
        <w:autoSpaceDE w:val="0"/>
        <w:autoSpaceDN w:val="0"/>
        <w:adjustRightInd w:val="0"/>
        <w:spacing w:before="0" w:after="0" w:line="240" w:lineRule="auto"/>
        <w:rPr>
          <w:rStyle w:val="FootnoteTextChar"/>
        </w:rPr>
      </w:pPr>
      <w:r>
        <w:rPr>
          <w:rStyle w:val="FootnoteReference"/>
        </w:rPr>
        <w:footnoteRef/>
      </w:r>
      <w:r>
        <w:t xml:space="preserve"> </w:t>
      </w:r>
      <w:r w:rsidRPr="00F85404">
        <w:rPr>
          <w:rStyle w:val="FootnoteTextChar"/>
        </w:rPr>
        <w:t xml:space="preserve">IDF Diabetes Atlas Group. Update of mortality attributable to diabetes for the IDF Diabetes Atlas: Estimates for the year 2013. </w:t>
      </w:r>
      <w:proofErr w:type="gramStart"/>
      <w:r w:rsidRPr="00F85404">
        <w:rPr>
          <w:rStyle w:val="FootnoteTextChar"/>
          <w:i/>
        </w:rPr>
        <w:t>Diabetes Res Clin Pract</w:t>
      </w:r>
      <w:r w:rsidRPr="00F85404">
        <w:rPr>
          <w:rStyle w:val="FootnoteTextChar"/>
        </w:rPr>
        <w:t>.</w:t>
      </w:r>
      <w:proofErr w:type="gramEnd"/>
      <w:r w:rsidRPr="00F85404">
        <w:rPr>
          <w:rStyle w:val="FootnoteTextChar"/>
        </w:rPr>
        <w:t xml:space="preserve"> 2015</w:t>
      </w:r>
      <w:proofErr w:type="gramStart"/>
      <w:r w:rsidRPr="00F85404">
        <w:rPr>
          <w:rStyle w:val="FootnoteTextChar"/>
        </w:rPr>
        <w:t>;109:461</w:t>
      </w:r>
      <w:proofErr w:type="gramEnd"/>
      <w:r w:rsidRPr="00F85404">
        <w:rPr>
          <w:rStyle w:val="FootnoteTextChar"/>
        </w:rPr>
        <w:t>-</w:t>
      </w:r>
      <w:r>
        <w:rPr>
          <w:rStyle w:val="FootnoteTextChar"/>
        </w:rPr>
        <w:t>46</w:t>
      </w:r>
      <w:r w:rsidRPr="00F85404">
        <w:rPr>
          <w:rStyle w:val="FootnoteTextChar"/>
        </w:rPr>
        <w:t>5.</w:t>
      </w:r>
    </w:p>
  </w:footnote>
  <w:footnote w:id="5">
    <w:p w14:paraId="31653565" w14:textId="77777777" w:rsidR="000F7272" w:rsidRPr="00F85404" w:rsidRDefault="000F7272" w:rsidP="00326C01">
      <w:pPr>
        <w:pStyle w:val="FootnoteText"/>
      </w:pPr>
      <w:r w:rsidRPr="002A406C">
        <w:rPr>
          <w:rStyle w:val="FootnoteReference"/>
          <w:sz w:val="16"/>
          <w:szCs w:val="16"/>
        </w:rPr>
        <w:footnoteRef/>
      </w:r>
      <w:r w:rsidRPr="002A406C">
        <w:rPr>
          <w:sz w:val="16"/>
          <w:szCs w:val="16"/>
        </w:rPr>
        <w:t xml:space="preserve"> </w:t>
      </w:r>
      <w:r w:rsidRPr="00F85404">
        <w:t>www.diabetesaustralia.com.au</w:t>
      </w:r>
    </w:p>
  </w:footnote>
  <w:footnote w:id="6">
    <w:p w14:paraId="12BE3E5C" w14:textId="304D78E3" w:rsidR="000F7272" w:rsidRPr="00040671" w:rsidRDefault="000F7272" w:rsidP="00571879">
      <w:pPr>
        <w:pStyle w:val="FootnoteText"/>
      </w:pPr>
      <w:r w:rsidRPr="00040671">
        <w:rPr>
          <w:rStyle w:val="FootnoteReference"/>
          <w:szCs w:val="18"/>
        </w:rPr>
        <w:footnoteRef/>
      </w:r>
      <w:r w:rsidRPr="00040671">
        <w:t xml:space="preserve"> Stratton IM, et al. Association of glycaemia with macrovascular and microvascular complications of type 2 diabetes (UKPDS 35):</w:t>
      </w:r>
      <w:r>
        <w:t xml:space="preserve"> </w:t>
      </w:r>
      <w:r w:rsidRPr="00040671">
        <w:t xml:space="preserve">Prospective observational study. </w:t>
      </w:r>
      <w:r w:rsidRPr="00F85404">
        <w:rPr>
          <w:i/>
        </w:rPr>
        <w:t>BMJ</w:t>
      </w:r>
      <w:r w:rsidRPr="00040671">
        <w:t xml:space="preserve"> 2000;</w:t>
      </w:r>
      <w:r>
        <w:t xml:space="preserve"> </w:t>
      </w:r>
      <w:r w:rsidRPr="00040671">
        <w:t>321:</w:t>
      </w:r>
      <w:r>
        <w:t xml:space="preserve"> </w:t>
      </w:r>
      <w:r w:rsidRPr="00040671">
        <w:t>405-</w:t>
      </w:r>
      <w:r>
        <w:t>4</w:t>
      </w:r>
      <w:r w:rsidRPr="00040671">
        <w:t>12.</w:t>
      </w:r>
    </w:p>
  </w:footnote>
  <w:footnote w:id="7">
    <w:p w14:paraId="276AFAA8" w14:textId="77777777" w:rsidR="000F7272" w:rsidRPr="00F56832" w:rsidRDefault="000F7272" w:rsidP="00F56832">
      <w:pPr>
        <w:pStyle w:val="FootnoteText"/>
        <w:spacing w:before="120" w:after="120"/>
        <w:rPr>
          <w:lang w:eastAsia="ja-JP"/>
        </w:rPr>
      </w:pPr>
      <w:r>
        <w:rPr>
          <w:rStyle w:val="FootnoteReference"/>
        </w:rPr>
        <w:footnoteRef/>
      </w:r>
      <w:r>
        <w:t xml:space="preserve"> </w:t>
      </w:r>
      <w:r w:rsidRPr="00F56832">
        <w:rPr>
          <w:lang w:eastAsia="ja-JP"/>
        </w:rPr>
        <w:t>The Biopharmaceutics Classification System (BCS) is</w:t>
      </w:r>
      <w:r>
        <w:rPr>
          <w:lang w:eastAsia="ja-JP"/>
        </w:rPr>
        <w:t xml:space="preserve"> </w:t>
      </w:r>
      <w:proofErr w:type="gramStart"/>
      <w:r>
        <w:rPr>
          <w:lang w:eastAsia="ja-JP"/>
        </w:rPr>
        <w:t>a guidance</w:t>
      </w:r>
      <w:proofErr w:type="gramEnd"/>
      <w:r>
        <w:rPr>
          <w:lang w:eastAsia="ja-JP"/>
        </w:rPr>
        <w:t xml:space="preserve"> for predicting the intestinal drug absorption provided by the U.S. Food and Drug Administration. According to the BCS, drug substances are classified as follows: Class I: high permeability, high solubility; Class II: high permeability, low solubility; Class III: low permeability, high solubility; Class IV: low permeability, low solubility.</w:t>
      </w:r>
    </w:p>
  </w:footnote>
  <w:footnote w:id="8">
    <w:p w14:paraId="04292991" w14:textId="77777777" w:rsidR="000F7272" w:rsidRPr="00917EE3" w:rsidRDefault="000F7272" w:rsidP="008836A9">
      <w:pPr>
        <w:pStyle w:val="FootnoteText"/>
        <w:spacing w:before="120" w:after="120"/>
        <w:rPr>
          <w:lang w:eastAsia="ja-JP"/>
        </w:rPr>
      </w:pPr>
      <w:r>
        <w:rPr>
          <w:rStyle w:val="FootnoteReference"/>
        </w:rPr>
        <w:footnoteRef/>
      </w:r>
      <w:r>
        <w:t xml:space="preserve"> Therapeutic Goods Order 78 (</w:t>
      </w:r>
      <w:r>
        <w:rPr>
          <w:lang w:eastAsia="ja-JP"/>
        </w:rPr>
        <w:t>TGO 78) describes the standards required for tablets and capsules.</w:t>
      </w:r>
    </w:p>
  </w:footnote>
  <w:footnote w:id="9">
    <w:p w14:paraId="0F56217D" w14:textId="77777777" w:rsidR="000F7272" w:rsidRPr="009E39B0" w:rsidRDefault="000F7272">
      <w:pPr>
        <w:pStyle w:val="FootnoteText"/>
        <w:rPr>
          <w:lang w:val="en-US"/>
        </w:rPr>
      </w:pPr>
      <w:r>
        <w:rPr>
          <w:rStyle w:val="FootnoteReference"/>
        </w:rPr>
        <w:footnoteRef/>
      </w:r>
      <w:r>
        <w:t xml:space="preserve"> I</w:t>
      </w:r>
      <w:r w:rsidRPr="009E39B0">
        <w:t>ncluding ICH M3 (R2) Nonclinical safety studies for the conduct of human clinical trials and marketing authorisation for pharmaceuticals</w:t>
      </w:r>
      <w:r>
        <w:t>.</w:t>
      </w:r>
    </w:p>
  </w:footnote>
  <w:footnote w:id="10">
    <w:p w14:paraId="764F83C9" w14:textId="55AD5461" w:rsidR="000F7272" w:rsidRDefault="000F7272" w:rsidP="009E39B0">
      <w:pPr>
        <w:pStyle w:val="FootnoteText"/>
      </w:pPr>
      <w:r>
        <w:rPr>
          <w:rStyle w:val="FootnoteReference"/>
        </w:rPr>
        <w:footnoteRef/>
      </w:r>
      <w:r>
        <w:t xml:space="preserve"> Comparisons in this section are based on </w:t>
      </w:r>
      <w:r w:rsidRPr="005C2172">
        <w:rPr>
          <w:kern w:val="2"/>
        </w:rPr>
        <w:t>C</w:t>
      </w:r>
      <w:r w:rsidRPr="005C2172">
        <w:rPr>
          <w:kern w:val="2"/>
          <w:vertAlign w:val="subscript"/>
        </w:rPr>
        <w:t>max</w:t>
      </w:r>
      <w:r>
        <w:t xml:space="preserve"> values for total ertugliflozin of 1.52 µg/mL, 8.23 µg/mL and 73.3 µg/mL in rats at 5, 25 and 500 mg/kg (using day 1 values from Study TT097890), 6.71 µg/mL and 44.7 µg/mL in dogs at 25 and 50  mg/kg (from Studies TT097888 and TT097887), and 0.268 µg/mL in humans at 15 mg/day PO (Study P035/1051), and plasma protein binding of 96.0%, 96.8% and 93.6% in the respective species (Study PK036-MK8835), equating to 60.8, 329, 2932, 215, 1430 and 17.2 ng/mL free ertugliflozin.</w:t>
      </w:r>
    </w:p>
  </w:footnote>
  <w:footnote w:id="11">
    <w:p w14:paraId="637FABE1" w14:textId="77777777" w:rsidR="000F7272" w:rsidRPr="00FA6C7E" w:rsidRDefault="000F7272">
      <w:pPr>
        <w:pStyle w:val="FootnoteText"/>
        <w:rPr>
          <w:lang w:val="en-US"/>
        </w:rPr>
      </w:pPr>
      <w:r>
        <w:rPr>
          <w:rStyle w:val="FootnoteReference"/>
        </w:rPr>
        <w:footnoteRef/>
      </w:r>
      <w:r>
        <w:t xml:space="preserve"> </w:t>
      </w:r>
      <w:r w:rsidRPr="00FA6C7E">
        <w:t>The QT interval is the time from the start of the Q wave to the end of the T wave. It represents the time taken for ventricular depolarisation and repolarisation, effectively the period of ventricular systole from ventricular isovolumetric contraction to isovolumetric relaxation. The QT shortens at faster heart rates. An abnormally prolonged QT is associated with an increased risk of ventricular arrhythmias, especially Torsades de Pointes.</w:t>
      </w:r>
    </w:p>
  </w:footnote>
  <w:footnote w:id="12">
    <w:p w14:paraId="33F1CC4D" w14:textId="08270987" w:rsidR="000F7272" w:rsidRPr="00201657" w:rsidRDefault="000F7272" w:rsidP="009E39B0">
      <w:pPr>
        <w:pStyle w:val="FootnoteText"/>
      </w:pPr>
      <w:r w:rsidRPr="00201657">
        <w:rPr>
          <w:rStyle w:val="FootnoteReference"/>
        </w:rPr>
        <w:footnoteRef/>
      </w:r>
      <w:r w:rsidRPr="00201657">
        <w:t xml:space="preserve"> </w:t>
      </w:r>
      <w:r>
        <w:t>Assessment is based on the EMA g</w:t>
      </w:r>
      <w:r w:rsidRPr="003D20F6">
        <w:t>uideline on the investigation of drug interactions</w:t>
      </w:r>
      <w:r>
        <w:t xml:space="preserve"> (CPMP/EWP/560/95/Rev. 1 Corr. 2), using values of 436.88 for molecular weight, 15 mg for dose, 268 ng/mL for clinical plasma </w:t>
      </w:r>
      <w:r w:rsidRPr="005C2172">
        <w:rPr>
          <w:kern w:val="2"/>
        </w:rPr>
        <w:t>C</w:t>
      </w:r>
      <w:r w:rsidRPr="005C2172">
        <w:rPr>
          <w:kern w:val="2"/>
          <w:vertAlign w:val="subscript"/>
        </w:rPr>
        <w:t>max</w:t>
      </w:r>
      <w:r>
        <w:t>, 93.6% for plasma protein binding, 0.25 L for intestinal volume, 0.329 h</w:t>
      </w:r>
      <w:r w:rsidRPr="00302225">
        <w:rPr>
          <w:vertAlign w:val="superscript"/>
        </w:rPr>
        <w:t>-1</w:t>
      </w:r>
      <w:r>
        <w:t xml:space="preserve"> for absorption rate constant, 1 for fraction absorbed from gut to portal vein, and 97 L/h for total hepatic blood flow.</w:t>
      </w:r>
    </w:p>
  </w:footnote>
  <w:footnote w:id="13">
    <w:p w14:paraId="5E377F96" w14:textId="77777777" w:rsidR="000F7272" w:rsidRPr="00CF4DC5" w:rsidRDefault="000F7272">
      <w:pPr>
        <w:pStyle w:val="FootnoteText"/>
        <w:rPr>
          <w:lang w:val="en-US"/>
        </w:rPr>
      </w:pPr>
      <w:r>
        <w:rPr>
          <w:rStyle w:val="FootnoteReference"/>
        </w:rPr>
        <w:footnoteRef/>
      </w:r>
      <w:r>
        <w:t xml:space="preserve"> ICH S1A Need for carcinogenicity studies of pharmaceuticals. </w:t>
      </w:r>
      <w:r w:rsidRPr="00CF4DC5">
        <w:t>ICH S1B Carcinogenicity: testing for carcinogenicity of pharmaceuticals</w:t>
      </w:r>
      <w:r>
        <w:t>. ICH S1C Dose selection for carcinogenicity studies pf pharmaceuticals.</w:t>
      </w:r>
    </w:p>
  </w:footnote>
  <w:footnote w:id="14">
    <w:p w14:paraId="122680A0" w14:textId="77777777" w:rsidR="000F7272" w:rsidRDefault="000F7272" w:rsidP="009E39B0">
      <w:pPr>
        <w:pStyle w:val="FootnoteText"/>
      </w:pPr>
      <w:r>
        <w:rPr>
          <w:rStyle w:val="FootnoteReference"/>
        </w:rPr>
        <w:footnoteRef/>
      </w:r>
      <w:r>
        <w:t xml:space="preserve"> </w:t>
      </w:r>
      <w:proofErr w:type="gramStart"/>
      <w:r w:rsidRPr="002C12DF">
        <w:t>Kavlock, R.J and J.A. Gray.</w:t>
      </w:r>
      <w:proofErr w:type="gramEnd"/>
      <w:r w:rsidRPr="002C12DF">
        <w:t xml:space="preserve"> </w:t>
      </w:r>
      <w:proofErr w:type="gramStart"/>
      <w:r w:rsidRPr="002C12DF">
        <w:t>(1982) Evaluation of renal function in neonatal rats.</w:t>
      </w:r>
      <w:proofErr w:type="gramEnd"/>
      <w:r w:rsidRPr="002C12DF">
        <w:t xml:space="preserve"> </w:t>
      </w:r>
      <w:r w:rsidRPr="002C12DF">
        <w:rPr>
          <w:i/>
        </w:rPr>
        <w:t>Biol. Neonate</w:t>
      </w:r>
      <w:r w:rsidRPr="002C12DF">
        <w:t xml:space="preserve"> </w:t>
      </w:r>
      <w:r w:rsidRPr="0066725A">
        <w:t>41</w:t>
      </w:r>
      <w:r w:rsidRPr="002C12DF">
        <w:rPr>
          <w:b/>
        </w:rPr>
        <w:t>:</w:t>
      </w:r>
      <w:r>
        <w:t> </w:t>
      </w:r>
      <w:r w:rsidRPr="002C12DF">
        <w:t>279–288.</w:t>
      </w:r>
    </w:p>
  </w:footnote>
  <w:footnote w:id="15">
    <w:p w14:paraId="6A213983" w14:textId="77777777" w:rsidR="000F7272" w:rsidRDefault="000F7272" w:rsidP="009E39B0">
      <w:pPr>
        <w:pStyle w:val="FootnoteText"/>
      </w:pPr>
      <w:r>
        <w:rPr>
          <w:rStyle w:val="FootnoteReference"/>
        </w:rPr>
        <w:footnoteRef/>
      </w:r>
      <w:r>
        <w:t xml:space="preserve"> </w:t>
      </w:r>
      <w:proofErr w:type="gramStart"/>
      <w:r w:rsidRPr="002C12DF">
        <w:t>Zoetis T. and Hurtt M.E. (2003) Species comparison of anatomical an</w:t>
      </w:r>
      <w:r>
        <w:t>d functional renal development.</w:t>
      </w:r>
      <w:proofErr w:type="gramEnd"/>
      <w:r>
        <w:t xml:space="preserve"> </w:t>
      </w:r>
      <w:r w:rsidRPr="002C12DF">
        <w:rPr>
          <w:i/>
        </w:rPr>
        <w:t>Birth Defects Res. (Pt B)</w:t>
      </w:r>
      <w:r w:rsidRPr="002C12DF">
        <w:t xml:space="preserve"> </w:t>
      </w:r>
      <w:r w:rsidRPr="0066725A">
        <w:t>68</w:t>
      </w:r>
      <w:r w:rsidRPr="002C12DF">
        <w:rPr>
          <w:b/>
        </w:rPr>
        <w:t>:</w:t>
      </w:r>
      <w:r>
        <w:t> </w:t>
      </w:r>
      <w:r w:rsidRPr="002C12DF">
        <w:t>111–120.</w:t>
      </w:r>
    </w:p>
  </w:footnote>
  <w:footnote w:id="16">
    <w:p w14:paraId="7093FE67" w14:textId="77777777" w:rsidR="000F7272" w:rsidRPr="00CF4DC5" w:rsidRDefault="000F7272" w:rsidP="008D3F2B">
      <w:pPr>
        <w:pStyle w:val="FootnoteText"/>
        <w:rPr>
          <w:lang w:val="en-US"/>
        </w:rPr>
      </w:pPr>
      <w:r>
        <w:rPr>
          <w:rStyle w:val="FootnoteReference"/>
        </w:rPr>
        <w:footnoteRef/>
      </w:r>
      <w:r>
        <w:t xml:space="preserve"> Category C: Drugs which, owing to their pharmacological effects, have caused or may be suspected of causing, harmful effects on the human fetus or neonate without causing malformations. These effects may be reversible. Accompanying texts should be consulted for further details.</w:t>
      </w:r>
    </w:p>
  </w:footnote>
  <w:footnote w:id="17">
    <w:p w14:paraId="7893A9C7" w14:textId="77777777" w:rsidR="000F7272" w:rsidRPr="00CF4DC5" w:rsidRDefault="000F7272" w:rsidP="008D3F2B">
      <w:pPr>
        <w:pStyle w:val="FootnoteText"/>
        <w:rPr>
          <w:lang w:val="en-US"/>
        </w:rPr>
      </w:pPr>
      <w:r>
        <w:rPr>
          <w:rStyle w:val="FootnoteReference"/>
        </w:rPr>
        <w:footnoteRef/>
      </w:r>
      <w:r>
        <w:t xml:space="preserve"> Category D: Drugs which have </w:t>
      </w:r>
      <w:proofErr w:type="gramStart"/>
      <w:r>
        <w:t>caused,</w:t>
      </w:r>
      <w:proofErr w:type="gramEnd"/>
      <w:r>
        <w:t xml:space="preserve">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18">
    <w:p w14:paraId="2EC73FD9" w14:textId="77777777" w:rsidR="000F7272" w:rsidRPr="003E1628" w:rsidRDefault="000F7272">
      <w:pPr>
        <w:pStyle w:val="FootnoteText"/>
        <w:rPr>
          <w:lang w:val="en-US"/>
        </w:rPr>
      </w:pPr>
      <w:r>
        <w:rPr>
          <w:rStyle w:val="FootnoteReference"/>
        </w:rPr>
        <w:footnoteRef/>
      </w:r>
      <w:r>
        <w:t xml:space="preserve"> </w:t>
      </w:r>
      <w:r w:rsidRPr="003E1628">
        <w:t>ICH S10: Photosafety evaluation of pharmaceuticals</w:t>
      </w:r>
    </w:p>
  </w:footnote>
  <w:footnote w:id="19">
    <w:p w14:paraId="2CE94319" w14:textId="77777777" w:rsidR="000F7272" w:rsidRPr="000A5476" w:rsidRDefault="000F7272" w:rsidP="000A5476">
      <w:pPr>
        <w:pStyle w:val="FootnoteText"/>
        <w:rPr>
          <w:lang w:val="en-US"/>
        </w:rPr>
      </w:pPr>
      <w:r>
        <w:rPr>
          <w:rStyle w:val="FootnoteReference"/>
        </w:rPr>
        <w:footnoteRef/>
      </w:r>
      <w:r>
        <w:t xml:space="preserve"> ICH Q3A (R2) Impurities in new drug substances Q3A</w:t>
      </w:r>
    </w:p>
  </w:footnote>
  <w:footnote w:id="20">
    <w:p w14:paraId="0BBFD2B4" w14:textId="77777777" w:rsidR="000F7272" w:rsidRPr="00D666BA" w:rsidRDefault="000F7272">
      <w:pPr>
        <w:pStyle w:val="FootnoteText"/>
        <w:rPr>
          <w:lang w:val="en-US"/>
        </w:rPr>
      </w:pPr>
      <w:r>
        <w:rPr>
          <w:rStyle w:val="FootnoteReference"/>
        </w:rPr>
        <w:footnoteRef/>
      </w:r>
      <w:r>
        <w:t xml:space="preserve"> </w:t>
      </w:r>
      <w:proofErr w:type="gramStart"/>
      <w:r w:rsidRPr="00D666BA">
        <w:t>EMA guideline on the nonclinical development of fixed combinations of medicinal products</w:t>
      </w:r>
      <w:r>
        <w:t>:</w:t>
      </w:r>
      <w:r w:rsidRPr="00D666BA">
        <w:t xml:space="preserve"> EMEA/CHMP/SWP/258498/2005]; ICH M3 (R2) Nonclinical safety studies for the conduct of human clinical trials and marketing authorisation for pharmaceuticals</w:t>
      </w:r>
      <w:r>
        <w:t>.</w:t>
      </w:r>
      <w:proofErr w:type="gramEnd"/>
    </w:p>
  </w:footnote>
  <w:footnote w:id="21">
    <w:p w14:paraId="5902F4D8" w14:textId="77777777" w:rsidR="000F7272" w:rsidRPr="00501062" w:rsidRDefault="000F7272" w:rsidP="00501062">
      <w:pPr>
        <w:pStyle w:val="FootnoteText"/>
        <w:rPr>
          <w:lang w:val="en-US"/>
        </w:rPr>
      </w:pPr>
      <w:r>
        <w:rPr>
          <w:rStyle w:val="FootnoteReference"/>
        </w:rPr>
        <w:footnoteRef/>
      </w:r>
      <w:r>
        <w:t xml:space="preserve"> Category C: Drugs which, owing to their pharmacological effects, have caused or may be suspected of causing, harmful effects on the human fetus or neonate without causing malformations. These effects may be reversible. Accompanying texts should be consulted for further details.</w:t>
      </w:r>
    </w:p>
  </w:footnote>
  <w:footnote w:id="22">
    <w:p w14:paraId="6177D7CF" w14:textId="77777777" w:rsidR="000F7272" w:rsidRPr="00501062" w:rsidRDefault="000F7272" w:rsidP="00501062">
      <w:pPr>
        <w:pStyle w:val="FootnoteText"/>
        <w:rPr>
          <w:lang w:val="en-US"/>
        </w:rPr>
      </w:pPr>
      <w:r>
        <w:rPr>
          <w:rStyle w:val="FootnoteReference"/>
        </w:rPr>
        <w:footnoteRef/>
      </w:r>
      <w:r>
        <w:t xml:space="preserve"> Category D: Drugs which have </w:t>
      </w:r>
      <w:proofErr w:type="gramStart"/>
      <w:r>
        <w:t>caused,</w:t>
      </w:r>
      <w:proofErr w:type="gramEnd"/>
      <w:r>
        <w:t xml:space="preserve">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23">
    <w:p w14:paraId="4D9F1C21" w14:textId="77777777" w:rsidR="000F7272" w:rsidRPr="00501062" w:rsidRDefault="000F7272" w:rsidP="00501062">
      <w:pPr>
        <w:pStyle w:val="FootnoteText"/>
      </w:pPr>
      <w:r>
        <w:rPr>
          <w:rStyle w:val="FootnoteReference"/>
        </w:rPr>
        <w:footnoteRef/>
      </w:r>
      <w:r>
        <w:t xml:space="preserve"> Category B3: Drugs which have been taken by only a limited number of pregnant women and women of childbearing age, without an increase in the frequency of malformation or other direct or indirect harmful effects on the human fetus having been observed. Studies in animals have shown evidence of an increased occurrence of fetal damage, the significance of which is considered uncertain in humans.</w:t>
      </w:r>
    </w:p>
  </w:footnote>
  <w:footnote w:id="24">
    <w:p w14:paraId="6C070876" w14:textId="77777777" w:rsidR="000F7272" w:rsidRPr="00F85259" w:rsidRDefault="000F7272">
      <w:pPr>
        <w:pStyle w:val="FootnoteText"/>
        <w:rPr>
          <w:lang w:val="en-US"/>
        </w:rPr>
      </w:pPr>
      <w:r>
        <w:rPr>
          <w:rStyle w:val="FootnoteReference"/>
        </w:rPr>
        <w:footnoteRef/>
      </w:r>
      <w:r>
        <w:t xml:space="preserve"> </w:t>
      </w:r>
      <w:r w:rsidRPr="00F85259">
        <w:t>EMA guideline on the nonclinical development of fixed combinations of medicinal products [EMEA/CHMP/SWP/258498/2005]; ICH M3 (R2) [Nonclinical safety studies for the conduct of human clinical trials and marketing authorisation for pharmaceuticals</w:t>
      </w:r>
    </w:p>
  </w:footnote>
  <w:footnote w:id="25">
    <w:p w14:paraId="64DC74FA" w14:textId="0A465491" w:rsidR="000F7272" w:rsidRDefault="000F7272" w:rsidP="0016492D">
      <w:pPr>
        <w:pStyle w:val="FootnoteText"/>
      </w:pPr>
      <w:r>
        <w:rPr>
          <w:rStyle w:val="FootnoteReference"/>
        </w:rPr>
        <w:footnoteRef/>
      </w:r>
      <w:r>
        <w:t xml:space="preserve"> Timmins P., et al (2005) Steady-state pharmacokinetics of a novel extended-release metformin formulation. </w:t>
      </w:r>
      <w:proofErr w:type="gramStart"/>
      <w:r w:rsidRPr="00314E8D">
        <w:rPr>
          <w:i/>
        </w:rPr>
        <w:t>Clin.</w:t>
      </w:r>
      <w:proofErr w:type="gramEnd"/>
      <w:r w:rsidRPr="00314E8D">
        <w:rPr>
          <w:i/>
        </w:rPr>
        <w:t xml:space="preserve"> </w:t>
      </w:r>
      <w:proofErr w:type="gramStart"/>
      <w:r w:rsidRPr="00314E8D">
        <w:rPr>
          <w:i/>
        </w:rPr>
        <w:t>Pharmacokinet.</w:t>
      </w:r>
      <w:proofErr w:type="gramEnd"/>
      <w:r>
        <w:t xml:space="preserve"> 2005; 44: 721‒729.</w:t>
      </w:r>
    </w:p>
  </w:footnote>
  <w:footnote w:id="26">
    <w:p w14:paraId="78807A0D" w14:textId="39BA68F5" w:rsidR="000F7272" w:rsidRPr="00B51DF2" w:rsidRDefault="000F7272" w:rsidP="00CD4D93">
      <w:pPr>
        <w:pStyle w:val="FootnoteText"/>
      </w:pPr>
      <w:r w:rsidRPr="00B51DF2">
        <w:rPr>
          <w:rStyle w:val="FootnoteReference"/>
          <w:szCs w:val="18"/>
        </w:rPr>
        <w:footnoteRef/>
      </w:r>
      <w:r w:rsidRPr="00B51DF2">
        <w:t xml:space="preserve"> Stark Casagrande S, </w:t>
      </w:r>
      <w:r>
        <w:t>et al</w:t>
      </w:r>
      <w:r w:rsidRPr="00B51DF2">
        <w:t xml:space="preserve">. </w:t>
      </w:r>
      <w:proofErr w:type="gramStart"/>
      <w:r w:rsidRPr="00B51DF2">
        <w:t xml:space="preserve">The prevalence of meeting </w:t>
      </w:r>
      <w:r>
        <w:t>HbA1</w:t>
      </w:r>
      <w:r w:rsidRPr="003F2DE3">
        <w:rPr>
          <w:vertAlign w:val="subscript"/>
        </w:rPr>
        <w:t>c</w:t>
      </w:r>
      <w:r w:rsidRPr="00B51DF2">
        <w:t>, blood pressure, and LDL goals among people with diabetes,</w:t>
      </w:r>
      <w:r>
        <w:t xml:space="preserve"> </w:t>
      </w:r>
      <w:r w:rsidRPr="00B51DF2">
        <w:t>1988-2010.</w:t>
      </w:r>
      <w:proofErr w:type="gramEnd"/>
      <w:r w:rsidRPr="00B51DF2">
        <w:t xml:space="preserve"> </w:t>
      </w:r>
      <w:proofErr w:type="gramStart"/>
      <w:r w:rsidRPr="00A04B32">
        <w:rPr>
          <w:i/>
        </w:rPr>
        <w:t>Diabetes Care</w:t>
      </w:r>
      <w:r w:rsidRPr="00B51DF2">
        <w:t>.</w:t>
      </w:r>
      <w:proofErr w:type="gramEnd"/>
      <w:r w:rsidRPr="00B51DF2">
        <w:t xml:space="preserve"> </w:t>
      </w:r>
      <w:proofErr w:type="gramStart"/>
      <w:r w:rsidRPr="00B51DF2">
        <w:t>2013;</w:t>
      </w:r>
      <w:r>
        <w:t xml:space="preserve"> </w:t>
      </w:r>
      <w:r w:rsidRPr="00B51DF2">
        <w:t>36:</w:t>
      </w:r>
      <w:r>
        <w:t xml:space="preserve"> </w:t>
      </w:r>
      <w:r w:rsidRPr="00B51DF2">
        <w:t>2271-</w:t>
      </w:r>
      <w:r>
        <w:t>227</w:t>
      </w:r>
      <w:r w:rsidRPr="00B51DF2">
        <w:t>9.</w:t>
      </w:r>
      <w:proofErr w:type="gramEnd"/>
    </w:p>
  </w:footnote>
  <w:footnote w:id="27">
    <w:p w14:paraId="73D73FC1" w14:textId="02D1BDBD" w:rsidR="000F7272" w:rsidRPr="00A90E1B" w:rsidRDefault="000F7272" w:rsidP="00CD4D93">
      <w:pPr>
        <w:pStyle w:val="FootnoteText"/>
        <w:rPr>
          <w:lang w:val="en-US"/>
        </w:rPr>
      </w:pPr>
      <w:r>
        <w:rPr>
          <w:rStyle w:val="FootnoteReference"/>
        </w:rPr>
        <w:footnoteRef/>
      </w:r>
      <w:r>
        <w:t xml:space="preserve"> </w:t>
      </w:r>
      <w:r w:rsidRPr="00A90E1B">
        <w:t xml:space="preserve">Cefalu WT, Riddle MC. SGLT2 inhibitors: the latest </w:t>
      </w:r>
      <w:r>
        <w:t>‘</w:t>
      </w:r>
      <w:r w:rsidRPr="00A90E1B">
        <w:t>new kids on the block</w:t>
      </w:r>
      <w:r>
        <w:t>’</w:t>
      </w:r>
      <w:r w:rsidRPr="00A90E1B">
        <w:t xml:space="preserve">! </w:t>
      </w:r>
      <w:proofErr w:type="gramStart"/>
      <w:r w:rsidRPr="00CD4D93">
        <w:rPr>
          <w:i/>
        </w:rPr>
        <w:t>Diabetes Care</w:t>
      </w:r>
      <w:r w:rsidRPr="00A90E1B">
        <w:t>.</w:t>
      </w:r>
      <w:proofErr w:type="gramEnd"/>
      <w:r w:rsidRPr="00A90E1B">
        <w:t xml:space="preserve"> </w:t>
      </w:r>
      <w:proofErr w:type="gramStart"/>
      <w:r w:rsidRPr="00A90E1B">
        <w:t>2015;</w:t>
      </w:r>
      <w:r>
        <w:t xml:space="preserve"> </w:t>
      </w:r>
      <w:r w:rsidRPr="00A90E1B">
        <w:t>38:</w:t>
      </w:r>
      <w:r>
        <w:t xml:space="preserve"> </w:t>
      </w:r>
      <w:r w:rsidRPr="00A90E1B">
        <w:t>352-</w:t>
      </w:r>
      <w:r>
        <w:t>35</w:t>
      </w:r>
      <w:r w:rsidRPr="00A90E1B">
        <w:t>4.</w:t>
      </w:r>
      <w:proofErr w:type="gramEnd"/>
    </w:p>
  </w:footnote>
  <w:footnote w:id="28">
    <w:p w14:paraId="23B5B2B2" w14:textId="1C6F7A66" w:rsidR="000F7272" w:rsidRPr="00A90E1B" w:rsidRDefault="000F7272" w:rsidP="00CD4D93">
      <w:pPr>
        <w:pStyle w:val="FootnoteText"/>
        <w:rPr>
          <w:lang w:val="en-US"/>
        </w:rPr>
      </w:pPr>
      <w:r>
        <w:rPr>
          <w:rStyle w:val="FootnoteReference"/>
        </w:rPr>
        <w:footnoteRef/>
      </w:r>
      <w:r>
        <w:t xml:space="preserve"> </w:t>
      </w:r>
      <w:proofErr w:type="gramStart"/>
      <w:r w:rsidRPr="00A90E1B">
        <w:t>Zinman B, et al. Rationale, design, and baseline characteristics of a randomised, placebo-controlled cardiovascular outcome trial of empagliflozin (EMPA-REG OUTCOME</w:t>
      </w:r>
      <w:r w:rsidRPr="00CD4D93">
        <w:rPr>
          <w:i/>
        </w:rPr>
        <w:t>).</w:t>
      </w:r>
      <w:proofErr w:type="gramEnd"/>
      <w:r w:rsidRPr="00CD4D93">
        <w:rPr>
          <w:i/>
        </w:rPr>
        <w:t xml:space="preserve"> Cardiovasc Diabetol</w:t>
      </w:r>
      <w:r w:rsidRPr="00A90E1B">
        <w:t xml:space="preserve">. </w:t>
      </w:r>
      <w:proofErr w:type="gramStart"/>
      <w:r w:rsidRPr="00A90E1B">
        <w:t>2014;</w:t>
      </w:r>
      <w:r>
        <w:t xml:space="preserve"> </w:t>
      </w:r>
      <w:r w:rsidRPr="00A90E1B">
        <w:t>13:</w:t>
      </w:r>
      <w:r>
        <w:t xml:space="preserve"> </w:t>
      </w:r>
      <w:r w:rsidRPr="00A90E1B">
        <w:t>102.</w:t>
      </w:r>
      <w:proofErr w:type="gramEnd"/>
    </w:p>
  </w:footnote>
  <w:footnote w:id="29">
    <w:p w14:paraId="0C951994" w14:textId="56F89018" w:rsidR="000F7272" w:rsidRPr="00A90E1B" w:rsidRDefault="000F7272" w:rsidP="00A04B32">
      <w:pPr>
        <w:pStyle w:val="FootnoteText"/>
      </w:pPr>
      <w:r>
        <w:rPr>
          <w:rStyle w:val="FootnoteReference"/>
        </w:rPr>
        <w:footnoteRef/>
      </w:r>
      <w:r>
        <w:t xml:space="preserve"> </w:t>
      </w:r>
      <w:r w:rsidRPr="00A90E1B">
        <w:t xml:space="preserve">Fitchett D, et al. Heart failure outcomes with empagliflozin in patients with type 2 diabetes at high cardiovascular risk: results of the EMPA-REG OUTCOME trial. </w:t>
      </w:r>
      <w:proofErr w:type="gramStart"/>
      <w:r w:rsidRPr="00CD4D93">
        <w:rPr>
          <w:i/>
        </w:rPr>
        <w:t>Eur Heart J.</w:t>
      </w:r>
      <w:r w:rsidRPr="00A90E1B">
        <w:t xml:space="preserve"> 2016;</w:t>
      </w:r>
      <w:r>
        <w:t xml:space="preserve"> </w:t>
      </w:r>
      <w:r w:rsidRPr="00A90E1B">
        <w:t>37</w:t>
      </w:r>
      <w:r>
        <w:t xml:space="preserve">: </w:t>
      </w:r>
      <w:r w:rsidRPr="00A90E1B">
        <w:t>1526-</w:t>
      </w:r>
      <w:r>
        <w:t>15</w:t>
      </w:r>
      <w:r w:rsidRPr="00A90E1B">
        <w:t>34.</w:t>
      </w:r>
      <w:proofErr w:type="gramEnd"/>
    </w:p>
  </w:footnote>
  <w:footnote w:id="30">
    <w:p w14:paraId="4F02FE1C" w14:textId="77777777" w:rsidR="000F7272" w:rsidRPr="004A4114" w:rsidRDefault="000F7272" w:rsidP="00CE6507">
      <w:pPr>
        <w:autoSpaceDE w:val="0"/>
        <w:autoSpaceDN w:val="0"/>
        <w:adjustRightInd w:val="0"/>
        <w:spacing w:before="0" w:after="0" w:line="240" w:lineRule="auto"/>
        <w:rPr>
          <w:rStyle w:val="FootnoteTextChar"/>
        </w:rPr>
      </w:pPr>
      <w:r w:rsidRPr="00367FAA">
        <w:rPr>
          <w:rStyle w:val="FootnoteReference"/>
          <w:rFonts w:asciiTheme="minorHAnsi" w:hAnsiTheme="minorHAnsi"/>
          <w:sz w:val="16"/>
          <w:szCs w:val="16"/>
        </w:rPr>
        <w:footnoteRef/>
      </w:r>
      <w:r w:rsidRPr="00367FAA">
        <w:rPr>
          <w:rFonts w:asciiTheme="minorHAnsi" w:hAnsiTheme="minorHAnsi"/>
          <w:sz w:val="16"/>
          <w:szCs w:val="16"/>
        </w:rPr>
        <w:t xml:space="preserve"> </w:t>
      </w:r>
      <w:r w:rsidRPr="004A4114">
        <w:rPr>
          <w:rStyle w:val="FootnoteTextChar"/>
        </w:rPr>
        <w:t>Obtained from the 120-minute time point after administration of a mixed meal tolerance test (MMTT) challenge (in selected studies)</w:t>
      </w:r>
    </w:p>
  </w:footnote>
  <w:footnote w:id="31">
    <w:p w14:paraId="40DB4C9E" w14:textId="42683FD7" w:rsidR="000F7272" w:rsidRPr="00C141FF" w:rsidRDefault="000F7272" w:rsidP="00C141FF">
      <w:pPr>
        <w:pStyle w:val="FootnoteText"/>
        <w:rPr>
          <w:lang w:val="en-US"/>
        </w:rPr>
      </w:pPr>
      <w:r>
        <w:rPr>
          <w:rStyle w:val="FootnoteReference"/>
        </w:rPr>
        <w:footnoteRef/>
      </w:r>
      <w:r>
        <w:t xml:space="preserve"> Seck T1, et al. (2010) Safety and efficacy of treatment with sitagliptin or glipizide in patients with type 2 diabetes inadequately controlled on metformin: a 2-year study. </w:t>
      </w:r>
      <w:r w:rsidRPr="004A4114">
        <w:rPr>
          <w:i/>
        </w:rPr>
        <w:t>Int J Clin Pract</w:t>
      </w:r>
      <w:r>
        <w:t xml:space="preserve">. </w:t>
      </w:r>
      <w:proofErr w:type="gramStart"/>
      <w:r>
        <w:t>2010; 64: 562-576.</w:t>
      </w:r>
      <w:proofErr w:type="gramEnd"/>
      <w:r>
        <w:t xml:space="preserve"> </w:t>
      </w:r>
      <w:proofErr w:type="gramStart"/>
      <w:r>
        <w:t>doi</w:t>
      </w:r>
      <w:proofErr w:type="gramEnd"/>
      <w:r>
        <w:t>: 10.1111/j.1742-1241.2010.02353.x.</w:t>
      </w:r>
    </w:p>
  </w:footnote>
  <w:footnote w:id="32">
    <w:p w14:paraId="38171813" w14:textId="39B9F840" w:rsidR="000F7272" w:rsidRPr="00C141FF" w:rsidRDefault="000F7272">
      <w:pPr>
        <w:pStyle w:val="FootnoteText"/>
        <w:rPr>
          <w:lang w:val="en-US"/>
        </w:rPr>
      </w:pPr>
      <w:r>
        <w:rPr>
          <w:rStyle w:val="FootnoteReference"/>
        </w:rPr>
        <w:footnoteRef/>
      </w:r>
      <w:r w:rsidRPr="00C141FF">
        <w:t xml:space="preserve"> Khunti K, </w:t>
      </w:r>
      <w:r>
        <w:t>et al</w:t>
      </w:r>
      <w:r w:rsidRPr="00C141FF">
        <w:t>. Clinical inertia in people with type 2 diabetes: a retrospective cohort study of more than 80 000 people</w:t>
      </w:r>
      <w:r w:rsidRPr="00CD4D93">
        <w:rPr>
          <w:i/>
        </w:rPr>
        <w:t xml:space="preserve">. </w:t>
      </w:r>
      <w:proofErr w:type="gramStart"/>
      <w:r w:rsidRPr="00CD4D93">
        <w:rPr>
          <w:i/>
        </w:rPr>
        <w:t>Diabetes Care</w:t>
      </w:r>
      <w:r>
        <w:t>.</w:t>
      </w:r>
      <w:proofErr w:type="gramEnd"/>
      <w:r>
        <w:t xml:space="preserve"> 2013; 36: 3411–3417</w:t>
      </w:r>
    </w:p>
  </w:footnote>
  <w:footnote w:id="33">
    <w:p w14:paraId="69036019" w14:textId="28736FA1" w:rsidR="000F7272" w:rsidRPr="006E3971" w:rsidRDefault="000F7272">
      <w:pPr>
        <w:pStyle w:val="FootnoteText"/>
        <w:rPr>
          <w:lang w:val="en-US"/>
        </w:rPr>
      </w:pPr>
      <w:r>
        <w:rPr>
          <w:rStyle w:val="FootnoteReference"/>
        </w:rPr>
        <w:footnoteRef/>
      </w:r>
      <w:r>
        <w:t xml:space="preserve"> </w:t>
      </w:r>
      <w:r w:rsidRPr="006E3971">
        <w:t xml:space="preserve">Fu AZ, </w:t>
      </w:r>
      <w:r>
        <w:t>et al</w:t>
      </w:r>
      <w:r w:rsidRPr="006E3971">
        <w:t xml:space="preserve">. Treatment intensification in patients with type 2 diabetes who failed metformin monotherapy. </w:t>
      </w:r>
      <w:proofErr w:type="gramStart"/>
      <w:r w:rsidRPr="00CD4D93">
        <w:rPr>
          <w:i/>
        </w:rPr>
        <w:t>Diabetes Obes Metab</w:t>
      </w:r>
      <w:r w:rsidRPr="006E3971">
        <w:t>.</w:t>
      </w:r>
      <w:proofErr w:type="gramEnd"/>
      <w:r w:rsidRPr="006E3971">
        <w:t xml:space="preserve"> </w:t>
      </w:r>
      <w:proofErr w:type="gramStart"/>
      <w:r w:rsidRPr="006E3971">
        <w:t>2011;</w:t>
      </w:r>
      <w:r>
        <w:t xml:space="preserve"> </w:t>
      </w:r>
      <w:r w:rsidRPr="006E3971">
        <w:t>13:</w:t>
      </w:r>
      <w:r>
        <w:t xml:space="preserve"> </w:t>
      </w:r>
      <w:r w:rsidRPr="006E3971">
        <w:t>765–769.</w:t>
      </w:r>
      <w:proofErr w:type="gramEnd"/>
    </w:p>
  </w:footnote>
  <w:footnote w:id="34">
    <w:p w14:paraId="418A9F0F" w14:textId="77777777" w:rsidR="000F7272" w:rsidRPr="0024546B" w:rsidRDefault="000F7272">
      <w:pPr>
        <w:pStyle w:val="FootnoteText"/>
        <w:rPr>
          <w:lang w:val="en-US"/>
        </w:rPr>
      </w:pPr>
      <w:r>
        <w:rPr>
          <w:rStyle w:val="FootnoteReference"/>
        </w:rPr>
        <w:footnoteRef/>
      </w:r>
      <w:r>
        <w:t xml:space="preserve"> </w:t>
      </w:r>
      <w:r w:rsidRPr="0024546B">
        <w:t>Guideline On The Investigation Of Bioequivalence (CPMP/EWP/QWP/1401/98 Rev. 1/ Corr)</w:t>
      </w:r>
    </w:p>
  </w:footnote>
  <w:footnote w:id="35">
    <w:p w14:paraId="7E04E593" w14:textId="77777777" w:rsidR="000F7272" w:rsidRPr="0024546B" w:rsidRDefault="000F7272">
      <w:pPr>
        <w:pStyle w:val="FootnoteText"/>
        <w:rPr>
          <w:lang w:val="en-US"/>
        </w:rPr>
      </w:pPr>
      <w:r>
        <w:rPr>
          <w:rStyle w:val="FootnoteReference"/>
        </w:rPr>
        <w:footnoteRef/>
      </w:r>
      <w:r>
        <w:t xml:space="preserve"> HbA1</w:t>
      </w:r>
      <w:r w:rsidRPr="003F2DE3">
        <w:rPr>
          <w:vertAlign w:val="subscript"/>
        </w:rPr>
        <w:t>c</w:t>
      </w:r>
      <w:r>
        <w:t xml:space="preserve"> m</w:t>
      </w:r>
      <w:r w:rsidRPr="0024546B">
        <w:t>easure</w:t>
      </w:r>
      <w:r>
        <w:t>s</w:t>
      </w:r>
      <w:r w:rsidRPr="0024546B">
        <w:t xml:space="preserve"> glycated h</w:t>
      </w:r>
      <w:r>
        <w:t>a</w:t>
      </w:r>
      <w:r w:rsidRPr="0024546B">
        <w:t>emoglobin</w:t>
      </w:r>
      <w:r>
        <w:t>.</w:t>
      </w:r>
    </w:p>
  </w:footnote>
  <w:footnote w:id="36">
    <w:p w14:paraId="1CE84485" w14:textId="77777777" w:rsidR="000F7272" w:rsidRPr="004A4114" w:rsidRDefault="000F7272" w:rsidP="007C496E">
      <w:pPr>
        <w:autoSpaceDE w:val="0"/>
        <w:autoSpaceDN w:val="0"/>
        <w:adjustRightInd w:val="0"/>
        <w:spacing w:before="0" w:after="0" w:line="240" w:lineRule="auto"/>
        <w:rPr>
          <w:rStyle w:val="FootnoteTextChar"/>
        </w:rPr>
      </w:pPr>
      <w:r w:rsidRPr="00F5400A">
        <w:rPr>
          <w:rStyle w:val="FootnoteReference"/>
          <w:sz w:val="16"/>
          <w:szCs w:val="16"/>
        </w:rPr>
        <w:footnoteRef/>
      </w:r>
      <w:r w:rsidRPr="00F5400A">
        <w:rPr>
          <w:sz w:val="16"/>
          <w:szCs w:val="16"/>
        </w:rPr>
        <w:t xml:space="preserve"> </w:t>
      </w:r>
      <w:r w:rsidRPr="004A4114">
        <w:rPr>
          <w:rStyle w:val="FootnoteTextChar"/>
        </w:rPr>
        <w:t>Lactic acidosis is fatal in approximately 50% of cases. The reported incidence of lactic acidosis in patients receiving metformin hydrochloride is very low (approximately 0.03 cases/1000 patient-years, with approximately 0.015 fatal cases/1000 patient-years).</w:t>
      </w:r>
    </w:p>
  </w:footnote>
  <w:footnote w:id="37">
    <w:p w14:paraId="15996F6C" w14:textId="77777777" w:rsidR="000F7272" w:rsidRPr="00F636F2" w:rsidRDefault="000F7272">
      <w:pPr>
        <w:pStyle w:val="FootnoteText"/>
        <w:rPr>
          <w:lang w:val="en-US"/>
        </w:rPr>
      </w:pPr>
      <w:r>
        <w:rPr>
          <w:rStyle w:val="FootnoteReference"/>
        </w:rPr>
        <w:footnoteRef/>
      </w:r>
      <w:r>
        <w:t xml:space="preserve"> </w:t>
      </w:r>
      <w:r w:rsidRPr="003562B3">
        <w:t>CPMP/EWP/1080/00 Rev.1</w:t>
      </w:r>
    </w:p>
  </w:footnote>
  <w:footnote w:id="38">
    <w:p w14:paraId="3A543230" w14:textId="77777777" w:rsidR="000F7272" w:rsidRDefault="000F7272"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4B163EDE" w14:textId="77777777" w:rsidR="000F7272" w:rsidRPr="00456765" w:rsidRDefault="000F7272"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78FE1" w14:textId="77777777" w:rsidR="000F7272" w:rsidRDefault="000F7272"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A46A5" w14:textId="77777777" w:rsidR="000F7272" w:rsidRDefault="000F7272">
    <w:pPr>
      <w:rPr>
        <w:noProof/>
        <w:lang w:eastAsia="en-AU"/>
      </w:rPr>
    </w:pPr>
    <w:r w:rsidRPr="00347824">
      <w:rPr>
        <w:noProof/>
        <w:lang w:eastAsia="en-AU"/>
      </w:rPr>
      <w:drawing>
        <wp:anchor distT="0" distB="0" distL="114300" distR="114300" simplePos="0" relativeHeight="251658240" behindDoc="1" locked="0" layoutInCell="1" allowOverlap="1" wp14:anchorId="0A1CB26B" wp14:editId="09F55AD0">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3551677" w14:textId="77777777" w:rsidR="000F7272" w:rsidRDefault="000F7272" w:rsidP="00593AD1">
    <w:pPr>
      <w:pStyle w:val="HeaderNoLine"/>
    </w:pPr>
    <w:r>
      <w:rPr>
        <w:noProof/>
        <w:lang w:eastAsia="en-AU"/>
      </w:rPr>
      <w:drawing>
        <wp:inline distT="0" distB="0" distL="0" distR="0" wp14:anchorId="24A989EC" wp14:editId="171CEA98">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CE51F" w14:textId="77777777" w:rsidR="000F7272" w:rsidRDefault="000F727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E0DA9" w14:textId="77777777" w:rsidR="000F7272" w:rsidRDefault="000F7272">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39FAF" w14:textId="77777777" w:rsidR="000F7272" w:rsidRDefault="000F727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36C8F" w14:textId="77777777" w:rsidR="000F7272" w:rsidRDefault="000F727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A2B95" w14:textId="77777777" w:rsidR="000F7272" w:rsidRDefault="000F7272"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4A501" w14:textId="77777777" w:rsidR="000F7272" w:rsidRDefault="000F7272" w:rsidP="006E08B3">
    <w:r>
      <w:t>Therapeutic Goods Administration</w:t>
    </w:r>
  </w:p>
  <w:p w14:paraId="073AB63D" w14:textId="77777777" w:rsidR="000F7272" w:rsidRDefault="000F727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33433C0"/>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FB62A932"/>
    <w:lvl w:ilvl="0">
      <w:start w:val="1"/>
      <w:numFmt w:val="bullet"/>
      <w:lvlText w:val=""/>
      <w:lvlJc w:val="left"/>
      <w:pPr>
        <w:tabs>
          <w:tab w:val="num" w:pos="360"/>
        </w:tabs>
        <w:ind w:left="360" w:hanging="360"/>
      </w:pPr>
      <w:rPr>
        <w:rFonts w:ascii="Symbol" w:hAnsi="Symbol" w:hint="default"/>
      </w:rPr>
    </w:lvl>
  </w:abstractNum>
  <w:abstractNum w:abstractNumId="2">
    <w:nsid w:val="018449FA"/>
    <w:multiLevelType w:val="hybridMultilevel"/>
    <w:tmpl w:val="6742B1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27A1FC4"/>
    <w:multiLevelType w:val="hybridMultilevel"/>
    <w:tmpl w:val="CB10D8C4"/>
    <w:lvl w:ilvl="0" w:tplc="644AE1FE">
      <w:start w:val="1"/>
      <w:numFmt w:val="decimal"/>
      <w:lvlText w:val="%1."/>
      <w:lvlJc w:val="left"/>
      <w:pPr>
        <w:ind w:left="685" w:hanging="567"/>
      </w:pPr>
      <w:rPr>
        <w:rFonts w:ascii="Cambria" w:eastAsia="Cambria" w:hAnsi="Cambria" w:cs="Cambria" w:hint="default"/>
        <w:spacing w:val="-3"/>
        <w:w w:val="100"/>
        <w:sz w:val="22"/>
        <w:szCs w:val="22"/>
      </w:rPr>
    </w:lvl>
    <w:lvl w:ilvl="1" w:tplc="8CF6635C">
      <w:start w:val="1"/>
      <w:numFmt w:val="lowerLetter"/>
      <w:lvlText w:val="(%2)"/>
      <w:lvlJc w:val="left"/>
      <w:pPr>
        <w:ind w:left="1251" w:hanging="567"/>
      </w:pPr>
      <w:rPr>
        <w:rFonts w:ascii="Cambria" w:eastAsia="Cambria" w:hAnsi="Cambria" w:cs="Cambria" w:hint="default"/>
        <w:spacing w:val="-3"/>
        <w:w w:val="100"/>
        <w:sz w:val="22"/>
        <w:szCs w:val="22"/>
      </w:rPr>
    </w:lvl>
    <w:lvl w:ilvl="2" w:tplc="4D007C0A">
      <w:numFmt w:val="bullet"/>
      <w:lvlText w:val="•"/>
      <w:lvlJc w:val="left"/>
      <w:pPr>
        <w:ind w:left="2125" w:hanging="567"/>
      </w:pPr>
      <w:rPr>
        <w:rFonts w:hint="default"/>
      </w:rPr>
    </w:lvl>
    <w:lvl w:ilvl="3" w:tplc="1EF03312">
      <w:numFmt w:val="bullet"/>
      <w:lvlText w:val="•"/>
      <w:lvlJc w:val="left"/>
      <w:pPr>
        <w:ind w:left="2990" w:hanging="567"/>
      </w:pPr>
      <w:rPr>
        <w:rFonts w:hint="default"/>
      </w:rPr>
    </w:lvl>
    <w:lvl w:ilvl="4" w:tplc="B4965E76">
      <w:numFmt w:val="bullet"/>
      <w:lvlText w:val="•"/>
      <w:lvlJc w:val="left"/>
      <w:pPr>
        <w:ind w:left="3856" w:hanging="567"/>
      </w:pPr>
      <w:rPr>
        <w:rFonts w:hint="default"/>
      </w:rPr>
    </w:lvl>
    <w:lvl w:ilvl="5" w:tplc="515A58DC">
      <w:numFmt w:val="bullet"/>
      <w:lvlText w:val="•"/>
      <w:lvlJc w:val="left"/>
      <w:pPr>
        <w:ind w:left="4721" w:hanging="567"/>
      </w:pPr>
      <w:rPr>
        <w:rFonts w:hint="default"/>
      </w:rPr>
    </w:lvl>
    <w:lvl w:ilvl="6" w:tplc="497EE18A">
      <w:numFmt w:val="bullet"/>
      <w:lvlText w:val="•"/>
      <w:lvlJc w:val="left"/>
      <w:pPr>
        <w:ind w:left="5587" w:hanging="567"/>
      </w:pPr>
      <w:rPr>
        <w:rFonts w:hint="default"/>
      </w:rPr>
    </w:lvl>
    <w:lvl w:ilvl="7" w:tplc="0E820AFA">
      <w:numFmt w:val="bullet"/>
      <w:lvlText w:val="•"/>
      <w:lvlJc w:val="left"/>
      <w:pPr>
        <w:ind w:left="6452" w:hanging="567"/>
      </w:pPr>
      <w:rPr>
        <w:rFonts w:hint="default"/>
      </w:rPr>
    </w:lvl>
    <w:lvl w:ilvl="8" w:tplc="861EC12E">
      <w:numFmt w:val="bullet"/>
      <w:lvlText w:val="•"/>
      <w:lvlJc w:val="left"/>
      <w:pPr>
        <w:ind w:left="7317" w:hanging="567"/>
      </w:pPr>
      <w:rPr>
        <w:rFonts w:hint="default"/>
      </w:rPr>
    </w:lvl>
  </w:abstractNum>
  <w:abstractNum w:abstractNumId="4">
    <w:nsid w:val="02C025EE"/>
    <w:multiLevelType w:val="hybridMultilevel"/>
    <w:tmpl w:val="BAA25C26"/>
    <w:lvl w:ilvl="0" w:tplc="A4BC4B8A">
      <w:numFmt w:val="bullet"/>
      <w:lvlText w:val="-"/>
      <w:lvlJc w:val="left"/>
      <w:pPr>
        <w:ind w:left="1251" w:hanging="567"/>
      </w:pPr>
      <w:rPr>
        <w:rFonts w:ascii="Cambria" w:eastAsia="Cambria" w:hAnsi="Cambria" w:cs="Cambria" w:hint="default"/>
        <w:w w:val="100"/>
        <w:sz w:val="22"/>
        <w:szCs w:val="22"/>
      </w:rPr>
    </w:lvl>
    <w:lvl w:ilvl="1" w:tplc="4D6EC91A">
      <w:numFmt w:val="bullet"/>
      <w:lvlText w:val="•"/>
      <w:lvlJc w:val="left"/>
      <w:pPr>
        <w:ind w:left="2038" w:hanging="567"/>
      </w:pPr>
      <w:rPr>
        <w:rFonts w:hint="default"/>
      </w:rPr>
    </w:lvl>
    <w:lvl w:ilvl="2" w:tplc="9A3EAFDC">
      <w:numFmt w:val="bullet"/>
      <w:lvlText w:val="•"/>
      <w:lvlJc w:val="left"/>
      <w:pPr>
        <w:ind w:left="2817" w:hanging="567"/>
      </w:pPr>
      <w:rPr>
        <w:rFonts w:hint="default"/>
      </w:rPr>
    </w:lvl>
    <w:lvl w:ilvl="3" w:tplc="068C9E10">
      <w:numFmt w:val="bullet"/>
      <w:lvlText w:val="•"/>
      <w:lvlJc w:val="left"/>
      <w:pPr>
        <w:ind w:left="3596" w:hanging="567"/>
      </w:pPr>
      <w:rPr>
        <w:rFonts w:hint="default"/>
      </w:rPr>
    </w:lvl>
    <w:lvl w:ilvl="4" w:tplc="40209FA2">
      <w:numFmt w:val="bullet"/>
      <w:lvlText w:val="•"/>
      <w:lvlJc w:val="left"/>
      <w:pPr>
        <w:ind w:left="4375" w:hanging="567"/>
      </w:pPr>
      <w:rPr>
        <w:rFonts w:hint="default"/>
      </w:rPr>
    </w:lvl>
    <w:lvl w:ilvl="5" w:tplc="B2388404">
      <w:numFmt w:val="bullet"/>
      <w:lvlText w:val="•"/>
      <w:lvlJc w:val="left"/>
      <w:pPr>
        <w:ind w:left="5154" w:hanging="567"/>
      </w:pPr>
      <w:rPr>
        <w:rFonts w:hint="default"/>
      </w:rPr>
    </w:lvl>
    <w:lvl w:ilvl="6" w:tplc="F57051A0">
      <w:numFmt w:val="bullet"/>
      <w:lvlText w:val="•"/>
      <w:lvlJc w:val="left"/>
      <w:pPr>
        <w:ind w:left="5933" w:hanging="567"/>
      </w:pPr>
      <w:rPr>
        <w:rFonts w:hint="default"/>
      </w:rPr>
    </w:lvl>
    <w:lvl w:ilvl="7" w:tplc="E38E3FE0">
      <w:numFmt w:val="bullet"/>
      <w:lvlText w:val="•"/>
      <w:lvlJc w:val="left"/>
      <w:pPr>
        <w:ind w:left="6712" w:hanging="567"/>
      </w:pPr>
      <w:rPr>
        <w:rFonts w:hint="default"/>
      </w:rPr>
    </w:lvl>
    <w:lvl w:ilvl="8" w:tplc="E4E6DD4C">
      <w:numFmt w:val="bullet"/>
      <w:lvlText w:val="•"/>
      <w:lvlJc w:val="left"/>
      <w:pPr>
        <w:ind w:left="7491" w:hanging="567"/>
      </w:pPr>
      <w:rPr>
        <w:rFonts w:hint="default"/>
      </w:rPr>
    </w:lvl>
  </w:abstractNum>
  <w:abstractNum w:abstractNumId="5">
    <w:nsid w:val="09123B6E"/>
    <w:multiLevelType w:val="hybridMultilevel"/>
    <w:tmpl w:val="64BE600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nsid w:val="0C891931"/>
    <w:multiLevelType w:val="hybridMultilevel"/>
    <w:tmpl w:val="53C886A0"/>
    <w:lvl w:ilvl="0" w:tplc="099891D6">
      <w:start w:val="1"/>
      <w:numFmt w:val="upperLetter"/>
      <w:lvlText w:val="%1)"/>
      <w:lvlJc w:val="left"/>
      <w:pPr>
        <w:ind w:left="360" w:hanging="360"/>
      </w:pPr>
      <w:rPr>
        <w:rFonts w:ascii="Times New Roman" w:eastAsia="Times New Roman" w:hAnsi="Times New Roman" w:cs="Times New Roman" w:hint="default"/>
        <w:b/>
        <w:bCs/>
        <w:spacing w:val="-13"/>
        <w:w w:val="100"/>
        <w:sz w:val="24"/>
        <w:szCs w:val="24"/>
      </w:rPr>
    </w:lvl>
    <w:lvl w:ilvl="1" w:tplc="3DA68F8C">
      <w:numFmt w:val="bullet"/>
      <w:lvlText w:val="•"/>
      <w:lvlJc w:val="left"/>
      <w:pPr>
        <w:ind w:left="1436" w:hanging="360"/>
      </w:pPr>
      <w:rPr>
        <w:rFonts w:hint="default"/>
      </w:rPr>
    </w:lvl>
    <w:lvl w:ilvl="2" w:tplc="7B00501C">
      <w:numFmt w:val="bullet"/>
      <w:lvlText w:val="•"/>
      <w:lvlJc w:val="left"/>
      <w:pPr>
        <w:ind w:left="2412" w:hanging="360"/>
      </w:pPr>
      <w:rPr>
        <w:rFonts w:hint="default"/>
      </w:rPr>
    </w:lvl>
    <w:lvl w:ilvl="3" w:tplc="9FEA7E32">
      <w:numFmt w:val="bullet"/>
      <w:lvlText w:val="•"/>
      <w:lvlJc w:val="left"/>
      <w:pPr>
        <w:ind w:left="3388" w:hanging="360"/>
      </w:pPr>
      <w:rPr>
        <w:rFonts w:hint="default"/>
      </w:rPr>
    </w:lvl>
    <w:lvl w:ilvl="4" w:tplc="AE22EE70">
      <w:numFmt w:val="bullet"/>
      <w:lvlText w:val="•"/>
      <w:lvlJc w:val="left"/>
      <w:pPr>
        <w:ind w:left="4364" w:hanging="360"/>
      </w:pPr>
      <w:rPr>
        <w:rFonts w:hint="default"/>
      </w:rPr>
    </w:lvl>
    <w:lvl w:ilvl="5" w:tplc="E59C38BA">
      <w:numFmt w:val="bullet"/>
      <w:lvlText w:val="•"/>
      <w:lvlJc w:val="left"/>
      <w:pPr>
        <w:ind w:left="5340" w:hanging="360"/>
      </w:pPr>
      <w:rPr>
        <w:rFonts w:hint="default"/>
      </w:rPr>
    </w:lvl>
    <w:lvl w:ilvl="6" w:tplc="AEC401A8">
      <w:numFmt w:val="bullet"/>
      <w:lvlText w:val="•"/>
      <w:lvlJc w:val="left"/>
      <w:pPr>
        <w:ind w:left="6316" w:hanging="360"/>
      </w:pPr>
      <w:rPr>
        <w:rFonts w:hint="default"/>
      </w:rPr>
    </w:lvl>
    <w:lvl w:ilvl="7" w:tplc="04F6A93A">
      <w:numFmt w:val="bullet"/>
      <w:lvlText w:val="•"/>
      <w:lvlJc w:val="left"/>
      <w:pPr>
        <w:ind w:left="7292" w:hanging="360"/>
      </w:pPr>
      <w:rPr>
        <w:rFonts w:hint="default"/>
      </w:rPr>
    </w:lvl>
    <w:lvl w:ilvl="8" w:tplc="9F62D96C">
      <w:numFmt w:val="bullet"/>
      <w:lvlText w:val="•"/>
      <w:lvlJc w:val="left"/>
      <w:pPr>
        <w:ind w:left="8268" w:hanging="360"/>
      </w:pPr>
      <w:rPr>
        <w:rFonts w:hint="default"/>
      </w:rPr>
    </w:lvl>
  </w:abstractNum>
  <w:abstractNum w:abstractNumId="7">
    <w:nsid w:val="0D70449C"/>
    <w:multiLevelType w:val="hybridMultilevel"/>
    <w:tmpl w:val="CB064B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E9108CD"/>
    <w:multiLevelType w:val="hybridMultilevel"/>
    <w:tmpl w:val="5CF45E12"/>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0053F11"/>
    <w:multiLevelType w:val="multilevel"/>
    <w:tmpl w:val="A414FF58"/>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nsid w:val="10D02CBB"/>
    <w:multiLevelType w:val="hybridMultilevel"/>
    <w:tmpl w:val="8408C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35F6199"/>
    <w:multiLevelType w:val="hybridMultilevel"/>
    <w:tmpl w:val="9BF0C8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4605E47"/>
    <w:multiLevelType w:val="hybridMultilevel"/>
    <w:tmpl w:val="255202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68F13E9"/>
    <w:multiLevelType w:val="multilevel"/>
    <w:tmpl w:val="3B04653C"/>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1A265A65"/>
    <w:multiLevelType w:val="hybridMultilevel"/>
    <w:tmpl w:val="739A48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B8040D0"/>
    <w:multiLevelType w:val="hybridMultilevel"/>
    <w:tmpl w:val="3AA404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F566DCB"/>
    <w:multiLevelType w:val="multilevel"/>
    <w:tmpl w:val="9B1274C6"/>
    <w:lvl w:ilvl="0">
      <w:start w:val="1"/>
      <w:numFmt w:val="decimal"/>
      <w:lvlText w:val="%1."/>
      <w:lvlJc w:val="left"/>
      <w:pPr>
        <w:ind w:left="720" w:hanging="360"/>
      </w:pPr>
      <w:rPr>
        <w:rFonts w:eastAsia="Cambria" w:cs="Times New Roman"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22EC714A"/>
    <w:multiLevelType w:val="hybridMultilevel"/>
    <w:tmpl w:val="322AD8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3C575DC"/>
    <w:multiLevelType w:val="hybridMultilevel"/>
    <w:tmpl w:val="AB70873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28B726A4"/>
    <w:multiLevelType w:val="hybridMultilevel"/>
    <w:tmpl w:val="58A07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95E43E8"/>
    <w:multiLevelType w:val="hybridMultilevel"/>
    <w:tmpl w:val="AF9A1F16"/>
    <w:lvl w:ilvl="0" w:tplc="EF3C6310">
      <w:numFmt w:val="bullet"/>
      <w:lvlText w:val="•"/>
      <w:lvlJc w:val="left"/>
      <w:pPr>
        <w:ind w:left="668" w:hanging="284"/>
      </w:pPr>
      <w:rPr>
        <w:rFonts w:ascii="Times New Roman" w:eastAsia="Times New Roman" w:hAnsi="Times New Roman" w:cs="Times New Roman" w:hint="default"/>
        <w:i/>
        <w:spacing w:val="-9"/>
        <w:w w:val="100"/>
        <w:sz w:val="24"/>
        <w:szCs w:val="24"/>
      </w:rPr>
    </w:lvl>
    <w:lvl w:ilvl="1" w:tplc="E138C394">
      <w:numFmt w:val="bullet"/>
      <w:lvlText w:val="•"/>
      <w:lvlJc w:val="left"/>
      <w:pPr>
        <w:ind w:left="1616" w:hanging="284"/>
      </w:pPr>
      <w:rPr>
        <w:rFonts w:hint="default"/>
      </w:rPr>
    </w:lvl>
    <w:lvl w:ilvl="2" w:tplc="76A625A6">
      <w:numFmt w:val="bullet"/>
      <w:lvlText w:val="•"/>
      <w:lvlJc w:val="left"/>
      <w:pPr>
        <w:ind w:left="2572" w:hanging="284"/>
      </w:pPr>
      <w:rPr>
        <w:rFonts w:hint="default"/>
      </w:rPr>
    </w:lvl>
    <w:lvl w:ilvl="3" w:tplc="95E6188E">
      <w:numFmt w:val="bullet"/>
      <w:lvlText w:val="•"/>
      <w:lvlJc w:val="left"/>
      <w:pPr>
        <w:ind w:left="3528" w:hanging="284"/>
      </w:pPr>
      <w:rPr>
        <w:rFonts w:hint="default"/>
      </w:rPr>
    </w:lvl>
    <w:lvl w:ilvl="4" w:tplc="80CC9D3E">
      <w:numFmt w:val="bullet"/>
      <w:lvlText w:val="•"/>
      <w:lvlJc w:val="left"/>
      <w:pPr>
        <w:ind w:left="4484" w:hanging="284"/>
      </w:pPr>
      <w:rPr>
        <w:rFonts w:hint="default"/>
      </w:rPr>
    </w:lvl>
    <w:lvl w:ilvl="5" w:tplc="FB3CD210">
      <w:numFmt w:val="bullet"/>
      <w:lvlText w:val="•"/>
      <w:lvlJc w:val="left"/>
      <w:pPr>
        <w:ind w:left="5440" w:hanging="284"/>
      </w:pPr>
      <w:rPr>
        <w:rFonts w:hint="default"/>
      </w:rPr>
    </w:lvl>
    <w:lvl w:ilvl="6" w:tplc="2DE4EE30">
      <w:numFmt w:val="bullet"/>
      <w:lvlText w:val="•"/>
      <w:lvlJc w:val="left"/>
      <w:pPr>
        <w:ind w:left="6396" w:hanging="284"/>
      </w:pPr>
      <w:rPr>
        <w:rFonts w:hint="default"/>
      </w:rPr>
    </w:lvl>
    <w:lvl w:ilvl="7" w:tplc="6AE08CA8">
      <w:numFmt w:val="bullet"/>
      <w:lvlText w:val="•"/>
      <w:lvlJc w:val="left"/>
      <w:pPr>
        <w:ind w:left="7352" w:hanging="284"/>
      </w:pPr>
      <w:rPr>
        <w:rFonts w:hint="default"/>
      </w:rPr>
    </w:lvl>
    <w:lvl w:ilvl="8" w:tplc="81EC993C">
      <w:numFmt w:val="bullet"/>
      <w:lvlText w:val="•"/>
      <w:lvlJc w:val="left"/>
      <w:pPr>
        <w:ind w:left="8308" w:hanging="284"/>
      </w:pPr>
      <w:rPr>
        <w:rFonts w:hint="default"/>
      </w:rPr>
    </w:lvl>
  </w:abstractNum>
  <w:abstractNum w:abstractNumId="21">
    <w:nsid w:val="2D217DF4"/>
    <w:multiLevelType w:val="hybridMultilevel"/>
    <w:tmpl w:val="7E4A7F1C"/>
    <w:lvl w:ilvl="0" w:tplc="D3421E8A">
      <w:start w:val="9"/>
      <w:numFmt w:val="decimal"/>
      <w:lvlText w:val="%1."/>
      <w:lvlJc w:val="left"/>
      <w:pPr>
        <w:ind w:left="684" w:hanging="567"/>
      </w:pPr>
      <w:rPr>
        <w:rFonts w:ascii="Cambria" w:eastAsia="Cambria" w:hAnsi="Cambria" w:cs="Cambria" w:hint="default"/>
        <w:spacing w:val="-3"/>
        <w:w w:val="100"/>
        <w:sz w:val="22"/>
        <w:szCs w:val="22"/>
      </w:rPr>
    </w:lvl>
    <w:lvl w:ilvl="1" w:tplc="08B8F416">
      <w:start w:val="1"/>
      <w:numFmt w:val="lowerLetter"/>
      <w:lvlText w:val="(%2)"/>
      <w:lvlJc w:val="left"/>
      <w:pPr>
        <w:ind w:left="1251" w:hanging="567"/>
      </w:pPr>
      <w:rPr>
        <w:rFonts w:ascii="Cambria" w:eastAsia="Cambria" w:hAnsi="Cambria" w:cs="Cambria" w:hint="default"/>
        <w:spacing w:val="-3"/>
        <w:w w:val="100"/>
        <w:sz w:val="22"/>
        <w:szCs w:val="22"/>
      </w:rPr>
    </w:lvl>
    <w:lvl w:ilvl="2" w:tplc="704475F8">
      <w:numFmt w:val="bullet"/>
      <w:lvlText w:val="•"/>
      <w:lvlJc w:val="left"/>
      <w:pPr>
        <w:ind w:left="2125" w:hanging="567"/>
      </w:pPr>
      <w:rPr>
        <w:rFonts w:hint="default"/>
      </w:rPr>
    </w:lvl>
    <w:lvl w:ilvl="3" w:tplc="2DB85EBC">
      <w:numFmt w:val="bullet"/>
      <w:lvlText w:val="•"/>
      <w:lvlJc w:val="left"/>
      <w:pPr>
        <w:ind w:left="2990" w:hanging="567"/>
      </w:pPr>
      <w:rPr>
        <w:rFonts w:hint="default"/>
      </w:rPr>
    </w:lvl>
    <w:lvl w:ilvl="4" w:tplc="D4D2F946">
      <w:numFmt w:val="bullet"/>
      <w:lvlText w:val="•"/>
      <w:lvlJc w:val="left"/>
      <w:pPr>
        <w:ind w:left="3856" w:hanging="567"/>
      </w:pPr>
      <w:rPr>
        <w:rFonts w:hint="default"/>
      </w:rPr>
    </w:lvl>
    <w:lvl w:ilvl="5" w:tplc="BEAA04E0">
      <w:numFmt w:val="bullet"/>
      <w:lvlText w:val="•"/>
      <w:lvlJc w:val="left"/>
      <w:pPr>
        <w:ind w:left="4721" w:hanging="567"/>
      </w:pPr>
      <w:rPr>
        <w:rFonts w:hint="default"/>
      </w:rPr>
    </w:lvl>
    <w:lvl w:ilvl="6" w:tplc="75A6EAD6">
      <w:numFmt w:val="bullet"/>
      <w:lvlText w:val="•"/>
      <w:lvlJc w:val="left"/>
      <w:pPr>
        <w:ind w:left="5587" w:hanging="567"/>
      </w:pPr>
      <w:rPr>
        <w:rFonts w:hint="default"/>
      </w:rPr>
    </w:lvl>
    <w:lvl w:ilvl="7" w:tplc="9E3858B8">
      <w:numFmt w:val="bullet"/>
      <w:lvlText w:val="•"/>
      <w:lvlJc w:val="left"/>
      <w:pPr>
        <w:ind w:left="6452" w:hanging="567"/>
      </w:pPr>
      <w:rPr>
        <w:rFonts w:hint="default"/>
      </w:rPr>
    </w:lvl>
    <w:lvl w:ilvl="8" w:tplc="DDF0BE5C">
      <w:numFmt w:val="bullet"/>
      <w:lvlText w:val="•"/>
      <w:lvlJc w:val="left"/>
      <w:pPr>
        <w:ind w:left="7317" w:hanging="567"/>
      </w:pPr>
      <w:rPr>
        <w:rFonts w:hint="default"/>
      </w:rPr>
    </w:lvl>
  </w:abstractNum>
  <w:abstractNum w:abstractNumId="22">
    <w:nsid w:val="2E540AD5"/>
    <w:multiLevelType w:val="hybridMultilevel"/>
    <w:tmpl w:val="7DA0E1B8"/>
    <w:lvl w:ilvl="0" w:tplc="0E6A4DDC">
      <w:numFmt w:val="bullet"/>
      <w:lvlText w:val=""/>
      <w:lvlJc w:val="left"/>
      <w:pPr>
        <w:ind w:left="1233" w:hanging="374"/>
      </w:pPr>
      <w:rPr>
        <w:rFonts w:ascii="Symbol" w:eastAsia="Symbol" w:hAnsi="Symbol" w:cs="Symbol" w:hint="default"/>
        <w:w w:val="102"/>
        <w:sz w:val="22"/>
        <w:szCs w:val="22"/>
      </w:rPr>
    </w:lvl>
    <w:lvl w:ilvl="1" w:tplc="5E900DBC">
      <w:numFmt w:val="bullet"/>
      <w:lvlText w:val="•"/>
      <w:lvlJc w:val="left"/>
      <w:pPr>
        <w:ind w:left="2024" w:hanging="374"/>
      </w:pPr>
      <w:rPr>
        <w:rFonts w:hint="default"/>
      </w:rPr>
    </w:lvl>
    <w:lvl w:ilvl="2" w:tplc="4008EC62">
      <w:numFmt w:val="bullet"/>
      <w:lvlText w:val="•"/>
      <w:lvlJc w:val="left"/>
      <w:pPr>
        <w:ind w:left="2808" w:hanging="374"/>
      </w:pPr>
      <w:rPr>
        <w:rFonts w:hint="default"/>
      </w:rPr>
    </w:lvl>
    <w:lvl w:ilvl="3" w:tplc="03E857F8">
      <w:numFmt w:val="bullet"/>
      <w:lvlText w:val="•"/>
      <w:lvlJc w:val="left"/>
      <w:pPr>
        <w:ind w:left="3592" w:hanging="374"/>
      </w:pPr>
      <w:rPr>
        <w:rFonts w:hint="default"/>
      </w:rPr>
    </w:lvl>
    <w:lvl w:ilvl="4" w:tplc="19067080">
      <w:numFmt w:val="bullet"/>
      <w:lvlText w:val="•"/>
      <w:lvlJc w:val="left"/>
      <w:pPr>
        <w:ind w:left="4376" w:hanging="374"/>
      </w:pPr>
      <w:rPr>
        <w:rFonts w:hint="default"/>
      </w:rPr>
    </w:lvl>
    <w:lvl w:ilvl="5" w:tplc="78BEA58E">
      <w:numFmt w:val="bullet"/>
      <w:lvlText w:val="•"/>
      <w:lvlJc w:val="left"/>
      <w:pPr>
        <w:ind w:left="5160" w:hanging="374"/>
      </w:pPr>
      <w:rPr>
        <w:rFonts w:hint="default"/>
      </w:rPr>
    </w:lvl>
    <w:lvl w:ilvl="6" w:tplc="DC6E0A84">
      <w:numFmt w:val="bullet"/>
      <w:lvlText w:val="•"/>
      <w:lvlJc w:val="left"/>
      <w:pPr>
        <w:ind w:left="5944" w:hanging="374"/>
      </w:pPr>
      <w:rPr>
        <w:rFonts w:hint="default"/>
      </w:rPr>
    </w:lvl>
    <w:lvl w:ilvl="7" w:tplc="CF6037DC">
      <w:numFmt w:val="bullet"/>
      <w:lvlText w:val="•"/>
      <w:lvlJc w:val="left"/>
      <w:pPr>
        <w:ind w:left="6728" w:hanging="374"/>
      </w:pPr>
      <w:rPr>
        <w:rFonts w:hint="default"/>
      </w:rPr>
    </w:lvl>
    <w:lvl w:ilvl="8" w:tplc="7C0C7616">
      <w:numFmt w:val="bullet"/>
      <w:lvlText w:val="•"/>
      <w:lvlJc w:val="left"/>
      <w:pPr>
        <w:ind w:left="7512" w:hanging="374"/>
      </w:pPr>
      <w:rPr>
        <w:rFonts w:hint="default"/>
      </w:rPr>
    </w:lvl>
  </w:abstractNum>
  <w:abstractNum w:abstractNumId="23">
    <w:nsid w:val="31565FAC"/>
    <w:multiLevelType w:val="hybridMultilevel"/>
    <w:tmpl w:val="FCA62C9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40864D0"/>
    <w:multiLevelType w:val="hybridMultilevel"/>
    <w:tmpl w:val="8F38EBD4"/>
    <w:lvl w:ilvl="0" w:tplc="B9FA21C0">
      <w:numFmt w:val="bullet"/>
      <w:lvlText w:val="-"/>
      <w:lvlJc w:val="left"/>
      <w:pPr>
        <w:ind w:left="1251" w:hanging="567"/>
      </w:pPr>
      <w:rPr>
        <w:rFonts w:ascii="Cambria" w:eastAsia="Cambria" w:hAnsi="Cambria" w:cs="Cambria" w:hint="default"/>
        <w:w w:val="100"/>
        <w:sz w:val="22"/>
        <w:szCs w:val="22"/>
      </w:rPr>
    </w:lvl>
    <w:lvl w:ilvl="1" w:tplc="1C82EB0E">
      <w:numFmt w:val="bullet"/>
      <w:lvlText w:val="•"/>
      <w:lvlJc w:val="left"/>
      <w:pPr>
        <w:ind w:left="2038" w:hanging="567"/>
      </w:pPr>
      <w:rPr>
        <w:rFonts w:hint="default"/>
      </w:rPr>
    </w:lvl>
    <w:lvl w:ilvl="2" w:tplc="0D0A8DD4">
      <w:numFmt w:val="bullet"/>
      <w:lvlText w:val="•"/>
      <w:lvlJc w:val="left"/>
      <w:pPr>
        <w:ind w:left="2817" w:hanging="567"/>
      </w:pPr>
      <w:rPr>
        <w:rFonts w:hint="default"/>
      </w:rPr>
    </w:lvl>
    <w:lvl w:ilvl="3" w:tplc="6C0EE2E0">
      <w:numFmt w:val="bullet"/>
      <w:lvlText w:val="•"/>
      <w:lvlJc w:val="left"/>
      <w:pPr>
        <w:ind w:left="3596" w:hanging="567"/>
      </w:pPr>
      <w:rPr>
        <w:rFonts w:hint="default"/>
      </w:rPr>
    </w:lvl>
    <w:lvl w:ilvl="4" w:tplc="4C049D04">
      <w:numFmt w:val="bullet"/>
      <w:lvlText w:val="•"/>
      <w:lvlJc w:val="left"/>
      <w:pPr>
        <w:ind w:left="4375" w:hanging="567"/>
      </w:pPr>
      <w:rPr>
        <w:rFonts w:hint="default"/>
      </w:rPr>
    </w:lvl>
    <w:lvl w:ilvl="5" w:tplc="1054DC6C">
      <w:numFmt w:val="bullet"/>
      <w:lvlText w:val="•"/>
      <w:lvlJc w:val="left"/>
      <w:pPr>
        <w:ind w:left="5154" w:hanging="567"/>
      </w:pPr>
      <w:rPr>
        <w:rFonts w:hint="default"/>
      </w:rPr>
    </w:lvl>
    <w:lvl w:ilvl="6" w:tplc="D19838DE">
      <w:numFmt w:val="bullet"/>
      <w:lvlText w:val="•"/>
      <w:lvlJc w:val="left"/>
      <w:pPr>
        <w:ind w:left="5933" w:hanging="567"/>
      </w:pPr>
      <w:rPr>
        <w:rFonts w:hint="default"/>
      </w:rPr>
    </w:lvl>
    <w:lvl w:ilvl="7" w:tplc="EA345D62">
      <w:numFmt w:val="bullet"/>
      <w:lvlText w:val="•"/>
      <w:lvlJc w:val="left"/>
      <w:pPr>
        <w:ind w:left="6712" w:hanging="567"/>
      </w:pPr>
      <w:rPr>
        <w:rFonts w:hint="default"/>
      </w:rPr>
    </w:lvl>
    <w:lvl w:ilvl="8" w:tplc="FCAE292C">
      <w:numFmt w:val="bullet"/>
      <w:lvlText w:val="•"/>
      <w:lvlJc w:val="left"/>
      <w:pPr>
        <w:ind w:left="7491" w:hanging="567"/>
      </w:pPr>
      <w:rPr>
        <w:rFonts w:hint="default"/>
      </w:rPr>
    </w:lvl>
  </w:abstractNum>
  <w:abstractNum w:abstractNumId="25">
    <w:nsid w:val="38292AD4"/>
    <w:multiLevelType w:val="multilevel"/>
    <w:tmpl w:val="7110D424"/>
    <w:styleLink w:val="Headings"/>
    <w:lvl w:ilvl="0">
      <w:start w:val="1"/>
      <w:numFmt w:val="decimal"/>
      <w:suff w:val="space"/>
      <w:lvlText w:val="%1."/>
      <w:lvlJc w:val="left"/>
      <w:pPr>
        <w:ind w:left="2059" w:hanging="357"/>
      </w:pPr>
      <w:rPr>
        <w:rFonts w:asciiTheme="majorHAnsi" w:hAnsiTheme="majorHAnsi" w:hint="default"/>
      </w:rPr>
    </w:lvl>
    <w:lvl w:ilvl="1">
      <w:start w:val="1"/>
      <w:numFmt w:val="decimal"/>
      <w:suff w:val="space"/>
      <w:lvlText w:val="%1.%2."/>
      <w:lvlJc w:val="left"/>
      <w:pPr>
        <w:ind w:left="2059" w:hanging="357"/>
      </w:pPr>
      <w:rPr>
        <w:rFonts w:asciiTheme="majorHAnsi" w:hAnsiTheme="majorHAnsi" w:hint="default"/>
      </w:rPr>
    </w:lvl>
    <w:lvl w:ilvl="2">
      <w:start w:val="1"/>
      <w:numFmt w:val="decimal"/>
      <w:suff w:val="space"/>
      <w:lvlText w:val="%1.%2.%3."/>
      <w:lvlJc w:val="left"/>
      <w:pPr>
        <w:ind w:left="2059" w:hanging="357"/>
      </w:pPr>
      <w:rPr>
        <w:rFonts w:asciiTheme="majorHAnsi" w:hAnsiTheme="majorHAnsi" w:hint="default"/>
      </w:rPr>
    </w:lvl>
    <w:lvl w:ilvl="3">
      <w:start w:val="1"/>
      <w:numFmt w:val="decimal"/>
      <w:suff w:val="space"/>
      <w:lvlText w:val="%1.%2.%3.%4."/>
      <w:lvlJc w:val="left"/>
      <w:pPr>
        <w:ind w:left="2059" w:hanging="357"/>
      </w:pPr>
      <w:rPr>
        <w:rFonts w:asciiTheme="majorHAnsi" w:hAnsiTheme="majorHAnsi" w:hint="default"/>
      </w:rPr>
    </w:lvl>
    <w:lvl w:ilvl="4">
      <w:start w:val="1"/>
      <w:numFmt w:val="lowerLetter"/>
      <w:lvlText w:val="(%5)"/>
      <w:lvlJc w:val="left"/>
      <w:pPr>
        <w:ind w:left="2059" w:hanging="357"/>
      </w:pPr>
      <w:rPr>
        <w:rFonts w:hint="default"/>
      </w:rPr>
    </w:lvl>
    <w:lvl w:ilvl="5">
      <w:start w:val="1"/>
      <w:numFmt w:val="lowerRoman"/>
      <w:lvlText w:val="(%6)"/>
      <w:lvlJc w:val="left"/>
      <w:pPr>
        <w:ind w:left="2059" w:hanging="357"/>
      </w:pPr>
      <w:rPr>
        <w:rFonts w:hint="default"/>
      </w:rPr>
    </w:lvl>
    <w:lvl w:ilvl="6">
      <w:start w:val="1"/>
      <w:numFmt w:val="decimal"/>
      <w:lvlText w:val="%7."/>
      <w:lvlJc w:val="left"/>
      <w:pPr>
        <w:ind w:left="2059" w:hanging="357"/>
      </w:pPr>
      <w:rPr>
        <w:rFonts w:hint="default"/>
      </w:rPr>
    </w:lvl>
    <w:lvl w:ilvl="7">
      <w:start w:val="1"/>
      <w:numFmt w:val="lowerLetter"/>
      <w:lvlText w:val="%8."/>
      <w:lvlJc w:val="left"/>
      <w:pPr>
        <w:ind w:left="2059" w:hanging="357"/>
      </w:pPr>
      <w:rPr>
        <w:rFonts w:hint="default"/>
      </w:rPr>
    </w:lvl>
    <w:lvl w:ilvl="8">
      <w:start w:val="1"/>
      <w:numFmt w:val="lowerRoman"/>
      <w:lvlText w:val="%9."/>
      <w:lvlJc w:val="left"/>
      <w:pPr>
        <w:ind w:left="2059" w:hanging="357"/>
      </w:pPr>
      <w:rPr>
        <w:rFonts w:hint="default"/>
      </w:rPr>
    </w:lvl>
  </w:abstractNum>
  <w:abstractNum w:abstractNumId="26">
    <w:nsid w:val="405C48FD"/>
    <w:multiLevelType w:val="hybridMultilevel"/>
    <w:tmpl w:val="E024815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4B1C32BF"/>
    <w:multiLevelType w:val="hybridMultilevel"/>
    <w:tmpl w:val="C93A6B8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1CD7293"/>
    <w:multiLevelType w:val="hybridMultilevel"/>
    <w:tmpl w:val="A8E04802"/>
    <w:lvl w:ilvl="0" w:tplc="E520B0F8">
      <w:numFmt w:val="bullet"/>
      <w:lvlText w:val=""/>
      <w:lvlJc w:val="left"/>
      <w:pPr>
        <w:ind w:left="1697" w:hanging="361"/>
      </w:pPr>
      <w:rPr>
        <w:rFonts w:ascii="Symbol" w:eastAsia="Symbol" w:hAnsi="Symbol" w:cs="Symbol" w:hint="default"/>
        <w:w w:val="100"/>
        <w:sz w:val="22"/>
        <w:szCs w:val="22"/>
      </w:rPr>
    </w:lvl>
    <w:lvl w:ilvl="1" w:tplc="9E8276B0">
      <w:numFmt w:val="bullet"/>
      <w:lvlText w:val=""/>
      <w:lvlJc w:val="left"/>
      <w:pPr>
        <w:ind w:left="3113" w:hanging="284"/>
      </w:pPr>
      <w:rPr>
        <w:rFonts w:ascii="Symbol" w:eastAsia="Symbol" w:hAnsi="Symbol" w:cs="Symbol" w:hint="default"/>
        <w:w w:val="100"/>
        <w:sz w:val="22"/>
        <w:szCs w:val="22"/>
      </w:rPr>
    </w:lvl>
    <w:lvl w:ilvl="2" w:tplc="DAE07A04">
      <w:numFmt w:val="bullet"/>
      <w:lvlText w:val="•"/>
      <w:lvlJc w:val="left"/>
      <w:pPr>
        <w:ind w:left="4096" w:hanging="284"/>
      </w:pPr>
      <w:rPr>
        <w:rFonts w:hint="default"/>
      </w:rPr>
    </w:lvl>
    <w:lvl w:ilvl="3" w:tplc="90661788">
      <w:numFmt w:val="bullet"/>
      <w:lvlText w:val="•"/>
      <w:lvlJc w:val="left"/>
      <w:pPr>
        <w:ind w:left="5073" w:hanging="284"/>
      </w:pPr>
      <w:rPr>
        <w:rFonts w:hint="default"/>
      </w:rPr>
    </w:lvl>
    <w:lvl w:ilvl="4" w:tplc="0A8878EE">
      <w:numFmt w:val="bullet"/>
      <w:lvlText w:val="•"/>
      <w:lvlJc w:val="left"/>
      <w:pPr>
        <w:ind w:left="6049" w:hanging="284"/>
      </w:pPr>
      <w:rPr>
        <w:rFonts w:hint="default"/>
      </w:rPr>
    </w:lvl>
    <w:lvl w:ilvl="5" w:tplc="D87ED8BC">
      <w:numFmt w:val="bullet"/>
      <w:lvlText w:val="•"/>
      <w:lvlJc w:val="left"/>
      <w:pPr>
        <w:ind w:left="7026" w:hanging="284"/>
      </w:pPr>
      <w:rPr>
        <w:rFonts w:hint="default"/>
      </w:rPr>
    </w:lvl>
    <w:lvl w:ilvl="6" w:tplc="5EE8637C">
      <w:numFmt w:val="bullet"/>
      <w:lvlText w:val="•"/>
      <w:lvlJc w:val="left"/>
      <w:pPr>
        <w:ind w:left="8002" w:hanging="284"/>
      </w:pPr>
      <w:rPr>
        <w:rFonts w:hint="default"/>
      </w:rPr>
    </w:lvl>
    <w:lvl w:ilvl="7" w:tplc="E8467C84">
      <w:numFmt w:val="bullet"/>
      <w:lvlText w:val="•"/>
      <w:lvlJc w:val="left"/>
      <w:pPr>
        <w:ind w:left="8979" w:hanging="284"/>
      </w:pPr>
      <w:rPr>
        <w:rFonts w:hint="default"/>
      </w:rPr>
    </w:lvl>
    <w:lvl w:ilvl="8" w:tplc="552AAE5E">
      <w:numFmt w:val="bullet"/>
      <w:lvlText w:val="•"/>
      <w:lvlJc w:val="left"/>
      <w:pPr>
        <w:ind w:left="9955" w:hanging="284"/>
      </w:pPr>
      <w:rPr>
        <w:rFonts w:hint="default"/>
      </w:rPr>
    </w:lvl>
  </w:abstractNum>
  <w:abstractNum w:abstractNumId="29">
    <w:nsid w:val="52A41FCE"/>
    <w:multiLevelType w:val="hybridMultilevel"/>
    <w:tmpl w:val="36A83E5C"/>
    <w:lvl w:ilvl="0" w:tplc="F5F8D8D6">
      <w:start w:val="1"/>
      <w:numFmt w:val="decimal"/>
      <w:lvlText w:val="%1."/>
      <w:lvlJc w:val="left"/>
      <w:pPr>
        <w:ind w:left="1069" w:hanging="360"/>
      </w:pPr>
      <w:rPr>
        <w:rFonts w:eastAsia="Cambria" w:cs="Times New Roman"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0">
    <w:nsid w:val="59764681"/>
    <w:multiLevelType w:val="hybridMultilevel"/>
    <w:tmpl w:val="64A20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9862F89"/>
    <w:multiLevelType w:val="multilevel"/>
    <w:tmpl w:val="B0F64BAA"/>
    <w:lvl w:ilvl="0">
      <w:start w:val="7"/>
      <w:numFmt w:val="decimal"/>
      <w:lvlText w:val="%1"/>
      <w:lvlJc w:val="left"/>
      <w:pPr>
        <w:ind w:left="1698" w:hanging="287"/>
      </w:pPr>
      <w:rPr>
        <w:rFonts w:hint="default"/>
      </w:rPr>
    </w:lvl>
    <w:lvl w:ilvl="1">
      <w:start w:val="5"/>
      <w:numFmt w:val="decimal"/>
      <w:lvlText w:val="%1.%2"/>
      <w:lvlJc w:val="left"/>
      <w:pPr>
        <w:ind w:left="1698" w:hanging="287"/>
      </w:pPr>
      <w:rPr>
        <w:rFonts w:ascii="Cambria" w:eastAsia="Cambria" w:hAnsi="Cambria" w:cs="Cambria" w:hint="default"/>
        <w:spacing w:val="-3"/>
        <w:w w:val="100"/>
        <w:sz w:val="20"/>
        <w:szCs w:val="20"/>
      </w:rPr>
    </w:lvl>
    <w:lvl w:ilvl="2">
      <w:numFmt w:val="bullet"/>
      <w:lvlText w:val=""/>
      <w:lvlJc w:val="left"/>
      <w:pPr>
        <w:ind w:left="2413" w:hanging="361"/>
      </w:pPr>
      <w:rPr>
        <w:rFonts w:ascii="Symbol" w:eastAsia="Symbol" w:hAnsi="Symbol" w:cs="Symbol" w:hint="default"/>
        <w:w w:val="100"/>
        <w:sz w:val="22"/>
        <w:szCs w:val="22"/>
      </w:rPr>
    </w:lvl>
    <w:lvl w:ilvl="3">
      <w:numFmt w:val="bullet"/>
      <w:lvlText w:val="•"/>
      <w:lvlJc w:val="left"/>
      <w:pPr>
        <w:ind w:left="4528" w:hanging="361"/>
      </w:pPr>
      <w:rPr>
        <w:rFonts w:hint="default"/>
      </w:rPr>
    </w:lvl>
    <w:lvl w:ilvl="4">
      <w:numFmt w:val="bullet"/>
      <w:lvlText w:val="•"/>
      <w:lvlJc w:val="left"/>
      <w:pPr>
        <w:ind w:left="5582" w:hanging="361"/>
      </w:pPr>
      <w:rPr>
        <w:rFonts w:hint="default"/>
      </w:rPr>
    </w:lvl>
    <w:lvl w:ilvl="5">
      <w:numFmt w:val="bullet"/>
      <w:lvlText w:val="•"/>
      <w:lvlJc w:val="left"/>
      <w:pPr>
        <w:ind w:left="6637" w:hanging="361"/>
      </w:pPr>
      <w:rPr>
        <w:rFonts w:hint="default"/>
      </w:rPr>
    </w:lvl>
    <w:lvl w:ilvl="6">
      <w:numFmt w:val="bullet"/>
      <w:lvlText w:val="•"/>
      <w:lvlJc w:val="left"/>
      <w:pPr>
        <w:ind w:left="7691" w:hanging="361"/>
      </w:pPr>
      <w:rPr>
        <w:rFonts w:hint="default"/>
      </w:rPr>
    </w:lvl>
    <w:lvl w:ilvl="7">
      <w:numFmt w:val="bullet"/>
      <w:lvlText w:val="•"/>
      <w:lvlJc w:val="left"/>
      <w:pPr>
        <w:ind w:left="8745" w:hanging="361"/>
      </w:pPr>
      <w:rPr>
        <w:rFonts w:hint="default"/>
      </w:rPr>
    </w:lvl>
    <w:lvl w:ilvl="8">
      <w:numFmt w:val="bullet"/>
      <w:lvlText w:val="•"/>
      <w:lvlJc w:val="left"/>
      <w:pPr>
        <w:ind w:left="9800" w:hanging="361"/>
      </w:pPr>
      <w:rPr>
        <w:rFonts w:hint="default"/>
      </w:rPr>
    </w:lvl>
  </w:abstractNum>
  <w:abstractNum w:abstractNumId="32">
    <w:nsid w:val="5C4E78E9"/>
    <w:multiLevelType w:val="hybridMultilevel"/>
    <w:tmpl w:val="ED0A577E"/>
    <w:lvl w:ilvl="0" w:tplc="DD5CB60E">
      <w:start w:val="1"/>
      <w:numFmt w:val="decimal"/>
      <w:lvlText w:val="%1."/>
      <w:lvlJc w:val="left"/>
      <w:pPr>
        <w:ind w:left="1069" w:hanging="360"/>
      </w:pPr>
      <w:rPr>
        <w:rFonts w:ascii="Cambria" w:hAnsi="Cambria"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3">
    <w:nsid w:val="60A15128"/>
    <w:multiLevelType w:val="hybridMultilevel"/>
    <w:tmpl w:val="7DB2943C"/>
    <w:lvl w:ilvl="0" w:tplc="31224AD8">
      <w:numFmt w:val="bullet"/>
      <w:lvlText w:val=""/>
      <w:lvlJc w:val="left"/>
      <w:pPr>
        <w:ind w:left="2411" w:hanging="361"/>
      </w:pPr>
      <w:rPr>
        <w:rFonts w:ascii="Symbol" w:eastAsia="Symbol" w:hAnsi="Symbol" w:cs="Symbol" w:hint="default"/>
        <w:w w:val="100"/>
        <w:sz w:val="22"/>
        <w:szCs w:val="22"/>
      </w:rPr>
    </w:lvl>
    <w:lvl w:ilvl="1" w:tplc="A8D200CA">
      <w:numFmt w:val="bullet"/>
      <w:lvlText w:val="•"/>
      <w:lvlJc w:val="left"/>
      <w:pPr>
        <w:ind w:left="3368" w:hanging="361"/>
      </w:pPr>
      <w:rPr>
        <w:rFonts w:hint="default"/>
      </w:rPr>
    </w:lvl>
    <w:lvl w:ilvl="2" w:tplc="BBB6E8FE">
      <w:numFmt w:val="bullet"/>
      <w:lvlText w:val="•"/>
      <w:lvlJc w:val="left"/>
      <w:pPr>
        <w:ind w:left="4317" w:hanging="361"/>
      </w:pPr>
      <w:rPr>
        <w:rFonts w:hint="default"/>
      </w:rPr>
    </w:lvl>
    <w:lvl w:ilvl="3" w:tplc="0B1CAF58">
      <w:numFmt w:val="bullet"/>
      <w:lvlText w:val="•"/>
      <w:lvlJc w:val="left"/>
      <w:pPr>
        <w:ind w:left="5266" w:hanging="361"/>
      </w:pPr>
      <w:rPr>
        <w:rFonts w:hint="default"/>
      </w:rPr>
    </w:lvl>
    <w:lvl w:ilvl="4" w:tplc="32A8B44C">
      <w:numFmt w:val="bullet"/>
      <w:lvlText w:val="•"/>
      <w:lvlJc w:val="left"/>
      <w:pPr>
        <w:ind w:left="6215" w:hanging="361"/>
      </w:pPr>
      <w:rPr>
        <w:rFonts w:hint="default"/>
      </w:rPr>
    </w:lvl>
    <w:lvl w:ilvl="5" w:tplc="74427A08">
      <w:numFmt w:val="bullet"/>
      <w:lvlText w:val="•"/>
      <w:lvlJc w:val="left"/>
      <w:pPr>
        <w:ind w:left="7164" w:hanging="361"/>
      </w:pPr>
      <w:rPr>
        <w:rFonts w:hint="default"/>
      </w:rPr>
    </w:lvl>
    <w:lvl w:ilvl="6" w:tplc="FEFCC964">
      <w:numFmt w:val="bullet"/>
      <w:lvlText w:val="•"/>
      <w:lvlJc w:val="left"/>
      <w:pPr>
        <w:ind w:left="8113" w:hanging="361"/>
      </w:pPr>
      <w:rPr>
        <w:rFonts w:hint="default"/>
      </w:rPr>
    </w:lvl>
    <w:lvl w:ilvl="7" w:tplc="97A0656C">
      <w:numFmt w:val="bullet"/>
      <w:lvlText w:val="•"/>
      <w:lvlJc w:val="left"/>
      <w:pPr>
        <w:ind w:left="9062" w:hanging="361"/>
      </w:pPr>
      <w:rPr>
        <w:rFonts w:hint="default"/>
      </w:rPr>
    </w:lvl>
    <w:lvl w:ilvl="8" w:tplc="487892C8">
      <w:numFmt w:val="bullet"/>
      <w:lvlText w:val="•"/>
      <w:lvlJc w:val="left"/>
      <w:pPr>
        <w:ind w:left="10011" w:hanging="361"/>
      </w:pPr>
      <w:rPr>
        <w:rFonts w:hint="default"/>
      </w:rPr>
    </w:lvl>
  </w:abstractNum>
  <w:abstractNum w:abstractNumId="34">
    <w:nsid w:val="617C0F15"/>
    <w:multiLevelType w:val="hybridMultilevel"/>
    <w:tmpl w:val="7B724AAA"/>
    <w:lvl w:ilvl="0" w:tplc="66648B54">
      <w:start w:val="5"/>
      <w:numFmt w:val="bullet"/>
      <w:lvlText w:val="-"/>
      <w:lvlJc w:val="left"/>
      <w:pPr>
        <w:ind w:left="720" w:hanging="360"/>
      </w:pPr>
      <w:rPr>
        <w:rFonts w:ascii="Cambria" w:eastAsia="TimesNewRoman" w:hAnsi="Cambria" w:cs="TimesNew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4F3061D"/>
    <w:multiLevelType w:val="hybridMultilevel"/>
    <w:tmpl w:val="8F7C300E"/>
    <w:lvl w:ilvl="0" w:tplc="FAE23D24">
      <w:start w:val="1"/>
      <w:numFmt w:val="decimal"/>
      <w:lvlText w:val="%1."/>
      <w:lvlJc w:val="left"/>
      <w:pPr>
        <w:ind w:left="685" w:hanging="567"/>
      </w:pPr>
      <w:rPr>
        <w:rFonts w:ascii="Cambria" w:eastAsia="Cambria" w:hAnsi="Cambria" w:cs="Cambria" w:hint="default"/>
        <w:spacing w:val="-3"/>
        <w:w w:val="100"/>
        <w:sz w:val="22"/>
        <w:szCs w:val="22"/>
      </w:rPr>
    </w:lvl>
    <w:lvl w:ilvl="1" w:tplc="DD40A046">
      <w:start w:val="1"/>
      <w:numFmt w:val="lowerLetter"/>
      <w:lvlText w:val="(%2)"/>
      <w:lvlJc w:val="left"/>
      <w:pPr>
        <w:ind w:left="1251" w:hanging="567"/>
      </w:pPr>
      <w:rPr>
        <w:rFonts w:ascii="Cambria" w:eastAsia="Cambria" w:hAnsi="Cambria" w:cs="Cambria" w:hint="default"/>
        <w:spacing w:val="-3"/>
        <w:w w:val="100"/>
        <w:sz w:val="22"/>
        <w:szCs w:val="22"/>
      </w:rPr>
    </w:lvl>
    <w:lvl w:ilvl="2" w:tplc="49C448DA">
      <w:numFmt w:val="bullet"/>
      <w:lvlText w:val="•"/>
      <w:lvlJc w:val="left"/>
      <w:pPr>
        <w:ind w:left="2125" w:hanging="567"/>
      </w:pPr>
      <w:rPr>
        <w:rFonts w:hint="default"/>
      </w:rPr>
    </w:lvl>
    <w:lvl w:ilvl="3" w:tplc="4AB44DD2">
      <w:numFmt w:val="bullet"/>
      <w:lvlText w:val="•"/>
      <w:lvlJc w:val="left"/>
      <w:pPr>
        <w:ind w:left="2990" w:hanging="567"/>
      </w:pPr>
      <w:rPr>
        <w:rFonts w:hint="default"/>
      </w:rPr>
    </w:lvl>
    <w:lvl w:ilvl="4" w:tplc="CBAAE4B0">
      <w:numFmt w:val="bullet"/>
      <w:lvlText w:val="•"/>
      <w:lvlJc w:val="left"/>
      <w:pPr>
        <w:ind w:left="3856" w:hanging="567"/>
      </w:pPr>
      <w:rPr>
        <w:rFonts w:hint="default"/>
      </w:rPr>
    </w:lvl>
    <w:lvl w:ilvl="5" w:tplc="C37CDCC8">
      <w:numFmt w:val="bullet"/>
      <w:lvlText w:val="•"/>
      <w:lvlJc w:val="left"/>
      <w:pPr>
        <w:ind w:left="4721" w:hanging="567"/>
      </w:pPr>
      <w:rPr>
        <w:rFonts w:hint="default"/>
      </w:rPr>
    </w:lvl>
    <w:lvl w:ilvl="6" w:tplc="70F62968">
      <w:numFmt w:val="bullet"/>
      <w:lvlText w:val="•"/>
      <w:lvlJc w:val="left"/>
      <w:pPr>
        <w:ind w:left="5587" w:hanging="567"/>
      </w:pPr>
      <w:rPr>
        <w:rFonts w:hint="default"/>
      </w:rPr>
    </w:lvl>
    <w:lvl w:ilvl="7" w:tplc="DC0449E8">
      <w:numFmt w:val="bullet"/>
      <w:lvlText w:val="•"/>
      <w:lvlJc w:val="left"/>
      <w:pPr>
        <w:ind w:left="6452" w:hanging="567"/>
      </w:pPr>
      <w:rPr>
        <w:rFonts w:hint="default"/>
      </w:rPr>
    </w:lvl>
    <w:lvl w:ilvl="8" w:tplc="BDEE03F4">
      <w:numFmt w:val="bullet"/>
      <w:lvlText w:val="•"/>
      <w:lvlJc w:val="left"/>
      <w:pPr>
        <w:ind w:left="7317" w:hanging="567"/>
      </w:pPr>
      <w:rPr>
        <w:rFonts w:hint="default"/>
      </w:rPr>
    </w:lvl>
  </w:abstractNum>
  <w:abstractNum w:abstractNumId="36">
    <w:nsid w:val="68A24A95"/>
    <w:multiLevelType w:val="hybridMultilevel"/>
    <w:tmpl w:val="59DE364E"/>
    <w:lvl w:ilvl="0" w:tplc="21A0721E">
      <w:start w:val="12"/>
      <w:numFmt w:val="bullet"/>
      <w:lvlText w:val="-"/>
      <w:lvlJc w:val="left"/>
      <w:pPr>
        <w:ind w:left="1080" w:hanging="360"/>
      </w:pPr>
      <w:rPr>
        <w:rFonts w:ascii="Cambria" w:eastAsia="Cambria" w:hAnsi="Cambria"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nsid w:val="6C5674BB"/>
    <w:multiLevelType w:val="hybridMultilevel"/>
    <w:tmpl w:val="D1E6DA04"/>
    <w:lvl w:ilvl="0" w:tplc="73224DE6">
      <w:start w:val="1"/>
      <w:numFmt w:val="decimal"/>
      <w:lvlText w:val="%1."/>
      <w:lvlJc w:val="left"/>
      <w:pPr>
        <w:ind w:left="644"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8CC03A7"/>
    <w:multiLevelType w:val="hybridMultilevel"/>
    <w:tmpl w:val="BA9ECEC2"/>
    <w:lvl w:ilvl="0" w:tplc="9F14331A">
      <w:numFmt w:val="bullet"/>
      <w:lvlText w:val="-"/>
      <w:lvlJc w:val="left"/>
      <w:pPr>
        <w:ind w:left="720" w:hanging="360"/>
      </w:pPr>
      <w:rPr>
        <w:rFonts w:ascii="Cambria" w:eastAsia="MS Mincho" w:hAnsi="Cambria"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EB70F4E"/>
    <w:multiLevelType w:val="hybridMultilevel"/>
    <w:tmpl w:val="7F58B6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9"/>
  </w:num>
  <w:num w:numId="3">
    <w:abstractNumId w:val="13"/>
  </w:num>
  <w:num w:numId="4">
    <w:abstractNumId w:val="9"/>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8"/>
  </w:num>
  <w:num w:numId="7">
    <w:abstractNumId w:val="16"/>
  </w:num>
  <w:num w:numId="8">
    <w:abstractNumId w:val="29"/>
  </w:num>
  <w:num w:numId="9">
    <w:abstractNumId w:val="32"/>
  </w:num>
  <w:num w:numId="10">
    <w:abstractNumId w:val="34"/>
  </w:num>
  <w:num w:numId="11">
    <w:abstractNumId w:val="36"/>
  </w:num>
  <w:num w:numId="12">
    <w:abstractNumId w:val="30"/>
  </w:num>
  <w:num w:numId="13">
    <w:abstractNumId w:val="37"/>
  </w:num>
  <w:num w:numId="14">
    <w:abstractNumId w:val="10"/>
  </w:num>
  <w:num w:numId="15">
    <w:abstractNumId w:val="19"/>
  </w:num>
  <w:num w:numId="16">
    <w:abstractNumId w:val="11"/>
  </w:num>
  <w:num w:numId="17">
    <w:abstractNumId w:val="38"/>
  </w:num>
  <w:num w:numId="18">
    <w:abstractNumId w:val="5"/>
  </w:num>
  <w:num w:numId="19">
    <w:abstractNumId w:val="23"/>
  </w:num>
  <w:num w:numId="20">
    <w:abstractNumId w:val="7"/>
  </w:num>
  <w:num w:numId="21">
    <w:abstractNumId w:val="20"/>
  </w:num>
  <w:num w:numId="22">
    <w:abstractNumId w:val="6"/>
  </w:num>
  <w:num w:numId="23">
    <w:abstractNumId w:val="22"/>
  </w:num>
  <w:num w:numId="24">
    <w:abstractNumId w:val="28"/>
  </w:num>
  <w:num w:numId="25">
    <w:abstractNumId w:val="35"/>
  </w:num>
  <w:num w:numId="26">
    <w:abstractNumId w:val="33"/>
  </w:num>
  <w:num w:numId="27">
    <w:abstractNumId w:val="3"/>
  </w:num>
  <w:num w:numId="28">
    <w:abstractNumId w:val="24"/>
  </w:num>
  <w:num w:numId="29">
    <w:abstractNumId w:val="31"/>
  </w:num>
  <w:num w:numId="30">
    <w:abstractNumId w:val="21"/>
  </w:num>
  <w:num w:numId="31">
    <w:abstractNumId w:val="4"/>
  </w:num>
  <w:num w:numId="32">
    <w:abstractNumId w:val="25"/>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1"/>
  </w:num>
  <w:num w:numId="40">
    <w:abstractNumId w:val="39"/>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12"/>
  </w:num>
  <w:num w:numId="45">
    <w:abstractNumId w:val="2"/>
  </w:num>
  <w:num w:numId="46">
    <w:abstractNumId w:val="14"/>
  </w:num>
  <w:num w:numId="47">
    <w:abstractNumId w:val="27"/>
  </w:num>
  <w:num w:numId="48">
    <w:abstractNumId w:val="26"/>
  </w:num>
  <w:num w:numId="49">
    <w:abstractNumId w:val="18"/>
  </w:num>
  <w:num w:numId="50">
    <w:abstractNumId w:val="17"/>
  </w:num>
  <w:num w:numId="51">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52">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53">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4B0"/>
    <w:rsid w:val="00002031"/>
    <w:rsid w:val="0000448F"/>
    <w:rsid w:val="00004734"/>
    <w:rsid w:val="00004B57"/>
    <w:rsid w:val="00004BE9"/>
    <w:rsid w:val="00006B22"/>
    <w:rsid w:val="0001276A"/>
    <w:rsid w:val="00013392"/>
    <w:rsid w:val="00013647"/>
    <w:rsid w:val="000246AE"/>
    <w:rsid w:val="00025C4D"/>
    <w:rsid w:val="00025C67"/>
    <w:rsid w:val="000352A7"/>
    <w:rsid w:val="00040671"/>
    <w:rsid w:val="00044772"/>
    <w:rsid w:val="0005559E"/>
    <w:rsid w:val="000604D6"/>
    <w:rsid w:val="00060C99"/>
    <w:rsid w:val="00070EA0"/>
    <w:rsid w:val="000734D8"/>
    <w:rsid w:val="0007636A"/>
    <w:rsid w:val="00077775"/>
    <w:rsid w:val="00090471"/>
    <w:rsid w:val="00095056"/>
    <w:rsid w:val="0009659F"/>
    <w:rsid w:val="00096AA7"/>
    <w:rsid w:val="00097566"/>
    <w:rsid w:val="000A3AED"/>
    <w:rsid w:val="000A5476"/>
    <w:rsid w:val="000B3532"/>
    <w:rsid w:val="000B3A75"/>
    <w:rsid w:val="000B5869"/>
    <w:rsid w:val="000C00C2"/>
    <w:rsid w:val="000C690F"/>
    <w:rsid w:val="000D1295"/>
    <w:rsid w:val="000D391B"/>
    <w:rsid w:val="000D3D6D"/>
    <w:rsid w:val="000D4FC7"/>
    <w:rsid w:val="000D6CCD"/>
    <w:rsid w:val="000D7983"/>
    <w:rsid w:val="000E32B5"/>
    <w:rsid w:val="000E6196"/>
    <w:rsid w:val="000F4869"/>
    <w:rsid w:val="000F5B42"/>
    <w:rsid w:val="000F6E6F"/>
    <w:rsid w:val="000F7272"/>
    <w:rsid w:val="00104E5C"/>
    <w:rsid w:val="0010601F"/>
    <w:rsid w:val="00106180"/>
    <w:rsid w:val="0010788A"/>
    <w:rsid w:val="00107A31"/>
    <w:rsid w:val="00110EA5"/>
    <w:rsid w:val="00112F56"/>
    <w:rsid w:val="00115289"/>
    <w:rsid w:val="0011656B"/>
    <w:rsid w:val="00120BD6"/>
    <w:rsid w:val="001249BE"/>
    <w:rsid w:val="00124ACD"/>
    <w:rsid w:val="00125318"/>
    <w:rsid w:val="00127692"/>
    <w:rsid w:val="001305A2"/>
    <w:rsid w:val="00133238"/>
    <w:rsid w:val="00133A1B"/>
    <w:rsid w:val="00136842"/>
    <w:rsid w:val="0014173A"/>
    <w:rsid w:val="0014197B"/>
    <w:rsid w:val="001447CD"/>
    <w:rsid w:val="001516B1"/>
    <w:rsid w:val="00154EBB"/>
    <w:rsid w:val="00156316"/>
    <w:rsid w:val="001606DA"/>
    <w:rsid w:val="00161181"/>
    <w:rsid w:val="00162D14"/>
    <w:rsid w:val="00163780"/>
    <w:rsid w:val="0016492D"/>
    <w:rsid w:val="00165389"/>
    <w:rsid w:val="00170607"/>
    <w:rsid w:val="00171215"/>
    <w:rsid w:val="0017693F"/>
    <w:rsid w:val="0018110E"/>
    <w:rsid w:val="00181684"/>
    <w:rsid w:val="001843C6"/>
    <w:rsid w:val="001850E0"/>
    <w:rsid w:val="00191A6D"/>
    <w:rsid w:val="001A2158"/>
    <w:rsid w:val="001A525F"/>
    <w:rsid w:val="001B09F9"/>
    <w:rsid w:val="001B5C90"/>
    <w:rsid w:val="001B6448"/>
    <w:rsid w:val="001C12F0"/>
    <w:rsid w:val="001C32CD"/>
    <w:rsid w:val="001C4AB8"/>
    <w:rsid w:val="001C6E73"/>
    <w:rsid w:val="001D2984"/>
    <w:rsid w:val="001E07CF"/>
    <w:rsid w:val="001E2BFE"/>
    <w:rsid w:val="001E59F1"/>
    <w:rsid w:val="001E7CEE"/>
    <w:rsid w:val="001F2CEE"/>
    <w:rsid w:val="001F3F23"/>
    <w:rsid w:val="001F49EB"/>
    <w:rsid w:val="001F5FEC"/>
    <w:rsid w:val="001F6CBA"/>
    <w:rsid w:val="001F7F24"/>
    <w:rsid w:val="00201D4E"/>
    <w:rsid w:val="002048D4"/>
    <w:rsid w:val="002076C9"/>
    <w:rsid w:val="00215E21"/>
    <w:rsid w:val="00220B8A"/>
    <w:rsid w:val="00223EDB"/>
    <w:rsid w:val="002257F3"/>
    <w:rsid w:val="00231430"/>
    <w:rsid w:val="00233456"/>
    <w:rsid w:val="002339A5"/>
    <w:rsid w:val="00241369"/>
    <w:rsid w:val="0024546B"/>
    <w:rsid w:val="00257848"/>
    <w:rsid w:val="0027084A"/>
    <w:rsid w:val="00275BCB"/>
    <w:rsid w:val="002772B5"/>
    <w:rsid w:val="00277DE3"/>
    <w:rsid w:val="00282CA4"/>
    <w:rsid w:val="00286434"/>
    <w:rsid w:val="00286C59"/>
    <w:rsid w:val="00287DF7"/>
    <w:rsid w:val="00291957"/>
    <w:rsid w:val="002942D1"/>
    <w:rsid w:val="0029501A"/>
    <w:rsid w:val="0029747B"/>
    <w:rsid w:val="002A3721"/>
    <w:rsid w:val="002A65B0"/>
    <w:rsid w:val="002B1638"/>
    <w:rsid w:val="002B3624"/>
    <w:rsid w:val="002B426E"/>
    <w:rsid w:val="002B47E9"/>
    <w:rsid w:val="002D0952"/>
    <w:rsid w:val="002D0CA2"/>
    <w:rsid w:val="002D3C70"/>
    <w:rsid w:val="002E40B3"/>
    <w:rsid w:val="002E4C9A"/>
    <w:rsid w:val="002F11F8"/>
    <w:rsid w:val="002F3CCE"/>
    <w:rsid w:val="002F3F56"/>
    <w:rsid w:val="002F44B5"/>
    <w:rsid w:val="00302F43"/>
    <w:rsid w:val="00303011"/>
    <w:rsid w:val="00307ECF"/>
    <w:rsid w:val="00311AC0"/>
    <w:rsid w:val="00312206"/>
    <w:rsid w:val="003176FC"/>
    <w:rsid w:val="003209C3"/>
    <w:rsid w:val="0032583B"/>
    <w:rsid w:val="00326C01"/>
    <w:rsid w:val="00327883"/>
    <w:rsid w:val="00332981"/>
    <w:rsid w:val="00335504"/>
    <w:rsid w:val="00340C18"/>
    <w:rsid w:val="003442FD"/>
    <w:rsid w:val="00347824"/>
    <w:rsid w:val="00347FCC"/>
    <w:rsid w:val="00350567"/>
    <w:rsid w:val="003521E8"/>
    <w:rsid w:val="003562B3"/>
    <w:rsid w:val="00356446"/>
    <w:rsid w:val="00366C53"/>
    <w:rsid w:val="00370CE3"/>
    <w:rsid w:val="003728F3"/>
    <w:rsid w:val="0037496E"/>
    <w:rsid w:val="0037531C"/>
    <w:rsid w:val="00383069"/>
    <w:rsid w:val="00383221"/>
    <w:rsid w:val="00385A83"/>
    <w:rsid w:val="00386150"/>
    <w:rsid w:val="003874CE"/>
    <w:rsid w:val="00390900"/>
    <w:rsid w:val="00393AE0"/>
    <w:rsid w:val="003A37C5"/>
    <w:rsid w:val="003A5F83"/>
    <w:rsid w:val="003A7F6C"/>
    <w:rsid w:val="003B4D60"/>
    <w:rsid w:val="003B7E39"/>
    <w:rsid w:val="003C58DC"/>
    <w:rsid w:val="003D1E62"/>
    <w:rsid w:val="003E0A2F"/>
    <w:rsid w:val="003E0B99"/>
    <w:rsid w:val="003E1628"/>
    <w:rsid w:val="003E2486"/>
    <w:rsid w:val="003E3208"/>
    <w:rsid w:val="003F0B04"/>
    <w:rsid w:val="003F2DE3"/>
    <w:rsid w:val="003F4F1B"/>
    <w:rsid w:val="0040134E"/>
    <w:rsid w:val="004062FB"/>
    <w:rsid w:val="004130FC"/>
    <w:rsid w:val="00413227"/>
    <w:rsid w:val="004320F5"/>
    <w:rsid w:val="004334C7"/>
    <w:rsid w:val="00440A2D"/>
    <w:rsid w:val="00441C3F"/>
    <w:rsid w:val="004433CF"/>
    <w:rsid w:val="0044382B"/>
    <w:rsid w:val="00451A22"/>
    <w:rsid w:val="00453FBE"/>
    <w:rsid w:val="004564A7"/>
    <w:rsid w:val="00456765"/>
    <w:rsid w:val="004617BF"/>
    <w:rsid w:val="00463658"/>
    <w:rsid w:val="004637A0"/>
    <w:rsid w:val="00463DFC"/>
    <w:rsid w:val="00465723"/>
    <w:rsid w:val="004722CC"/>
    <w:rsid w:val="004875DA"/>
    <w:rsid w:val="00490C29"/>
    <w:rsid w:val="00490EA7"/>
    <w:rsid w:val="004936E4"/>
    <w:rsid w:val="00494E60"/>
    <w:rsid w:val="00497487"/>
    <w:rsid w:val="004A4114"/>
    <w:rsid w:val="004A6189"/>
    <w:rsid w:val="004A7390"/>
    <w:rsid w:val="004A7ED8"/>
    <w:rsid w:val="004B2C5F"/>
    <w:rsid w:val="004B7B76"/>
    <w:rsid w:val="004C239D"/>
    <w:rsid w:val="004C2DCA"/>
    <w:rsid w:val="004C4E10"/>
    <w:rsid w:val="004C61D2"/>
    <w:rsid w:val="004C6C7D"/>
    <w:rsid w:val="004D4A17"/>
    <w:rsid w:val="004F0C4A"/>
    <w:rsid w:val="004F0F38"/>
    <w:rsid w:val="004F47D6"/>
    <w:rsid w:val="004F730E"/>
    <w:rsid w:val="00500337"/>
    <w:rsid w:val="00501062"/>
    <w:rsid w:val="00501921"/>
    <w:rsid w:val="00513EB4"/>
    <w:rsid w:val="00524E43"/>
    <w:rsid w:val="00530354"/>
    <w:rsid w:val="00533DAA"/>
    <w:rsid w:val="0053625B"/>
    <w:rsid w:val="005372D5"/>
    <w:rsid w:val="005434C6"/>
    <w:rsid w:val="00543B39"/>
    <w:rsid w:val="00546154"/>
    <w:rsid w:val="00550096"/>
    <w:rsid w:val="00554321"/>
    <w:rsid w:val="00555280"/>
    <w:rsid w:val="00557FF9"/>
    <w:rsid w:val="00562327"/>
    <w:rsid w:val="00567B7E"/>
    <w:rsid w:val="005711D5"/>
    <w:rsid w:val="00571833"/>
    <w:rsid w:val="00571879"/>
    <w:rsid w:val="00576378"/>
    <w:rsid w:val="00577130"/>
    <w:rsid w:val="00577945"/>
    <w:rsid w:val="00577E38"/>
    <w:rsid w:val="00584262"/>
    <w:rsid w:val="00585322"/>
    <w:rsid w:val="005857C6"/>
    <w:rsid w:val="00592F6E"/>
    <w:rsid w:val="00593AD1"/>
    <w:rsid w:val="005A68B6"/>
    <w:rsid w:val="005B78B6"/>
    <w:rsid w:val="005C14A8"/>
    <w:rsid w:val="005C38A4"/>
    <w:rsid w:val="005C5570"/>
    <w:rsid w:val="005C79A4"/>
    <w:rsid w:val="005D5405"/>
    <w:rsid w:val="005D5442"/>
    <w:rsid w:val="005E3DCE"/>
    <w:rsid w:val="005E6E8D"/>
    <w:rsid w:val="005F05A8"/>
    <w:rsid w:val="005F3010"/>
    <w:rsid w:val="005F4198"/>
    <w:rsid w:val="005F6C9D"/>
    <w:rsid w:val="0060285D"/>
    <w:rsid w:val="00603F32"/>
    <w:rsid w:val="00605AD4"/>
    <w:rsid w:val="00611849"/>
    <w:rsid w:val="006136D7"/>
    <w:rsid w:val="006140EA"/>
    <w:rsid w:val="0062022F"/>
    <w:rsid w:val="00625A6E"/>
    <w:rsid w:val="00632398"/>
    <w:rsid w:val="00640FC3"/>
    <w:rsid w:val="00642020"/>
    <w:rsid w:val="006473CB"/>
    <w:rsid w:val="0065337B"/>
    <w:rsid w:val="0065419D"/>
    <w:rsid w:val="006601E4"/>
    <w:rsid w:val="006604D8"/>
    <w:rsid w:val="00664A5B"/>
    <w:rsid w:val="00664BA4"/>
    <w:rsid w:val="0066725A"/>
    <w:rsid w:val="00667271"/>
    <w:rsid w:val="0066735C"/>
    <w:rsid w:val="00671546"/>
    <w:rsid w:val="00672209"/>
    <w:rsid w:val="006763D2"/>
    <w:rsid w:val="006777B6"/>
    <w:rsid w:val="00680C08"/>
    <w:rsid w:val="00681A2E"/>
    <w:rsid w:val="0068452D"/>
    <w:rsid w:val="006916A0"/>
    <w:rsid w:val="006931B1"/>
    <w:rsid w:val="006A0D66"/>
    <w:rsid w:val="006A15C0"/>
    <w:rsid w:val="006A34EC"/>
    <w:rsid w:val="006B573B"/>
    <w:rsid w:val="006C336C"/>
    <w:rsid w:val="006C3E2A"/>
    <w:rsid w:val="006C5A36"/>
    <w:rsid w:val="006C642F"/>
    <w:rsid w:val="006C77CD"/>
    <w:rsid w:val="006D03E5"/>
    <w:rsid w:val="006D0B19"/>
    <w:rsid w:val="006D2B42"/>
    <w:rsid w:val="006D33F2"/>
    <w:rsid w:val="006D4749"/>
    <w:rsid w:val="006D5D3E"/>
    <w:rsid w:val="006D69A0"/>
    <w:rsid w:val="006D7B64"/>
    <w:rsid w:val="006D7D02"/>
    <w:rsid w:val="006E08B3"/>
    <w:rsid w:val="006E1F1D"/>
    <w:rsid w:val="006E3971"/>
    <w:rsid w:val="006E5867"/>
    <w:rsid w:val="006F17AC"/>
    <w:rsid w:val="006F25B8"/>
    <w:rsid w:val="006F572E"/>
    <w:rsid w:val="006F72E5"/>
    <w:rsid w:val="007046D6"/>
    <w:rsid w:val="00705DB0"/>
    <w:rsid w:val="00706C47"/>
    <w:rsid w:val="0071292A"/>
    <w:rsid w:val="007153AB"/>
    <w:rsid w:val="00715B39"/>
    <w:rsid w:val="0072297B"/>
    <w:rsid w:val="00722B57"/>
    <w:rsid w:val="00723081"/>
    <w:rsid w:val="00730F8A"/>
    <w:rsid w:val="00731A2E"/>
    <w:rsid w:val="00735A8C"/>
    <w:rsid w:val="0074253D"/>
    <w:rsid w:val="0074429B"/>
    <w:rsid w:val="00744D99"/>
    <w:rsid w:val="007465A0"/>
    <w:rsid w:val="00750F6F"/>
    <w:rsid w:val="007615BC"/>
    <w:rsid w:val="00762F05"/>
    <w:rsid w:val="007652FF"/>
    <w:rsid w:val="00770CAC"/>
    <w:rsid w:val="00770EF1"/>
    <w:rsid w:val="00773EF7"/>
    <w:rsid w:val="00773F35"/>
    <w:rsid w:val="00774E1D"/>
    <w:rsid w:val="007765D8"/>
    <w:rsid w:val="0077675A"/>
    <w:rsid w:val="00780355"/>
    <w:rsid w:val="007819FD"/>
    <w:rsid w:val="00785717"/>
    <w:rsid w:val="00785721"/>
    <w:rsid w:val="00787234"/>
    <w:rsid w:val="00792F49"/>
    <w:rsid w:val="00793A59"/>
    <w:rsid w:val="007976A6"/>
    <w:rsid w:val="007A46F5"/>
    <w:rsid w:val="007B378C"/>
    <w:rsid w:val="007B536C"/>
    <w:rsid w:val="007B6132"/>
    <w:rsid w:val="007B6E9F"/>
    <w:rsid w:val="007C1216"/>
    <w:rsid w:val="007C1AF7"/>
    <w:rsid w:val="007C496E"/>
    <w:rsid w:val="007C6B9B"/>
    <w:rsid w:val="007E6A50"/>
    <w:rsid w:val="007E7696"/>
    <w:rsid w:val="007E77BE"/>
    <w:rsid w:val="007F0394"/>
    <w:rsid w:val="007F4F32"/>
    <w:rsid w:val="007F63B4"/>
    <w:rsid w:val="007F7EDA"/>
    <w:rsid w:val="0080049F"/>
    <w:rsid w:val="00805D27"/>
    <w:rsid w:val="00806DCB"/>
    <w:rsid w:val="008113F6"/>
    <w:rsid w:val="00815048"/>
    <w:rsid w:val="00815C15"/>
    <w:rsid w:val="00816092"/>
    <w:rsid w:val="00821776"/>
    <w:rsid w:val="00831351"/>
    <w:rsid w:val="00831742"/>
    <w:rsid w:val="008321F5"/>
    <w:rsid w:val="00832369"/>
    <w:rsid w:val="00834660"/>
    <w:rsid w:val="00836955"/>
    <w:rsid w:val="00836BC2"/>
    <w:rsid w:val="00845804"/>
    <w:rsid w:val="008459AB"/>
    <w:rsid w:val="0085156D"/>
    <w:rsid w:val="008558E5"/>
    <w:rsid w:val="0085641B"/>
    <w:rsid w:val="00857136"/>
    <w:rsid w:val="00873921"/>
    <w:rsid w:val="00875A6B"/>
    <w:rsid w:val="008836A9"/>
    <w:rsid w:val="008851F1"/>
    <w:rsid w:val="00885B11"/>
    <w:rsid w:val="00886D15"/>
    <w:rsid w:val="00887DD8"/>
    <w:rsid w:val="00891BA9"/>
    <w:rsid w:val="00893B69"/>
    <w:rsid w:val="00896018"/>
    <w:rsid w:val="008960DD"/>
    <w:rsid w:val="0089635C"/>
    <w:rsid w:val="008A2B9D"/>
    <w:rsid w:val="008A3D9F"/>
    <w:rsid w:val="008A5E0B"/>
    <w:rsid w:val="008A6789"/>
    <w:rsid w:val="008A6D59"/>
    <w:rsid w:val="008B4B03"/>
    <w:rsid w:val="008B596F"/>
    <w:rsid w:val="008C159F"/>
    <w:rsid w:val="008C1623"/>
    <w:rsid w:val="008C1850"/>
    <w:rsid w:val="008C1C94"/>
    <w:rsid w:val="008C51A9"/>
    <w:rsid w:val="008C5FC5"/>
    <w:rsid w:val="008D3F2B"/>
    <w:rsid w:val="008E1D97"/>
    <w:rsid w:val="008E7846"/>
    <w:rsid w:val="008E7ACE"/>
    <w:rsid w:val="008F02E5"/>
    <w:rsid w:val="008F114F"/>
    <w:rsid w:val="008F1CCC"/>
    <w:rsid w:val="008F1FD4"/>
    <w:rsid w:val="008F2967"/>
    <w:rsid w:val="008F3008"/>
    <w:rsid w:val="008F4ED0"/>
    <w:rsid w:val="008F6943"/>
    <w:rsid w:val="00901A31"/>
    <w:rsid w:val="00902A21"/>
    <w:rsid w:val="00902BFA"/>
    <w:rsid w:val="009058C4"/>
    <w:rsid w:val="0091712B"/>
    <w:rsid w:val="00917EE3"/>
    <w:rsid w:val="00920330"/>
    <w:rsid w:val="009219D7"/>
    <w:rsid w:val="00922D53"/>
    <w:rsid w:val="00922E23"/>
    <w:rsid w:val="00923B70"/>
    <w:rsid w:val="00924482"/>
    <w:rsid w:val="00930237"/>
    <w:rsid w:val="00932892"/>
    <w:rsid w:val="00937C17"/>
    <w:rsid w:val="00940A89"/>
    <w:rsid w:val="009416FB"/>
    <w:rsid w:val="009431C8"/>
    <w:rsid w:val="00946EA5"/>
    <w:rsid w:val="00952A33"/>
    <w:rsid w:val="009530C9"/>
    <w:rsid w:val="009569DF"/>
    <w:rsid w:val="00963C08"/>
    <w:rsid w:val="0096579A"/>
    <w:rsid w:val="00966864"/>
    <w:rsid w:val="009676E2"/>
    <w:rsid w:val="00970132"/>
    <w:rsid w:val="009722A0"/>
    <w:rsid w:val="00972F4A"/>
    <w:rsid w:val="00973288"/>
    <w:rsid w:val="009733A9"/>
    <w:rsid w:val="009752A5"/>
    <w:rsid w:val="00976B6F"/>
    <w:rsid w:val="009802FE"/>
    <w:rsid w:val="009830B2"/>
    <w:rsid w:val="00983BA4"/>
    <w:rsid w:val="0098585A"/>
    <w:rsid w:val="009A1296"/>
    <w:rsid w:val="009A3F68"/>
    <w:rsid w:val="009A4CED"/>
    <w:rsid w:val="009A690D"/>
    <w:rsid w:val="009B1D12"/>
    <w:rsid w:val="009B416B"/>
    <w:rsid w:val="009C244E"/>
    <w:rsid w:val="009C4BD5"/>
    <w:rsid w:val="009D7B77"/>
    <w:rsid w:val="009E0BB0"/>
    <w:rsid w:val="009E39B0"/>
    <w:rsid w:val="009E3FBB"/>
    <w:rsid w:val="009E73AB"/>
    <w:rsid w:val="009F7353"/>
    <w:rsid w:val="00A04509"/>
    <w:rsid w:val="00A04B32"/>
    <w:rsid w:val="00A04F85"/>
    <w:rsid w:val="00A05FA4"/>
    <w:rsid w:val="00A06ADD"/>
    <w:rsid w:val="00A102E4"/>
    <w:rsid w:val="00A12C42"/>
    <w:rsid w:val="00A14876"/>
    <w:rsid w:val="00A14DF7"/>
    <w:rsid w:val="00A16B30"/>
    <w:rsid w:val="00A30340"/>
    <w:rsid w:val="00A3246D"/>
    <w:rsid w:val="00A35220"/>
    <w:rsid w:val="00A36FA7"/>
    <w:rsid w:val="00A43733"/>
    <w:rsid w:val="00A44DDB"/>
    <w:rsid w:val="00A475B7"/>
    <w:rsid w:val="00A47AF7"/>
    <w:rsid w:val="00A47C3E"/>
    <w:rsid w:val="00A50226"/>
    <w:rsid w:val="00A60BAD"/>
    <w:rsid w:val="00A60CB2"/>
    <w:rsid w:val="00A639BB"/>
    <w:rsid w:val="00A63C24"/>
    <w:rsid w:val="00A70CFA"/>
    <w:rsid w:val="00A80B5B"/>
    <w:rsid w:val="00A80F43"/>
    <w:rsid w:val="00A82B6F"/>
    <w:rsid w:val="00A84E36"/>
    <w:rsid w:val="00A879FA"/>
    <w:rsid w:val="00A90E1B"/>
    <w:rsid w:val="00A95859"/>
    <w:rsid w:val="00A964D1"/>
    <w:rsid w:val="00AA0ED0"/>
    <w:rsid w:val="00AA209B"/>
    <w:rsid w:val="00AC1730"/>
    <w:rsid w:val="00AC2B40"/>
    <w:rsid w:val="00AC2BB2"/>
    <w:rsid w:val="00AC2C3C"/>
    <w:rsid w:val="00AC2F02"/>
    <w:rsid w:val="00AC512D"/>
    <w:rsid w:val="00AD0083"/>
    <w:rsid w:val="00AD3531"/>
    <w:rsid w:val="00AD3935"/>
    <w:rsid w:val="00AD3B96"/>
    <w:rsid w:val="00AD51CF"/>
    <w:rsid w:val="00AD73A6"/>
    <w:rsid w:val="00AD7692"/>
    <w:rsid w:val="00AD7C4D"/>
    <w:rsid w:val="00AE28E7"/>
    <w:rsid w:val="00AE65EB"/>
    <w:rsid w:val="00AE67A7"/>
    <w:rsid w:val="00AF1D94"/>
    <w:rsid w:val="00AF60C5"/>
    <w:rsid w:val="00B009C6"/>
    <w:rsid w:val="00B01548"/>
    <w:rsid w:val="00B0548E"/>
    <w:rsid w:val="00B13EBD"/>
    <w:rsid w:val="00B21D29"/>
    <w:rsid w:val="00B244EF"/>
    <w:rsid w:val="00B25034"/>
    <w:rsid w:val="00B27FD6"/>
    <w:rsid w:val="00B33588"/>
    <w:rsid w:val="00B33863"/>
    <w:rsid w:val="00B37D17"/>
    <w:rsid w:val="00B4175E"/>
    <w:rsid w:val="00B41A17"/>
    <w:rsid w:val="00B41C85"/>
    <w:rsid w:val="00B452CE"/>
    <w:rsid w:val="00B45B46"/>
    <w:rsid w:val="00B51DF2"/>
    <w:rsid w:val="00B54C25"/>
    <w:rsid w:val="00B66CD9"/>
    <w:rsid w:val="00B70EC0"/>
    <w:rsid w:val="00B76B91"/>
    <w:rsid w:val="00B77EB1"/>
    <w:rsid w:val="00B80593"/>
    <w:rsid w:val="00B811C6"/>
    <w:rsid w:val="00B855B0"/>
    <w:rsid w:val="00B91C8D"/>
    <w:rsid w:val="00B92E08"/>
    <w:rsid w:val="00B9327A"/>
    <w:rsid w:val="00BB1099"/>
    <w:rsid w:val="00BC622A"/>
    <w:rsid w:val="00BC6FBA"/>
    <w:rsid w:val="00BC79A0"/>
    <w:rsid w:val="00BD0D7D"/>
    <w:rsid w:val="00BD17F9"/>
    <w:rsid w:val="00BD5DE7"/>
    <w:rsid w:val="00BE0A78"/>
    <w:rsid w:val="00BE2BC8"/>
    <w:rsid w:val="00BE2C72"/>
    <w:rsid w:val="00BE49B8"/>
    <w:rsid w:val="00BE621D"/>
    <w:rsid w:val="00BE79F0"/>
    <w:rsid w:val="00BF046D"/>
    <w:rsid w:val="00BF1190"/>
    <w:rsid w:val="00BF2AB2"/>
    <w:rsid w:val="00BF49C2"/>
    <w:rsid w:val="00BF5D04"/>
    <w:rsid w:val="00C008B6"/>
    <w:rsid w:val="00C009AA"/>
    <w:rsid w:val="00C1164D"/>
    <w:rsid w:val="00C141FF"/>
    <w:rsid w:val="00C16861"/>
    <w:rsid w:val="00C25F78"/>
    <w:rsid w:val="00C315CD"/>
    <w:rsid w:val="00C346AB"/>
    <w:rsid w:val="00C3563C"/>
    <w:rsid w:val="00C404A6"/>
    <w:rsid w:val="00C40A36"/>
    <w:rsid w:val="00C442DD"/>
    <w:rsid w:val="00C44419"/>
    <w:rsid w:val="00C45B82"/>
    <w:rsid w:val="00C45E7B"/>
    <w:rsid w:val="00C471B1"/>
    <w:rsid w:val="00C51633"/>
    <w:rsid w:val="00C566F3"/>
    <w:rsid w:val="00C56942"/>
    <w:rsid w:val="00C6316B"/>
    <w:rsid w:val="00C634A9"/>
    <w:rsid w:val="00C64586"/>
    <w:rsid w:val="00C65C63"/>
    <w:rsid w:val="00C70D53"/>
    <w:rsid w:val="00C7396E"/>
    <w:rsid w:val="00C73D0B"/>
    <w:rsid w:val="00C772FF"/>
    <w:rsid w:val="00C80137"/>
    <w:rsid w:val="00C801AF"/>
    <w:rsid w:val="00C80256"/>
    <w:rsid w:val="00C94CD4"/>
    <w:rsid w:val="00C968D9"/>
    <w:rsid w:val="00C9747E"/>
    <w:rsid w:val="00CB32EC"/>
    <w:rsid w:val="00CB6BC0"/>
    <w:rsid w:val="00CC1B7C"/>
    <w:rsid w:val="00CC5F19"/>
    <w:rsid w:val="00CC727F"/>
    <w:rsid w:val="00CC77A6"/>
    <w:rsid w:val="00CD18ED"/>
    <w:rsid w:val="00CD4D93"/>
    <w:rsid w:val="00CD7F8F"/>
    <w:rsid w:val="00CE4C23"/>
    <w:rsid w:val="00CE6507"/>
    <w:rsid w:val="00CF15C3"/>
    <w:rsid w:val="00CF1C93"/>
    <w:rsid w:val="00CF2B6F"/>
    <w:rsid w:val="00CF2F3E"/>
    <w:rsid w:val="00CF4DC5"/>
    <w:rsid w:val="00CF58B6"/>
    <w:rsid w:val="00D0062D"/>
    <w:rsid w:val="00D017ED"/>
    <w:rsid w:val="00D040D3"/>
    <w:rsid w:val="00D04C65"/>
    <w:rsid w:val="00D059FE"/>
    <w:rsid w:val="00D06B00"/>
    <w:rsid w:val="00D201D2"/>
    <w:rsid w:val="00D224FE"/>
    <w:rsid w:val="00D23139"/>
    <w:rsid w:val="00D36530"/>
    <w:rsid w:val="00D425BB"/>
    <w:rsid w:val="00D45EA2"/>
    <w:rsid w:val="00D4619B"/>
    <w:rsid w:val="00D518E2"/>
    <w:rsid w:val="00D6493E"/>
    <w:rsid w:val="00D666BA"/>
    <w:rsid w:val="00D669A9"/>
    <w:rsid w:val="00D7195D"/>
    <w:rsid w:val="00D722B4"/>
    <w:rsid w:val="00D7301E"/>
    <w:rsid w:val="00D745EB"/>
    <w:rsid w:val="00D8030A"/>
    <w:rsid w:val="00D819A2"/>
    <w:rsid w:val="00D83148"/>
    <w:rsid w:val="00D83AE1"/>
    <w:rsid w:val="00D855D4"/>
    <w:rsid w:val="00D87593"/>
    <w:rsid w:val="00D902C9"/>
    <w:rsid w:val="00D920AA"/>
    <w:rsid w:val="00D93466"/>
    <w:rsid w:val="00D941EF"/>
    <w:rsid w:val="00D96FE3"/>
    <w:rsid w:val="00DA1124"/>
    <w:rsid w:val="00DB087D"/>
    <w:rsid w:val="00DB4DE5"/>
    <w:rsid w:val="00DB6124"/>
    <w:rsid w:val="00DB750B"/>
    <w:rsid w:val="00DB75B7"/>
    <w:rsid w:val="00DC6E02"/>
    <w:rsid w:val="00DD28CD"/>
    <w:rsid w:val="00DD7FD5"/>
    <w:rsid w:val="00DD7FF1"/>
    <w:rsid w:val="00DE02AE"/>
    <w:rsid w:val="00DF1D7F"/>
    <w:rsid w:val="00DF2537"/>
    <w:rsid w:val="00DF4BE4"/>
    <w:rsid w:val="00DF7B38"/>
    <w:rsid w:val="00E02FB4"/>
    <w:rsid w:val="00E06CD9"/>
    <w:rsid w:val="00E13FC7"/>
    <w:rsid w:val="00E20571"/>
    <w:rsid w:val="00E2144F"/>
    <w:rsid w:val="00E235F7"/>
    <w:rsid w:val="00E23659"/>
    <w:rsid w:val="00E239D4"/>
    <w:rsid w:val="00E25240"/>
    <w:rsid w:val="00E25DB8"/>
    <w:rsid w:val="00E25FFB"/>
    <w:rsid w:val="00E26130"/>
    <w:rsid w:val="00E26203"/>
    <w:rsid w:val="00E27620"/>
    <w:rsid w:val="00E35B5E"/>
    <w:rsid w:val="00E40B22"/>
    <w:rsid w:val="00E44BED"/>
    <w:rsid w:val="00E44ED1"/>
    <w:rsid w:val="00E45619"/>
    <w:rsid w:val="00E4588F"/>
    <w:rsid w:val="00E46DA3"/>
    <w:rsid w:val="00E51BB1"/>
    <w:rsid w:val="00E534B0"/>
    <w:rsid w:val="00E55ACA"/>
    <w:rsid w:val="00E600D5"/>
    <w:rsid w:val="00E624A5"/>
    <w:rsid w:val="00E64BA4"/>
    <w:rsid w:val="00E700A6"/>
    <w:rsid w:val="00E7344E"/>
    <w:rsid w:val="00E73C18"/>
    <w:rsid w:val="00E82665"/>
    <w:rsid w:val="00E8309C"/>
    <w:rsid w:val="00E87327"/>
    <w:rsid w:val="00E87390"/>
    <w:rsid w:val="00E91852"/>
    <w:rsid w:val="00EA16C3"/>
    <w:rsid w:val="00EA1B90"/>
    <w:rsid w:val="00EB0798"/>
    <w:rsid w:val="00EB40AD"/>
    <w:rsid w:val="00EB55BF"/>
    <w:rsid w:val="00EB586E"/>
    <w:rsid w:val="00EB5FC8"/>
    <w:rsid w:val="00EC15AB"/>
    <w:rsid w:val="00EC463D"/>
    <w:rsid w:val="00EC7A85"/>
    <w:rsid w:val="00ED2922"/>
    <w:rsid w:val="00ED332D"/>
    <w:rsid w:val="00ED354C"/>
    <w:rsid w:val="00ED3CAD"/>
    <w:rsid w:val="00ED4392"/>
    <w:rsid w:val="00ED5A41"/>
    <w:rsid w:val="00EE1DE8"/>
    <w:rsid w:val="00EE2636"/>
    <w:rsid w:val="00EE27C2"/>
    <w:rsid w:val="00EE7154"/>
    <w:rsid w:val="00EF4BAD"/>
    <w:rsid w:val="00EF59DC"/>
    <w:rsid w:val="00F01382"/>
    <w:rsid w:val="00F031B3"/>
    <w:rsid w:val="00F033EC"/>
    <w:rsid w:val="00F038D1"/>
    <w:rsid w:val="00F04F68"/>
    <w:rsid w:val="00F11E99"/>
    <w:rsid w:val="00F12670"/>
    <w:rsid w:val="00F14099"/>
    <w:rsid w:val="00F14B27"/>
    <w:rsid w:val="00F30B5B"/>
    <w:rsid w:val="00F30D27"/>
    <w:rsid w:val="00F3148D"/>
    <w:rsid w:val="00F325C5"/>
    <w:rsid w:val="00F32FE0"/>
    <w:rsid w:val="00F3446D"/>
    <w:rsid w:val="00F35298"/>
    <w:rsid w:val="00F40263"/>
    <w:rsid w:val="00F43A77"/>
    <w:rsid w:val="00F45A45"/>
    <w:rsid w:val="00F47333"/>
    <w:rsid w:val="00F47E37"/>
    <w:rsid w:val="00F53C07"/>
    <w:rsid w:val="00F54B65"/>
    <w:rsid w:val="00F56832"/>
    <w:rsid w:val="00F60FF1"/>
    <w:rsid w:val="00F636F2"/>
    <w:rsid w:val="00F640B6"/>
    <w:rsid w:val="00F65884"/>
    <w:rsid w:val="00F66DF2"/>
    <w:rsid w:val="00F76321"/>
    <w:rsid w:val="00F80E40"/>
    <w:rsid w:val="00F848D9"/>
    <w:rsid w:val="00F85259"/>
    <w:rsid w:val="00F85404"/>
    <w:rsid w:val="00F9258F"/>
    <w:rsid w:val="00F95C50"/>
    <w:rsid w:val="00F97771"/>
    <w:rsid w:val="00FA5B82"/>
    <w:rsid w:val="00FA639E"/>
    <w:rsid w:val="00FA6C7E"/>
    <w:rsid w:val="00FC1FCA"/>
    <w:rsid w:val="00FC25E4"/>
    <w:rsid w:val="00FC4EF7"/>
    <w:rsid w:val="00FD0824"/>
    <w:rsid w:val="00FD119B"/>
    <w:rsid w:val="00FD1EDC"/>
    <w:rsid w:val="00FE1DEE"/>
    <w:rsid w:val="00FF2126"/>
    <w:rsid w:val="00FF334A"/>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AE8D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B51DF2"/>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9"/>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uiPriority w:val="9"/>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uiPriority w:val="9"/>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681A2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68452D"/>
    <w:pPr>
      <w:keepNext/>
      <w:keepLines/>
      <w:spacing w:before="200" w:after="0"/>
      <w:outlineLvl w:val="8"/>
    </w:pPr>
    <w:rPr>
      <w:rFonts w:ascii="Calibri" w:eastAsiaTheme="majorEastAsia" w:hAnsi="Calibri" w:cs="Calibr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uiPriority w:val="9"/>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uiPriority w:val="9"/>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91712B"/>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
    <w:name w:val="Standard"/>
    <w:basedOn w:val="Normal"/>
    <w:link w:val="StandardChar"/>
    <w:qFormat/>
    <w:rsid w:val="00AC1730"/>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AC1730"/>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AC1730"/>
    <w:pPr>
      <w:numPr>
        <w:numId w:val="6"/>
      </w:numPr>
      <w:spacing w:after="180"/>
    </w:pPr>
    <w:rPr>
      <w:kern w:val="2"/>
    </w:rPr>
  </w:style>
  <w:style w:type="character" w:customStyle="1" w:styleId="TabletextChar">
    <w:name w:val="Table text Char"/>
    <w:basedOn w:val="StandardChar"/>
    <w:link w:val="Tabletext"/>
    <w:rsid w:val="00AC1730"/>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AC1730"/>
    <w:rPr>
      <w:rFonts w:ascii="Cambria" w:eastAsia="Times New Roman" w:hAnsi="Cambria" w:cs="Times New Roman"/>
      <w:snapToGrid w:val="0"/>
      <w:kern w:val="2"/>
      <w:sz w:val="23"/>
      <w:szCs w:val="24"/>
    </w:rPr>
  </w:style>
  <w:style w:type="paragraph" w:styleId="Quote">
    <w:name w:val="Quote"/>
    <w:basedOn w:val="Normal"/>
    <w:next w:val="Normal"/>
    <w:link w:val="QuoteChar"/>
    <w:uiPriority w:val="29"/>
    <w:qFormat/>
    <w:rsid w:val="00AC1730"/>
    <w:pPr>
      <w:spacing w:before="0" w:after="200" w:line="276" w:lineRule="auto"/>
      <w:ind w:left="397" w:right="170"/>
    </w:pPr>
    <w:rPr>
      <w:rFonts w:asciiTheme="majorHAnsi" w:eastAsiaTheme="minorHAnsi" w:hAnsiTheme="majorHAnsi" w:cstheme="minorBidi"/>
      <w:i/>
      <w:iCs/>
      <w:color w:val="000000" w:themeColor="text1"/>
      <w:sz w:val="23"/>
    </w:rPr>
  </w:style>
  <w:style w:type="character" w:customStyle="1" w:styleId="QuoteChar">
    <w:name w:val="Quote Char"/>
    <w:basedOn w:val="DefaultParagraphFont"/>
    <w:link w:val="Quote"/>
    <w:uiPriority w:val="29"/>
    <w:rsid w:val="00AC1730"/>
    <w:rPr>
      <w:rFonts w:asciiTheme="majorHAnsi" w:hAnsiTheme="majorHAnsi"/>
      <w:i/>
      <w:iCs/>
      <w:color w:val="000000" w:themeColor="text1"/>
      <w:sz w:val="23"/>
    </w:rPr>
  </w:style>
  <w:style w:type="paragraph" w:customStyle="1" w:styleId="Summaryofsafetyconcerns">
    <w:name w:val="Summary of safety concerns"/>
    <w:basedOn w:val="Tabletext"/>
    <w:link w:val="SummaryofsafetyconcernsChar"/>
    <w:qFormat/>
    <w:rsid w:val="00AC1730"/>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AC1730"/>
    <w:rPr>
      <w:rFonts w:ascii="Cambria" w:eastAsia="Times New Roman" w:hAnsi="Cambria" w:cs="Times New Roman"/>
      <w:b/>
      <w:snapToGrid w:val="0"/>
      <w:kern w:val="16"/>
      <w:sz w:val="20"/>
      <w:szCs w:val="24"/>
    </w:rPr>
  </w:style>
  <w:style w:type="paragraph" w:customStyle="1" w:styleId="TableCaption">
    <w:name w:val="Table Caption"/>
    <w:basedOn w:val="Normal"/>
    <w:next w:val="Normal"/>
    <w:link w:val="TableCaptionChar"/>
    <w:rsid w:val="00AC1730"/>
    <w:pPr>
      <w:spacing w:before="60" w:after="440" w:line="215" w:lineRule="exact"/>
      <w:ind w:left="170"/>
    </w:pPr>
    <w:rPr>
      <w:rFonts w:eastAsia="Times New Roman"/>
      <w:snapToGrid w:val="0"/>
      <w:kern w:val="16"/>
      <w:sz w:val="18"/>
      <w:szCs w:val="19"/>
    </w:rPr>
  </w:style>
  <w:style w:type="character" w:customStyle="1" w:styleId="TableTitleChar">
    <w:name w:val="Table Title Char"/>
    <w:basedOn w:val="DefaultParagraphFont"/>
    <w:link w:val="TableTitle"/>
    <w:rsid w:val="00AC1730"/>
    <w:rPr>
      <w:rFonts w:ascii="Cambria" w:eastAsia="Cambria" w:hAnsi="Cambria" w:cs="Times New Roman"/>
      <w:b/>
    </w:rPr>
  </w:style>
  <w:style w:type="character" w:customStyle="1" w:styleId="TableCaptionChar">
    <w:name w:val="Table Caption Char"/>
    <w:basedOn w:val="TabletextChar"/>
    <w:link w:val="TableCaption"/>
    <w:rsid w:val="00AC1730"/>
    <w:rPr>
      <w:rFonts w:ascii="Cambria" w:eastAsia="Times New Roman" w:hAnsi="Cambria" w:cs="Times New Roman"/>
      <w:snapToGrid w:val="0"/>
      <w:kern w:val="16"/>
      <w:sz w:val="18"/>
      <w:szCs w:val="19"/>
    </w:rPr>
  </w:style>
  <w:style w:type="paragraph" w:customStyle="1" w:styleId="TableHeader">
    <w:name w:val="Table Header"/>
    <w:basedOn w:val="Normal"/>
    <w:rsid w:val="00AC1730"/>
    <w:pPr>
      <w:keepNext/>
      <w:keepLines/>
      <w:widowControl w:val="0"/>
      <w:spacing w:before="60" w:after="60" w:line="200" w:lineRule="exact"/>
      <w:jc w:val="center"/>
    </w:pPr>
    <w:rPr>
      <w:rFonts w:eastAsia="MS Mincho" w:cstheme="minorBidi"/>
      <w:b/>
      <w:kern w:val="2"/>
      <w:sz w:val="19"/>
      <w:szCs w:val="19"/>
    </w:rPr>
  </w:style>
  <w:style w:type="paragraph" w:customStyle="1" w:styleId="SectionHeading">
    <w:name w:val="Section Heading"/>
    <w:basedOn w:val="Standard"/>
    <w:next w:val="Standard"/>
    <w:link w:val="SectionHeadingCharChar"/>
    <w:rsid w:val="0016492D"/>
    <w:pPr>
      <w:keepNext/>
      <w:spacing w:after="200"/>
      <w:outlineLvl w:val="0"/>
    </w:pPr>
    <w:rPr>
      <w:b/>
      <w:caps/>
      <w:sz w:val="24"/>
    </w:rPr>
  </w:style>
  <w:style w:type="paragraph" w:customStyle="1" w:styleId="WhiteSpace">
    <w:name w:val="White Space"/>
    <w:basedOn w:val="Standard"/>
    <w:next w:val="Standard"/>
    <w:link w:val="WhiteSpaceChar"/>
    <w:qFormat/>
    <w:rsid w:val="0016492D"/>
    <w:pPr>
      <w:spacing w:after="0"/>
    </w:pPr>
    <w:rPr>
      <w:sz w:val="16"/>
      <w:szCs w:val="16"/>
    </w:rPr>
  </w:style>
  <w:style w:type="character" w:customStyle="1" w:styleId="SectionHeadingCharChar">
    <w:name w:val="Section Heading Char Char"/>
    <w:basedOn w:val="DefaultParagraphFont"/>
    <w:link w:val="SectionHeading"/>
    <w:rsid w:val="0016492D"/>
    <w:rPr>
      <w:rFonts w:ascii="Cambria" w:eastAsia="Times New Roman" w:hAnsi="Cambria" w:cs="Times New Roman"/>
      <w:b/>
      <w:caps/>
      <w:snapToGrid w:val="0"/>
      <w:kern w:val="16"/>
      <w:sz w:val="24"/>
      <w:szCs w:val="24"/>
    </w:rPr>
  </w:style>
  <w:style w:type="character" w:customStyle="1" w:styleId="WhiteSpaceChar">
    <w:name w:val="White Space Char"/>
    <w:basedOn w:val="DefaultParagraphFont"/>
    <w:link w:val="WhiteSpace"/>
    <w:rsid w:val="0016492D"/>
    <w:rPr>
      <w:rFonts w:ascii="Cambria" w:eastAsia="Times New Roman" w:hAnsi="Cambria" w:cs="Times New Roman"/>
      <w:snapToGrid w:val="0"/>
      <w:kern w:val="16"/>
      <w:sz w:val="16"/>
      <w:szCs w:val="16"/>
    </w:rPr>
  </w:style>
  <w:style w:type="paragraph" w:customStyle="1" w:styleId="AssessmentSection">
    <w:name w:val="Assessment Section"/>
    <w:basedOn w:val="Normal"/>
    <w:next w:val="Standard"/>
    <w:rsid w:val="0016492D"/>
    <w:pPr>
      <w:keepNext/>
      <w:spacing w:before="0" w:after="110" w:line="252" w:lineRule="auto"/>
      <w:outlineLvl w:val="1"/>
    </w:pPr>
    <w:rPr>
      <w:rFonts w:eastAsia="Times New Roman"/>
      <w:b/>
      <w:snapToGrid w:val="0"/>
      <w:kern w:val="16"/>
      <w:szCs w:val="24"/>
    </w:rPr>
  </w:style>
  <w:style w:type="paragraph" w:customStyle="1" w:styleId="AssessmentSubsection2">
    <w:name w:val="Assessment Subsection 2"/>
    <w:basedOn w:val="Normal"/>
    <w:next w:val="Standard"/>
    <w:rsid w:val="0016492D"/>
    <w:pPr>
      <w:keepNext/>
      <w:spacing w:before="0" w:after="110" w:line="252" w:lineRule="auto"/>
      <w:outlineLvl w:val="3"/>
    </w:pPr>
    <w:rPr>
      <w:rFonts w:eastAsia="Times New Roman"/>
      <w:i/>
      <w:snapToGrid w:val="0"/>
      <w:kern w:val="16"/>
      <w:szCs w:val="24"/>
    </w:rPr>
  </w:style>
  <w:style w:type="paragraph" w:customStyle="1" w:styleId="Default">
    <w:name w:val="Default"/>
    <w:rsid w:val="00326C01"/>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326C01"/>
    <w:pPr>
      <w:ind w:left="720"/>
      <w:contextualSpacing/>
    </w:pPr>
  </w:style>
  <w:style w:type="character" w:customStyle="1" w:styleId="Heading8Char">
    <w:name w:val="Heading 8 Char"/>
    <w:basedOn w:val="DefaultParagraphFont"/>
    <w:link w:val="Heading8"/>
    <w:uiPriority w:val="9"/>
    <w:rsid w:val="00681A2E"/>
    <w:rPr>
      <w:rFonts w:asciiTheme="majorHAnsi" w:eastAsiaTheme="majorEastAsia" w:hAnsiTheme="majorHAnsi" w:cstheme="majorBidi"/>
      <w:color w:val="404040" w:themeColor="text1" w:themeTint="BF"/>
      <w:sz w:val="20"/>
      <w:szCs w:val="20"/>
    </w:rPr>
  </w:style>
  <w:style w:type="paragraph" w:customStyle="1" w:styleId="A-Head6">
    <w:name w:val="A-Head 6"/>
    <w:basedOn w:val="Normal"/>
    <w:link w:val="A-Head6Char"/>
    <w:rsid w:val="00C008B6"/>
    <w:pPr>
      <w:spacing w:before="60" w:after="0" w:line="240" w:lineRule="auto"/>
    </w:pPr>
    <w:rPr>
      <w:rFonts w:ascii="Arial" w:eastAsia="Times New Roman" w:hAnsi="Arial"/>
      <w:b/>
      <w:szCs w:val="20"/>
      <w:lang w:eastAsia="en-AU"/>
    </w:rPr>
  </w:style>
  <w:style w:type="character" w:customStyle="1" w:styleId="A-Head6Char">
    <w:name w:val="A-Head 6 Char"/>
    <w:link w:val="A-Head6"/>
    <w:rsid w:val="00C008B6"/>
    <w:rPr>
      <w:rFonts w:ascii="Arial" w:eastAsia="Times New Roman" w:hAnsi="Arial" w:cs="Times New Roman"/>
      <w:b/>
      <w:szCs w:val="20"/>
      <w:lang w:eastAsia="en-AU"/>
    </w:rPr>
  </w:style>
  <w:style w:type="paragraph" w:customStyle="1" w:styleId="Pharmacovigilanceplan">
    <w:name w:val="Pharmacovigilance plan"/>
    <w:basedOn w:val="Normal"/>
    <w:link w:val="PharmacovigilanceplanChar"/>
    <w:qFormat/>
    <w:rsid w:val="00966864"/>
    <w:pPr>
      <w:spacing w:before="20" w:after="20" w:line="252" w:lineRule="auto"/>
      <w:jc w:val="center"/>
    </w:pPr>
    <w:rPr>
      <w:rFonts w:eastAsia="Times New Roman"/>
      <w:b/>
      <w:snapToGrid w:val="0"/>
      <w:kern w:val="16"/>
      <w:sz w:val="20"/>
      <w:szCs w:val="24"/>
    </w:rPr>
  </w:style>
  <w:style w:type="character" w:customStyle="1" w:styleId="PharmacovigilanceplanChar">
    <w:name w:val="Pharmacovigilance plan Char"/>
    <w:basedOn w:val="DefaultParagraphFont"/>
    <w:link w:val="Pharmacovigilanceplan"/>
    <w:rsid w:val="00966864"/>
    <w:rPr>
      <w:rFonts w:ascii="Cambria" w:eastAsia="Times New Roman" w:hAnsi="Cambria" w:cs="Times New Roman"/>
      <w:b/>
      <w:snapToGrid w:val="0"/>
      <w:kern w:val="16"/>
      <w:sz w:val="20"/>
      <w:szCs w:val="24"/>
    </w:rPr>
  </w:style>
  <w:style w:type="paragraph" w:customStyle="1" w:styleId="Indication">
    <w:name w:val="Indication"/>
    <w:basedOn w:val="Normal"/>
    <w:uiPriority w:val="1"/>
    <w:qFormat/>
    <w:rsid w:val="00F60FF1"/>
    <w:pPr>
      <w:spacing w:line="300" w:lineRule="atLeast"/>
      <w:ind w:left="284"/>
    </w:pPr>
    <w:rPr>
      <w:i/>
      <w:noProof/>
      <w:szCs w:val="20"/>
    </w:rPr>
  </w:style>
  <w:style w:type="paragraph" w:customStyle="1" w:styleId="subheading1">
    <w:name w:val="subheading1"/>
    <w:basedOn w:val="Heading5"/>
    <w:uiPriority w:val="1"/>
    <w:qFormat/>
    <w:rsid w:val="00F60FF1"/>
    <w:pPr>
      <w:spacing w:before="240" w:line="240" w:lineRule="atLeast"/>
    </w:pPr>
    <w:rPr>
      <w:i w:val="0"/>
      <w:color w:val="auto"/>
      <w:szCs w:val="26"/>
    </w:rPr>
  </w:style>
  <w:style w:type="paragraph" w:styleId="BodyText">
    <w:name w:val="Body Text"/>
    <w:basedOn w:val="Normal"/>
    <w:link w:val="BodyTextChar"/>
    <w:uiPriority w:val="1"/>
    <w:qFormat/>
    <w:rsid w:val="00D059FE"/>
    <w:pPr>
      <w:widowControl w:val="0"/>
      <w:autoSpaceDE w:val="0"/>
      <w:autoSpaceDN w:val="0"/>
      <w:spacing w:before="0" w:after="0" w:line="240" w:lineRule="auto"/>
      <w:ind w:left="101" w:right="180"/>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D059FE"/>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23081"/>
    <w:pPr>
      <w:widowControl w:val="0"/>
      <w:autoSpaceDE w:val="0"/>
      <w:autoSpaceDN w:val="0"/>
      <w:spacing w:before="0" w:after="0" w:line="240" w:lineRule="auto"/>
    </w:pPr>
    <w:rPr>
      <w:rFonts w:ascii="Times New Roman" w:eastAsia="Times New Roman" w:hAnsi="Times New Roman"/>
      <w:lang w:val="en-US"/>
    </w:rPr>
  </w:style>
  <w:style w:type="paragraph" w:customStyle="1" w:styleId="AssessmentSubsection">
    <w:name w:val="Assessment Subsection"/>
    <w:basedOn w:val="Standard"/>
    <w:next w:val="Standard"/>
    <w:rsid w:val="009E39B0"/>
    <w:pPr>
      <w:keepNext/>
      <w:spacing w:after="110"/>
      <w:outlineLvl w:val="2"/>
    </w:pPr>
    <w:rPr>
      <w:b/>
      <w:i/>
      <w:sz w:val="22"/>
    </w:rPr>
  </w:style>
  <w:style w:type="numbering" w:customStyle="1" w:styleId="Headings">
    <w:name w:val="Headings"/>
    <w:uiPriority w:val="99"/>
    <w:rsid w:val="006777B6"/>
    <w:pPr>
      <w:numPr>
        <w:numId w:val="32"/>
      </w:numPr>
    </w:pPr>
  </w:style>
  <w:style w:type="character" w:customStyle="1" w:styleId="Heading9Char">
    <w:name w:val="Heading 9 Char"/>
    <w:basedOn w:val="DefaultParagraphFont"/>
    <w:link w:val="Heading9"/>
    <w:uiPriority w:val="9"/>
    <w:rsid w:val="0068452D"/>
    <w:rPr>
      <w:rFonts w:ascii="Calibri" w:eastAsiaTheme="majorEastAsia" w:hAnsi="Calibri" w:cs="Calibr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B51DF2"/>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9"/>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uiPriority w:val="9"/>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uiPriority w:val="9"/>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681A2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68452D"/>
    <w:pPr>
      <w:keepNext/>
      <w:keepLines/>
      <w:spacing w:before="200" w:after="0"/>
      <w:outlineLvl w:val="8"/>
    </w:pPr>
    <w:rPr>
      <w:rFonts w:ascii="Calibri" w:eastAsiaTheme="majorEastAsia" w:hAnsi="Calibri" w:cs="Calibr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uiPriority w:val="9"/>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uiPriority w:val="9"/>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91712B"/>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
    <w:name w:val="Standard"/>
    <w:basedOn w:val="Normal"/>
    <w:link w:val="StandardChar"/>
    <w:qFormat/>
    <w:rsid w:val="00AC1730"/>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AC1730"/>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AC1730"/>
    <w:pPr>
      <w:numPr>
        <w:numId w:val="6"/>
      </w:numPr>
      <w:spacing w:after="180"/>
    </w:pPr>
    <w:rPr>
      <w:kern w:val="2"/>
    </w:rPr>
  </w:style>
  <w:style w:type="character" w:customStyle="1" w:styleId="TabletextChar">
    <w:name w:val="Table text Char"/>
    <w:basedOn w:val="StandardChar"/>
    <w:link w:val="Tabletext"/>
    <w:rsid w:val="00AC1730"/>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AC1730"/>
    <w:rPr>
      <w:rFonts w:ascii="Cambria" w:eastAsia="Times New Roman" w:hAnsi="Cambria" w:cs="Times New Roman"/>
      <w:snapToGrid w:val="0"/>
      <w:kern w:val="2"/>
      <w:sz w:val="23"/>
      <w:szCs w:val="24"/>
    </w:rPr>
  </w:style>
  <w:style w:type="paragraph" w:styleId="Quote">
    <w:name w:val="Quote"/>
    <w:basedOn w:val="Normal"/>
    <w:next w:val="Normal"/>
    <w:link w:val="QuoteChar"/>
    <w:uiPriority w:val="29"/>
    <w:qFormat/>
    <w:rsid w:val="00AC1730"/>
    <w:pPr>
      <w:spacing w:before="0" w:after="200" w:line="276" w:lineRule="auto"/>
      <w:ind w:left="397" w:right="170"/>
    </w:pPr>
    <w:rPr>
      <w:rFonts w:asciiTheme="majorHAnsi" w:eastAsiaTheme="minorHAnsi" w:hAnsiTheme="majorHAnsi" w:cstheme="minorBidi"/>
      <w:i/>
      <w:iCs/>
      <w:color w:val="000000" w:themeColor="text1"/>
      <w:sz w:val="23"/>
    </w:rPr>
  </w:style>
  <w:style w:type="character" w:customStyle="1" w:styleId="QuoteChar">
    <w:name w:val="Quote Char"/>
    <w:basedOn w:val="DefaultParagraphFont"/>
    <w:link w:val="Quote"/>
    <w:uiPriority w:val="29"/>
    <w:rsid w:val="00AC1730"/>
    <w:rPr>
      <w:rFonts w:asciiTheme="majorHAnsi" w:hAnsiTheme="majorHAnsi"/>
      <w:i/>
      <w:iCs/>
      <w:color w:val="000000" w:themeColor="text1"/>
      <w:sz w:val="23"/>
    </w:rPr>
  </w:style>
  <w:style w:type="paragraph" w:customStyle="1" w:styleId="Summaryofsafetyconcerns">
    <w:name w:val="Summary of safety concerns"/>
    <w:basedOn w:val="Tabletext"/>
    <w:link w:val="SummaryofsafetyconcernsChar"/>
    <w:qFormat/>
    <w:rsid w:val="00AC1730"/>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AC1730"/>
    <w:rPr>
      <w:rFonts w:ascii="Cambria" w:eastAsia="Times New Roman" w:hAnsi="Cambria" w:cs="Times New Roman"/>
      <w:b/>
      <w:snapToGrid w:val="0"/>
      <w:kern w:val="16"/>
      <w:sz w:val="20"/>
      <w:szCs w:val="24"/>
    </w:rPr>
  </w:style>
  <w:style w:type="paragraph" w:customStyle="1" w:styleId="TableCaption">
    <w:name w:val="Table Caption"/>
    <w:basedOn w:val="Normal"/>
    <w:next w:val="Normal"/>
    <w:link w:val="TableCaptionChar"/>
    <w:rsid w:val="00AC1730"/>
    <w:pPr>
      <w:spacing w:before="60" w:after="440" w:line="215" w:lineRule="exact"/>
      <w:ind w:left="170"/>
    </w:pPr>
    <w:rPr>
      <w:rFonts w:eastAsia="Times New Roman"/>
      <w:snapToGrid w:val="0"/>
      <w:kern w:val="16"/>
      <w:sz w:val="18"/>
      <w:szCs w:val="19"/>
    </w:rPr>
  </w:style>
  <w:style w:type="character" w:customStyle="1" w:styleId="TableTitleChar">
    <w:name w:val="Table Title Char"/>
    <w:basedOn w:val="DefaultParagraphFont"/>
    <w:link w:val="TableTitle"/>
    <w:rsid w:val="00AC1730"/>
    <w:rPr>
      <w:rFonts w:ascii="Cambria" w:eastAsia="Cambria" w:hAnsi="Cambria" w:cs="Times New Roman"/>
      <w:b/>
    </w:rPr>
  </w:style>
  <w:style w:type="character" w:customStyle="1" w:styleId="TableCaptionChar">
    <w:name w:val="Table Caption Char"/>
    <w:basedOn w:val="TabletextChar"/>
    <w:link w:val="TableCaption"/>
    <w:rsid w:val="00AC1730"/>
    <w:rPr>
      <w:rFonts w:ascii="Cambria" w:eastAsia="Times New Roman" w:hAnsi="Cambria" w:cs="Times New Roman"/>
      <w:snapToGrid w:val="0"/>
      <w:kern w:val="16"/>
      <w:sz w:val="18"/>
      <w:szCs w:val="19"/>
    </w:rPr>
  </w:style>
  <w:style w:type="paragraph" w:customStyle="1" w:styleId="TableHeader">
    <w:name w:val="Table Header"/>
    <w:basedOn w:val="Normal"/>
    <w:rsid w:val="00AC1730"/>
    <w:pPr>
      <w:keepNext/>
      <w:keepLines/>
      <w:widowControl w:val="0"/>
      <w:spacing w:before="60" w:after="60" w:line="200" w:lineRule="exact"/>
      <w:jc w:val="center"/>
    </w:pPr>
    <w:rPr>
      <w:rFonts w:eastAsia="MS Mincho" w:cstheme="minorBidi"/>
      <w:b/>
      <w:kern w:val="2"/>
      <w:sz w:val="19"/>
      <w:szCs w:val="19"/>
    </w:rPr>
  </w:style>
  <w:style w:type="paragraph" w:customStyle="1" w:styleId="SectionHeading">
    <w:name w:val="Section Heading"/>
    <w:basedOn w:val="Standard"/>
    <w:next w:val="Standard"/>
    <w:link w:val="SectionHeadingCharChar"/>
    <w:rsid w:val="0016492D"/>
    <w:pPr>
      <w:keepNext/>
      <w:spacing w:after="200"/>
      <w:outlineLvl w:val="0"/>
    </w:pPr>
    <w:rPr>
      <w:b/>
      <w:caps/>
      <w:sz w:val="24"/>
    </w:rPr>
  </w:style>
  <w:style w:type="paragraph" w:customStyle="1" w:styleId="WhiteSpace">
    <w:name w:val="White Space"/>
    <w:basedOn w:val="Standard"/>
    <w:next w:val="Standard"/>
    <w:link w:val="WhiteSpaceChar"/>
    <w:qFormat/>
    <w:rsid w:val="0016492D"/>
    <w:pPr>
      <w:spacing w:after="0"/>
    </w:pPr>
    <w:rPr>
      <w:sz w:val="16"/>
      <w:szCs w:val="16"/>
    </w:rPr>
  </w:style>
  <w:style w:type="character" w:customStyle="1" w:styleId="SectionHeadingCharChar">
    <w:name w:val="Section Heading Char Char"/>
    <w:basedOn w:val="DefaultParagraphFont"/>
    <w:link w:val="SectionHeading"/>
    <w:rsid w:val="0016492D"/>
    <w:rPr>
      <w:rFonts w:ascii="Cambria" w:eastAsia="Times New Roman" w:hAnsi="Cambria" w:cs="Times New Roman"/>
      <w:b/>
      <w:caps/>
      <w:snapToGrid w:val="0"/>
      <w:kern w:val="16"/>
      <w:sz w:val="24"/>
      <w:szCs w:val="24"/>
    </w:rPr>
  </w:style>
  <w:style w:type="character" w:customStyle="1" w:styleId="WhiteSpaceChar">
    <w:name w:val="White Space Char"/>
    <w:basedOn w:val="DefaultParagraphFont"/>
    <w:link w:val="WhiteSpace"/>
    <w:rsid w:val="0016492D"/>
    <w:rPr>
      <w:rFonts w:ascii="Cambria" w:eastAsia="Times New Roman" w:hAnsi="Cambria" w:cs="Times New Roman"/>
      <w:snapToGrid w:val="0"/>
      <w:kern w:val="16"/>
      <w:sz w:val="16"/>
      <w:szCs w:val="16"/>
    </w:rPr>
  </w:style>
  <w:style w:type="paragraph" w:customStyle="1" w:styleId="AssessmentSection">
    <w:name w:val="Assessment Section"/>
    <w:basedOn w:val="Normal"/>
    <w:next w:val="Standard"/>
    <w:rsid w:val="0016492D"/>
    <w:pPr>
      <w:keepNext/>
      <w:spacing w:before="0" w:after="110" w:line="252" w:lineRule="auto"/>
      <w:outlineLvl w:val="1"/>
    </w:pPr>
    <w:rPr>
      <w:rFonts w:eastAsia="Times New Roman"/>
      <w:b/>
      <w:snapToGrid w:val="0"/>
      <w:kern w:val="16"/>
      <w:szCs w:val="24"/>
    </w:rPr>
  </w:style>
  <w:style w:type="paragraph" w:customStyle="1" w:styleId="AssessmentSubsection2">
    <w:name w:val="Assessment Subsection 2"/>
    <w:basedOn w:val="Normal"/>
    <w:next w:val="Standard"/>
    <w:rsid w:val="0016492D"/>
    <w:pPr>
      <w:keepNext/>
      <w:spacing w:before="0" w:after="110" w:line="252" w:lineRule="auto"/>
      <w:outlineLvl w:val="3"/>
    </w:pPr>
    <w:rPr>
      <w:rFonts w:eastAsia="Times New Roman"/>
      <w:i/>
      <w:snapToGrid w:val="0"/>
      <w:kern w:val="16"/>
      <w:szCs w:val="24"/>
    </w:rPr>
  </w:style>
  <w:style w:type="paragraph" w:customStyle="1" w:styleId="Default">
    <w:name w:val="Default"/>
    <w:rsid w:val="00326C01"/>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326C01"/>
    <w:pPr>
      <w:ind w:left="720"/>
      <w:contextualSpacing/>
    </w:pPr>
  </w:style>
  <w:style w:type="character" w:customStyle="1" w:styleId="Heading8Char">
    <w:name w:val="Heading 8 Char"/>
    <w:basedOn w:val="DefaultParagraphFont"/>
    <w:link w:val="Heading8"/>
    <w:uiPriority w:val="9"/>
    <w:rsid w:val="00681A2E"/>
    <w:rPr>
      <w:rFonts w:asciiTheme="majorHAnsi" w:eastAsiaTheme="majorEastAsia" w:hAnsiTheme="majorHAnsi" w:cstheme="majorBidi"/>
      <w:color w:val="404040" w:themeColor="text1" w:themeTint="BF"/>
      <w:sz w:val="20"/>
      <w:szCs w:val="20"/>
    </w:rPr>
  </w:style>
  <w:style w:type="paragraph" w:customStyle="1" w:styleId="A-Head6">
    <w:name w:val="A-Head 6"/>
    <w:basedOn w:val="Normal"/>
    <w:link w:val="A-Head6Char"/>
    <w:rsid w:val="00C008B6"/>
    <w:pPr>
      <w:spacing w:before="60" w:after="0" w:line="240" w:lineRule="auto"/>
    </w:pPr>
    <w:rPr>
      <w:rFonts w:ascii="Arial" w:eastAsia="Times New Roman" w:hAnsi="Arial"/>
      <w:b/>
      <w:szCs w:val="20"/>
      <w:lang w:eastAsia="en-AU"/>
    </w:rPr>
  </w:style>
  <w:style w:type="character" w:customStyle="1" w:styleId="A-Head6Char">
    <w:name w:val="A-Head 6 Char"/>
    <w:link w:val="A-Head6"/>
    <w:rsid w:val="00C008B6"/>
    <w:rPr>
      <w:rFonts w:ascii="Arial" w:eastAsia="Times New Roman" w:hAnsi="Arial" w:cs="Times New Roman"/>
      <w:b/>
      <w:szCs w:val="20"/>
      <w:lang w:eastAsia="en-AU"/>
    </w:rPr>
  </w:style>
  <w:style w:type="paragraph" w:customStyle="1" w:styleId="Pharmacovigilanceplan">
    <w:name w:val="Pharmacovigilance plan"/>
    <w:basedOn w:val="Normal"/>
    <w:link w:val="PharmacovigilanceplanChar"/>
    <w:qFormat/>
    <w:rsid w:val="00966864"/>
    <w:pPr>
      <w:spacing w:before="20" w:after="20" w:line="252" w:lineRule="auto"/>
      <w:jc w:val="center"/>
    </w:pPr>
    <w:rPr>
      <w:rFonts w:eastAsia="Times New Roman"/>
      <w:b/>
      <w:snapToGrid w:val="0"/>
      <w:kern w:val="16"/>
      <w:sz w:val="20"/>
      <w:szCs w:val="24"/>
    </w:rPr>
  </w:style>
  <w:style w:type="character" w:customStyle="1" w:styleId="PharmacovigilanceplanChar">
    <w:name w:val="Pharmacovigilance plan Char"/>
    <w:basedOn w:val="DefaultParagraphFont"/>
    <w:link w:val="Pharmacovigilanceplan"/>
    <w:rsid w:val="00966864"/>
    <w:rPr>
      <w:rFonts w:ascii="Cambria" w:eastAsia="Times New Roman" w:hAnsi="Cambria" w:cs="Times New Roman"/>
      <w:b/>
      <w:snapToGrid w:val="0"/>
      <w:kern w:val="16"/>
      <w:sz w:val="20"/>
      <w:szCs w:val="24"/>
    </w:rPr>
  </w:style>
  <w:style w:type="paragraph" w:customStyle="1" w:styleId="Indication">
    <w:name w:val="Indication"/>
    <w:basedOn w:val="Normal"/>
    <w:uiPriority w:val="1"/>
    <w:qFormat/>
    <w:rsid w:val="00F60FF1"/>
    <w:pPr>
      <w:spacing w:line="300" w:lineRule="atLeast"/>
      <w:ind w:left="284"/>
    </w:pPr>
    <w:rPr>
      <w:i/>
      <w:noProof/>
      <w:szCs w:val="20"/>
    </w:rPr>
  </w:style>
  <w:style w:type="paragraph" w:customStyle="1" w:styleId="subheading1">
    <w:name w:val="subheading1"/>
    <w:basedOn w:val="Heading5"/>
    <w:uiPriority w:val="1"/>
    <w:qFormat/>
    <w:rsid w:val="00F60FF1"/>
    <w:pPr>
      <w:spacing w:before="240" w:line="240" w:lineRule="atLeast"/>
    </w:pPr>
    <w:rPr>
      <w:i w:val="0"/>
      <w:color w:val="auto"/>
      <w:szCs w:val="26"/>
    </w:rPr>
  </w:style>
  <w:style w:type="paragraph" w:styleId="BodyText">
    <w:name w:val="Body Text"/>
    <w:basedOn w:val="Normal"/>
    <w:link w:val="BodyTextChar"/>
    <w:uiPriority w:val="1"/>
    <w:qFormat/>
    <w:rsid w:val="00D059FE"/>
    <w:pPr>
      <w:widowControl w:val="0"/>
      <w:autoSpaceDE w:val="0"/>
      <w:autoSpaceDN w:val="0"/>
      <w:spacing w:before="0" w:after="0" w:line="240" w:lineRule="auto"/>
      <w:ind w:left="101" w:right="180"/>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D059FE"/>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23081"/>
    <w:pPr>
      <w:widowControl w:val="0"/>
      <w:autoSpaceDE w:val="0"/>
      <w:autoSpaceDN w:val="0"/>
      <w:spacing w:before="0" w:after="0" w:line="240" w:lineRule="auto"/>
    </w:pPr>
    <w:rPr>
      <w:rFonts w:ascii="Times New Roman" w:eastAsia="Times New Roman" w:hAnsi="Times New Roman"/>
      <w:lang w:val="en-US"/>
    </w:rPr>
  </w:style>
  <w:style w:type="paragraph" w:customStyle="1" w:styleId="AssessmentSubsection">
    <w:name w:val="Assessment Subsection"/>
    <w:basedOn w:val="Standard"/>
    <w:next w:val="Standard"/>
    <w:rsid w:val="009E39B0"/>
    <w:pPr>
      <w:keepNext/>
      <w:spacing w:after="110"/>
      <w:outlineLvl w:val="2"/>
    </w:pPr>
    <w:rPr>
      <w:b/>
      <w:i/>
      <w:sz w:val="22"/>
    </w:rPr>
  </w:style>
  <w:style w:type="numbering" w:customStyle="1" w:styleId="Headings">
    <w:name w:val="Headings"/>
    <w:uiPriority w:val="99"/>
    <w:rsid w:val="006777B6"/>
    <w:pPr>
      <w:numPr>
        <w:numId w:val="32"/>
      </w:numPr>
    </w:pPr>
  </w:style>
  <w:style w:type="character" w:customStyle="1" w:styleId="Heading9Char">
    <w:name w:val="Heading 9 Char"/>
    <w:basedOn w:val="DefaultParagraphFont"/>
    <w:link w:val="Heading9"/>
    <w:uiPriority w:val="9"/>
    <w:rsid w:val="0068452D"/>
    <w:rPr>
      <w:rFonts w:ascii="Calibri" w:eastAsiaTheme="majorEastAsia" w:hAnsi="Calibri" w:cs="Calibr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6225">
      <w:bodyDiv w:val="1"/>
      <w:marLeft w:val="0"/>
      <w:marRight w:val="0"/>
      <w:marTop w:val="0"/>
      <w:marBottom w:val="0"/>
      <w:divBdr>
        <w:top w:val="none" w:sz="0" w:space="0" w:color="auto"/>
        <w:left w:val="none" w:sz="0" w:space="0" w:color="auto"/>
        <w:bottom w:val="none" w:sz="0" w:space="0" w:color="auto"/>
        <w:right w:val="none" w:sz="0" w:space="0" w:color="auto"/>
      </w:divBdr>
    </w:div>
    <w:div w:id="8993060">
      <w:bodyDiv w:val="1"/>
      <w:marLeft w:val="0"/>
      <w:marRight w:val="0"/>
      <w:marTop w:val="0"/>
      <w:marBottom w:val="0"/>
      <w:divBdr>
        <w:top w:val="none" w:sz="0" w:space="0" w:color="auto"/>
        <w:left w:val="none" w:sz="0" w:space="0" w:color="auto"/>
        <w:bottom w:val="none" w:sz="0" w:space="0" w:color="auto"/>
        <w:right w:val="none" w:sz="0" w:space="0" w:color="auto"/>
      </w:divBdr>
    </w:div>
    <w:div w:id="25761201">
      <w:bodyDiv w:val="1"/>
      <w:marLeft w:val="0"/>
      <w:marRight w:val="0"/>
      <w:marTop w:val="0"/>
      <w:marBottom w:val="0"/>
      <w:divBdr>
        <w:top w:val="none" w:sz="0" w:space="0" w:color="auto"/>
        <w:left w:val="none" w:sz="0" w:space="0" w:color="auto"/>
        <w:bottom w:val="none" w:sz="0" w:space="0" w:color="auto"/>
        <w:right w:val="none" w:sz="0" w:space="0" w:color="auto"/>
      </w:divBdr>
    </w:div>
    <w:div w:id="70784286">
      <w:bodyDiv w:val="1"/>
      <w:marLeft w:val="0"/>
      <w:marRight w:val="0"/>
      <w:marTop w:val="0"/>
      <w:marBottom w:val="0"/>
      <w:divBdr>
        <w:top w:val="none" w:sz="0" w:space="0" w:color="auto"/>
        <w:left w:val="none" w:sz="0" w:space="0" w:color="auto"/>
        <w:bottom w:val="none" w:sz="0" w:space="0" w:color="auto"/>
        <w:right w:val="none" w:sz="0" w:space="0" w:color="auto"/>
      </w:divBdr>
    </w:div>
    <w:div w:id="193812367">
      <w:bodyDiv w:val="1"/>
      <w:marLeft w:val="0"/>
      <w:marRight w:val="0"/>
      <w:marTop w:val="0"/>
      <w:marBottom w:val="0"/>
      <w:divBdr>
        <w:top w:val="none" w:sz="0" w:space="0" w:color="auto"/>
        <w:left w:val="none" w:sz="0" w:space="0" w:color="auto"/>
        <w:bottom w:val="none" w:sz="0" w:space="0" w:color="auto"/>
        <w:right w:val="none" w:sz="0" w:space="0" w:color="auto"/>
      </w:divBdr>
    </w:div>
    <w:div w:id="210649806">
      <w:bodyDiv w:val="1"/>
      <w:marLeft w:val="0"/>
      <w:marRight w:val="0"/>
      <w:marTop w:val="0"/>
      <w:marBottom w:val="0"/>
      <w:divBdr>
        <w:top w:val="none" w:sz="0" w:space="0" w:color="auto"/>
        <w:left w:val="none" w:sz="0" w:space="0" w:color="auto"/>
        <w:bottom w:val="none" w:sz="0" w:space="0" w:color="auto"/>
        <w:right w:val="none" w:sz="0" w:space="0" w:color="auto"/>
      </w:divBdr>
    </w:div>
    <w:div w:id="222298675">
      <w:bodyDiv w:val="1"/>
      <w:marLeft w:val="0"/>
      <w:marRight w:val="0"/>
      <w:marTop w:val="0"/>
      <w:marBottom w:val="0"/>
      <w:divBdr>
        <w:top w:val="none" w:sz="0" w:space="0" w:color="auto"/>
        <w:left w:val="none" w:sz="0" w:space="0" w:color="auto"/>
        <w:bottom w:val="none" w:sz="0" w:space="0" w:color="auto"/>
        <w:right w:val="none" w:sz="0" w:space="0" w:color="auto"/>
      </w:divBdr>
      <w:divsChild>
        <w:div w:id="703479406">
          <w:marLeft w:val="0"/>
          <w:marRight w:val="0"/>
          <w:marTop w:val="0"/>
          <w:marBottom w:val="0"/>
          <w:divBdr>
            <w:top w:val="none" w:sz="0" w:space="0" w:color="auto"/>
            <w:left w:val="none" w:sz="0" w:space="0" w:color="auto"/>
            <w:bottom w:val="none" w:sz="0" w:space="0" w:color="auto"/>
            <w:right w:val="none" w:sz="0" w:space="0" w:color="auto"/>
          </w:divBdr>
          <w:divsChild>
            <w:div w:id="1585646534">
              <w:marLeft w:val="0"/>
              <w:marRight w:val="0"/>
              <w:marTop w:val="0"/>
              <w:marBottom w:val="0"/>
              <w:divBdr>
                <w:top w:val="none" w:sz="0" w:space="0" w:color="auto"/>
                <w:left w:val="none" w:sz="0" w:space="0" w:color="auto"/>
                <w:bottom w:val="none" w:sz="0" w:space="0" w:color="auto"/>
                <w:right w:val="none" w:sz="0" w:space="0" w:color="auto"/>
              </w:divBdr>
              <w:divsChild>
                <w:div w:id="365374256">
                  <w:marLeft w:val="0"/>
                  <w:marRight w:val="0"/>
                  <w:marTop w:val="0"/>
                  <w:marBottom w:val="0"/>
                  <w:divBdr>
                    <w:top w:val="none" w:sz="0" w:space="0" w:color="auto"/>
                    <w:left w:val="none" w:sz="0" w:space="0" w:color="auto"/>
                    <w:bottom w:val="none" w:sz="0" w:space="0" w:color="auto"/>
                    <w:right w:val="none" w:sz="0" w:space="0" w:color="auto"/>
                  </w:divBdr>
                  <w:divsChild>
                    <w:div w:id="118381074">
                      <w:marLeft w:val="0"/>
                      <w:marRight w:val="0"/>
                      <w:marTop w:val="0"/>
                      <w:marBottom w:val="0"/>
                      <w:divBdr>
                        <w:top w:val="none" w:sz="0" w:space="0" w:color="auto"/>
                        <w:left w:val="none" w:sz="0" w:space="0" w:color="auto"/>
                        <w:bottom w:val="none" w:sz="0" w:space="0" w:color="auto"/>
                        <w:right w:val="none" w:sz="0" w:space="0" w:color="auto"/>
                      </w:divBdr>
                      <w:divsChild>
                        <w:div w:id="793449233">
                          <w:marLeft w:val="0"/>
                          <w:marRight w:val="0"/>
                          <w:marTop w:val="0"/>
                          <w:marBottom w:val="0"/>
                          <w:divBdr>
                            <w:top w:val="none" w:sz="0" w:space="0" w:color="auto"/>
                            <w:left w:val="none" w:sz="0" w:space="0" w:color="auto"/>
                            <w:bottom w:val="none" w:sz="0" w:space="0" w:color="auto"/>
                            <w:right w:val="none" w:sz="0" w:space="0" w:color="auto"/>
                          </w:divBdr>
                          <w:divsChild>
                            <w:div w:id="1971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551163">
      <w:bodyDiv w:val="1"/>
      <w:marLeft w:val="0"/>
      <w:marRight w:val="0"/>
      <w:marTop w:val="0"/>
      <w:marBottom w:val="0"/>
      <w:divBdr>
        <w:top w:val="none" w:sz="0" w:space="0" w:color="auto"/>
        <w:left w:val="none" w:sz="0" w:space="0" w:color="auto"/>
        <w:bottom w:val="none" w:sz="0" w:space="0" w:color="auto"/>
        <w:right w:val="none" w:sz="0" w:space="0" w:color="auto"/>
      </w:divBdr>
    </w:div>
    <w:div w:id="308443121">
      <w:bodyDiv w:val="1"/>
      <w:marLeft w:val="0"/>
      <w:marRight w:val="0"/>
      <w:marTop w:val="0"/>
      <w:marBottom w:val="0"/>
      <w:divBdr>
        <w:top w:val="none" w:sz="0" w:space="0" w:color="auto"/>
        <w:left w:val="none" w:sz="0" w:space="0" w:color="auto"/>
        <w:bottom w:val="none" w:sz="0" w:space="0" w:color="auto"/>
        <w:right w:val="none" w:sz="0" w:space="0" w:color="auto"/>
      </w:divBdr>
    </w:div>
    <w:div w:id="395586524">
      <w:bodyDiv w:val="1"/>
      <w:marLeft w:val="0"/>
      <w:marRight w:val="0"/>
      <w:marTop w:val="0"/>
      <w:marBottom w:val="0"/>
      <w:divBdr>
        <w:top w:val="none" w:sz="0" w:space="0" w:color="auto"/>
        <w:left w:val="none" w:sz="0" w:space="0" w:color="auto"/>
        <w:bottom w:val="none" w:sz="0" w:space="0" w:color="auto"/>
        <w:right w:val="none" w:sz="0" w:space="0" w:color="auto"/>
      </w:divBdr>
    </w:div>
    <w:div w:id="399527334">
      <w:bodyDiv w:val="1"/>
      <w:marLeft w:val="0"/>
      <w:marRight w:val="0"/>
      <w:marTop w:val="0"/>
      <w:marBottom w:val="0"/>
      <w:divBdr>
        <w:top w:val="none" w:sz="0" w:space="0" w:color="auto"/>
        <w:left w:val="none" w:sz="0" w:space="0" w:color="auto"/>
        <w:bottom w:val="none" w:sz="0" w:space="0" w:color="auto"/>
        <w:right w:val="none" w:sz="0" w:space="0" w:color="auto"/>
      </w:divBdr>
      <w:divsChild>
        <w:div w:id="2069381178">
          <w:marLeft w:val="0"/>
          <w:marRight w:val="0"/>
          <w:marTop w:val="0"/>
          <w:marBottom w:val="0"/>
          <w:divBdr>
            <w:top w:val="none" w:sz="0" w:space="0" w:color="auto"/>
            <w:left w:val="none" w:sz="0" w:space="0" w:color="auto"/>
            <w:bottom w:val="none" w:sz="0" w:space="0" w:color="auto"/>
            <w:right w:val="none" w:sz="0" w:space="0" w:color="auto"/>
          </w:divBdr>
          <w:divsChild>
            <w:div w:id="295184163">
              <w:marLeft w:val="0"/>
              <w:marRight w:val="0"/>
              <w:marTop w:val="0"/>
              <w:marBottom w:val="0"/>
              <w:divBdr>
                <w:top w:val="none" w:sz="0" w:space="0" w:color="auto"/>
                <w:left w:val="none" w:sz="0" w:space="0" w:color="auto"/>
                <w:bottom w:val="none" w:sz="0" w:space="0" w:color="auto"/>
                <w:right w:val="none" w:sz="0" w:space="0" w:color="auto"/>
              </w:divBdr>
              <w:divsChild>
                <w:div w:id="652560339">
                  <w:marLeft w:val="0"/>
                  <w:marRight w:val="0"/>
                  <w:marTop w:val="0"/>
                  <w:marBottom w:val="0"/>
                  <w:divBdr>
                    <w:top w:val="none" w:sz="0" w:space="0" w:color="auto"/>
                    <w:left w:val="none" w:sz="0" w:space="0" w:color="auto"/>
                    <w:bottom w:val="none" w:sz="0" w:space="0" w:color="auto"/>
                    <w:right w:val="none" w:sz="0" w:space="0" w:color="auto"/>
                  </w:divBdr>
                  <w:divsChild>
                    <w:div w:id="1213006812">
                      <w:marLeft w:val="0"/>
                      <w:marRight w:val="0"/>
                      <w:marTop w:val="0"/>
                      <w:marBottom w:val="0"/>
                      <w:divBdr>
                        <w:top w:val="none" w:sz="0" w:space="0" w:color="auto"/>
                        <w:left w:val="none" w:sz="0" w:space="0" w:color="auto"/>
                        <w:bottom w:val="none" w:sz="0" w:space="0" w:color="auto"/>
                        <w:right w:val="none" w:sz="0" w:space="0" w:color="auto"/>
                      </w:divBdr>
                      <w:divsChild>
                        <w:div w:id="506211002">
                          <w:marLeft w:val="0"/>
                          <w:marRight w:val="0"/>
                          <w:marTop w:val="0"/>
                          <w:marBottom w:val="0"/>
                          <w:divBdr>
                            <w:top w:val="none" w:sz="0" w:space="0" w:color="auto"/>
                            <w:left w:val="none" w:sz="0" w:space="0" w:color="auto"/>
                            <w:bottom w:val="none" w:sz="0" w:space="0" w:color="auto"/>
                            <w:right w:val="none" w:sz="0" w:space="0" w:color="auto"/>
                          </w:divBdr>
                          <w:divsChild>
                            <w:div w:id="185264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721546">
      <w:bodyDiv w:val="1"/>
      <w:marLeft w:val="0"/>
      <w:marRight w:val="0"/>
      <w:marTop w:val="0"/>
      <w:marBottom w:val="0"/>
      <w:divBdr>
        <w:top w:val="none" w:sz="0" w:space="0" w:color="auto"/>
        <w:left w:val="none" w:sz="0" w:space="0" w:color="auto"/>
        <w:bottom w:val="none" w:sz="0" w:space="0" w:color="auto"/>
        <w:right w:val="none" w:sz="0" w:space="0" w:color="auto"/>
      </w:divBdr>
    </w:div>
    <w:div w:id="610429641">
      <w:bodyDiv w:val="1"/>
      <w:marLeft w:val="0"/>
      <w:marRight w:val="0"/>
      <w:marTop w:val="0"/>
      <w:marBottom w:val="0"/>
      <w:divBdr>
        <w:top w:val="none" w:sz="0" w:space="0" w:color="auto"/>
        <w:left w:val="none" w:sz="0" w:space="0" w:color="auto"/>
        <w:bottom w:val="none" w:sz="0" w:space="0" w:color="auto"/>
        <w:right w:val="none" w:sz="0" w:space="0" w:color="auto"/>
      </w:divBdr>
    </w:div>
    <w:div w:id="682706127">
      <w:bodyDiv w:val="1"/>
      <w:marLeft w:val="0"/>
      <w:marRight w:val="0"/>
      <w:marTop w:val="0"/>
      <w:marBottom w:val="0"/>
      <w:divBdr>
        <w:top w:val="none" w:sz="0" w:space="0" w:color="auto"/>
        <w:left w:val="none" w:sz="0" w:space="0" w:color="auto"/>
        <w:bottom w:val="none" w:sz="0" w:space="0" w:color="auto"/>
        <w:right w:val="none" w:sz="0" w:space="0" w:color="auto"/>
      </w:divBdr>
    </w:div>
    <w:div w:id="691221932">
      <w:bodyDiv w:val="1"/>
      <w:marLeft w:val="0"/>
      <w:marRight w:val="0"/>
      <w:marTop w:val="0"/>
      <w:marBottom w:val="0"/>
      <w:divBdr>
        <w:top w:val="none" w:sz="0" w:space="0" w:color="auto"/>
        <w:left w:val="none" w:sz="0" w:space="0" w:color="auto"/>
        <w:bottom w:val="none" w:sz="0" w:space="0" w:color="auto"/>
        <w:right w:val="none" w:sz="0" w:space="0" w:color="auto"/>
      </w:divBdr>
      <w:divsChild>
        <w:div w:id="1359813705">
          <w:marLeft w:val="0"/>
          <w:marRight w:val="0"/>
          <w:marTop w:val="100"/>
          <w:marBottom w:val="100"/>
          <w:divBdr>
            <w:top w:val="none" w:sz="0" w:space="0" w:color="auto"/>
            <w:left w:val="none" w:sz="0" w:space="0" w:color="auto"/>
            <w:bottom w:val="none" w:sz="0" w:space="0" w:color="auto"/>
            <w:right w:val="none" w:sz="0" w:space="0" w:color="auto"/>
          </w:divBdr>
          <w:divsChild>
            <w:div w:id="1165901457">
              <w:marLeft w:val="0"/>
              <w:marRight w:val="0"/>
              <w:marTop w:val="0"/>
              <w:marBottom w:val="0"/>
              <w:divBdr>
                <w:top w:val="none" w:sz="0" w:space="0" w:color="auto"/>
                <w:left w:val="none" w:sz="0" w:space="0" w:color="auto"/>
                <w:bottom w:val="none" w:sz="0" w:space="0" w:color="auto"/>
                <w:right w:val="none" w:sz="0" w:space="0" w:color="auto"/>
              </w:divBdr>
              <w:divsChild>
                <w:div w:id="992834510">
                  <w:marLeft w:val="0"/>
                  <w:marRight w:val="0"/>
                  <w:marTop w:val="0"/>
                  <w:marBottom w:val="0"/>
                  <w:divBdr>
                    <w:top w:val="none" w:sz="0" w:space="0" w:color="auto"/>
                    <w:left w:val="none" w:sz="0" w:space="0" w:color="auto"/>
                    <w:bottom w:val="none" w:sz="0" w:space="0" w:color="auto"/>
                    <w:right w:val="none" w:sz="0" w:space="0" w:color="auto"/>
                  </w:divBdr>
                  <w:divsChild>
                    <w:div w:id="145827127">
                      <w:marLeft w:val="0"/>
                      <w:marRight w:val="0"/>
                      <w:marTop w:val="0"/>
                      <w:marBottom w:val="0"/>
                      <w:divBdr>
                        <w:top w:val="none" w:sz="0" w:space="0" w:color="auto"/>
                        <w:left w:val="none" w:sz="0" w:space="0" w:color="auto"/>
                        <w:bottom w:val="none" w:sz="0" w:space="0" w:color="auto"/>
                        <w:right w:val="none" w:sz="0" w:space="0" w:color="auto"/>
                      </w:divBdr>
                      <w:divsChild>
                        <w:div w:id="241375034">
                          <w:marLeft w:val="0"/>
                          <w:marRight w:val="0"/>
                          <w:marTop w:val="0"/>
                          <w:marBottom w:val="0"/>
                          <w:divBdr>
                            <w:top w:val="none" w:sz="0" w:space="0" w:color="auto"/>
                            <w:left w:val="none" w:sz="0" w:space="0" w:color="auto"/>
                            <w:bottom w:val="none" w:sz="0" w:space="0" w:color="auto"/>
                            <w:right w:val="none" w:sz="0" w:space="0" w:color="auto"/>
                          </w:divBdr>
                          <w:divsChild>
                            <w:div w:id="1276982139">
                              <w:marLeft w:val="0"/>
                              <w:marRight w:val="0"/>
                              <w:marTop w:val="0"/>
                              <w:marBottom w:val="0"/>
                              <w:divBdr>
                                <w:top w:val="none" w:sz="0" w:space="0" w:color="auto"/>
                                <w:left w:val="none" w:sz="0" w:space="0" w:color="auto"/>
                                <w:bottom w:val="none" w:sz="0" w:space="0" w:color="auto"/>
                                <w:right w:val="none" w:sz="0" w:space="0" w:color="auto"/>
                              </w:divBdr>
                              <w:divsChild>
                                <w:div w:id="1842238241">
                                  <w:marLeft w:val="0"/>
                                  <w:marRight w:val="0"/>
                                  <w:marTop w:val="0"/>
                                  <w:marBottom w:val="0"/>
                                  <w:divBdr>
                                    <w:top w:val="none" w:sz="0" w:space="0" w:color="auto"/>
                                    <w:left w:val="none" w:sz="0" w:space="0" w:color="auto"/>
                                    <w:bottom w:val="none" w:sz="0" w:space="0" w:color="auto"/>
                                    <w:right w:val="none" w:sz="0" w:space="0" w:color="auto"/>
                                  </w:divBdr>
                                  <w:divsChild>
                                    <w:div w:id="831334315">
                                      <w:marLeft w:val="0"/>
                                      <w:marRight w:val="0"/>
                                      <w:marTop w:val="0"/>
                                      <w:marBottom w:val="0"/>
                                      <w:divBdr>
                                        <w:top w:val="none" w:sz="0" w:space="0" w:color="auto"/>
                                        <w:left w:val="none" w:sz="0" w:space="0" w:color="auto"/>
                                        <w:bottom w:val="none" w:sz="0" w:space="0" w:color="auto"/>
                                        <w:right w:val="none" w:sz="0" w:space="0" w:color="auto"/>
                                      </w:divBdr>
                                      <w:divsChild>
                                        <w:div w:id="383913029">
                                          <w:marLeft w:val="0"/>
                                          <w:marRight w:val="-30"/>
                                          <w:marTop w:val="300"/>
                                          <w:marBottom w:val="0"/>
                                          <w:divBdr>
                                            <w:top w:val="none" w:sz="0" w:space="0" w:color="auto"/>
                                            <w:left w:val="none" w:sz="0" w:space="0" w:color="auto"/>
                                            <w:bottom w:val="none" w:sz="0" w:space="0" w:color="auto"/>
                                            <w:right w:val="none" w:sz="0" w:space="0" w:color="auto"/>
                                          </w:divBdr>
                                          <w:divsChild>
                                            <w:div w:id="566764603">
                                              <w:marLeft w:val="0"/>
                                              <w:marRight w:val="0"/>
                                              <w:marTop w:val="0"/>
                                              <w:marBottom w:val="0"/>
                                              <w:divBdr>
                                                <w:top w:val="none" w:sz="0" w:space="0" w:color="auto"/>
                                                <w:left w:val="none" w:sz="0" w:space="0" w:color="auto"/>
                                                <w:bottom w:val="none" w:sz="0" w:space="0" w:color="auto"/>
                                                <w:right w:val="none" w:sz="0" w:space="0" w:color="auto"/>
                                              </w:divBdr>
                                              <w:divsChild>
                                                <w:div w:id="293604350">
                                                  <w:marLeft w:val="0"/>
                                                  <w:marRight w:val="0"/>
                                                  <w:marTop w:val="0"/>
                                                  <w:marBottom w:val="0"/>
                                                  <w:divBdr>
                                                    <w:top w:val="none" w:sz="0" w:space="0" w:color="auto"/>
                                                    <w:left w:val="none" w:sz="0" w:space="0" w:color="auto"/>
                                                    <w:bottom w:val="none" w:sz="0" w:space="0" w:color="auto"/>
                                                    <w:right w:val="none" w:sz="0" w:space="0" w:color="auto"/>
                                                  </w:divBdr>
                                                  <w:divsChild>
                                                    <w:div w:id="2095004721">
                                                      <w:marLeft w:val="0"/>
                                                      <w:marRight w:val="0"/>
                                                      <w:marTop w:val="0"/>
                                                      <w:marBottom w:val="0"/>
                                                      <w:divBdr>
                                                        <w:top w:val="none" w:sz="0" w:space="0" w:color="auto"/>
                                                        <w:left w:val="none" w:sz="0" w:space="0" w:color="auto"/>
                                                        <w:bottom w:val="none" w:sz="0" w:space="0" w:color="auto"/>
                                                        <w:right w:val="none" w:sz="0" w:space="0" w:color="auto"/>
                                                      </w:divBdr>
                                                      <w:divsChild>
                                                        <w:div w:id="12267586">
                                                          <w:marLeft w:val="0"/>
                                                          <w:marRight w:val="0"/>
                                                          <w:marTop w:val="0"/>
                                                          <w:marBottom w:val="0"/>
                                                          <w:divBdr>
                                                            <w:top w:val="none" w:sz="0" w:space="0" w:color="auto"/>
                                                            <w:left w:val="none" w:sz="0" w:space="0" w:color="auto"/>
                                                            <w:bottom w:val="none" w:sz="0" w:space="0" w:color="auto"/>
                                                            <w:right w:val="none" w:sz="0" w:space="0" w:color="auto"/>
                                                          </w:divBdr>
                                                        </w:div>
                                                      </w:divsChild>
                                                    </w:div>
                                                    <w:div w:id="348416692">
                                                      <w:marLeft w:val="0"/>
                                                      <w:marRight w:val="0"/>
                                                      <w:marTop w:val="0"/>
                                                      <w:marBottom w:val="0"/>
                                                      <w:divBdr>
                                                        <w:top w:val="none" w:sz="0" w:space="0" w:color="auto"/>
                                                        <w:left w:val="none" w:sz="0" w:space="0" w:color="auto"/>
                                                        <w:bottom w:val="none" w:sz="0" w:space="0" w:color="auto"/>
                                                        <w:right w:val="none" w:sz="0" w:space="0" w:color="auto"/>
                                                      </w:divBdr>
                                                      <w:divsChild>
                                                        <w:div w:id="1189565730">
                                                          <w:marLeft w:val="0"/>
                                                          <w:marRight w:val="0"/>
                                                          <w:marTop w:val="0"/>
                                                          <w:marBottom w:val="0"/>
                                                          <w:divBdr>
                                                            <w:top w:val="none" w:sz="0" w:space="0" w:color="auto"/>
                                                            <w:left w:val="none" w:sz="0" w:space="0" w:color="auto"/>
                                                            <w:bottom w:val="none" w:sz="0" w:space="0" w:color="auto"/>
                                                            <w:right w:val="none" w:sz="0" w:space="0" w:color="auto"/>
                                                          </w:divBdr>
                                                        </w:div>
                                                      </w:divsChild>
                                                    </w:div>
                                                    <w:div w:id="431052283">
                                                      <w:marLeft w:val="0"/>
                                                      <w:marRight w:val="0"/>
                                                      <w:marTop w:val="0"/>
                                                      <w:marBottom w:val="0"/>
                                                      <w:divBdr>
                                                        <w:top w:val="none" w:sz="0" w:space="0" w:color="auto"/>
                                                        <w:left w:val="none" w:sz="0" w:space="0" w:color="auto"/>
                                                        <w:bottom w:val="none" w:sz="0" w:space="0" w:color="auto"/>
                                                        <w:right w:val="none" w:sz="0" w:space="0" w:color="auto"/>
                                                      </w:divBdr>
                                                      <w:divsChild>
                                                        <w:div w:id="759715223">
                                                          <w:marLeft w:val="0"/>
                                                          <w:marRight w:val="0"/>
                                                          <w:marTop w:val="0"/>
                                                          <w:marBottom w:val="0"/>
                                                          <w:divBdr>
                                                            <w:top w:val="none" w:sz="0" w:space="0" w:color="auto"/>
                                                            <w:left w:val="none" w:sz="0" w:space="0" w:color="auto"/>
                                                            <w:bottom w:val="none" w:sz="0" w:space="0" w:color="auto"/>
                                                            <w:right w:val="none" w:sz="0" w:space="0" w:color="auto"/>
                                                          </w:divBdr>
                                                        </w:div>
                                                      </w:divsChild>
                                                    </w:div>
                                                    <w:div w:id="1812358600">
                                                      <w:marLeft w:val="0"/>
                                                      <w:marRight w:val="0"/>
                                                      <w:marTop w:val="0"/>
                                                      <w:marBottom w:val="0"/>
                                                      <w:divBdr>
                                                        <w:top w:val="none" w:sz="0" w:space="0" w:color="auto"/>
                                                        <w:left w:val="none" w:sz="0" w:space="0" w:color="auto"/>
                                                        <w:bottom w:val="none" w:sz="0" w:space="0" w:color="auto"/>
                                                        <w:right w:val="none" w:sz="0" w:space="0" w:color="auto"/>
                                                      </w:divBdr>
                                                      <w:divsChild>
                                                        <w:div w:id="220019685">
                                                          <w:marLeft w:val="0"/>
                                                          <w:marRight w:val="0"/>
                                                          <w:marTop w:val="0"/>
                                                          <w:marBottom w:val="0"/>
                                                          <w:divBdr>
                                                            <w:top w:val="none" w:sz="0" w:space="0" w:color="auto"/>
                                                            <w:left w:val="none" w:sz="0" w:space="0" w:color="auto"/>
                                                            <w:bottom w:val="none" w:sz="0" w:space="0" w:color="auto"/>
                                                            <w:right w:val="none" w:sz="0" w:space="0" w:color="auto"/>
                                                          </w:divBdr>
                                                        </w:div>
                                                      </w:divsChild>
                                                    </w:div>
                                                    <w:div w:id="584193949">
                                                      <w:marLeft w:val="0"/>
                                                      <w:marRight w:val="0"/>
                                                      <w:marTop w:val="0"/>
                                                      <w:marBottom w:val="0"/>
                                                      <w:divBdr>
                                                        <w:top w:val="none" w:sz="0" w:space="0" w:color="auto"/>
                                                        <w:left w:val="none" w:sz="0" w:space="0" w:color="auto"/>
                                                        <w:bottom w:val="none" w:sz="0" w:space="0" w:color="auto"/>
                                                        <w:right w:val="none" w:sz="0" w:space="0" w:color="auto"/>
                                                      </w:divBdr>
                                                      <w:divsChild>
                                                        <w:div w:id="1418138222">
                                                          <w:marLeft w:val="0"/>
                                                          <w:marRight w:val="0"/>
                                                          <w:marTop w:val="0"/>
                                                          <w:marBottom w:val="0"/>
                                                          <w:divBdr>
                                                            <w:top w:val="none" w:sz="0" w:space="0" w:color="auto"/>
                                                            <w:left w:val="none" w:sz="0" w:space="0" w:color="auto"/>
                                                            <w:bottom w:val="none" w:sz="0" w:space="0" w:color="auto"/>
                                                            <w:right w:val="none" w:sz="0" w:space="0" w:color="auto"/>
                                                          </w:divBdr>
                                                        </w:div>
                                                      </w:divsChild>
                                                    </w:div>
                                                    <w:div w:id="1097215372">
                                                      <w:marLeft w:val="0"/>
                                                      <w:marRight w:val="0"/>
                                                      <w:marTop w:val="0"/>
                                                      <w:marBottom w:val="0"/>
                                                      <w:divBdr>
                                                        <w:top w:val="none" w:sz="0" w:space="0" w:color="auto"/>
                                                        <w:left w:val="none" w:sz="0" w:space="0" w:color="auto"/>
                                                        <w:bottom w:val="none" w:sz="0" w:space="0" w:color="auto"/>
                                                        <w:right w:val="none" w:sz="0" w:space="0" w:color="auto"/>
                                                      </w:divBdr>
                                                      <w:divsChild>
                                                        <w:div w:id="1077706546">
                                                          <w:marLeft w:val="0"/>
                                                          <w:marRight w:val="0"/>
                                                          <w:marTop w:val="0"/>
                                                          <w:marBottom w:val="0"/>
                                                          <w:divBdr>
                                                            <w:top w:val="none" w:sz="0" w:space="0" w:color="auto"/>
                                                            <w:left w:val="none" w:sz="0" w:space="0" w:color="auto"/>
                                                            <w:bottom w:val="none" w:sz="0" w:space="0" w:color="auto"/>
                                                            <w:right w:val="none" w:sz="0" w:space="0" w:color="auto"/>
                                                          </w:divBdr>
                                                          <w:divsChild>
                                                            <w:div w:id="1825121796">
                                                              <w:marLeft w:val="0"/>
                                                              <w:marRight w:val="0"/>
                                                              <w:marTop w:val="0"/>
                                                              <w:marBottom w:val="0"/>
                                                              <w:divBdr>
                                                                <w:top w:val="none" w:sz="0" w:space="0" w:color="auto"/>
                                                                <w:left w:val="none" w:sz="0" w:space="0" w:color="auto"/>
                                                                <w:bottom w:val="none" w:sz="0" w:space="0" w:color="auto"/>
                                                                <w:right w:val="none" w:sz="0" w:space="0" w:color="auto"/>
                                                              </w:divBdr>
                                                            </w:div>
                                                            <w:div w:id="205056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80806">
                                                      <w:marLeft w:val="0"/>
                                                      <w:marRight w:val="0"/>
                                                      <w:marTop w:val="0"/>
                                                      <w:marBottom w:val="0"/>
                                                      <w:divBdr>
                                                        <w:top w:val="none" w:sz="0" w:space="0" w:color="auto"/>
                                                        <w:left w:val="none" w:sz="0" w:space="0" w:color="auto"/>
                                                        <w:bottom w:val="none" w:sz="0" w:space="0" w:color="auto"/>
                                                        <w:right w:val="none" w:sz="0" w:space="0" w:color="auto"/>
                                                      </w:divBdr>
                                                      <w:divsChild>
                                                        <w:div w:id="1315254889">
                                                          <w:marLeft w:val="0"/>
                                                          <w:marRight w:val="0"/>
                                                          <w:marTop w:val="0"/>
                                                          <w:marBottom w:val="0"/>
                                                          <w:divBdr>
                                                            <w:top w:val="none" w:sz="0" w:space="0" w:color="auto"/>
                                                            <w:left w:val="none" w:sz="0" w:space="0" w:color="auto"/>
                                                            <w:bottom w:val="none" w:sz="0" w:space="0" w:color="auto"/>
                                                            <w:right w:val="none" w:sz="0" w:space="0" w:color="auto"/>
                                                          </w:divBdr>
                                                        </w:div>
                                                      </w:divsChild>
                                                    </w:div>
                                                    <w:div w:id="143934061">
                                                      <w:marLeft w:val="0"/>
                                                      <w:marRight w:val="0"/>
                                                      <w:marTop w:val="0"/>
                                                      <w:marBottom w:val="0"/>
                                                      <w:divBdr>
                                                        <w:top w:val="none" w:sz="0" w:space="0" w:color="auto"/>
                                                        <w:left w:val="none" w:sz="0" w:space="0" w:color="auto"/>
                                                        <w:bottom w:val="none" w:sz="0" w:space="0" w:color="auto"/>
                                                        <w:right w:val="none" w:sz="0" w:space="0" w:color="auto"/>
                                                      </w:divBdr>
                                                      <w:divsChild>
                                                        <w:div w:id="1690793959">
                                                          <w:marLeft w:val="0"/>
                                                          <w:marRight w:val="0"/>
                                                          <w:marTop w:val="0"/>
                                                          <w:marBottom w:val="0"/>
                                                          <w:divBdr>
                                                            <w:top w:val="none" w:sz="0" w:space="0" w:color="auto"/>
                                                            <w:left w:val="none" w:sz="0" w:space="0" w:color="auto"/>
                                                            <w:bottom w:val="none" w:sz="0" w:space="0" w:color="auto"/>
                                                            <w:right w:val="none" w:sz="0" w:space="0" w:color="auto"/>
                                                          </w:divBdr>
                                                        </w:div>
                                                      </w:divsChild>
                                                    </w:div>
                                                    <w:div w:id="1512255022">
                                                      <w:marLeft w:val="0"/>
                                                      <w:marRight w:val="0"/>
                                                      <w:marTop w:val="0"/>
                                                      <w:marBottom w:val="0"/>
                                                      <w:divBdr>
                                                        <w:top w:val="none" w:sz="0" w:space="0" w:color="auto"/>
                                                        <w:left w:val="none" w:sz="0" w:space="0" w:color="auto"/>
                                                        <w:bottom w:val="none" w:sz="0" w:space="0" w:color="auto"/>
                                                        <w:right w:val="none" w:sz="0" w:space="0" w:color="auto"/>
                                                      </w:divBdr>
                                                      <w:divsChild>
                                                        <w:div w:id="84889468">
                                                          <w:marLeft w:val="0"/>
                                                          <w:marRight w:val="0"/>
                                                          <w:marTop w:val="0"/>
                                                          <w:marBottom w:val="0"/>
                                                          <w:divBdr>
                                                            <w:top w:val="none" w:sz="0" w:space="0" w:color="auto"/>
                                                            <w:left w:val="none" w:sz="0" w:space="0" w:color="auto"/>
                                                            <w:bottom w:val="none" w:sz="0" w:space="0" w:color="auto"/>
                                                            <w:right w:val="none" w:sz="0" w:space="0" w:color="auto"/>
                                                          </w:divBdr>
                                                        </w:div>
                                                      </w:divsChild>
                                                    </w:div>
                                                    <w:div w:id="633680522">
                                                      <w:marLeft w:val="0"/>
                                                      <w:marRight w:val="0"/>
                                                      <w:marTop w:val="0"/>
                                                      <w:marBottom w:val="0"/>
                                                      <w:divBdr>
                                                        <w:top w:val="none" w:sz="0" w:space="0" w:color="auto"/>
                                                        <w:left w:val="none" w:sz="0" w:space="0" w:color="auto"/>
                                                        <w:bottom w:val="none" w:sz="0" w:space="0" w:color="auto"/>
                                                        <w:right w:val="none" w:sz="0" w:space="0" w:color="auto"/>
                                                      </w:divBdr>
                                                      <w:divsChild>
                                                        <w:div w:id="820081967">
                                                          <w:marLeft w:val="0"/>
                                                          <w:marRight w:val="0"/>
                                                          <w:marTop w:val="0"/>
                                                          <w:marBottom w:val="0"/>
                                                          <w:divBdr>
                                                            <w:top w:val="none" w:sz="0" w:space="0" w:color="auto"/>
                                                            <w:left w:val="none" w:sz="0" w:space="0" w:color="auto"/>
                                                            <w:bottom w:val="none" w:sz="0" w:space="0" w:color="auto"/>
                                                            <w:right w:val="none" w:sz="0" w:space="0" w:color="auto"/>
                                                          </w:divBdr>
                                                        </w:div>
                                                      </w:divsChild>
                                                    </w:div>
                                                    <w:div w:id="215627540">
                                                      <w:marLeft w:val="0"/>
                                                      <w:marRight w:val="0"/>
                                                      <w:marTop w:val="0"/>
                                                      <w:marBottom w:val="0"/>
                                                      <w:divBdr>
                                                        <w:top w:val="none" w:sz="0" w:space="0" w:color="auto"/>
                                                        <w:left w:val="none" w:sz="0" w:space="0" w:color="auto"/>
                                                        <w:bottom w:val="none" w:sz="0" w:space="0" w:color="auto"/>
                                                        <w:right w:val="none" w:sz="0" w:space="0" w:color="auto"/>
                                                      </w:divBdr>
                                                      <w:divsChild>
                                                        <w:div w:id="1842769769">
                                                          <w:marLeft w:val="0"/>
                                                          <w:marRight w:val="0"/>
                                                          <w:marTop w:val="0"/>
                                                          <w:marBottom w:val="0"/>
                                                          <w:divBdr>
                                                            <w:top w:val="none" w:sz="0" w:space="0" w:color="auto"/>
                                                            <w:left w:val="none" w:sz="0" w:space="0" w:color="auto"/>
                                                            <w:bottom w:val="none" w:sz="0" w:space="0" w:color="auto"/>
                                                            <w:right w:val="none" w:sz="0" w:space="0" w:color="auto"/>
                                                          </w:divBdr>
                                                        </w:div>
                                                        <w:div w:id="1197549001">
                                                          <w:marLeft w:val="0"/>
                                                          <w:marRight w:val="0"/>
                                                          <w:marTop w:val="0"/>
                                                          <w:marBottom w:val="0"/>
                                                          <w:divBdr>
                                                            <w:top w:val="none" w:sz="0" w:space="0" w:color="auto"/>
                                                            <w:left w:val="none" w:sz="0" w:space="0" w:color="auto"/>
                                                            <w:bottom w:val="none" w:sz="0" w:space="0" w:color="auto"/>
                                                            <w:right w:val="none" w:sz="0" w:space="0" w:color="auto"/>
                                                          </w:divBdr>
                                                        </w:div>
                                                        <w:div w:id="883642834">
                                                          <w:marLeft w:val="0"/>
                                                          <w:marRight w:val="0"/>
                                                          <w:marTop w:val="0"/>
                                                          <w:marBottom w:val="0"/>
                                                          <w:divBdr>
                                                            <w:top w:val="none" w:sz="0" w:space="0" w:color="auto"/>
                                                            <w:left w:val="none" w:sz="0" w:space="0" w:color="auto"/>
                                                            <w:bottom w:val="none" w:sz="0" w:space="0" w:color="auto"/>
                                                            <w:right w:val="none" w:sz="0" w:space="0" w:color="auto"/>
                                                          </w:divBdr>
                                                        </w:div>
                                                        <w:div w:id="1952779690">
                                                          <w:marLeft w:val="0"/>
                                                          <w:marRight w:val="0"/>
                                                          <w:marTop w:val="0"/>
                                                          <w:marBottom w:val="0"/>
                                                          <w:divBdr>
                                                            <w:top w:val="none" w:sz="0" w:space="0" w:color="auto"/>
                                                            <w:left w:val="none" w:sz="0" w:space="0" w:color="auto"/>
                                                            <w:bottom w:val="none" w:sz="0" w:space="0" w:color="auto"/>
                                                            <w:right w:val="none" w:sz="0" w:space="0" w:color="auto"/>
                                                          </w:divBdr>
                                                        </w:div>
                                                        <w:div w:id="1051465133">
                                                          <w:marLeft w:val="0"/>
                                                          <w:marRight w:val="0"/>
                                                          <w:marTop w:val="0"/>
                                                          <w:marBottom w:val="0"/>
                                                          <w:divBdr>
                                                            <w:top w:val="none" w:sz="0" w:space="0" w:color="auto"/>
                                                            <w:left w:val="none" w:sz="0" w:space="0" w:color="auto"/>
                                                            <w:bottom w:val="none" w:sz="0" w:space="0" w:color="auto"/>
                                                            <w:right w:val="none" w:sz="0" w:space="0" w:color="auto"/>
                                                          </w:divBdr>
                                                        </w:div>
                                                      </w:divsChild>
                                                    </w:div>
                                                    <w:div w:id="64256493">
                                                      <w:marLeft w:val="0"/>
                                                      <w:marRight w:val="0"/>
                                                      <w:marTop w:val="0"/>
                                                      <w:marBottom w:val="0"/>
                                                      <w:divBdr>
                                                        <w:top w:val="single" w:sz="6" w:space="0" w:color="E2E2E2"/>
                                                        <w:left w:val="single" w:sz="6" w:space="0" w:color="E2E2E2"/>
                                                        <w:bottom w:val="single" w:sz="6" w:space="3" w:color="E2E2E2"/>
                                                        <w:right w:val="single" w:sz="6" w:space="0" w:color="E2E2E2"/>
                                                      </w:divBdr>
                                                    </w:div>
                                                    <w:div w:id="458885486">
                                                      <w:marLeft w:val="0"/>
                                                      <w:marRight w:val="0"/>
                                                      <w:marTop w:val="0"/>
                                                      <w:marBottom w:val="0"/>
                                                      <w:divBdr>
                                                        <w:top w:val="none" w:sz="0" w:space="0" w:color="auto"/>
                                                        <w:left w:val="none" w:sz="0" w:space="0" w:color="auto"/>
                                                        <w:bottom w:val="none" w:sz="0" w:space="0" w:color="auto"/>
                                                        <w:right w:val="none" w:sz="0" w:space="0" w:color="auto"/>
                                                      </w:divBdr>
                                                      <w:divsChild>
                                                        <w:div w:id="730426686">
                                                          <w:marLeft w:val="0"/>
                                                          <w:marRight w:val="0"/>
                                                          <w:marTop w:val="0"/>
                                                          <w:marBottom w:val="0"/>
                                                          <w:divBdr>
                                                            <w:top w:val="none" w:sz="0" w:space="0" w:color="auto"/>
                                                            <w:left w:val="none" w:sz="0" w:space="0" w:color="auto"/>
                                                            <w:bottom w:val="none" w:sz="0" w:space="0" w:color="auto"/>
                                                            <w:right w:val="none" w:sz="0" w:space="0" w:color="auto"/>
                                                          </w:divBdr>
                                                        </w:div>
                                                      </w:divsChild>
                                                    </w:div>
                                                    <w:div w:id="1556502538">
                                                      <w:marLeft w:val="0"/>
                                                      <w:marRight w:val="0"/>
                                                      <w:marTop w:val="0"/>
                                                      <w:marBottom w:val="0"/>
                                                      <w:divBdr>
                                                        <w:top w:val="single" w:sz="6" w:space="0" w:color="E2E2E2"/>
                                                        <w:left w:val="single" w:sz="6" w:space="0" w:color="E2E2E2"/>
                                                        <w:bottom w:val="single" w:sz="6" w:space="3" w:color="E2E2E2"/>
                                                        <w:right w:val="single" w:sz="6" w:space="0" w:color="E2E2E2"/>
                                                      </w:divBdr>
                                                    </w:div>
                                                    <w:div w:id="896627590">
                                                      <w:marLeft w:val="0"/>
                                                      <w:marRight w:val="0"/>
                                                      <w:marTop w:val="0"/>
                                                      <w:marBottom w:val="0"/>
                                                      <w:divBdr>
                                                        <w:top w:val="none" w:sz="0" w:space="0" w:color="auto"/>
                                                        <w:left w:val="none" w:sz="0" w:space="0" w:color="auto"/>
                                                        <w:bottom w:val="none" w:sz="0" w:space="0" w:color="auto"/>
                                                        <w:right w:val="none" w:sz="0" w:space="0" w:color="auto"/>
                                                      </w:divBdr>
                                                      <w:divsChild>
                                                        <w:div w:id="929587004">
                                                          <w:marLeft w:val="0"/>
                                                          <w:marRight w:val="0"/>
                                                          <w:marTop w:val="0"/>
                                                          <w:marBottom w:val="0"/>
                                                          <w:divBdr>
                                                            <w:top w:val="none" w:sz="0" w:space="0" w:color="auto"/>
                                                            <w:left w:val="none" w:sz="0" w:space="0" w:color="auto"/>
                                                            <w:bottom w:val="none" w:sz="0" w:space="0" w:color="auto"/>
                                                            <w:right w:val="none" w:sz="0" w:space="0" w:color="auto"/>
                                                          </w:divBdr>
                                                          <w:divsChild>
                                                            <w:div w:id="1926038076">
                                                              <w:marLeft w:val="0"/>
                                                              <w:marRight w:val="0"/>
                                                              <w:marTop w:val="0"/>
                                                              <w:marBottom w:val="0"/>
                                                              <w:divBdr>
                                                                <w:top w:val="none" w:sz="0" w:space="0" w:color="auto"/>
                                                                <w:left w:val="none" w:sz="0" w:space="0" w:color="auto"/>
                                                                <w:bottom w:val="none" w:sz="0" w:space="0" w:color="auto"/>
                                                                <w:right w:val="none" w:sz="0" w:space="0" w:color="auto"/>
                                                              </w:divBdr>
                                                              <w:divsChild>
                                                                <w:div w:id="1277980336">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86593">
                                              <w:marLeft w:val="0"/>
                                              <w:marRight w:val="0"/>
                                              <w:marTop w:val="0"/>
                                              <w:marBottom w:val="0"/>
                                              <w:divBdr>
                                                <w:top w:val="none" w:sz="0" w:space="0" w:color="auto"/>
                                                <w:left w:val="none" w:sz="0" w:space="0" w:color="auto"/>
                                                <w:bottom w:val="none" w:sz="0" w:space="0" w:color="auto"/>
                                                <w:right w:val="none" w:sz="0" w:space="0" w:color="auto"/>
                                              </w:divBdr>
                                              <w:divsChild>
                                                <w:div w:id="862284280">
                                                  <w:marLeft w:val="0"/>
                                                  <w:marRight w:val="-30"/>
                                                  <w:marTop w:val="0"/>
                                                  <w:marBottom w:val="0"/>
                                                  <w:divBdr>
                                                    <w:top w:val="none" w:sz="0" w:space="0" w:color="auto"/>
                                                    <w:left w:val="none" w:sz="0" w:space="0" w:color="auto"/>
                                                    <w:bottom w:val="none" w:sz="0" w:space="0" w:color="auto"/>
                                                    <w:right w:val="none" w:sz="0" w:space="0" w:color="auto"/>
                                                  </w:divBdr>
                                                  <w:divsChild>
                                                    <w:div w:id="20060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1095169">
      <w:bodyDiv w:val="1"/>
      <w:marLeft w:val="0"/>
      <w:marRight w:val="0"/>
      <w:marTop w:val="0"/>
      <w:marBottom w:val="0"/>
      <w:divBdr>
        <w:top w:val="none" w:sz="0" w:space="0" w:color="auto"/>
        <w:left w:val="none" w:sz="0" w:space="0" w:color="auto"/>
        <w:bottom w:val="none" w:sz="0" w:space="0" w:color="auto"/>
        <w:right w:val="none" w:sz="0" w:space="0" w:color="auto"/>
      </w:divBdr>
    </w:div>
    <w:div w:id="732823659">
      <w:bodyDiv w:val="1"/>
      <w:marLeft w:val="0"/>
      <w:marRight w:val="0"/>
      <w:marTop w:val="0"/>
      <w:marBottom w:val="0"/>
      <w:divBdr>
        <w:top w:val="none" w:sz="0" w:space="0" w:color="auto"/>
        <w:left w:val="none" w:sz="0" w:space="0" w:color="auto"/>
        <w:bottom w:val="none" w:sz="0" w:space="0" w:color="auto"/>
        <w:right w:val="none" w:sz="0" w:space="0" w:color="auto"/>
      </w:divBdr>
    </w:div>
    <w:div w:id="746536657">
      <w:bodyDiv w:val="1"/>
      <w:marLeft w:val="0"/>
      <w:marRight w:val="0"/>
      <w:marTop w:val="0"/>
      <w:marBottom w:val="0"/>
      <w:divBdr>
        <w:top w:val="none" w:sz="0" w:space="0" w:color="auto"/>
        <w:left w:val="none" w:sz="0" w:space="0" w:color="auto"/>
        <w:bottom w:val="none" w:sz="0" w:space="0" w:color="auto"/>
        <w:right w:val="none" w:sz="0" w:space="0" w:color="auto"/>
      </w:divBdr>
      <w:divsChild>
        <w:div w:id="1771897353">
          <w:marLeft w:val="0"/>
          <w:marRight w:val="0"/>
          <w:marTop w:val="0"/>
          <w:marBottom w:val="0"/>
          <w:divBdr>
            <w:top w:val="none" w:sz="0" w:space="0" w:color="auto"/>
            <w:left w:val="none" w:sz="0" w:space="0" w:color="auto"/>
            <w:bottom w:val="none" w:sz="0" w:space="0" w:color="auto"/>
            <w:right w:val="none" w:sz="0" w:space="0" w:color="auto"/>
          </w:divBdr>
          <w:divsChild>
            <w:div w:id="1486043116">
              <w:marLeft w:val="0"/>
              <w:marRight w:val="0"/>
              <w:marTop w:val="0"/>
              <w:marBottom w:val="0"/>
              <w:divBdr>
                <w:top w:val="none" w:sz="0" w:space="0" w:color="auto"/>
                <w:left w:val="none" w:sz="0" w:space="0" w:color="auto"/>
                <w:bottom w:val="none" w:sz="0" w:space="0" w:color="auto"/>
                <w:right w:val="none" w:sz="0" w:space="0" w:color="auto"/>
              </w:divBdr>
              <w:divsChild>
                <w:div w:id="1623994967">
                  <w:marLeft w:val="0"/>
                  <w:marRight w:val="0"/>
                  <w:marTop w:val="0"/>
                  <w:marBottom w:val="0"/>
                  <w:divBdr>
                    <w:top w:val="none" w:sz="0" w:space="0" w:color="auto"/>
                    <w:left w:val="none" w:sz="0" w:space="0" w:color="auto"/>
                    <w:bottom w:val="none" w:sz="0" w:space="0" w:color="auto"/>
                    <w:right w:val="none" w:sz="0" w:space="0" w:color="auto"/>
                  </w:divBdr>
                  <w:divsChild>
                    <w:div w:id="1666934917">
                      <w:marLeft w:val="0"/>
                      <w:marRight w:val="0"/>
                      <w:marTop w:val="0"/>
                      <w:marBottom w:val="0"/>
                      <w:divBdr>
                        <w:top w:val="none" w:sz="0" w:space="0" w:color="auto"/>
                        <w:left w:val="none" w:sz="0" w:space="0" w:color="auto"/>
                        <w:bottom w:val="none" w:sz="0" w:space="0" w:color="auto"/>
                        <w:right w:val="none" w:sz="0" w:space="0" w:color="auto"/>
                      </w:divBdr>
                      <w:divsChild>
                        <w:div w:id="555162622">
                          <w:marLeft w:val="0"/>
                          <w:marRight w:val="0"/>
                          <w:marTop w:val="0"/>
                          <w:marBottom w:val="0"/>
                          <w:divBdr>
                            <w:top w:val="none" w:sz="0" w:space="0" w:color="auto"/>
                            <w:left w:val="none" w:sz="0" w:space="0" w:color="auto"/>
                            <w:bottom w:val="none" w:sz="0" w:space="0" w:color="auto"/>
                            <w:right w:val="none" w:sz="0" w:space="0" w:color="auto"/>
                          </w:divBdr>
                          <w:divsChild>
                            <w:div w:id="37488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359497">
      <w:bodyDiv w:val="1"/>
      <w:marLeft w:val="0"/>
      <w:marRight w:val="0"/>
      <w:marTop w:val="0"/>
      <w:marBottom w:val="0"/>
      <w:divBdr>
        <w:top w:val="none" w:sz="0" w:space="0" w:color="auto"/>
        <w:left w:val="none" w:sz="0" w:space="0" w:color="auto"/>
        <w:bottom w:val="none" w:sz="0" w:space="0" w:color="auto"/>
        <w:right w:val="none" w:sz="0" w:space="0" w:color="auto"/>
      </w:divBdr>
    </w:div>
    <w:div w:id="809976480">
      <w:bodyDiv w:val="1"/>
      <w:marLeft w:val="0"/>
      <w:marRight w:val="0"/>
      <w:marTop w:val="0"/>
      <w:marBottom w:val="0"/>
      <w:divBdr>
        <w:top w:val="none" w:sz="0" w:space="0" w:color="auto"/>
        <w:left w:val="none" w:sz="0" w:space="0" w:color="auto"/>
        <w:bottom w:val="none" w:sz="0" w:space="0" w:color="auto"/>
        <w:right w:val="none" w:sz="0" w:space="0" w:color="auto"/>
      </w:divBdr>
      <w:divsChild>
        <w:div w:id="1578782687">
          <w:marLeft w:val="0"/>
          <w:marRight w:val="0"/>
          <w:marTop w:val="100"/>
          <w:marBottom w:val="100"/>
          <w:divBdr>
            <w:top w:val="none" w:sz="0" w:space="0" w:color="auto"/>
            <w:left w:val="none" w:sz="0" w:space="0" w:color="auto"/>
            <w:bottom w:val="none" w:sz="0" w:space="0" w:color="auto"/>
            <w:right w:val="none" w:sz="0" w:space="0" w:color="auto"/>
          </w:divBdr>
          <w:divsChild>
            <w:div w:id="1391617620">
              <w:marLeft w:val="0"/>
              <w:marRight w:val="0"/>
              <w:marTop w:val="0"/>
              <w:marBottom w:val="0"/>
              <w:divBdr>
                <w:top w:val="none" w:sz="0" w:space="0" w:color="auto"/>
                <w:left w:val="none" w:sz="0" w:space="0" w:color="auto"/>
                <w:bottom w:val="none" w:sz="0" w:space="0" w:color="auto"/>
                <w:right w:val="none" w:sz="0" w:space="0" w:color="auto"/>
              </w:divBdr>
              <w:divsChild>
                <w:div w:id="363140163">
                  <w:marLeft w:val="0"/>
                  <w:marRight w:val="0"/>
                  <w:marTop w:val="0"/>
                  <w:marBottom w:val="0"/>
                  <w:divBdr>
                    <w:top w:val="none" w:sz="0" w:space="0" w:color="auto"/>
                    <w:left w:val="none" w:sz="0" w:space="0" w:color="auto"/>
                    <w:bottom w:val="none" w:sz="0" w:space="0" w:color="auto"/>
                    <w:right w:val="none" w:sz="0" w:space="0" w:color="auto"/>
                  </w:divBdr>
                  <w:divsChild>
                    <w:div w:id="1880359513">
                      <w:marLeft w:val="0"/>
                      <w:marRight w:val="0"/>
                      <w:marTop w:val="0"/>
                      <w:marBottom w:val="0"/>
                      <w:divBdr>
                        <w:top w:val="none" w:sz="0" w:space="0" w:color="auto"/>
                        <w:left w:val="none" w:sz="0" w:space="0" w:color="auto"/>
                        <w:bottom w:val="none" w:sz="0" w:space="0" w:color="auto"/>
                        <w:right w:val="none" w:sz="0" w:space="0" w:color="auto"/>
                      </w:divBdr>
                      <w:divsChild>
                        <w:div w:id="1817643161">
                          <w:marLeft w:val="0"/>
                          <w:marRight w:val="0"/>
                          <w:marTop w:val="0"/>
                          <w:marBottom w:val="0"/>
                          <w:divBdr>
                            <w:top w:val="none" w:sz="0" w:space="0" w:color="auto"/>
                            <w:left w:val="none" w:sz="0" w:space="0" w:color="auto"/>
                            <w:bottom w:val="none" w:sz="0" w:space="0" w:color="auto"/>
                            <w:right w:val="none" w:sz="0" w:space="0" w:color="auto"/>
                          </w:divBdr>
                          <w:divsChild>
                            <w:div w:id="79060584">
                              <w:marLeft w:val="0"/>
                              <w:marRight w:val="0"/>
                              <w:marTop w:val="0"/>
                              <w:marBottom w:val="0"/>
                              <w:divBdr>
                                <w:top w:val="none" w:sz="0" w:space="0" w:color="auto"/>
                                <w:left w:val="none" w:sz="0" w:space="0" w:color="auto"/>
                                <w:bottom w:val="none" w:sz="0" w:space="0" w:color="auto"/>
                                <w:right w:val="none" w:sz="0" w:space="0" w:color="auto"/>
                              </w:divBdr>
                              <w:divsChild>
                                <w:div w:id="2823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6669474">
      <w:bodyDiv w:val="1"/>
      <w:marLeft w:val="0"/>
      <w:marRight w:val="0"/>
      <w:marTop w:val="0"/>
      <w:marBottom w:val="0"/>
      <w:divBdr>
        <w:top w:val="none" w:sz="0" w:space="0" w:color="auto"/>
        <w:left w:val="none" w:sz="0" w:space="0" w:color="auto"/>
        <w:bottom w:val="none" w:sz="0" w:space="0" w:color="auto"/>
        <w:right w:val="none" w:sz="0" w:space="0" w:color="auto"/>
      </w:divBdr>
    </w:div>
    <w:div w:id="980574293">
      <w:bodyDiv w:val="1"/>
      <w:marLeft w:val="0"/>
      <w:marRight w:val="0"/>
      <w:marTop w:val="0"/>
      <w:marBottom w:val="0"/>
      <w:divBdr>
        <w:top w:val="none" w:sz="0" w:space="0" w:color="auto"/>
        <w:left w:val="none" w:sz="0" w:space="0" w:color="auto"/>
        <w:bottom w:val="none" w:sz="0" w:space="0" w:color="auto"/>
        <w:right w:val="none" w:sz="0" w:space="0" w:color="auto"/>
      </w:divBdr>
    </w:div>
    <w:div w:id="1034111063">
      <w:bodyDiv w:val="1"/>
      <w:marLeft w:val="0"/>
      <w:marRight w:val="0"/>
      <w:marTop w:val="0"/>
      <w:marBottom w:val="0"/>
      <w:divBdr>
        <w:top w:val="none" w:sz="0" w:space="0" w:color="auto"/>
        <w:left w:val="none" w:sz="0" w:space="0" w:color="auto"/>
        <w:bottom w:val="none" w:sz="0" w:space="0" w:color="auto"/>
        <w:right w:val="none" w:sz="0" w:space="0" w:color="auto"/>
      </w:divBdr>
    </w:div>
    <w:div w:id="1063866106">
      <w:bodyDiv w:val="1"/>
      <w:marLeft w:val="0"/>
      <w:marRight w:val="0"/>
      <w:marTop w:val="0"/>
      <w:marBottom w:val="0"/>
      <w:divBdr>
        <w:top w:val="none" w:sz="0" w:space="0" w:color="auto"/>
        <w:left w:val="none" w:sz="0" w:space="0" w:color="auto"/>
        <w:bottom w:val="none" w:sz="0" w:space="0" w:color="auto"/>
        <w:right w:val="none" w:sz="0" w:space="0" w:color="auto"/>
      </w:divBdr>
    </w:div>
    <w:div w:id="1086078095">
      <w:bodyDiv w:val="1"/>
      <w:marLeft w:val="0"/>
      <w:marRight w:val="0"/>
      <w:marTop w:val="0"/>
      <w:marBottom w:val="0"/>
      <w:divBdr>
        <w:top w:val="none" w:sz="0" w:space="0" w:color="auto"/>
        <w:left w:val="none" w:sz="0" w:space="0" w:color="auto"/>
        <w:bottom w:val="none" w:sz="0" w:space="0" w:color="auto"/>
        <w:right w:val="none" w:sz="0" w:space="0" w:color="auto"/>
      </w:divBdr>
    </w:div>
    <w:div w:id="1145313691">
      <w:bodyDiv w:val="1"/>
      <w:marLeft w:val="0"/>
      <w:marRight w:val="0"/>
      <w:marTop w:val="0"/>
      <w:marBottom w:val="0"/>
      <w:divBdr>
        <w:top w:val="none" w:sz="0" w:space="0" w:color="auto"/>
        <w:left w:val="none" w:sz="0" w:space="0" w:color="auto"/>
        <w:bottom w:val="none" w:sz="0" w:space="0" w:color="auto"/>
        <w:right w:val="none" w:sz="0" w:space="0" w:color="auto"/>
      </w:divBdr>
    </w:div>
    <w:div w:id="1215503357">
      <w:bodyDiv w:val="1"/>
      <w:marLeft w:val="0"/>
      <w:marRight w:val="0"/>
      <w:marTop w:val="0"/>
      <w:marBottom w:val="0"/>
      <w:divBdr>
        <w:top w:val="none" w:sz="0" w:space="0" w:color="auto"/>
        <w:left w:val="none" w:sz="0" w:space="0" w:color="auto"/>
        <w:bottom w:val="none" w:sz="0" w:space="0" w:color="auto"/>
        <w:right w:val="none" w:sz="0" w:space="0" w:color="auto"/>
      </w:divBdr>
    </w:div>
    <w:div w:id="1340500365">
      <w:bodyDiv w:val="1"/>
      <w:marLeft w:val="0"/>
      <w:marRight w:val="0"/>
      <w:marTop w:val="0"/>
      <w:marBottom w:val="0"/>
      <w:divBdr>
        <w:top w:val="none" w:sz="0" w:space="0" w:color="auto"/>
        <w:left w:val="none" w:sz="0" w:space="0" w:color="auto"/>
        <w:bottom w:val="none" w:sz="0" w:space="0" w:color="auto"/>
        <w:right w:val="none" w:sz="0" w:space="0" w:color="auto"/>
      </w:divBdr>
    </w:div>
    <w:div w:id="1397898402">
      <w:bodyDiv w:val="1"/>
      <w:marLeft w:val="0"/>
      <w:marRight w:val="0"/>
      <w:marTop w:val="0"/>
      <w:marBottom w:val="0"/>
      <w:divBdr>
        <w:top w:val="none" w:sz="0" w:space="0" w:color="auto"/>
        <w:left w:val="none" w:sz="0" w:space="0" w:color="auto"/>
        <w:bottom w:val="none" w:sz="0" w:space="0" w:color="auto"/>
        <w:right w:val="none" w:sz="0" w:space="0" w:color="auto"/>
      </w:divBdr>
    </w:div>
    <w:div w:id="1430471982">
      <w:bodyDiv w:val="1"/>
      <w:marLeft w:val="0"/>
      <w:marRight w:val="0"/>
      <w:marTop w:val="0"/>
      <w:marBottom w:val="0"/>
      <w:divBdr>
        <w:top w:val="none" w:sz="0" w:space="0" w:color="auto"/>
        <w:left w:val="none" w:sz="0" w:space="0" w:color="auto"/>
        <w:bottom w:val="none" w:sz="0" w:space="0" w:color="auto"/>
        <w:right w:val="none" w:sz="0" w:space="0" w:color="auto"/>
      </w:divBdr>
    </w:div>
    <w:div w:id="1435055480">
      <w:bodyDiv w:val="1"/>
      <w:marLeft w:val="0"/>
      <w:marRight w:val="0"/>
      <w:marTop w:val="0"/>
      <w:marBottom w:val="0"/>
      <w:divBdr>
        <w:top w:val="none" w:sz="0" w:space="0" w:color="auto"/>
        <w:left w:val="none" w:sz="0" w:space="0" w:color="auto"/>
        <w:bottom w:val="none" w:sz="0" w:space="0" w:color="auto"/>
        <w:right w:val="none" w:sz="0" w:space="0" w:color="auto"/>
      </w:divBdr>
    </w:div>
    <w:div w:id="1440754272">
      <w:bodyDiv w:val="1"/>
      <w:marLeft w:val="0"/>
      <w:marRight w:val="0"/>
      <w:marTop w:val="0"/>
      <w:marBottom w:val="0"/>
      <w:divBdr>
        <w:top w:val="none" w:sz="0" w:space="0" w:color="auto"/>
        <w:left w:val="none" w:sz="0" w:space="0" w:color="auto"/>
        <w:bottom w:val="none" w:sz="0" w:space="0" w:color="auto"/>
        <w:right w:val="none" w:sz="0" w:space="0" w:color="auto"/>
      </w:divBdr>
    </w:div>
    <w:div w:id="1459105789">
      <w:bodyDiv w:val="1"/>
      <w:marLeft w:val="0"/>
      <w:marRight w:val="0"/>
      <w:marTop w:val="0"/>
      <w:marBottom w:val="0"/>
      <w:divBdr>
        <w:top w:val="none" w:sz="0" w:space="0" w:color="auto"/>
        <w:left w:val="none" w:sz="0" w:space="0" w:color="auto"/>
        <w:bottom w:val="none" w:sz="0" w:space="0" w:color="auto"/>
        <w:right w:val="none" w:sz="0" w:space="0" w:color="auto"/>
      </w:divBdr>
    </w:div>
    <w:div w:id="1574699336">
      <w:bodyDiv w:val="1"/>
      <w:marLeft w:val="0"/>
      <w:marRight w:val="0"/>
      <w:marTop w:val="0"/>
      <w:marBottom w:val="0"/>
      <w:divBdr>
        <w:top w:val="none" w:sz="0" w:space="0" w:color="auto"/>
        <w:left w:val="none" w:sz="0" w:space="0" w:color="auto"/>
        <w:bottom w:val="none" w:sz="0" w:space="0" w:color="auto"/>
        <w:right w:val="none" w:sz="0" w:space="0" w:color="auto"/>
      </w:divBdr>
    </w:div>
    <w:div w:id="1624650381">
      <w:bodyDiv w:val="1"/>
      <w:marLeft w:val="0"/>
      <w:marRight w:val="0"/>
      <w:marTop w:val="0"/>
      <w:marBottom w:val="0"/>
      <w:divBdr>
        <w:top w:val="none" w:sz="0" w:space="0" w:color="auto"/>
        <w:left w:val="none" w:sz="0" w:space="0" w:color="auto"/>
        <w:bottom w:val="none" w:sz="0" w:space="0" w:color="auto"/>
        <w:right w:val="none" w:sz="0" w:space="0" w:color="auto"/>
      </w:divBdr>
    </w:div>
    <w:div w:id="1629506480">
      <w:bodyDiv w:val="1"/>
      <w:marLeft w:val="0"/>
      <w:marRight w:val="0"/>
      <w:marTop w:val="0"/>
      <w:marBottom w:val="0"/>
      <w:divBdr>
        <w:top w:val="none" w:sz="0" w:space="0" w:color="auto"/>
        <w:left w:val="none" w:sz="0" w:space="0" w:color="auto"/>
        <w:bottom w:val="none" w:sz="0" w:space="0" w:color="auto"/>
        <w:right w:val="none" w:sz="0" w:space="0" w:color="auto"/>
      </w:divBdr>
      <w:divsChild>
        <w:div w:id="1969361190">
          <w:marLeft w:val="0"/>
          <w:marRight w:val="0"/>
          <w:marTop w:val="0"/>
          <w:marBottom w:val="0"/>
          <w:divBdr>
            <w:top w:val="none" w:sz="0" w:space="0" w:color="auto"/>
            <w:left w:val="none" w:sz="0" w:space="0" w:color="auto"/>
            <w:bottom w:val="none" w:sz="0" w:space="0" w:color="auto"/>
            <w:right w:val="none" w:sz="0" w:space="0" w:color="auto"/>
          </w:divBdr>
          <w:divsChild>
            <w:div w:id="515732398">
              <w:marLeft w:val="0"/>
              <w:marRight w:val="0"/>
              <w:marTop w:val="0"/>
              <w:marBottom w:val="0"/>
              <w:divBdr>
                <w:top w:val="none" w:sz="0" w:space="0" w:color="auto"/>
                <w:left w:val="none" w:sz="0" w:space="0" w:color="auto"/>
                <w:bottom w:val="none" w:sz="0" w:space="0" w:color="auto"/>
                <w:right w:val="none" w:sz="0" w:space="0" w:color="auto"/>
              </w:divBdr>
              <w:divsChild>
                <w:div w:id="933785618">
                  <w:marLeft w:val="0"/>
                  <w:marRight w:val="0"/>
                  <w:marTop w:val="0"/>
                  <w:marBottom w:val="0"/>
                  <w:divBdr>
                    <w:top w:val="none" w:sz="0" w:space="0" w:color="auto"/>
                    <w:left w:val="none" w:sz="0" w:space="0" w:color="auto"/>
                    <w:bottom w:val="none" w:sz="0" w:space="0" w:color="auto"/>
                    <w:right w:val="none" w:sz="0" w:space="0" w:color="auto"/>
                  </w:divBdr>
                  <w:divsChild>
                    <w:div w:id="1774980182">
                      <w:marLeft w:val="0"/>
                      <w:marRight w:val="0"/>
                      <w:marTop w:val="0"/>
                      <w:marBottom w:val="0"/>
                      <w:divBdr>
                        <w:top w:val="none" w:sz="0" w:space="0" w:color="auto"/>
                        <w:left w:val="none" w:sz="0" w:space="0" w:color="auto"/>
                        <w:bottom w:val="none" w:sz="0" w:space="0" w:color="auto"/>
                        <w:right w:val="none" w:sz="0" w:space="0" w:color="auto"/>
                      </w:divBdr>
                      <w:divsChild>
                        <w:div w:id="470824846">
                          <w:marLeft w:val="0"/>
                          <w:marRight w:val="0"/>
                          <w:marTop w:val="0"/>
                          <w:marBottom w:val="0"/>
                          <w:divBdr>
                            <w:top w:val="none" w:sz="0" w:space="0" w:color="auto"/>
                            <w:left w:val="none" w:sz="0" w:space="0" w:color="auto"/>
                            <w:bottom w:val="none" w:sz="0" w:space="0" w:color="auto"/>
                            <w:right w:val="none" w:sz="0" w:space="0" w:color="auto"/>
                          </w:divBdr>
                          <w:divsChild>
                            <w:div w:id="167985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756857">
      <w:bodyDiv w:val="1"/>
      <w:marLeft w:val="0"/>
      <w:marRight w:val="0"/>
      <w:marTop w:val="0"/>
      <w:marBottom w:val="0"/>
      <w:divBdr>
        <w:top w:val="none" w:sz="0" w:space="0" w:color="auto"/>
        <w:left w:val="none" w:sz="0" w:space="0" w:color="auto"/>
        <w:bottom w:val="none" w:sz="0" w:space="0" w:color="auto"/>
        <w:right w:val="none" w:sz="0" w:space="0" w:color="auto"/>
      </w:divBdr>
    </w:div>
    <w:div w:id="1680086111">
      <w:bodyDiv w:val="1"/>
      <w:marLeft w:val="0"/>
      <w:marRight w:val="0"/>
      <w:marTop w:val="0"/>
      <w:marBottom w:val="0"/>
      <w:divBdr>
        <w:top w:val="none" w:sz="0" w:space="0" w:color="auto"/>
        <w:left w:val="none" w:sz="0" w:space="0" w:color="auto"/>
        <w:bottom w:val="none" w:sz="0" w:space="0" w:color="auto"/>
        <w:right w:val="none" w:sz="0" w:space="0" w:color="auto"/>
      </w:divBdr>
    </w:div>
    <w:div w:id="1722286791">
      <w:bodyDiv w:val="1"/>
      <w:marLeft w:val="0"/>
      <w:marRight w:val="0"/>
      <w:marTop w:val="0"/>
      <w:marBottom w:val="0"/>
      <w:divBdr>
        <w:top w:val="none" w:sz="0" w:space="0" w:color="auto"/>
        <w:left w:val="none" w:sz="0" w:space="0" w:color="auto"/>
        <w:bottom w:val="none" w:sz="0" w:space="0" w:color="auto"/>
        <w:right w:val="none" w:sz="0" w:space="0" w:color="auto"/>
      </w:divBdr>
    </w:div>
    <w:div w:id="1762799505">
      <w:bodyDiv w:val="1"/>
      <w:marLeft w:val="0"/>
      <w:marRight w:val="0"/>
      <w:marTop w:val="0"/>
      <w:marBottom w:val="0"/>
      <w:divBdr>
        <w:top w:val="none" w:sz="0" w:space="0" w:color="auto"/>
        <w:left w:val="none" w:sz="0" w:space="0" w:color="auto"/>
        <w:bottom w:val="none" w:sz="0" w:space="0" w:color="auto"/>
        <w:right w:val="none" w:sz="0" w:space="0" w:color="auto"/>
      </w:divBdr>
    </w:div>
    <w:div w:id="1810391318">
      <w:bodyDiv w:val="1"/>
      <w:marLeft w:val="0"/>
      <w:marRight w:val="0"/>
      <w:marTop w:val="0"/>
      <w:marBottom w:val="0"/>
      <w:divBdr>
        <w:top w:val="none" w:sz="0" w:space="0" w:color="auto"/>
        <w:left w:val="none" w:sz="0" w:space="0" w:color="auto"/>
        <w:bottom w:val="none" w:sz="0" w:space="0" w:color="auto"/>
        <w:right w:val="none" w:sz="0" w:space="0" w:color="auto"/>
      </w:divBdr>
    </w:div>
    <w:div w:id="1837110146">
      <w:bodyDiv w:val="1"/>
      <w:marLeft w:val="0"/>
      <w:marRight w:val="0"/>
      <w:marTop w:val="0"/>
      <w:marBottom w:val="0"/>
      <w:divBdr>
        <w:top w:val="none" w:sz="0" w:space="0" w:color="auto"/>
        <w:left w:val="none" w:sz="0" w:space="0" w:color="auto"/>
        <w:bottom w:val="none" w:sz="0" w:space="0" w:color="auto"/>
        <w:right w:val="none" w:sz="0" w:space="0" w:color="auto"/>
      </w:divBdr>
    </w:div>
    <w:div w:id="1855728358">
      <w:bodyDiv w:val="1"/>
      <w:marLeft w:val="0"/>
      <w:marRight w:val="0"/>
      <w:marTop w:val="0"/>
      <w:marBottom w:val="0"/>
      <w:divBdr>
        <w:top w:val="none" w:sz="0" w:space="0" w:color="auto"/>
        <w:left w:val="none" w:sz="0" w:space="0" w:color="auto"/>
        <w:bottom w:val="none" w:sz="0" w:space="0" w:color="auto"/>
        <w:right w:val="none" w:sz="0" w:space="0" w:color="auto"/>
      </w:divBdr>
    </w:div>
    <w:div w:id="1933126002">
      <w:bodyDiv w:val="1"/>
      <w:marLeft w:val="0"/>
      <w:marRight w:val="0"/>
      <w:marTop w:val="0"/>
      <w:marBottom w:val="0"/>
      <w:divBdr>
        <w:top w:val="none" w:sz="0" w:space="0" w:color="auto"/>
        <w:left w:val="none" w:sz="0" w:space="0" w:color="auto"/>
        <w:bottom w:val="none" w:sz="0" w:space="0" w:color="auto"/>
        <w:right w:val="none" w:sz="0" w:space="0" w:color="auto"/>
      </w:divBdr>
    </w:div>
    <w:div w:id="1964578634">
      <w:bodyDiv w:val="1"/>
      <w:marLeft w:val="0"/>
      <w:marRight w:val="0"/>
      <w:marTop w:val="0"/>
      <w:marBottom w:val="0"/>
      <w:divBdr>
        <w:top w:val="none" w:sz="0" w:space="0" w:color="auto"/>
        <w:left w:val="none" w:sz="0" w:space="0" w:color="auto"/>
        <w:bottom w:val="none" w:sz="0" w:space="0" w:color="auto"/>
        <w:right w:val="none" w:sz="0" w:space="0" w:color="auto"/>
      </w:divBdr>
    </w:div>
    <w:div w:id="2025477711">
      <w:bodyDiv w:val="1"/>
      <w:marLeft w:val="0"/>
      <w:marRight w:val="0"/>
      <w:marTop w:val="0"/>
      <w:marBottom w:val="0"/>
      <w:divBdr>
        <w:top w:val="none" w:sz="0" w:space="0" w:color="auto"/>
        <w:left w:val="none" w:sz="0" w:space="0" w:color="auto"/>
        <w:bottom w:val="none" w:sz="0" w:space="0" w:color="auto"/>
        <w:right w:val="none" w:sz="0" w:space="0" w:color="auto"/>
      </w:divBdr>
      <w:divsChild>
        <w:div w:id="573782410">
          <w:marLeft w:val="0"/>
          <w:marRight w:val="0"/>
          <w:marTop w:val="0"/>
          <w:marBottom w:val="0"/>
          <w:divBdr>
            <w:top w:val="none" w:sz="0" w:space="0" w:color="auto"/>
            <w:left w:val="none" w:sz="0" w:space="0" w:color="auto"/>
            <w:bottom w:val="none" w:sz="0" w:space="0" w:color="auto"/>
            <w:right w:val="none" w:sz="0" w:space="0" w:color="auto"/>
          </w:divBdr>
          <w:divsChild>
            <w:div w:id="1341540124">
              <w:marLeft w:val="0"/>
              <w:marRight w:val="0"/>
              <w:marTop w:val="0"/>
              <w:marBottom w:val="0"/>
              <w:divBdr>
                <w:top w:val="none" w:sz="0" w:space="0" w:color="auto"/>
                <w:left w:val="none" w:sz="0" w:space="0" w:color="auto"/>
                <w:bottom w:val="none" w:sz="0" w:space="0" w:color="auto"/>
                <w:right w:val="none" w:sz="0" w:space="0" w:color="auto"/>
              </w:divBdr>
              <w:divsChild>
                <w:div w:id="836922761">
                  <w:marLeft w:val="0"/>
                  <w:marRight w:val="0"/>
                  <w:marTop w:val="0"/>
                  <w:marBottom w:val="0"/>
                  <w:divBdr>
                    <w:top w:val="none" w:sz="0" w:space="0" w:color="auto"/>
                    <w:left w:val="none" w:sz="0" w:space="0" w:color="auto"/>
                    <w:bottom w:val="none" w:sz="0" w:space="0" w:color="auto"/>
                    <w:right w:val="none" w:sz="0" w:space="0" w:color="auto"/>
                  </w:divBdr>
                  <w:divsChild>
                    <w:div w:id="549923848">
                      <w:marLeft w:val="0"/>
                      <w:marRight w:val="0"/>
                      <w:marTop w:val="0"/>
                      <w:marBottom w:val="0"/>
                      <w:divBdr>
                        <w:top w:val="none" w:sz="0" w:space="0" w:color="auto"/>
                        <w:left w:val="none" w:sz="0" w:space="0" w:color="auto"/>
                        <w:bottom w:val="none" w:sz="0" w:space="0" w:color="auto"/>
                        <w:right w:val="none" w:sz="0" w:space="0" w:color="auto"/>
                      </w:divBdr>
                      <w:divsChild>
                        <w:div w:id="1324820070">
                          <w:marLeft w:val="0"/>
                          <w:marRight w:val="0"/>
                          <w:marTop w:val="0"/>
                          <w:marBottom w:val="0"/>
                          <w:divBdr>
                            <w:top w:val="none" w:sz="0" w:space="0" w:color="auto"/>
                            <w:left w:val="none" w:sz="0" w:space="0" w:color="auto"/>
                            <w:bottom w:val="none" w:sz="0" w:space="0" w:color="auto"/>
                            <w:right w:val="none" w:sz="0" w:space="0" w:color="auto"/>
                          </w:divBdr>
                          <w:divsChild>
                            <w:div w:id="30752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976972">
      <w:bodyDiv w:val="1"/>
      <w:marLeft w:val="0"/>
      <w:marRight w:val="0"/>
      <w:marTop w:val="0"/>
      <w:marBottom w:val="0"/>
      <w:divBdr>
        <w:top w:val="none" w:sz="0" w:space="0" w:color="auto"/>
        <w:left w:val="none" w:sz="0" w:space="0" w:color="auto"/>
        <w:bottom w:val="none" w:sz="0" w:space="0" w:color="auto"/>
        <w:right w:val="none" w:sz="0" w:space="0" w:color="auto"/>
      </w:divBdr>
      <w:divsChild>
        <w:div w:id="800927076">
          <w:marLeft w:val="0"/>
          <w:marRight w:val="1"/>
          <w:marTop w:val="0"/>
          <w:marBottom w:val="0"/>
          <w:divBdr>
            <w:top w:val="none" w:sz="0" w:space="0" w:color="auto"/>
            <w:left w:val="none" w:sz="0" w:space="0" w:color="auto"/>
            <w:bottom w:val="none" w:sz="0" w:space="0" w:color="auto"/>
            <w:right w:val="none" w:sz="0" w:space="0" w:color="auto"/>
          </w:divBdr>
          <w:divsChild>
            <w:div w:id="27950433">
              <w:marLeft w:val="0"/>
              <w:marRight w:val="0"/>
              <w:marTop w:val="0"/>
              <w:marBottom w:val="0"/>
              <w:divBdr>
                <w:top w:val="none" w:sz="0" w:space="0" w:color="auto"/>
                <w:left w:val="none" w:sz="0" w:space="0" w:color="auto"/>
                <w:bottom w:val="none" w:sz="0" w:space="0" w:color="auto"/>
                <w:right w:val="none" w:sz="0" w:space="0" w:color="auto"/>
              </w:divBdr>
              <w:divsChild>
                <w:div w:id="627853173">
                  <w:marLeft w:val="0"/>
                  <w:marRight w:val="1"/>
                  <w:marTop w:val="0"/>
                  <w:marBottom w:val="0"/>
                  <w:divBdr>
                    <w:top w:val="none" w:sz="0" w:space="0" w:color="auto"/>
                    <w:left w:val="none" w:sz="0" w:space="0" w:color="auto"/>
                    <w:bottom w:val="none" w:sz="0" w:space="0" w:color="auto"/>
                    <w:right w:val="none" w:sz="0" w:space="0" w:color="auto"/>
                  </w:divBdr>
                  <w:divsChild>
                    <w:div w:id="587691477">
                      <w:marLeft w:val="0"/>
                      <w:marRight w:val="0"/>
                      <w:marTop w:val="0"/>
                      <w:marBottom w:val="0"/>
                      <w:divBdr>
                        <w:top w:val="none" w:sz="0" w:space="0" w:color="auto"/>
                        <w:left w:val="none" w:sz="0" w:space="0" w:color="auto"/>
                        <w:bottom w:val="none" w:sz="0" w:space="0" w:color="auto"/>
                        <w:right w:val="none" w:sz="0" w:space="0" w:color="auto"/>
                      </w:divBdr>
                      <w:divsChild>
                        <w:div w:id="369653005">
                          <w:marLeft w:val="0"/>
                          <w:marRight w:val="0"/>
                          <w:marTop w:val="0"/>
                          <w:marBottom w:val="0"/>
                          <w:divBdr>
                            <w:top w:val="none" w:sz="0" w:space="0" w:color="auto"/>
                            <w:left w:val="none" w:sz="0" w:space="0" w:color="auto"/>
                            <w:bottom w:val="none" w:sz="0" w:space="0" w:color="auto"/>
                            <w:right w:val="none" w:sz="0" w:space="0" w:color="auto"/>
                          </w:divBdr>
                          <w:divsChild>
                            <w:div w:id="1379207623">
                              <w:marLeft w:val="0"/>
                              <w:marRight w:val="0"/>
                              <w:marTop w:val="120"/>
                              <w:marBottom w:val="360"/>
                              <w:divBdr>
                                <w:top w:val="none" w:sz="0" w:space="0" w:color="auto"/>
                                <w:left w:val="none" w:sz="0" w:space="0" w:color="auto"/>
                                <w:bottom w:val="none" w:sz="0" w:space="0" w:color="auto"/>
                                <w:right w:val="none" w:sz="0" w:space="0" w:color="auto"/>
                              </w:divBdr>
                              <w:divsChild>
                                <w:div w:id="1837303580">
                                  <w:marLeft w:val="0"/>
                                  <w:marRight w:val="0"/>
                                  <w:marTop w:val="0"/>
                                  <w:marBottom w:val="0"/>
                                  <w:divBdr>
                                    <w:top w:val="none" w:sz="0" w:space="0" w:color="auto"/>
                                    <w:left w:val="none" w:sz="0" w:space="0" w:color="auto"/>
                                    <w:bottom w:val="none" w:sz="0" w:space="0" w:color="auto"/>
                                    <w:right w:val="none" w:sz="0" w:space="0" w:color="auto"/>
                                  </w:divBdr>
                                </w:div>
                                <w:div w:id="129899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97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image" Target="media/image9.emf"/><Relationship Id="rId39" Type="http://schemas.openxmlformats.org/officeDocument/2006/relationships/image" Target="media/image14.emf"/><Relationship Id="rId21" Type="http://schemas.openxmlformats.org/officeDocument/2006/relationships/image" Target="media/image4.png"/><Relationship Id="rId34" Type="http://schemas.openxmlformats.org/officeDocument/2006/relationships/hyperlink" Target="docubridge://open/Id=F1c0d11946c374bd3b777f5c85cd2c704&amp;NodeId=N9932a528b80c439d8e47d8bf5b86df5c&amp;Page=0" TargetMode="External"/><Relationship Id="rId42" Type="http://schemas.openxmlformats.org/officeDocument/2006/relationships/image" Target="media/image17.emf"/><Relationship Id="rId47" Type="http://schemas.openxmlformats.org/officeDocument/2006/relationships/header" Target="header4.xml"/><Relationship Id="rId50" Type="http://schemas.openxmlformats.org/officeDocument/2006/relationships/hyperlink" Target="mailto:info@tga.gov.au" TargetMode="External"/><Relationship Id="rId55" Type="http://schemas.openxmlformats.org/officeDocument/2006/relationships/header" Target="header8.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8.emf"/><Relationship Id="rId33" Type="http://schemas.openxmlformats.org/officeDocument/2006/relationships/hyperlink" Target="docubridge://open/Id=F1c0d11946c374bd3b777f5c85cd2c704&amp;NodeId=N1a77e5898e4640c9a95a4b4ad77857b0&amp;Page=0" TargetMode="External"/><Relationship Id="rId38" Type="http://schemas.openxmlformats.org/officeDocument/2006/relationships/hyperlink" Target="docubridge://open/Id=F03e18bca876e47799fe2182d7428a8bd&amp;NodeId=Nb46e924eb546425f81c1dee18db6244a&amp;Page=0" TargetMode="External"/><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3.png"/><Relationship Id="rId29" Type="http://schemas.openxmlformats.org/officeDocument/2006/relationships/image" Target="media/image12.emf"/><Relationship Id="rId41" Type="http://schemas.openxmlformats.org/officeDocument/2006/relationships/image" Target="media/image16.emf"/><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emf"/><Relationship Id="rId32" Type="http://schemas.openxmlformats.org/officeDocument/2006/relationships/hyperlink" Target="docubridge://open/Id=Fcd114a35bd0c4b9f82554824cc50b351&amp;NodeId=N1a77e5898e4640c9a95a4b4ad77857b0&amp;Page=0" TargetMode="External"/><Relationship Id="rId37" Type="http://schemas.openxmlformats.org/officeDocument/2006/relationships/hyperlink" Target="docubridge://open/Id=F03e18bca876e47799fe2182d7428a8bd&amp;NodeId=Nf7b6958a2b234932ac67c0659f0b0d06&amp;Page=0" TargetMode="External"/><Relationship Id="rId40" Type="http://schemas.openxmlformats.org/officeDocument/2006/relationships/image" Target="media/image15.emf"/><Relationship Id="rId45" Type="http://schemas.openxmlformats.org/officeDocument/2006/relationships/hyperlink" Target="https://www.tga.gov.au/product-information-pi" TargetMode="External"/><Relationship Id="rId53" Type="http://schemas.openxmlformats.org/officeDocument/2006/relationships/header" Target="header7.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tga.copyright@tga.gov.au" TargetMode="Externa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hyperlink" Target="docubridge://open/Id=F761d4b43e0424586b4c0fe2154812d56&amp;NodeId=Nb46e924eb546425f81c1dee18db6244a&amp;Page=0" TargetMode="External"/><Relationship Id="rId49" Type="http://schemas.openxmlformats.org/officeDocument/2006/relationships/footer" Target="footer2.xml"/><Relationship Id="rId57"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https://www.tga.gov.au/product-information-pi" TargetMode="External"/><Relationship Id="rId31" Type="http://schemas.openxmlformats.org/officeDocument/2006/relationships/hyperlink" Target="docubridge://open/Id=Fcd114a35bd0c4b9f82554824cc50b351&amp;NodeId=N9932a528b80c439d8e47d8bf5b86df5c&amp;Page=0" TargetMode="External"/><Relationship Id="rId44" Type="http://schemas.openxmlformats.org/officeDocument/2006/relationships/image" Target="media/image19.emf"/><Relationship Id="rId52" Type="http://schemas.openxmlformats.org/officeDocument/2006/relationships/header" Target="header6.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www.tga.gov.au" TargetMode="Externa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hyperlink" Target="docubridge://open/Id=F761d4b43e0424586b4c0fe2154812d56&amp;NodeId=Nf7b6958a2b234932ac67c0659f0b0d06&amp;Page=1" TargetMode="External"/><Relationship Id="rId43" Type="http://schemas.openxmlformats.org/officeDocument/2006/relationships/image" Target="media/image18.emf"/><Relationship Id="rId48" Type="http://schemas.openxmlformats.org/officeDocument/2006/relationships/header" Target="header5.xml"/><Relationship Id="rId56" Type="http://schemas.openxmlformats.org/officeDocument/2006/relationships/footer" Target="footer4.xml"/><Relationship Id="rId8" Type="http://schemas.openxmlformats.org/officeDocument/2006/relationships/styles" Target="styles.xml"/><Relationship Id="rId51" Type="http://schemas.openxmlformats.org/officeDocument/2006/relationships/hyperlink" Target="https://www.tga.gov.au" TargetMode="Externa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3520\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scription0 xmlns="9db20a44-376d-4c97-8d2b-88532430f6d7" xsi:nil="true"/>
    <_dlc_DocId xmlns="d353fcf7-205b-40c5-a3af-4cf3a5e9c355">EFYCX3CDVRKR-1794191079-170521</_dlc_DocId>
    <_dlc_DocIdUrl xmlns="d353fcf7-205b-40c5-a3af-4cf3a5e9c355">
      <Url>http://spapp.merck.com/sites/ANZMarket/REGAFF/_layouts/DocIdRedir.aspx?ID=EFYCX3CDVRKR-1794191079-170521</Url>
      <Description>EFYCX3CDVRKR-1794191079-170521</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2E7E68ACC01DE46BAB8D5F65BAC05EC" ma:contentTypeVersion="1" ma:contentTypeDescription="Create a new document." ma:contentTypeScope="" ma:versionID="bb3ea9ee07c508757d50ee6b508bcde9">
  <xsd:schema xmlns:xsd="http://www.w3.org/2001/XMLSchema" xmlns:xs="http://www.w3.org/2001/XMLSchema" xmlns:p="http://schemas.microsoft.com/office/2006/metadata/properties" xmlns:ns2="d353fcf7-205b-40c5-a3af-4cf3a5e9c355" xmlns:ns3="9db20a44-376d-4c97-8d2b-88532430f6d7" targetNamespace="http://schemas.microsoft.com/office/2006/metadata/properties" ma:root="true" ma:fieldsID="f0e2eda1c908dcc4eb356f3cd77ebf05" ns2:_="" ns3:_="">
    <xsd:import namespace="d353fcf7-205b-40c5-a3af-4cf3a5e9c355"/>
    <xsd:import namespace="9db20a44-376d-4c97-8d2b-88532430f6d7"/>
    <xsd:element name="properties">
      <xsd:complexType>
        <xsd:sequence>
          <xsd:element name="documentManagement">
            <xsd:complexType>
              <xsd:all>
                <xsd:element ref="ns2:_dlc_DocId" minOccurs="0"/>
                <xsd:element ref="ns2:_dlc_DocIdUrl" minOccurs="0"/>
                <xsd:element ref="ns2:_dlc_DocIdPersistId" minOccurs="0"/>
                <xsd:element ref="ns3: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53fcf7-205b-40c5-a3af-4cf3a5e9c35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b20a44-376d-4c97-8d2b-88532430f6d7" elementFormDefault="qualified">
    <xsd:import namespace="http://schemas.microsoft.com/office/2006/documentManagement/types"/>
    <xsd:import namespace="http://schemas.microsoft.com/office/infopath/2007/PartnerControls"/>
    <xsd:element name="Description0" ma:index="11" nillable="true" ma:displayName="Description" ma:internalName="Description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isl xmlns:xsi="http://www.w3.org/2001/XMLSchema-instance" xmlns:xsd="http://www.w3.org/2001/XMLSchema" xmlns="http://www.boldonjames.com/2008/01/sie/internal/label" sislVersion="0" policy="a10f9ac0-5937-4b4f-b459-96aedd9ed2c5">
  <element uid="id_classification_euconfidential" value=""/>
  <element uid="cefbaa69-3bfa-4b56-8d22-6839cb7b06d0" value=""/>
</sisl>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887C7-F477-4855-9060-B37D96BABCDE}">
  <ds:schemaRefs>
    <ds:schemaRef ds:uri="http://schemas.microsoft.com/sharepoint/v3/contenttype/forms"/>
  </ds:schemaRefs>
</ds:datastoreItem>
</file>

<file path=customXml/itemProps2.xml><?xml version="1.0" encoding="utf-8"?>
<ds:datastoreItem xmlns:ds="http://schemas.openxmlformats.org/officeDocument/2006/customXml" ds:itemID="{75B0D5A0-40C8-4271-A62F-85D149D01639}">
  <ds:schemaRefs>
    <ds:schemaRef ds:uri="http://schemas.microsoft.com/office/2006/documentManagement/types"/>
    <ds:schemaRef ds:uri="http://schemas.microsoft.com/office/2006/metadata/properties"/>
    <ds:schemaRef ds:uri="http://purl.org/dc/elements/1.1/"/>
    <ds:schemaRef ds:uri="http://purl.org/dc/terms/"/>
    <ds:schemaRef ds:uri="http://www.w3.org/XML/1998/namespace"/>
    <ds:schemaRef ds:uri="http://purl.org/dc/dcmitype/"/>
    <ds:schemaRef ds:uri="d353fcf7-205b-40c5-a3af-4cf3a5e9c355"/>
    <ds:schemaRef ds:uri="http://schemas.openxmlformats.org/package/2006/metadata/core-properties"/>
    <ds:schemaRef ds:uri="http://schemas.microsoft.com/office/infopath/2007/PartnerControls"/>
    <ds:schemaRef ds:uri="9db20a44-376d-4c97-8d2b-88532430f6d7"/>
  </ds:schemaRefs>
</ds:datastoreItem>
</file>

<file path=customXml/itemProps3.xml><?xml version="1.0" encoding="utf-8"?>
<ds:datastoreItem xmlns:ds="http://schemas.openxmlformats.org/officeDocument/2006/customXml" ds:itemID="{F2098023-CA00-464A-A3AC-3CCB4581D701}">
  <ds:schemaRefs>
    <ds:schemaRef ds:uri="http://schemas.microsoft.com/sharepoint/events"/>
  </ds:schemaRefs>
</ds:datastoreItem>
</file>

<file path=customXml/itemProps4.xml><?xml version="1.0" encoding="utf-8"?>
<ds:datastoreItem xmlns:ds="http://schemas.openxmlformats.org/officeDocument/2006/customXml" ds:itemID="{BFC5C339-F0DD-4123-8A6F-24E212692A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53fcf7-205b-40c5-a3af-4cf3a5e9c355"/>
    <ds:schemaRef ds:uri="9db20a44-376d-4c97-8d2b-88532430f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94A10B2-4487-4C54-9DBA-D4DCF2464ACF}">
  <ds:schemaRefs>
    <ds:schemaRef ds:uri="http://www.w3.org/2001/XMLSchema"/>
    <ds:schemaRef ds:uri="http://www.boldonjames.com/2008/01/sie/internal/label"/>
  </ds:schemaRefs>
</ds:datastoreItem>
</file>

<file path=customXml/itemProps6.xml><?xml version="1.0" encoding="utf-8"?>
<ds:datastoreItem xmlns:ds="http://schemas.openxmlformats.org/officeDocument/2006/customXml" ds:itemID="{531EB0F4-DA0E-497F-98A7-41DE535B7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37</TotalTime>
  <Pages>125</Pages>
  <Words>50160</Words>
  <Characters>285916</Characters>
  <Application>Microsoft Office Word</Application>
  <DocSecurity>0</DocSecurity>
  <Lines>2382</Lines>
  <Paragraphs>670</Paragraphs>
  <ScaleCrop>false</ScaleCrop>
  <HeadingPairs>
    <vt:vector size="2" baseType="variant">
      <vt:variant>
        <vt:lpstr>Title</vt:lpstr>
      </vt:variant>
      <vt:variant>
        <vt:i4>1</vt:i4>
      </vt:variant>
    </vt:vector>
  </HeadingPairs>
  <TitlesOfParts>
    <vt:vector size="1" baseType="lpstr">
      <vt:lpstr>Australian Public Assessment Report for Ertugliflozin Ertugliflozin / Sitagliptin Ertugliflozin / Metformin</vt:lpstr>
    </vt:vector>
  </TitlesOfParts>
  <Company>Department of Health Therapeutic Goods Administration</Company>
  <LinksUpToDate>false</LinksUpToDate>
  <CharactersWithSpaces>335406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Ertugliflozin Ertugliflozin / Sitagliptin Ertugliflozin / Metformin</dc:title>
  <dc:subject>prescription medicines</dc:subject>
  <dc:creator>Therapeutic Goods Administration</dc:creator>
  <cp:keywords>AusPAR</cp:keywords>
  <cp:lastPrinted>2019-01-09T00:09:00Z</cp:lastPrinted>
  <dcterms:created xsi:type="dcterms:W3CDTF">2019-03-24T23:01:00Z</dcterms:created>
  <dcterms:modified xsi:type="dcterms:W3CDTF">2019-03-25T00:30:00Z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0x01010052E7E68ACC01DE46BAB8D5F65BAC05EC</vt:lpwstr>
  </property>
  <property fmtid="{D5CDD505-2E9C-101B-9397-08002B2CF9AE}" pid="3" name="docIndexRef">
    <vt:lpwstr>dd9e65f1-7f52-462b-b062-0b270e8749d5</vt:lpwstr>
  </property>
  <property fmtid="{D5CDD505-2E9C-101B-9397-08002B2CF9AE}" pid="4" name="bjSaver">
    <vt:lpwstr>5KV9JMxkqbuRi6BWM/RMlmYrvO2YyEHd</vt:lpwstr>
  </property>
  <property fmtid="{D5CDD505-2E9C-101B-9397-08002B2CF9AE}" pid="5" name="bjDocumentLabelXML">
    <vt:lpwstr>&lt;?xml version="1.0" encoding="us-ascii"?&gt;&lt;sisl xmlns:xsi="http://www.w3.org/2001/XMLSchema-instance" xmlns:xsd="http://www.w3.org/2001/XMLSchema" sislVersion="0" policy="a10f9ac0-5937-4b4f-b459-96aedd9ed2c5" xmlns="http://www.boldonjames.com/2008/01/sie/i</vt:lpwstr>
  </property>
  <property fmtid="{D5CDD505-2E9C-101B-9397-08002B2CF9AE}" pid="6" name="bjDocumentLabelXML-0">
    <vt:lpwstr>nternal/label"&gt;&lt;element uid="id_classification_euconfidential" value="" /&gt;&lt;element uid="cefbaa69-3bfa-4b56-8d22-6839cb7b06d0" value="" /&gt;&lt;/sisl&gt;</vt:lpwstr>
  </property>
  <property fmtid="{D5CDD505-2E9C-101B-9397-08002B2CF9AE}" pid="7" name="bjDocumentSecurityLabel">
    <vt:lpwstr>Proprietary</vt:lpwstr>
  </property>
  <property fmtid="{D5CDD505-2E9C-101B-9397-08002B2CF9AE}" pid="8" name="MerckMetadataExchange">
    <vt:lpwstr>!$MRK@Proprietary-Footer-Left</vt:lpwstr>
  </property>
  <property fmtid="{D5CDD505-2E9C-101B-9397-08002B2CF9AE}" pid="9" name="_dlc_DocIdItemGuid">
    <vt:lpwstr>00cc3d46-e98d-4163-a7bb-a89d8e397a8e</vt:lpwstr>
  </property>
</Properties>
</file>