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9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29"/>
      </w:tblGrid>
      <w:tr w:rsidR="008E7846" w:rsidRPr="00487162" w:rsidTr="002E5CF1">
        <w:trPr>
          <w:trHeight w:val="1671"/>
        </w:trPr>
        <w:tc>
          <w:tcPr>
            <w:tcW w:w="9429" w:type="dxa"/>
            <w:tcBorders>
              <w:top w:val="nil"/>
              <w:left w:val="nil"/>
              <w:bottom w:val="nil"/>
              <w:right w:val="nil"/>
            </w:tcBorders>
          </w:tcPr>
          <w:p w:rsidR="002E5CF1" w:rsidRPr="005274AD" w:rsidRDefault="002E5CF1" w:rsidP="002E5CF1">
            <w:pPr>
              <w:rPr>
                <w:rFonts w:ascii="Arial" w:hAnsi="Arial" w:cs="Arial"/>
                <w:b/>
                <w:color w:val="002C47"/>
                <w:sz w:val="28"/>
                <w:szCs w:val="28"/>
              </w:rPr>
            </w:pPr>
            <w:r w:rsidRPr="005274AD">
              <w:rPr>
                <w:rFonts w:ascii="Arial" w:hAnsi="Arial" w:cs="Arial"/>
                <w:b/>
                <w:color w:val="002C47"/>
                <w:sz w:val="28"/>
                <w:szCs w:val="28"/>
              </w:rPr>
              <w:t>Date of first round report:</w:t>
            </w:r>
            <w:r>
              <w:rPr>
                <w:rFonts w:ascii="Arial" w:hAnsi="Arial" w:cs="Arial"/>
                <w:b/>
                <w:color w:val="002C47"/>
                <w:sz w:val="28"/>
                <w:szCs w:val="28"/>
              </w:rPr>
              <w:t xml:space="preserve"> 14 September 2017</w:t>
            </w:r>
          </w:p>
          <w:p w:rsidR="008E7846" w:rsidRPr="0017078F" w:rsidRDefault="002E5CF1" w:rsidP="00E70129">
            <w:pPr>
              <w:rPr>
                <w:rFonts w:ascii="Arial" w:hAnsi="Arial" w:cs="Arial"/>
                <w:b/>
                <w:color w:val="002C47"/>
                <w:sz w:val="36"/>
                <w:szCs w:val="36"/>
              </w:rPr>
            </w:pPr>
            <w:r w:rsidRPr="005274AD">
              <w:rPr>
                <w:rFonts w:ascii="Arial" w:hAnsi="Arial" w:cs="Arial"/>
                <w:b/>
                <w:color w:val="002C47"/>
                <w:sz w:val="28"/>
                <w:szCs w:val="28"/>
              </w:rPr>
              <w:t>Date of second round report:</w:t>
            </w:r>
            <w:r>
              <w:rPr>
                <w:rFonts w:ascii="Arial" w:hAnsi="Arial" w:cs="Arial"/>
                <w:b/>
                <w:color w:val="002C47"/>
                <w:sz w:val="28"/>
                <w:szCs w:val="28"/>
              </w:rPr>
              <w:t xml:space="preserve"> </w:t>
            </w:r>
            <w:r w:rsidRPr="00127720">
              <w:rPr>
                <w:rFonts w:ascii="Arial" w:hAnsi="Arial" w:cs="Arial"/>
                <w:b/>
                <w:color w:val="002C47"/>
                <w:sz w:val="28"/>
                <w:szCs w:val="28"/>
              </w:rPr>
              <w:t>1</w:t>
            </w:r>
            <w:r>
              <w:rPr>
                <w:rFonts w:ascii="Arial" w:hAnsi="Arial" w:cs="Arial"/>
                <w:b/>
                <w:color w:val="002C47"/>
                <w:sz w:val="28"/>
                <w:szCs w:val="28"/>
              </w:rPr>
              <w:t>8</w:t>
            </w:r>
            <w:r w:rsidRPr="00127720">
              <w:rPr>
                <w:rFonts w:ascii="Arial" w:hAnsi="Arial" w:cs="Arial"/>
                <w:b/>
                <w:color w:val="002C47"/>
                <w:sz w:val="28"/>
                <w:szCs w:val="28"/>
              </w:rPr>
              <w:t xml:space="preserve"> January 2018</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2E5CF1">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2E5CF1" w:rsidRPr="002E5CF1">
              <w:rPr>
                <w:color w:val="FFFFFF" w:themeColor="background1"/>
              </w:rPr>
              <w:t>Ertugliflozin</w:t>
            </w:r>
          </w:p>
        </w:tc>
      </w:tr>
      <w:tr w:rsidR="00E07F15" w:rsidRPr="00B64760" w:rsidTr="00E07F15">
        <w:tc>
          <w:tcPr>
            <w:tcW w:w="9079" w:type="dxa"/>
          </w:tcPr>
          <w:p w:rsidR="00E07F15" w:rsidRPr="008E7846" w:rsidRDefault="00E07F15" w:rsidP="002E5CF1">
            <w:pPr>
              <w:pStyle w:val="Subtitle"/>
              <w:rPr>
                <w:color w:val="FFFFFF" w:themeColor="background1"/>
              </w:rPr>
            </w:pPr>
            <w:r w:rsidRPr="008E7846">
              <w:rPr>
                <w:color w:val="FFFFFF" w:themeColor="background1"/>
              </w:rPr>
              <w:t xml:space="preserve">Proprietary Product Name: </w:t>
            </w:r>
            <w:r w:rsidR="002E5CF1">
              <w:rPr>
                <w:color w:val="FFFFFF" w:themeColor="background1"/>
              </w:rPr>
              <w:t>Steglatro</w:t>
            </w:r>
          </w:p>
        </w:tc>
      </w:tr>
      <w:tr w:rsidR="00E07F15" w:rsidRPr="00B64760" w:rsidTr="00E07F15">
        <w:trPr>
          <w:trHeight w:val="486"/>
        </w:trPr>
        <w:tc>
          <w:tcPr>
            <w:tcW w:w="9079" w:type="dxa"/>
          </w:tcPr>
          <w:p w:rsidR="00E07F15" w:rsidRPr="008E7846" w:rsidRDefault="002E5CF1" w:rsidP="002E5CF1">
            <w:pPr>
              <w:pStyle w:val="Subtitle"/>
              <w:rPr>
                <w:color w:val="FFFFFF" w:themeColor="background1"/>
              </w:rPr>
            </w:pPr>
            <w:r w:rsidRPr="002E5CF1">
              <w:rPr>
                <w:color w:val="FFFFFF" w:themeColor="background1"/>
              </w:rPr>
              <w:t>Sponsor: Merck Sharpe and Dohme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606E10">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606E10">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606E10">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606E10">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606E10">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 xml:space="preserve">The words </w:t>
      </w:r>
      <w:r w:rsidR="00424310">
        <w:t>(</w:t>
      </w:r>
      <w:r w:rsidRPr="003D0A3B">
        <w:t>Information redacted</w:t>
      </w:r>
      <w:r w:rsidR="00424310">
        <w:t>)</w:t>
      </w:r>
      <w:r w:rsidRPr="003D0A3B">
        <w:t>,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2E5CF1">
      <w:pPr>
        <w:pStyle w:val="LegalSubheading"/>
        <w:spacing w:before="408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803C18">
        <w:rPr>
          <w:rFonts w:cs="Arial"/>
          <w:lang w:val="en-GB"/>
        </w:rPr>
        <w:t>9</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Cs/>
          <w:sz w:val="22"/>
        </w:rPr>
        <w:id w:val="5618007"/>
        <w:docPartObj>
          <w:docPartGallery w:val="Table of Contents"/>
          <w:docPartUnique/>
        </w:docPartObj>
      </w:sdtPr>
      <w:sdtEndPr>
        <w:rPr>
          <w:bCs w:val="0"/>
          <w:sz w:val="25"/>
        </w:rPr>
      </w:sdtEndPr>
      <w:sdtContent>
        <w:p w:rsidR="0089635C" w:rsidRPr="0089635C" w:rsidRDefault="0089635C" w:rsidP="00943D71">
          <w:pPr>
            <w:pStyle w:val="Contents"/>
          </w:pPr>
          <w:r w:rsidRPr="0010788A">
            <w:t>Cont</w:t>
          </w:r>
          <w:bookmarkStart w:id="2" w:name="_GoBack"/>
          <w:bookmarkEnd w:id="2"/>
          <w:r w:rsidRPr="0010788A">
            <w:t>ents</w:t>
          </w:r>
        </w:p>
        <w:p w:rsidR="003A20A2"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489173" w:history="1">
            <w:r w:rsidR="003A20A2" w:rsidRPr="007E7D02">
              <w:rPr>
                <w:rStyle w:val="Hyperlink"/>
                <w:noProof/>
              </w:rPr>
              <w:t>List of common abbreviations</w:t>
            </w:r>
            <w:r w:rsidR="003A20A2">
              <w:rPr>
                <w:noProof/>
                <w:webHidden/>
              </w:rPr>
              <w:tab/>
            </w:r>
            <w:r w:rsidR="003A20A2">
              <w:rPr>
                <w:noProof/>
                <w:webHidden/>
              </w:rPr>
              <w:fldChar w:fldCharType="begin"/>
            </w:r>
            <w:r w:rsidR="003A20A2">
              <w:rPr>
                <w:noProof/>
                <w:webHidden/>
              </w:rPr>
              <w:instrText xml:space="preserve"> PAGEREF _Toc4489173 \h </w:instrText>
            </w:r>
            <w:r w:rsidR="003A20A2">
              <w:rPr>
                <w:noProof/>
                <w:webHidden/>
              </w:rPr>
            </w:r>
            <w:r w:rsidR="003A20A2">
              <w:rPr>
                <w:noProof/>
                <w:webHidden/>
              </w:rPr>
              <w:fldChar w:fldCharType="separate"/>
            </w:r>
            <w:r w:rsidR="003A20A2">
              <w:rPr>
                <w:noProof/>
                <w:webHidden/>
              </w:rPr>
              <w:t>5</w:t>
            </w:r>
            <w:r w:rsidR="003A20A2">
              <w:rPr>
                <w:noProof/>
                <w:webHidden/>
              </w:rPr>
              <w:fldChar w:fldCharType="end"/>
            </w:r>
          </w:hyperlink>
        </w:p>
        <w:p w:rsidR="003A20A2" w:rsidRDefault="003A20A2">
          <w:pPr>
            <w:pStyle w:val="TOC2"/>
            <w:tabs>
              <w:tab w:val="left" w:pos="1100"/>
            </w:tabs>
            <w:rPr>
              <w:rFonts w:asciiTheme="minorHAnsi" w:eastAsiaTheme="minorEastAsia" w:hAnsiTheme="minorHAnsi" w:cstheme="minorBidi"/>
              <w:b w:val="0"/>
              <w:noProof/>
              <w:sz w:val="22"/>
              <w:lang w:eastAsia="en-AU"/>
            </w:rPr>
          </w:pPr>
          <w:hyperlink w:anchor="_Toc4489174" w:history="1">
            <w:r w:rsidRPr="007E7D02">
              <w:rPr>
                <w:rStyle w:val="Hyperlink"/>
                <w:noProof/>
              </w:rPr>
              <w:t>1.</w:t>
            </w:r>
            <w:r>
              <w:rPr>
                <w:rFonts w:asciiTheme="minorHAnsi" w:eastAsiaTheme="minorEastAsia" w:hAnsiTheme="minorHAnsi" w:cstheme="minorBidi"/>
                <w:b w:val="0"/>
                <w:noProof/>
                <w:sz w:val="22"/>
                <w:lang w:eastAsia="en-AU"/>
              </w:rPr>
              <w:tab/>
            </w:r>
            <w:r w:rsidRPr="007E7D02">
              <w:rPr>
                <w:rStyle w:val="Hyperlink"/>
                <w:noProof/>
              </w:rPr>
              <w:t>Submission details</w:t>
            </w:r>
            <w:r>
              <w:rPr>
                <w:noProof/>
                <w:webHidden/>
              </w:rPr>
              <w:tab/>
            </w:r>
            <w:r>
              <w:rPr>
                <w:noProof/>
                <w:webHidden/>
              </w:rPr>
              <w:fldChar w:fldCharType="begin"/>
            </w:r>
            <w:r>
              <w:rPr>
                <w:noProof/>
                <w:webHidden/>
              </w:rPr>
              <w:instrText xml:space="preserve"> PAGEREF _Toc4489174 \h </w:instrText>
            </w:r>
            <w:r>
              <w:rPr>
                <w:noProof/>
                <w:webHidden/>
              </w:rPr>
            </w:r>
            <w:r>
              <w:rPr>
                <w:noProof/>
                <w:webHidden/>
              </w:rPr>
              <w:fldChar w:fldCharType="separate"/>
            </w:r>
            <w:r>
              <w:rPr>
                <w:noProof/>
                <w:webHidden/>
              </w:rPr>
              <w:t>10</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75" w:history="1">
            <w:r w:rsidRPr="007E7D02">
              <w:rPr>
                <w:rStyle w:val="Hyperlink"/>
                <w:noProof/>
              </w:rPr>
              <w:t>1.1.</w:t>
            </w:r>
            <w:r>
              <w:rPr>
                <w:rFonts w:asciiTheme="minorHAnsi" w:eastAsiaTheme="minorEastAsia" w:hAnsiTheme="minorHAnsi" w:cstheme="minorBidi"/>
                <w:noProof/>
                <w:lang w:eastAsia="en-AU"/>
              </w:rPr>
              <w:tab/>
            </w:r>
            <w:r w:rsidRPr="007E7D02">
              <w:rPr>
                <w:rStyle w:val="Hyperlink"/>
                <w:noProof/>
              </w:rPr>
              <w:t>Submission Type</w:t>
            </w:r>
            <w:r>
              <w:rPr>
                <w:noProof/>
                <w:webHidden/>
              </w:rPr>
              <w:tab/>
            </w:r>
            <w:r>
              <w:rPr>
                <w:noProof/>
                <w:webHidden/>
              </w:rPr>
              <w:fldChar w:fldCharType="begin"/>
            </w:r>
            <w:r>
              <w:rPr>
                <w:noProof/>
                <w:webHidden/>
              </w:rPr>
              <w:instrText xml:space="preserve"> PAGEREF _Toc4489175 \h </w:instrText>
            </w:r>
            <w:r>
              <w:rPr>
                <w:noProof/>
                <w:webHidden/>
              </w:rPr>
            </w:r>
            <w:r>
              <w:rPr>
                <w:noProof/>
                <w:webHidden/>
              </w:rPr>
              <w:fldChar w:fldCharType="separate"/>
            </w:r>
            <w:r>
              <w:rPr>
                <w:noProof/>
                <w:webHidden/>
              </w:rPr>
              <w:t>10</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76" w:history="1">
            <w:r w:rsidRPr="007E7D02">
              <w:rPr>
                <w:rStyle w:val="Hyperlink"/>
                <w:noProof/>
              </w:rPr>
              <w:t>1.2.</w:t>
            </w:r>
            <w:r>
              <w:rPr>
                <w:rFonts w:asciiTheme="minorHAnsi" w:eastAsiaTheme="minorEastAsia" w:hAnsiTheme="minorHAnsi" w:cstheme="minorBidi"/>
                <w:noProof/>
                <w:lang w:eastAsia="en-AU"/>
              </w:rPr>
              <w:tab/>
            </w:r>
            <w:r w:rsidRPr="007E7D02">
              <w:rPr>
                <w:rStyle w:val="Hyperlink"/>
                <w:noProof/>
              </w:rPr>
              <w:t>Drug class and therapeutic indication</w:t>
            </w:r>
            <w:r>
              <w:rPr>
                <w:noProof/>
                <w:webHidden/>
              </w:rPr>
              <w:tab/>
            </w:r>
            <w:r>
              <w:rPr>
                <w:noProof/>
                <w:webHidden/>
              </w:rPr>
              <w:fldChar w:fldCharType="begin"/>
            </w:r>
            <w:r>
              <w:rPr>
                <w:noProof/>
                <w:webHidden/>
              </w:rPr>
              <w:instrText xml:space="preserve"> PAGEREF _Toc4489176 \h </w:instrText>
            </w:r>
            <w:r>
              <w:rPr>
                <w:noProof/>
                <w:webHidden/>
              </w:rPr>
            </w:r>
            <w:r>
              <w:rPr>
                <w:noProof/>
                <w:webHidden/>
              </w:rPr>
              <w:fldChar w:fldCharType="separate"/>
            </w:r>
            <w:r>
              <w:rPr>
                <w:noProof/>
                <w:webHidden/>
              </w:rPr>
              <w:t>10</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77" w:history="1">
            <w:r w:rsidRPr="007E7D02">
              <w:rPr>
                <w:rStyle w:val="Hyperlink"/>
                <w:noProof/>
              </w:rPr>
              <w:t>1.3.</w:t>
            </w:r>
            <w:r>
              <w:rPr>
                <w:rFonts w:asciiTheme="minorHAnsi" w:eastAsiaTheme="minorEastAsia" w:hAnsiTheme="minorHAnsi" w:cstheme="minorBidi"/>
                <w:noProof/>
                <w:lang w:eastAsia="en-AU"/>
              </w:rPr>
              <w:tab/>
            </w:r>
            <w:r w:rsidRPr="007E7D02">
              <w:rPr>
                <w:rStyle w:val="Hyperlink"/>
                <w:noProof/>
              </w:rPr>
              <w:t>Dosage forms and strengths</w:t>
            </w:r>
            <w:r>
              <w:rPr>
                <w:noProof/>
                <w:webHidden/>
              </w:rPr>
              <w:tab/>
            </w:r>
            <w:r>
              <w:rPr>
                <w:noProof/>
                <w:webHidden/>
              </w:rPr>
              <w:fldChar w:fldCharType="begin"/>
            </w:r>
            <w:r>
              <w:rPr>
                <w:noProof/>
                <w:webHidden/>
              </w:rPr>
              <w:instrText xml:space="preserve"> PAGEREF _Toc4489177 \h </w:instrText>
            </w:r>
            <w:r>
              <w:rPr>
                <w:noProof/>
                <w:webHidden/>
              </w:rPr>
            </w:r>
            <w:r>
              <w:rPr>
                <w:noProof/>
                <w:webHidden/>
              </w:rPr>
              <w:fldChar w:fldCharType="separate"/>
            </w:r>
            <w:r>
              <w:rPr>
                <w:noProof/>
                <w:webHidden/>
              </w:rPr>
              <w:t>10</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78" w:history="1">
            <w:r w:rsidRPr="007E7D02">
              <w:rPr>
                <w:rStyle w:val="Hyperlink"/>
                <w:noProof/>
              </w:rPr>
              <w:t>1.4.</w:t>
            </w:r>
            <w:r>
              <w:rPr>
                <w:rFonts w:asciiTheme="minorHAnsi" w:eastAsiaTheme="minorEastAsia" w:hAnsiTheme="minorHAnsi" w:cstheme="minorBidi"/>
                <w:noProof/>
                <w:lang w:eastAsia="en-AU"/>
              </w:rPr>
              <w:tab/>
            </w:r>
            <w:r w:rsidRPr="007E7D02">
              <w:rPr>
                <w:rStyle w:val="Hyperlink"/>
                <w:noProof/>
              </w:rPr>
              <w:t>Dosage and administration</w:t>
            </w:r>
            <w:r>
              <w:rPr>
                <w:noProof/>
                <w:webHidden/>
              </w:rPr>
              <w:tab/>
            </w:r>
            <w:r>
              <w:rPr>
                <w:noProof/>
                <w:webHidden/>
              </w:rPr>
              <w:fldChar w:fldCharType="begin"/>
            </w:r>
            <w:r>
              <w:rPr>
                <w:noProof/>
                <w:webHidden/>
              </w:rPr>
              <w:instrText xml:space="preserve"> PAGEREF _Toc4489178 \h </w:instrText>
            </w:r>
            <w:r>
              <w:rPr>
                <w:noProof/>
                <w:webHidden/>
              </w:rPr>
            </w:r>
            <w:r>
              <w:rPr>
                <w:noProof/>
                <w:webHidden/>
              </w:rPr>
              <w:fldChar w:fldCharType="separate"/>
            </w:r>
            <w:r>
              <w:rPr>
                <w:noProof/>
                <w:webHidden/>
              </w:rPr>
              <w:t>10</w:t>
            </w:r>
            <w:r>
              <w:rPr>
                <w:noProof/>
                <w:webHidden/>
              </w:rPr>
              <w:fldChar w:fldCharType="end"/>
            </w:r>
          </w:hyperlink>
        </w:p>
        <w:p w:rsidR="003A20A2" w:rsidRDefault="003A20A2">
          <w:pPr>
            <w:pStyle w:val="TOC2"/>
            <w:tabs>
              <w:tab w:val="left" w:pos="1100"/>
            </w:tabs>
            <w:rPr>
              <w:rFonts w:asciiTheme="minorHAnsi" w:eastAsiaTheme="minorEastAsia" w:hAnsiTheme="minorHAnsi" w:cstheme="minorBidi"/>
              <w:b w:val="0"/>
              <w:noProof/>
              <w:sz w:val="22"/>
              <w:lang w:eastAsia="en-AU"/>
            </w:rPr>
          </w:pPr>
          <w:hyperlink w:anchor="_Toc4489179" w:history="1">
            <w:r w:rsidRPr="007E7D02">
              <w:rPr>
                <w:rStyle w:val="Hyperlink"/>
                <w:noProof/>
              </w:rPr>
              <w:t>2.</w:t>
            </w:r>
            <w:r>
              <w:rPr>
                <w:rFonts w:asciiTheme="minorHAnsi" w:eastAsiaTheme="minorEastAsia" w:hAnsiTheme="minorHAnsi" w:cstheme="minorBidi"/>
                <w:b w:val="0"/>
                <w:noProof/>
                <w:sz w:val="22"/>
                <w:lang w:eastAsia="en-AU"/>
              </w:rPr>
              <w:tab/>
            </w:r>
            <w:r w:rsidRPr="007E7D02">
              <w:rPr>
                <w:rStyle w:val="Hyperlink"/>
                <w:noProof/>
              </w:rPr>
              <w:t>Background</w:t>
            </w:r>
            <w:r>
              <w:rPr>
                <w:noProof/>
                <w:webHidden/>
              </w:rPr>
              <w:tab/>
            </w:r>
            <w:r>
              <w:rPr>
                <w:noProof/>
                <w:webHidden/>
              </w:rPr>
              <w:fldChar w:fldCharType="begin"/>
            </w:r>
            <w:r>
              <w:rPr>
                <w:noProof/>
                <w:webHidden/>
              </w:rPr>
              <w:instrText xml:space="preserve"> PAGEREF _Toc4489179 \h </w:instrText>
            </w:r>
            <w:r>
              <w:rPr>
                <w:noProof/>
                <w:webHidden/>
              </w:rPr>
            </w:r>
            <w:r>
              <w:rPr>
                <w:noProof/>
                <w:webHidden/>
              </w:rPr>
              <w:fldChar w:fldCharType="separate"/>
            </w:r>
            <w:r>
              <w:rPr>
                <w:noProof/>
                <w:webHidden/>
              </w:rPr>
              <w:t>11</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80" w:history="1">
            <w:r w:rsidRPr="007E7D02">
              <w:rPr>
                <w:rStyle w:val="Hyperlink"/>
                <w:noProof/>
              </w:rPr>
              <w:t>2.1.</w:t>
            </w:r>
            <w:r>
              <w:rPr>
                <w:rFonts w:asciiTheme="minorHAnsi" w:eastAsiaTheme="minorEastAsia" w:hAnsiTheme="minorHAnsi" w:cstheme="minorBidi"/>
                <w:noProof/>
                <w:lang w:eastAsia="en-AU"/>
              </w:rPr>
              <w:tab/>
            </w:r>
            <w:r w:rsidRPr="007E7D02">
              <w:rPr>
                <w:rStyle w:val="Hyperlink"/>
                <w:noProof/>
              </w:rPr>
              <w:t>Information on the condition being treated</w:t>
            </w:r>
            <w:r>
              <w:rPr>
                <w:noProof/>
                <w:webHidden/>
              </w:rPr>
              <w:tab/>
            </w:r>
            <w:r>
              <w:rPr>
                <w:noProof/>
                <w:webHidden/>
              </w:rPr>
              <w:fldChar w:fldCharType="begin"/>
            </w:r>
            <w:r>
              <w:rPr>
                <w:noProof/>
                <w:webHidden/>
              </w:rPr>
              <w:instrText xml:space="preserve"> PAGEREF _Toc4489180 \h </w:instrText>
            </w:r>
            <w:r>
              <w:rPr>
                <w:noProof/>
                <w:webHidden/>
              </w:rPr>
            </w:r>
            <w:r>
              <w:rPr>
                <w:noProof/>
                <w:webHidden/>
              </w:rPr>
              <w:fldChar w:fldCharType="separate"/>
            </w:r>
            <w:r>
              <w:rPr>
                <w:noProof/>
                <w:webHidden/>
              </w:rPr>
              <w:t>11</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81" w:history="1">
            <w:r w:rsidRPr="007E7D02">
              <w:rPr>
                <w:rStyle w:val="Hyperlink"/>
                <w:noProof/>
              </w:rPr>
              <w:t>2.2.</w:t>
            </w:r>
            <w:r>
              <w:rPr>
                <w:rFonts w:asciiTheme="minorHAnsi" w:eastAsiaTheme="minorEastAsia" w:hAnsiTheme="minorHAnsi" w:cstheme="minorBidi"/>
                <w:noProof/>
                <w:lang w:eastAsia="en-AU"/>
              </w:rPr>
              <w:tab/>
            </w:r>
            <w:r w:rsidRPr="007E7D02">
              <w:rPr>
                <w:rStyle w:val="Hyperlink"/>
                <w:noProof/>
              </w:rPr>
              <w:t>Current treatment options</w:t>
            </w:r>
            <w:r>
              <w:rPr>
                <w:noProof/>
                <w:webHidden/>
              </w:rPr>
              <w:tab/>
            </w:r>
            <w:r>
              <w:rPr>
                <w:noProof/>
                <w:webHidden/>
              </w:rPr>
              <w:fldChar w:fldCharType="begin"/>
            </w:r>
            <w:r>
              <w:rPr>
                <w:noProof/>
                <w:webHidden/>
              </w:rPr>
              <w:instrText xml:space="preserve"> PAGEREF _Toc4489181 \h </w:instrText>
            </w:r>
            <w:r>
              <w:rPr>
                <w:noProof/>
                <w:webHidden/>
              </w:rPr>
            </w:r>
            <w:r>
              <w:rPr>
                <w:noProof/>
                <w:webHidden/>
              </w:rPr>
              <w:fldChar w:fldCharType="separate"/>
            </w:r>
            <w:r>
              <w:rPr>
                <w:noProof/>
                <w:webHidden/>
              </w:rPr>
              <w:t>11</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82" w:history="1">
            <w:r w:rsidRPr="007E7D02">
              <w:rPr>
                <w:rStyle w:val="Hyperlink"/>
                <w:noProof/>
              </w:rPr>
              <w:t>2.3.</w:t>
            </w:r>
            <w:r>
              <w:rPr>
                <w:rFonts w:asciiTheme="minorHAnsi" w:eastAsiaTheme="minorEastAsia" w:hAnsiTheme="minorHAnsi" w:cstheme="minorBidi"/>
                <w:noProof/>
                <w:lang w:eastAsia="en-AU"/>
              </w:rPr>
              <w:tab/>
            </w:r>
            <w:r w:rsidRPr="007E7D02">
              <w:rPr>
                <w:rStyle w:val="Hyperlink"/>
                <w:noProof/>
              </w:rPr>
              <w:t>Clinical rationale</w:t>
            </w:r>
            <w:r>
              <w:rPr>
                <w:noProof/>
                <w:webHidden/>
              </w:rPr>
              <w:tab/>
            </w:r>
            <w:r>
              <w:rPr>
                <w:noProof/>
                <w:webHidden/>
              </w:rPr>
              <w:fldChar w:fldCharType="begin"/>
            </w:r>
            <w:r>
              <w:rPr>
                <w:noProof/>
                <w:webHidden/>
              </w:rPr>
              <w:instrText xml:space="preserve"> PAGEREF _Toc4489182 \h </w:instrText>
            </w:r>
            <w:r>
              <w:rPr>
                <w:noProof/>
                <w:webHidden/>
              </w:rPr>
            </w:r>
            <w:r>
              <w:rPr>
                <w:noProof/>
                <w:webHidden/>
              </w:rPr>
              <w:fldChar w:fldCharType="separate"/>
            </w:r>
            <w:r>
              <w:rPr>
                <w:noProof/>
                <w:webHidden/>
              </w:rPr>
              <w:t>12</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83" w:history="1">
            <w:r w:rsidRPr="007E7D02">
              <w:rPr>
                <w:rStyle w:val="Hyperlink"/>
                <w:noProof/>
              </w:rPr>
              <w:t>2.4.</w:t>
            </w:r>
            <w:r>
              <w:rPr>
                <w:rFonts w:asciiTheme="minorHAnsi" w:eastAsiaTheme="minorEastAsia" w:hAnsiTheme="minorHAnsi" w:cstheme="minorBidi"/>
                <w:noProof/>
                <w:lang w:eastAsia="en-AU"/>
              </w:rPr>
              <w:tab/>
            </w:r>
            <w:r w:rsidRPr="007E7D02">
              <w:rPr>
                <w:rStyle w:val="Hyperlink"/>
                <w:noProof/>
              </w:rPr>
              <w:t>Formulation</w:t>
            </w:r>
            <w:r>
              <w:rPr>
                <w:noProof/>
                <w:webHidden/>
              </w:rPr>
              <w:tab/>
            </w:r>
            <w:r>
              <w:rPr>
                <w:noProof/>
                <w:webHidden/>
              </w:rPr>
              <w:fldChar w:fldCharType="begin"/>
            </w:r>
            <w:r>
              <w:rPr>
                <w:noProof/>
                <w:webHidden/>
              </w:rPr>
              <w:instrText xml:space="preserve"> PAGEREF _Toc4489183 \h </w:instrText>
            </w:r>
            <w:r>
              <w:rPr>
                <w:noProof/>
                <w:webHidden/>
              </w:rPr>
            </w:r>
            <w:r>
              <w:rPr>
                <w:noProof/>
                <w:webHidden/>
              </w:rPr>
              <w:fldChar w:fldCharType="separate"/>
            </w:r>
            <w:r>
              <w:rPr>
                <w:noProof/>
                <w:webHidden/>
              </w:rPr>
              <w:t>12</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84" w:history="1">
            <w:r w:rsidRPr="007E7D02">
              <w:rPr>
                <w:rStyle w:val="Hyperlink"/>
                <w:noProof/>
              </w:rPr>
              <w:t>2.5.</w:t>
            </w:r>
            <w:r>
              <w:rPr>
                <w:rFonts w:asciiTheme="minorHAnsi" w:eastAsiaTheme="minorEastAsia" w:hAnsiTheme="minorHAnsi" w:cstheme="minorBidi"/>
                <w:noProof/>
                <w:lang w:eastAsia="en-AU"/>
              </w:rPr>
              <w:tab/>
            </w:r>
            <w:r w:rsidRPr="007E7D02">
              <w:rPr>
                <w:rStyle w:val="Hyperlink"/>
                <w:noProof/>
              </w:rPr>
              <w:t>Related submissions</w:t>
            </w:r>
            <w:r>
              <w:rPr>
                <w:noProof/>
                <w:webHidden/>
              </w:rPr>
              <w:tab/>
            </w:r>
            <w:r>
              <w:rPr>
                <w:noProof/>
                <w:webHidden/>
              </w:rPr>
              <w:fldChar w:fldCharType="begin"/>
            </w:r>
            <w:r>
              <w:rPr>
                <w:noProof/>
                <w:webHidden/>
              </w:rPr>
              <w:instrText xml:space="preserve"> PAGEREF _Toc4489184 \h </w:instrText>
            </w:r>
            <w:r>
              <w:rPr>
                <w:noProof/>
                <w:webHidden/>
              </w:rPr>
            </w:r>
            <w:r>
              <w:rPr>
                <w:noProof/>
                <w:webHidden/>
              </w:rPr>
              <w:fldChar w:fldCharType="separate"/>
            </w:r>
            <w:r>
              <w:rPr>
                <w:noProof/>
                <w:webHidden/>
              </w:rPr>
              <w:t>13</w:t>
            </w:r>
            <w:r>
              <w:rPr>
                <w:noProof/>
                <w:webHidden/>
              </w:rPr>
              <w:fldChar w:fldCharType="end"/>
            </w:r>
          </w:hyperlink>
        </w:p>
        <w:p w:rsidR="003A20A2" w:rsidRDefault="003A20A2">
          <w:pPr>
            <w:pStyle w:val="TOC2"/>
            <w:tabs>
              <w:tab w:val="left" w:pos="1100"/>
            </w:tabs>
            <w:rPr>
              <w:rFonts w:asciiTheme="minorHAnsi" w:eastAsiaTheme="minorEastAsia" w:hAnsiTheme="minorHAnsi" w:cstheme="minorBidi"/>
              <w:b w:val="0"/>
              <w:noProof/>
              <w:sz w:val="22"/>
              <w:lang w:eastAsia="en-AU"/>
            </w:rPr>
          </w:pPr>
          <w:hyperlink w:anchor="_Toc4489185" w:history="1">
            <w:r w:rsidRPr="007E7D02">
              <w:rPr>
                <w:rStyle w:val="Hyperlink"/>
                <w:noProof/>
              </w:rPr>
              <w:t>3.</w:t>
            </w:r>
            <w:r>
              <w:rPr>
                <w:rFonts w:asciiTheme="minorHAnsi" w:eastAsiaTheme="minorEastAsia" w:hAnsiTheme="minorHAnsi" w:cstheme="minorBidi"/>
                <w:b w:val="0"/>
                <w:noProof/>
                <w:sz w:val="22"/>
                <w:lang w:eastAsia="en-AU"/>
              </w:rPr>
              <w:tab/>
            </w:r>
            <w:r w:rsidRPr="007E7D02">
              <w:rPr>
                <w:rStyle w:val="Hyperlink"/>
                <w:noProof/>
              </w:rPr>
              <w:t>Contents of the clinical dossier</w:t>
            </w:r>
            <w:r>
              <w:rPr>
                <w:noProof/>
                <w:webHidden/>
              </w:rPr>
              <w:tab/>
            </w:r>
            <w:r>
              <w:rPr>
                <w:noProof/>
                <w:webHidden/>
              </w:rPr>
              <w:fldChar w:fldCharType="begin"/>
            </w:r>
            <w:r>
              <w:rPr>
                <w:noProof/>
                <w:webHidden/>
              </w:rPr>
              <w:instrText xml:space="preserve"> PAGEREF _Toc4489185 \h </w:instrText>
            </w:r>
            <w:r>
              <w:rPr>
                <w:noProof/>
                <w:webHidden/>
              </w:rPr>
            </w:r>
            <w:r>
              <w:rPr>
                <w:noProof/>
                <w:webHidden/>
              </w:rPr>
              <w:fldChar w:fldCharType="separate"/>
            </w:r>
            <w:r>
              <w:rPr>
                <w:noProof/>
                <w:webHidden/>
              </w:rPr>
              <w:t>13</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86" w:history="1">
            <w:r w:rsidRPr="007E7D02">
              <w:rPr>
                <w:rStyle w:val="Hyperlink"/>
                <w:noProof/>
              </w:rPr>
              <w:t>3.1.</w:t>
            </w:r>
            <w:r>
              <w:rPr>
                <w:rFonts w:asciiTheme="minorHAnsi" w:eastAsiaTheme="minorEastAsia" w:hAnsiTheme="minorHAnsi" w:cstheme="minorBidi"/>
                <w:noProof/>
                <w:lang w:eastAsia="en-AU"/>
              </w:rPr>
              <w:tab/>
            </w:r>
            <w:r w:rsidRPr="007E7D02">
              <w:rPr>
                <w:rStyle w:val="Hyperlink"/>
                <w:noProof/>
              </w:rPr>
              <w:t>Scope of the clinical dossier</w:t>
            </w:r>
            <w:r>
              <w:rPr>
                <w:noProof/>
                <w:webHidden/>
              </w:rPr>
              <w:tab/>
            </w:r>
            <w:r>
              <w:rPr>
                <w:noProof/>
                <w:webHidden/>
              </w:rPr>
              <w:fldChar w:fldCharType="begin"/>
            </w:r>
            <w:r>
              <w:rPr>
                <w:noProof/>
                <w:webHidden/>
              </w:rPr>
              <w:instrText xml:space="preserve"> PAGEREF _Toc4489186 \h </w:instrText>
            </w:r>
            <w:r>
              <w:rPr>
                <w:noProof/>
                <w:webHidden/>
              </w:rPr>
            </w:r>
            <w:r>
              <w:rPr>
                <w:noProof/>
                <w:webHidden/>
              </w:rPr>
              <w:fldChar w:fldCharType="separate"/>
            </w:r>
            <w:r>
              <w:rPr>
                <w:noProof/>
                <w:webHidden/>
              </w:rPr>
              <w:t>13</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87" w:history="1">
            <w:r w:rsidRPr="007E7D02">
              <w:rPr>
                <w:rStyle w:val="Hyperlink"/>
                <w:noProof/>
              </w:rPr>
              <w:t>3.2.</w:t>
            </w:r>
            <w:r>
              <w:rPr>
                <w:rFonts w:asciiTheme="minorHAnsi" w:eastAsiaTheme="minorEastAsia" w:hAnsiTheme="minorHAnsi" w:cstheme="minorBidi"/>
                <w:noProof/>
                <w:lang w:eastAsia="en-AU"/>
              </w:rPr>
              <w:tab/>
            </w:r>
            <w:r w:rsidRPr="007E7D02">
              <w:rPr>
                <w:rStyle w:val="Hyperlink"/>
                <w:noProof/>
              </w:rPr>
              <w:t>Paediatric data</w:t>
            </w:r>
            <w:r>
              <w:rPr>
                <w:noProof/>
                <w:webHidden/>
              </w:rPr>
              <w:tab/>
            </w:r>
            <w:r>
              <w:rPr>
                <w:noProof/>
                <w:webHidden/>
              </w:rPr>
              <w:fldChar w:fldCharType="begin"/>
            </w:r>
            <w:r>
              <w:rPr>
                <w:noProof/>
                <w:webHidden/>
              </w:rPr>
              <w:instrText xml:space="preserve"> PAGEREF _Toc4489187 \h </w:instrText>
            </w:r>
            <w:r>
              <w:rPr>
                <w:noProof/>
                <w:webHidden/>
              </w:rPr>
            </w:r>
            <w:r>
              <w:rPr>
                <w:noProof/>
                <w:webHidden/>
              </w:rPr>
              <w:fldChar w:fldCharType="separate"/>
            </w:r>
            <w:r>
              <w:rPr>
                <w:noProof/>
                <w:webHidden/>
              </w:rPr>
              <w:t>14</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88" w:history="1">
            <w:r w:rsidRPr="007E7D02">
              <w:rPr>
                <w:rStyle w:val="Hyperlink"/>
                <w:noProof/>
              </w:rPr>
              <w:t>3.3.</w:t>
            </w:r>
            <w:r>
              <w:rPr>
                <w:rFonts w:asciiTheme="minorHAnsi" w:eastAsiaTheme="minorEastAsia" w:hAnsiTheme="minorHAnsi" w:cstheme="minorBidi"/>
                <w:noProof/>
                <w:lang w:eastAsia="en-AU"/>
              </w:rPr>
              <w:tab/>
            </w:r>
            <w:r w:rsidRPr="007E7D02">
              <w:rPr>
                <w:rStyle w:val="Hyperlink"/>
                <w:noProof/>
              </w:rPr>
              <w:t>Good clinical practice</w:t>
            </w:r>
            <w:r>
              <w:rPr>
                <w:noProof/>
                <w:webHidden/>
              </w:rPr>
              <w:tab/>
            </w:r>
            <w:r>
              <w:rPr>
                <w:noProof/>
                <w:webHidden/>
              </w:rPr>
              <w:fldChar w:fldCharType="begin"/>
            </w:r>
            <w:r>
              <w:rPr>
                <w:noProof/>
                <w:webHidden/>
              </w:rPr>
              <w:instrText xml:space="preserve"> PAGEREF _Toc4489188 \h </w:instrText>
            </w:r>
            <w:r>
              <w:rPr>
                <w:noProof/>
                <w:webHidden/>
              </w:rPr>
            </w:r>
            <w:r>
              <w:rPr>
                <w:noProof/>
                <w:webHidden/>
              </w:rPr>
              <w:fldChar w:fldCharType="separate"/>
            </w:r>
            <w:r>
              <w:rPr>
                <w:noProof/>
                <w:webHidden/>
              </w:rPr>
              <w:t>15</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89" w:history="1">
            <w:r w:rsidRPr="007E7D02">
              <w:rPr>
                <w:rStyle w:val="Hyperlink"/>
                <w:noProof/>
              </w:rPr>
              <w:t>3.4.</w:t>
            </w:r>
            <w:r>
              <w:rPr>
                <w:rFonts w:asciiTheme="minorHAnsi" w:eastAsiaTheme="minorEastAsia" w:hAnsiTheme="minorHAnsi" w:cstheme="minorBidi"/>
                <w:noProof/>
                <w:lang w:eastAsia="en-AU"/>
              </w:rPr>
              <w:tab/>
            </w:r>
            <w:r w:rsidRPr="007E7D02">
              <w:rPr>
                <w:rStyle w:val="Hyperlink"/>
                <w:noProof/>
              </w:rPr>
              <w:t>Evaluator’s commentary on the clinical dossier</w:t>
            </w:r>
            <w:r>
              <w:rPr>
                <w:noProof/>
                <w:webHidden/>
              </w:rPr>
              <w:tab/>
            </w:r>
            <w:r>
              <w:rPr>
                <w:noProof/>
                <w:webHidden/>
              </w:rPr>
              <w:fldChar w:fldCharType="begin"/>
            </w:r>
            <w:r>
              <w:rPr>
                <w:noProof/>
                <w:webHidden/>
              </w:rPr>
              <w:instrText xml:space="preserve"> PAGEREF _Toc4489189 \h </w:instrText>
            </w:r>
            <w:r>
              <w:rPr>
                <w:noProof/>
                <w:webHidden/>
              </w:rPr>
            </w:r>
            <w:r>
              <w:rPr>
                <w:noProof/>
                <w:webHidden/>
              </w:rPr>
              <w:fldChar w:fldCharType="separate"/>
            </w:r>
            <w:r>
              <w:rPr>
                <w:noProof/>
                <w:webHidden/>
              </w:rPr>
              <w:t>15</w:t>
            </w:r>
            <w:r>
              <w:rPr>
                <w:noProof/>
                <w:webHidden/>
              </w:rPr>
              <w:fldChar w:fldCharType="end"/>
            </w:r>
          </w:hyperlink>
        </w:p>
        <w:p w:rsidR="003A20A2" w:rsidRDefault="003A20A2">
          <w:pPr>
            <w:pStyle w:val="TOC2"/>
            <w:tabs>
              <w:tab w:val="left" w:pos="1100"/>
            </w:tabs>
            <w:rPr>
              <w:rFonts w:asciiTheme="minorHAnsi" w:eastAsiaTheme="minorEastAsia" w:hAnsiTheme="minorHAnsi" w:cstheme="minorBidi"/>
              <w:b w:val="0"/>
              <w:noProof/>
              <w:sz w:val="22"/>
              <w:lang w:eastAsia="en-AU"/>
            </w:rPr>
          </w:pPr>
          <w:hyperlink w:anchor="_Toc4489190" w:history="1">
            <w:r w:rsidRPr="007E7D02">
              <w:rPr>
                <w:rStyle w:val="Hyperlink"/>
                <w:noProof/>
              </w:rPr>
              <w:t>4.</w:t>
            </w:r>
            <w:r>
              <w:rPr>
                <w:rFonts w:asciiTheme="minorHAnsi" w:eastAsiaTheme="minorEastAsia" w:hAnsiTheme="minorHAnsi" w:cstheme="minorBidi"/>
                <w:b w:val="0"/>
                <w:noProof/>
                <w:sz w:val="22"/>
                <w:lang w:eastAsia="en-AU"/>
              </w:rPr>
              <w:tab/>
            </w:r>
            <w:r w:rsidRPr="007E7D02">
              <w:rPr>
                <w:rStyle w:val="Hyperlink"/>
                <w:noProof/>
              </w:rPr>
              <w:t>Pharmacokinetics</w:t>
            </w:r>
            <w:r>
              <w:rPr>
                <w:noProof/>
                <w:webHidden/>
              </w:rPr>
              <w:tab/>
            </w:r>
            <w:r>
              <w:rPr>
                <w:noProof/>
                <w:webHidden/>
              </w:rPr>
              <w:fldChar w:fldCharType="begin"/>
            </w:r>
            <w:r>
              <w:rPr>
                <w:noProof/>
                <w:webHidden/>
              </w:rPr>
              <w:instrText xml:space="preserve"> PAGEREF _Toc4489190 \h </w:instrText>
            </w:r>
            <w:r>
              <w:rPr>
                <w:noProof/>
                <w:webHidden/>
              </w:rPr>
            </w:r>
            <w:r>
              <w:rPr>
                <w:noProof/>
                <w:webHidden/>
              </w:rPr>
              <w:fldChar w:fldCharType="separate"/>
            </w:r>
            <w:r>
              <w:rPr>
                <w:noProof/>
                <w:webHidden/>
              </w:rPr>
              <w:t>15</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91" w:history="1">
            <w:r w:rsidRPr="007E7D02">
              <w:rPr>
                <w:rStyle w:val="Hyperlink"/>
                <w:noProof/>
              </w:rPr>
              <w:t>4.1.</w:t>
            </w:r>
            <w:r>
              <w:rPr>
                <w:rFonts w:asciiTheme="minorHAnsi" w:eastAsiaTheme="minorEastAsia" w:hAnsiTheme="minorHAnsi" w:cstheme="minorBidi"/>
                <w:noProof/>
                <w:lang w:eastAsia="en-AU"/>
              </w:rPr>
              <w:tab/>
            </w:r>
            <w:r w:rsidRPr="007E7D02">
              <w:rPr>
                <w:rStyle w:val="Hyperlink"/>
                <w:noProof/>
              </w:rPr>
              <w:t>Studies providing pharmacokinetic information</w:t>
            </w:r>
            <w:r>
              <w:rPr>
                <w:noProof/>
                <w:webHidden/>
              </w:rPr>
              <w:tab/>
            </w:r>
            <w:r>
              <w:rPr>
                <w:noProof/>
                <w:webHidden/>
              </w:rPr>
              <w:fldChar w:fldCharType="begin"/>
            </w:r>
            <w:r>
              <w:rPr>
                <w:noProof/>
                <w:webHidden/>
              </w:rPr>
              <w:instrText xml:space="preserve"> PAGEREF _Toc4489191 \h </w:instrText>
            </w:r>
            <w:r>
              <w:rPr>
                <w:noProof/>
                <w:webHidden/>
              </w:rPr>
            </w:r>
            <w:r>
              <w:rPr>
                <w:noProof/>
                <w:webHidden/>
              </w:rPr>
              <w:fldChar w:fldCharType="separate"/>
            </w:r>
            <w:r>
              <w:rPr>
                <w:noProof/>
                <w:webHidden/>
              </w:rPr>
              <w:t>15</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92" w:history="1">
            <w:r w:rsidRPr="007E7D02">
              <w:rPr>
                <w:rStyle w:val="Hyperlink"/>
                <w:noProof/>
              </w:rPr>
              <w:t>4.2.</w:t>
            </w:r>
            <w:r>
              <w:rPr>
                <w:rFonts w:asciiTheme="minorHAnsi" w:eastAsiaTheme="minorEastAsia" w:hAnsiTheme="minorHAnsi" w:cstheme="minorBidi"/>
                <w:noProof/>
                <w:lang w:eastAsia="en-AU"/>
              </w:rPr>
              <w:tab/>
            </w:r>
            <w:r w:rsidRPr="007E7D02">
              <w:rPr>
                <w:rStyle w:val="Hyperlink"/>
                <w:noProof/>
              </w:rPr>
              <w:t>Summary of pharmacokinetics</w:t>
            </w:r>
            <w:r>
              <w:rPr>
                <w:noProof/>
                <w:webHidden/>
              </w:rPr>
              <w:tab/>
            </w:r>
            <w:r>
              <w:rPr>
                <w:noProof/>
                <w:webHidden/>
              </w:rPr>
              <w:fldChar w:fldCharType="begin"/>
            </w:r>
            <w:r>
              <w:rPr>
                <w:noProof/>
                <w:webHidden/>
              </w:rPr>
              <w:instrText xml:space="preserve"> PAGEREF _Toc4489192 \h </w:instrText>
            </w:r>
            <w:r>
              <w:rPr>
                <w:noProof/>
                <w:webHidden/>
              </w:rPr>
            </w:r>
            <w:r>
              <w:rPr>
                <w:noProof/>
                <w:webHidden/>
              </w:rPr>
              <w:fldChar w:fldCharType="separate"/>
            </w:r>
            <w:r>
              <w:rPr>
                <w:noProof/>
                <w:webHidden/>
              </w:rPr>
              <w:t>16</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93" w:history="1">
            <w:r w:rsidRPr="007E7D02">
              <w:rPr>
                <w:rStyle w:val="Hyperlink"/>
                <w:noProof/>
              </w:rPr>
              <w:t>4.3.</w:t>
            </w:r>
            <w:r>
              <w:rPr>
                <w:rFonts w:asciiTheme="minorHAnsi" w:eastAsiaTheme="minorEastAsia" w:hAnsiTheme="minorHAnsi" w:cstheme="minorBidi"/>
                <w:noProof/>
                <w:lang w:eastAsia="en-AU"/>
              </w:rPr>
              <w:tab/>
            </w:r>
            <w:r w:rsidRPr="007E7D02">
              <w:rPr>
                <w:rStyle w:val="Hyperlink"/>
                <w:noProof/>
              </w:rPr>
              <w:t>Pharmacokinetics in the target population</w:t>
            </w:r>
            <w:r>
              <w:rPr>
                <w:noProof/>
                <w:webHidden/>
              </w:rPr>
              <w:tab/>
            </w:r>
            <w:r>
              <w:rPr>
                <w:noProof/>
                <w:webHidden/>
              </w:rPr>
              <w:fldChar w:fldCharType="begin"/>
            </w:r>
            <w:r>
              <w:rPr>
                <w:noProof/>
                <w:webHidden/>
              </w:rPr>
              <w:instrText xml:space="preserve"> PAGEREF _Toc4489193 \h </w:instrText>
            </w:r>
            <w:r>
              <w:rPr>
                <w:noProof/>
                <w:webHidden/>
              </w:rPr>
            </w:r>
            <w:r>
              <w:rPr>
                <w:noProof/>
                <w:webHidden/>
              </w:rPr>
              <w:fldChar w:fldCharType="separate"/>
            </w:r>
            <w:r>
              <w:rPr>
                <w:noProof/>
                <w:webHidden/>
              </w:rPr>
              <w:t>20</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94" w:history="1">
            <w:r w:rsidRPr="007E7D02">
              <w:rPr>
                <w:rStyle w:val="Hyperlink"/>
                <w:noProof/>
              </w:rPr>
              <w:t>4.4.</w:t>
            </w:r>
            <w:r>
              <w:rPr>
                <w:rFonts w:asciiTheme="minorHAnsi" w:eastAsiaTheme="minorEastAsia" w:hAnsiTheme="minorHAnsi" w:cstheme="minorBidi"/>
                <w:noProof/>
                <w:lang w:eastAsia="en-AU"/>
              </w:rPr>
              <w:tab/>
            </w:r>
            <w:r w:rsidRPr="007E7D02">
              <w:rPr>
                <w:rStyle w:val="Hyperlink"/>
                <w:noProof/>
              </w:rPr>
              <w:t>Pharmacokinetics in special populations</w:t>
            </w:r>
            <w:r>
              <w:rPr>
                <w:noProof/>
                <w:webHidden/>
              </w:rPr>
              <w:tab/>
            </w:r>
            <w:r>
              <w:rPr>
                <w:noProof/>
                <w:webHidden/>
              </w:rPr>
              <w:fldChar w:fldCharType="begin"/>
            </w:r>
            <w:r>
              <w:rPr>
                <w:noProof/>
                <w:webHidden/>
              </w:rPr>
              <w:instrText xml:space="preserve"> PAGEREF _Toc4489194 \h </w:instrText>
            </w:r>
            <w:r>
              <w:rPr>
                <w:noProof/>
                <w:webHidden/>
              </w:rPr>
            </w:r>
            <w:r>
              <w:rPr>
                <w:noProof/>
                <w:webHidden/>
              </w:rPr>
              <w:fldChar w:fldCharType="separate"/>
            </w:r>
            <w:r>
              <w:rPr>
                <w:noProof/>
                <w:webHidden/>
              </w:rPr>
              <w:t>21</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95" w:history="1">
            <w:r w:rsidRPr="007E7D02">
              <w:rPr>
                <w:rStyle w:val="Hyperlink"/>
                <w:noProof/>
              </w:rPr>
              <w:t>4.5.</w:t>
            </w:r>
            <w:r>
              <w:rPr>
                <w:rFonts w:asciiTheme="minorHAnsi" w:eastAsiaTheme="minorEastAsia" w:hAnsiTheme="minorHAnsi" w:cstheme="minorBidi"/>
                <w:noProof/>
                <w:lang w:eastAsia="en-AU"/>
              </w:rPr>
              <w:tab/>
            </w:r>
            <w:r w:rsidRPr="007E7D02">
              <w:rPr>
                <w:rStyle w:val="Hyperlink"/>
                <w:noProof/>
              </w:rPr>
              <w:t>Population pharmacokinetics</w:t>
            </w:r>
            <w:r>
              <w:rPr>
                <w:noProof/>
                <w:webHidden/>
              </w:rPr>
              <w:tab/>
            </w:r>
            <w:r>
              <w:rPr>
                <w:noProof/>
                <w:webHidden/>
              </w:rPr>
              <w:fldChar w:fldCharType="begin"/>
            </w:r>
            <w:r>
              <w:rPr>
                <w:noProof/>
                <w:webHidden/>
              </w:rPr>
              <w:instrText xml:space="preserve"> PAGEREF _Toc4489195 \h </w:instrText>
            </w:r>
            <w:r>
              <w:rPr>
                <w:noProof/>
                <w:webHidden/>
              </w:rPr>
            </w:r>
            <w:r>
              <w:rPr>
                <w:noProof/>
                <w:webHidden/>
              </w:rPr>
              <w:fldChar w:fldCharType="separate"/>
            </w:r>
            <w:r>
              <w:rPr>
                <w:noProof/>
                <w:webHidden/>
              </w:rPr>
              <w:t>26</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96" w:history="1">
            <w:r w:rsidRPr="007E7D02">
              <w:rPr>
                <w:rStyle w:val="Hyperlink"/>
                <w:noProof/>
              </w:rPr>
              <w:t>4.6.</w:t>
            </w:r>
            <w:r>
              <w:rPr>
                <w:rFonts w:asciiTheme="minorHAnsi" w:eastAsiaTheme="minorEastAsia" w:hAnsiTheme="minorHAnsi" w:cstheme="minorBidi"/>
                <w:noProof/>
                <w:lang w:eastAsia="en-AU"/>
              </w:rPr>
              <w:tab/>
            </w:r>
            <w:r w:rsidRPr="007E7D02">
              <w:rPr>
                <w:rStyle w:val="Hyperlink"/>
                <w:noProof/>
              </w:rPr>
              <w:t>Pharmacokinetic interactions</w:t>
            </w:r>
            <w:r>
              <w:rPr>
                <w:noProof/>
                <w:webHidden/>
              </w:rPr>
              <w:tab/>
            </w:r>
            <w:r>
              <w:rPr>
                <w:noProof/>
                <w:webHidden/>
              </w:rPr>
              <w:fldChar w:fldCharType="begin"/>
            </w:r>
            <w:r>
              <w:rPr>
                <w:noProof/>
                <w:webHidden/>
              </w:rPr>
              <w:instrText xml:space="preserve"> PAGEREF _Toc4489196 \h </w:instrText>
            </w:r>
            <w:r>
              <w:rPr>
                <w:noProof/>
                <w:webHidden/>
              </w:rPr>
            </w:r>
            <w:r>
              <w:rPr>
                <w:noProof/>
                <w:webHidden/>
              </w:rPr>
              <w:fldChar w:fldCharType="separate"/>
            </w:r>
            <w:r>
              <w:rPr>
                <w:noProof/>
                <w:webHidden/>
              </w:rPr>
              <w:t>26</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97" w:history="1">
            <w:r w:rsidRPr="007E7D02">
              <w:rPr>
                <w:rStyle w:val="Hyperlink"/>
                <w:noProof/>
              </w:rPr>
              <w:t>4.7.</w:t>
            </w:r>
            <w:r>
              <w:rPr>
                <w:rFonts w:asciiTheme="minorHAnsi" w:eastAsiaTheme="minorEastAsia" w:hAnsiTheme="minorHAnsi" w:cstheme="minorBidi"/>
                <w:noProof/>
                <w:lang w:eastAsia="en-AU"/>
              </w:rPr>
              <w:tab/>
            </w:r>
            <w:r w:rsidRPr="007E7D02">
              <w:rPr>
                <w:rStyle w:val="Hyperlink"/>
                <w:noProof/>
              </w:rPr>
              <w:t>Evaluator’s overall conclusions on pharmacokinetics</w:t>
            </w:r>
            <w:r>
              <w:rPr>
                <w:noProof/>
                <w:webHidden/>
              </w:rPr>
              <w:tab/>
            </w:r>
            <w:r>
              <w:rPr>
                <w:noProof/>
                <w:webHidden/>
              </w:rPr>
              <w:fldChar w:fldCharType="begin"/>
            </w:r>
            <w:r>
              <w:rPr>
                <w:noProof/>
                <w:webHidden/>
              </w:rPr>
              <w:instrText xml:space="preserve"> PAGEREF _Toc4489197 \h </w:instrText>
            </w:r>
            <w:r>
              <w:rPr>
                <w:noProof/>
                <w:webHidden/>
              </w:rPr>
            </w:r>
            <w:r>
              <w:rPr>
                <w:noProof/>
                <w:webHidden/>
              </w:rPr>
              <w:fldChar w:fldCharType="separate"/>
            </w:r>
            <w:r>
              <w:rPr>
                <w:noProof/>
                <w:webHidden/>
              </w:rPr>
              <w:t>29</w:t>
            </w:r>
            <w:r>
              <w:rPr>
                <w:noProof/>
                <w:webHidden/>
              </w:rPr>
              <w:fldChar w:fldCharType="end"/>
            </w:r>
          </w:hyperlink>
        </w:p>
        <w:p w:rsidR="003A20A2" w:rsidRDefault="003A20A2">
          <w:pPr>
            <w:pStyle w:val="TOC2"/>
            <w:tabs>
              <w:tab w:val="left" w:pos="1100"/>
            </w:tabs>
            <w:rPr>
              <w:rFonts w:asciiTheme="minorHAnsi" w:eastAsiaTheme="minorEastAsia" w:hAnsiTheme="minorHAnsi" w:cstheme="minorBidi"/>
              <w:b w:val="0"/>
              <w:noProof/>
              <w:sz w:val="22"/>
              <w:lang w:eastAsia="en-AU"/>
            </w:rPr>
          </w:pPr>
          <w:hyperlink w:anchor="_Toc4489198" w:history="1">
            <w:r w:rsidRPr="007E7D02">
              <w:rPr>
                <w:rStyle w:val="Hyperlink"/>
                <w:noProof/>
              </w:rPr>
              <w:t>5.</w:t>
            </w:r>
            <w:r>
              <w:rPr>
                <w:rFonts w:asciiTheme="minorHAnsi" w:eastAsiaTheme="minorEastAsia" w:hAnsiTheme="minorHAnsi" w:cstheme="minorBidi"/>
                <w:b w:val="0"/>
                <w:noProof/>
                <w:sz w:val="22"/>
                <w:lang w:eastAsia="en-AU"/>
              </w:rPr>
              <w:tab/>
            </w:r>
            <w:r w:rsidRPr="007E7D02">
              <w:rPr>
                <w:rStyle w:val="Hyperlink"/>
                <w:noProof/>
              </w:rPr>
              <w:t>Pharmacodynamics</w:t>
            </w:r>
            <w:r>
              <w:rPr>
                <w:noProof/>
                <w:webHidden/>
              </w:rPr>
              <w:tab/>
            </w:r>
            <w:r>
              <w:rPr>
                <w:noProof/>
                <w:webHidden/>
              </w:rPr>
              <w:fldChar w:fldCharType="begin"/>
            </w:r>
            <w:r>
              <w:rPr>
                <w:noProof/>
                <w:webHidden/>
              </w:rPr>
              <w:instrText xml:space="preserve"> PAGEREF _Toc4489198 \h </w:instrText>
            </w:r>
            <w:r>
              <w:rPr>
                <w:noProof/>
                <w:webHidden/>
              </w:rPr>
            </w:r>
            <w:r>
              <w:rPr>
                <w:noProof/>
                <w:webHidden/>
              </w:rPr>
              <w:fldChar w:fldCharType="separate"/>
            </w:r>
            <w:r>
              <w:rPr>
                <w:noProof/>
                <w:webHidden/>
              </w:rPr>
              <w:t>30</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199" w:history="1">
            <w:r w:rsidRPr="007E7D02">
              <w:rPr>
                <w:rStyle w:val="Hyperlink"/>
                <w:noProof/>
              </w:rPr>
              <w:t>5.1.</w:t>
            </w:r>
            <w:r>
              <w:rPr>
                <w:rFonts w:asciiTheme="minorHAnsi" w:eastAsiaTheme="minorEastAsia" w:hAnsiTheme="minorHAnsi" w:cstheme="minorBidi"/>
                <w:noProof/>
                <w:lang w:eastAsia="en-AU"/>
              </w:rPr>
              <w:tab/>
            </w:r>
            <w:r w:rsidRPr="007E7D02">
              <w:rPr>
                <w:rStyle w:val="Hyperlink"/>
                <w:noProof/>
              </w:rPr>
              <w:t>Studies providing pharmacodynamic information</w:t>
            </w:r>
            <w:r>
              <w:rPr>
                <w:noProof/>
                <w:webHidden/>
              </w:rPr>
              <w:tab/>
            </w:r>
            <w:r>
              <w:rPr>
                <w:noProof/>
                <w:webHidden/>
              </w:rPr>
              <w:fldChar w:fldCharType="begin"/>
            </w:r>
            <w:r>
              <w:rPr>
                <w:noProof/>
                <w:webHidden/>
              </w:rPr>
              <w:instrText xml:space="preserve"> PAGEREF _Toc4489199 \h </w:instrText>
            </w:r>
            <w:r>
              <w:rPr>
                <w:noProof/>
                <w:webHidden/>
              </w:rPr>
            </w:r>
            <w:r>
              <w:rPr>
                <w:noProof/>
                <w:webHidden/>
              </w:rPr>
              <w:fldChar w:fldCharType="separate"/>
            </w:r>
            <w:r>
              <w:rPr>
                <w:noProof/>
                <w:webHidden/>
              </w:rPr>
              <w:t>30</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200" w:history="1">
            <w:r w:rsidRPr="007E7D02">
              <w:rPr>
                <w:rStyle w:val="Hyperlink"/>
                <w:noProof/>
              </w:rPr>
              <w:t>5.2.</w:t>
            </w:r>
            <w:r>
              <w:rPr>
                <w:rFonts w:asciiTheme="minorHAnsi" w:eastAsiaTheme="minorEastAsia" w:hAnsiTheme="minorHAnsi" w:cstheme="minorBidi"/>
                <w:noProof/>
                <w:lang w:eastAsia="en-AU"/>
              </w:rPr>
              <w:tab/>
            </w:r>
            <w:r w:rsidRPr="007E7D02">
              <w:rPr>
                <w:rStyle w:val="Hyperlink"/>
                <w:noProof/>
              </w:rPr>
              <w:t>Summary of pharmacodynamics</w:t>
            </w:r>
            <w:r>
              <w:rPr>
                <w:noProof/>
                <w:webHidden/>
              </w:rPr>
              <w:tab/>
            </w:r>
            <w:r>
              <w:rPr>
                <w:noProof/>
                <w:webHidden/>
              </w:rPr>
              <w:fldChar w:fldCharType="begin"/>
            </w:r>
            <w:r>
              <w:rPr>
                <w:noProof/>
                <w:webHidden/>
              </w:rPr>
              <w:instrText xml:space="preserve"> PAGEREF _Toc4489200 \h </w:instrText>
            </w:r>
            <w:r>
              <w:rPr>
                <w:noProof/>
                <w:webHidden/>
              </w:rPr>
            </w:r>
            <w:r>
              <w:rPr>
                <w:noProof/>
                <w:webHidden/>
              </w:rPr>
              <w:fldChar w:fldCharType="separate"/>
            </w:r>
            <w:r>
              <w:rPr>
                <w:noProof/>
                <w:webHidden/>
              </w:rPr>
              <w:t>31</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201" w:history="1">
            <w:r w:rsidRPr="007E7D02">
              <w:rPr>
                <w:rStyle w:val="Hyperlink"/>
                <w:noProof/>
              </w:rPr>
              <w:t>5.3.</w:t>
            </w:r>
            <w:r>
              <w:rPr>
                <w:rFonts w:asciiTheme="minorHAnsi" w:eastAsiaTheme="minorEastAsia" w:hAnsiTheme="minorHAnsi" w:cstheme="minorBidi"/>
                <w:noProof/>
                <w:lang w:eastAsia="en-AU"/>
              </w:rPr>
              <w:tab/>
            </w:r>
            <w:r w:rsidRPr="007E7D02">
              <w:rPr>
                <w:rStyle w:val="Hyperlink"/>
                <w:noProof/>
              </w:rPr>
              <w:t>Pharmacodynamic effects</w:t>
            </w:r>
            <w:r>
              <w:rPr>
                <w:noProof/>
                <w:webHidden/>
              </w:rPr>
              <w:tab/>
            </w:r>
            <w:r>
              <w:rPr>
                <w:noProof/>
                <w:webHidden/>
              </w:rPr>
              <w:fldChar w:fldCharType="begin"/>
            </w:r>
            <w:r>
              <w:rPr>
                <w:noProof/>
                <w:webHidden/>
              </w:rPr>
              <w:instrText xml:space="preserve"> PAGEREF _Toc4489201 \h </w:instrText>
            </w:r>
            <w:r>
              <w:rPr>
                <w:noProof/>
                <w:webHidden/>
              </w:rPr>
            </w:r>
            <w:r>
              <w:rPr>
                <w:noProof/>
                <w:webHidden/>
              </w:rPr>
              <w:fldChar w:fldCharType="separate"/>
            </w:r>
            <w:r>
              <w:rPr>
                <w:noProof/>
                <w:webHidden/>
              </w:rPr>
              <w:t>31</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202" w:history="1">
            <w:r w:rsidRPr="007E7D02">
              <w:rPr>
                <w:rStyle w:val="Hyperlink"/>
                <w:noProof/>
              </w:rPr>
              <w:t>5.4.</w:t>
            </w:r>
            <w:r>
              <w:rPr>
                <w:rFonts w:asciiTheme="minorHAnsi" w:eastAsiaTheme="minorEastAsia" w:hAnsiTheme="minorHAnsi" w:cstheme="minorBidi"/>
                <w:noProof/>
                <w:lang w:eastAsia="en-AU"/>
              </w:rPr>
              <w:tab/>
            </w:r>
            <w:r w:rsidRPr="007E7D02">
              <w:rPr>
                <w:rStyle w:val="Hyperlink"/>
                <w:noProof/>
              </w:rPr>
              <w:t>Evaluator’s overall conclusions on pharmacodynamics</w:t>
            </w:r>
            <w:r>
              <w:rPr>
                <w:noProof/>
                <w:webHidden/>
              </w:rPr>
              <w:tab/>
            </w:r>
            <w:r>
              <w:rPr>
                <w:noProof/>
                <w:webHidden/>
              </w:rPr>
              <w:fldChar w:fldCharType="begin"/>
            </w:r>
            <w:r>
              <w:rPr>
                <w:noProof/>
                <w:webHidden/>
              </w:rPr>
              <w:instrText xml:space="preserve"> PAGEREF _Toc4489202 \h </w:instrText>
            </w:r>
            <w:r>
              <w:rPr>
                <w:noProof/>
                <w:webHidden/>
              </w:rPr>
            </w:r>
            <w:r>
              <w:rPr>
                <w:noProof/>
                <w:webHidden/>
              </w:rPr>
              <w:fldChar w:fldCharType="separate"/>
            </w:r>
            <w:r>
              <w:rPr>
                <w:noProof/>
                <w:webHidden/>
              </w:rPr>
              <w:t>36</w:t>
            </w:r>
            <w:r>
              <w:rPr>
                <w:noProof/>
                <w:webHidden/>
              </w:rPr>
              <w:fldChar w:fldCharType="end"/>
            </w:r>
          </w:hyperlink>
        </w:p>
        <w:p w:rsidR="003A20A2" w:rsidRDefault="003A20A2">
          <w:pPr>
            <w:pStyle w:val="TOC2"/>
            <w:tabs>
              <w:tab w:val="left" w:pos="1100"/>
            </w:tabs>
            <w:rPr>
              <w:rFonts w:asciiTheme="minorHAnsi" w:eastAsiaTheme="minorEastAsia" w:hAnsiTheme="minorHAnsi" w:cstheme="minorBidi"/>
              <w:b w:val="0"/>
              <w:noProof/>
              <w:sz w:val="22"/>
              <w:lang w:eastAsia="en-AU"/>
            </w:rPr>
          </w:pPr>
          <w:hyperlink w:anchor="_Toc4489203" w:history="1">
            <w:r w:rsidRPr="007E7D02">
              <w:rPr>
                <w:rStyle w:val="Hyperlink"/>
                <w:noProof/>
              </w:rPr>
              <w:t>6.</w:t>
            </w:r>
            <w:r>
              <w:rPr>
                <w:rFonts w:asciiTheme="minorHAnsi" w:eastAsiaTheme="minorEastAsia" w:hAnsiTheme="minorHAnsi" w:cstheme="minorBidi"/>
                <w:b w:val="0"/>
                <w:noProof/>
                <w:sz w:val="22"/>
                <w:lang w:eastAsia="en-AU"/>
              </w:rPr>
              <w:tab/>
            </w:r>
            <w:r w:rsidRPr="007E7D02">
              <w:rPr>
                <w:rStyle w:val="Hyperlink"/>
                <w:noProof/>
              </w:rPr>
              <w:t>Dosage selection for the pivotal studies</w:t>
            </w:r>
            <w:r>
              <w:rPr>
                <w:noProof/>
                <w:webHidden/>
              </w:rPr>
              <w:tab/>
            </w:r>
            <w:r>
              <w:rPr>
                <w:noProof/>
                <w:webHidden/>
              </w:rPr>
              <w:fldChar w:fldCharType="begin"/>
            </w:r>
            <w:r>
              <w:rPr>
                <w:noProof/>
                <w:webHidden/>
              </w:rPr>
              <w:instrText xml:space="preserve"> PAGEREF _Toc4489203 \h </w:instrText>
            </w:r>
            <w:r>
              <w:rPr>
                <w:noProof/>
                <w:webHidden/>
              </w:rPr>
            </w:r>
            <w:r>
              <w:rPr>
                <w:noProof/>
                <w:webHidden/>
              </w:rPr>
              <w:fldChar w:fldCharType="separate"/>
            </w:r>
            <w:r>
              <w:rPr>
                <w:noProof/>
                <w:webHidden/>
              </w:rPr>
              <w:t>38</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204" w:history="1">
            <w:r w:rsidRPr="007E7D02">
              <w:rPr>
                <w:rStyle w:val="Hyperlink"/>
                <w:noProof/>
              </w:rPr>
              <w:t>6.1.</w:t>
            </w:r>
            <w:r>
              <w:rPr>
                <w:rFonts w:asciiTheme="minorHAnsi" w:eastAsiaTheme="minorEastAsia" w:hAnsiTheme="minorHAnsi" w:cstheme="minorBidi"/>
                <w:noProof/>
                <w:lang w:eastAsia="en-AU"/>
              </w:rPr>
              <w:tab/>
            </w:r>
            <w:r w:rsidRPr="007E7D02">
              <w:rPr>
                <w:rStyle w:val="Hyperlink"/>
                <w:noProof/>
              </w:rPr>
              <w:t>Pharmacokinetics and pharmacodynamics: dose finding studies</w:t>
            </w:r>
            <w:r>
              <w:rPr>
                <w:noProof/>
                <w:webHidden/>
              </w:rPr>
              <w:tab/>
            </w:r>
            <w:r>
              <w:rPr>
                <w:noProof/>
                <w:webHidden/>
              </w:rPr>
              <w:fldChar w:fldCharType="begin"/>
            </w:r>
            <w:r>
              <w:rPr>
                <w:noProof/>
                <w:webHidden/>
              </w:rPr>
              <w:instrText xml:space="preserve"> PAGEREF _Toc4489204 \h </w:instrText>
            </w:r>
            <w:r>
              <w:rPr>
                <w:noProof/>
                <w:webHidden/>
              </w:rPr>
            </w:r>
            <w:r>
              <w:rPr>
                <w:noProof/>
                <w:webHidden/>
              </w:rPr>
              <w:fldChar w:fldCharType="separate"/>
            </w:r>
            <w:r>
              <w:rPr>
                <w:noProof/>
                <w:webHidden/>
              </w:rPr>
              <w:t>38</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205" w:history="1">
            <w:r w:rsidRPr="007E7D02">
              <w:rPr>
                <w:rStyle w:val="Hyperlink"/>
                <w:noProof/>
              </w:rPr>
              <w:t>6.2.</w:t>
            </w:r>
            <w:r>
              <w:rPr>
                <w:rFonts w:asciiTheme="minorHAnsi" w:eastAsiaTheme="minorEastAsia" w:hAnsiTheme="minorHAnsi" w:cstheme="minorBidi"/>
                <w:noProof/>
                <w:lang w:eastAsia="en-AU"/>
              </w:rPr>
              <w:tab/>
            </w:r>
            <w:r w:rsidRPr="007E7D02">
              <w:rPr>
                <w:rStyle w:val="Hyperlink"/>
                <w:noProof/>
              </w:rPr>
              <w:t>Phase II dose finding studies</w:t>
            </w:r>
            <w:r>
              <w:rPr>
                <w:noProof/>
                <w:webHidden/>
              </w:rPr>
              <w:tab/>
            </w:r>
            <w:r>
              <w:rPr>
                <w:noProof/>
                <w:webHidden/>
              </w:rPr>
              <w:fldChar w:fldCharType="begin"/>
            </w:r>
            <w:r>
              <w:rPr>
                <w:noProof/>
                <w:webHidden/>
              </w:rPr>
              <w:instrText xml:space="preserve"> PAGEREF _Toc4489205 \h </w:instrText>
            </w:r>
            <w:r>
              <w:rPr>
                <w:noProof/>
                <w:webHidden/>
              </w:rPr>
            </w:r>
            <w:r>
              <w:rPr>
                <w:noProof/>
                <w:webHidden/>
              </w:rPr>
              <w:fldChar w:fldCharType="separate"/>
            </w:r>
            <w:r>
              <w:rPr>
                <w:noProof/>
                <w:webHidden/>
              </w:rPr>
              <w:t>38</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206" w:history="1">
            <w:r w:rsidRPr="007E7D02">
              <w:rPr>
                <w:rStyle w:val="Hyperlink"/>
                <w:noProof/>
              </w:rPr>
              <w:t>6.3.</w:t>
            </w:r>
            <w:r>
              <w:rPr>
                <w:rFonts w:asciiTheme="minorHAnsi" w:eastAsiaTheme="minorEastAsia" w:hAnsiTheme="minorHAnsi" w:cstheme="minorBidi"/>
                <w:noProof/>
                <w:lang w:eastAsia="en-AU"/>
              </w:rPr>
              <w:tab/>
            </w:r>
            <w:r w:rsidRPr="007E7D02">
              <w:rPr>
                <w:rStyle w:val="Hyperlink"/>
                <w:noProof/>
              </w:rPr>
              <w:t>Phase III pivotal studies investigating more than one dose regimen</w:t>
            </w:r>
            <w:r>
              <w:rPr>
                <w:noProof/>
                <w:webHidden/>
              </w:rPr>
              <w:tab/>
            </w:r>
            <w:r>
              <w:rPr>
                <w:noProof/>
                <w:webHidden/>
              </w:rPr>
              <w:fldChar w:fldCharType="begin"/>
            </w:r>
            <w:r>
              <w:rPr>
                <w:noProof/>
                <w:webHidden/>
              </w:rPr>
              <w:instrText xml:space="preserve"> PAGEREF _Toc4489206 \h </w:instrText>
            </w:r>
            <w:r>
              <w:rPr>
                <w:noProof/>
                <w:webHidden/>
              </w:rPr>
            </w:r>
            <w:r>
              <w:rPr>
                <w:noProof/>
                <w:webHidden/>
              </w:rPr>
              <w:fldChar w:fldCharType="separate"/>
            </w:r>
            <w:r>
              <w:rPr>
                <w:noProof/>
                <w:webHidden/>
              </w:rPr>
              <w:t>39</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207" w:history="1">
            <w:r w:rsidRPr="007E7D02">
              <w:rPr>
                <w:rStyle w:val="Hyperlink"/>
                <w:noProof/>
              </w:rPr>
              <w:t>6.4.</w:t>
            </w:r>
            <w:r>
              <w:rPr>
                <w:rFonts w:asciiTheme="minorHAnsi" w:eastAsiaTheme="minorEastAsia" w:hAnsiTheme="minorHAnsi" w:cstheme="minorBidi"/>
                <w:noProof/>
                <w:lang w:eastAsia="en-AU"/>
              </w:rPr>
              <w:tab/>
            </w:r>
            <w:r w:rsidRPr="007E7D02">
              <w:rPr>
                <w:rStyle w:val="Hyperlink"/>
                <w:noProof/>
              </w:rPr>
              <w:t>Evaluator’s conclusions on dose finding for the pivotal studies</w:t>
            </w:r>
            <w:r>
              <w:rPr>
                <w:noProof/>
                <w:webHidden/>
              </w:rPr>
              <w:tab/>
            </w:r>
            <w:r>
              <w:rPr>
                <w:noProof/>
                <w:webHidden/>
              </w:rPr>
              <w:fldChar w:fldCharType="begin"/>
            </w:r>
            <w:r>
              <w:rPr>
                <w:noProof/>
                <w:webHidden/>
              </w:rPr>
              <w:instrText xml:space="preserve"> PAGEREF _Toc4489207 \h </w:instrText>
            </w:r>
            <w:r>
              <w:rPr>
                <w:noProof/>
                <w:webHidden/>
              </w:rPr>
            </w:r>
            <w:r>
              <w:rPr>
                <w:noProof/>
                <w:webHidden/>
              </w:rPr>
              <w:fldChar w:fldCharType="separate"/>
            </w:r>
            <w:r>
              <w:rPr>
                <w:noProof/>
                <w:webHidden/>
              </w:rPr>
              <w:t>39</w:t>
            </w:r>
            <w:r>
              <w:rPr>
                <w:noProof/>
                <w:webHidden/>
              </w:rPr>
              <w:fldChar w:fldCharType="end"/>
            </w:r>
          </w:hyperlink>
        </w:p>
        <w:p w:rsidR="003A20A2" w:rsidRDefault="003A20A2">
          <w:pPr>
            <w:pStyle w:val="TOC2"/>
            <w:tabs>
              <w:tab w:val="left" w:pos="1100"/>
            </w:tabs>
            <w:rPr>
              <w:rFonts w:asciiTheme="minorHAnsi" w:eastAsiaTheme="minorEastAsia" w:hAnsiTheme="minorHAnsi" w:cstheme="minorBidi"/>
              <w:b w:val="0"/>
              <w:noProof/>
              <w:sz w:val="22"/>
              <w:lang w:eastAsia="en-AU"/>
            </w:rPr>
          </w:pPr>
          <w:hyperlink w:anchor="_Toc4489208" w:history="1">
            <w:r w:rsidRPr="007E7D02">
              <w:rPr>
                <w:rStyle w:val="Hyperlink"/>
                <w:noProof/>
              </w:rPr>
              <w:t>7.</w:t>
            </w:r>
            <w:r>
              <w:rPr>
                <w:rFonts w:asciiTheme="minorHAnsi" w:eastAsiaTheme="minorEastAsia" w:hAnsiTheme="minorHAnsi" w:cstheme="minorBidi"/>
                <w:b w:val="0"/>
                <w:noProof/>
                <w:sz w:val="22"/>
                <w:lang w:eastAsia="en-AU"/>
              </w:rPr>
              <w:tab/>
            </w:r>
            <w:r w:rsidRPr="007E7D02">
              <w:rPr>
                <w:rStyle w:val="Hyperlink"/>
                <w:noProof/>
              </w:rPr>
              <w:t>Clinical efficacy</w:t>
            </w:r>
            <w:r>
              <w:rPr>
                <w:noProof/>
                <w:webHidden/>
              </w:rPr>
              <w:tab/>
            </w:r>
            <w:r>
              <w:rPr>
                <w:noProof/>
                <w:webHidden/>
              </w:rPr>
              <w:fldChar w:fldCharType="begin"/>
            </w:r>
            <w:r>
              <w:rPr>
                <w:noProof/>
                <w:webHidden/>
              </w:rPr>
              <w:instrText xml:space="preserve"> PAGEREF _Toc4489208 \h </w:instrText>
            </w:r>
            <w:r>
              <w:rPr>
                <w:noProof/>
                <w:webHidden/>
              </w:rPr>
            </w:r>
            <w:r>
              <w:rPr>
                <w:noProof/>
                <w:webHidden/>
              </w:rPr>
              <w:fldChar w:fldCharType="separate"/>
            </w:r>
            <w:r>
              <w:rPr>
                <w:noProof/>
                <w:webHidden/>
              </w:rPr>
              <w:t>40</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209" w:history="1">
            <w:r w:rsidRPr="007E7D02">
              <w:rPr>
                <w:rStyle w:val="Hyperlink"/>
                <w:noProof/>
              </w:rPr>
              <w:t>7.1.</w:t>
            </w:r>
            <w:r>
              <w:rPr>
                <w:rFonts w:asciiTheme="minorHAnsi" w:eastAsiaTheme="minorEastAsia" w:hAnsiTheme="minorHAnsi" w:cstheme="minorBidi"/>
                <w:noProof/>
                <w:lang w:eastAsia="en-AU"/>
              </w:rPr>
              <w:tab/>
            </w:r>
            <w:r w:rsidRPr="007E7D02">
              <w:rPr>
                <w:rStyle w:val="Hyperlink"/>
                <w:noProof/>
              </w:rPr>
              <w:t>Studies providing evaluable efficacy data</w:t>
            </w:r>
            <w:r>
              <w:rPr>
                <w:noProof/>
                <w:webHidden/>
              </w:rPr>
              <w:tab/>
            </w:r>
            <w:r>
              <w:rPr>
                <w:noProof/>
                <w:webHidden/>
              </w:rPr>
              <w:fldChar w:fldCharType="begin"/>
            </w:r>
            <w:r>
              <w:rPr>
                <w:noProof/>
                <w:webHidden/>
              </w:rPr>
              <w:instrText xml:space="preserve"> PAGEREF _Toc4489209 \h </w:instrText>
            </w:r>
            <w:r>
              <w:rPr>
                <w:noProof/>
                <w:webHidden/>
              </w:rPr>
            </w:r>
            <w:r>
              <w:rPr>
                <w:noProof/>
                <w:webHidden/>
              </w:rPr>
              <w:fldChar w:fldCharType="separate"/>
            </w:r>
            <w:r>
              <w:rPr>
                <w:noProof/>
                <w:webHidden/>
              </w:rPr>
              <w:t>40</w:t>
            </w:r>
            <w:r>
              <w:rPr>
                <w:noProof/>
                <w:webHidden/>
              </w:rPr>
              <w:fldChar w:fldCharType="end"/>
            </w:r>
          </w:hyperlink>
        </w:p>
        <w:p w:rsidR="003A20A2" w:rsidRDefault="003A20A2">
          <w:pPr>
            <w:pStyle w:val="TOC3"/>
            <w:tabs>
              <w:tab w:val="left" w:pos="1760"/>
            </w:tabs>
            <w:rPr>
              <w:rFonts w:asciiTheme="minorHAnsi" w:eastAsiaTheme="minorEastAsia" w:hAnsiTheme="minorHAnsi" w:cstheme="minorBidi"/>
              <w:noProof/>
              <w:lang w:eastAsia="en-AU"/>
            </w:rPr>
          </w:pPr>
          <w:hyperlink w:anchor="_Toc4489210" w:history="1">
            <w:r w:rsidRPr="007E7D02">
              <w:rPr>
                <w:rStyle w:val="Hyperlink"/>
                <w:noProof/>
              </w:rPr>
              <w:t>7.2.</w:t>
            </w:r>
            <w:r>
              <w:rPr>
                <w:rFonts w:asciiTheme="minorHAnsi" w:eastAsiaTheme="minorEastAsia" w:hAnsiTheme="minorHAnsi" w:cstheme="minorBidi"/>
                <w:noProof/>
                <w:lang w:eastAsia="en-AU"/>
              </w:rPr>
              <w:tab/>
            </w:r>
            <w:r w:rsidRPr="007E7D02">
              <w:rPr>
                <w:rStyle w:val="Hyperlink"/>
                <w:noProof/>
              </w:rPr>
              <w:t>Pivotal or main efficacy studies</w:t>
            </w:r>
            <w:r>
              <w:rPr>
                <w:noProof/>
                <w:webHidden/>
              </w:rPr>
              <w:tab/>
            </w:r>
            <w:r>
              <w:rPr>
                <w:noProof/>
                <w:webHidden/>
              </w:rPr>
              <w:fldChar w:fldCharType="begin"/>
            </w:r>
            <w:r>
              <w:rPr>
                <w:noProof/>
                <w:webHidden/>
              </w:rPr>
              <w:instrText xml:space="preserve"> PAGEREF _Toc4489210 \h </w:instrText>
            </w:r>
            <w:r>
              <w:rPr>
                <w:noProof/>
                <w:webHidden/>
              </w:rPr>
            </w:r>
            <w:r>
              <w:rPr>
                <w:noProof/>
                <w:webHidden/>
              </w:rPr>
              <w:fldChar w:fldCharType="separate"/>
            </w:r>
            <w:r>
              <w:rPr>
                <w:noProof/>
                <w:webHidden/>
              </w:rPr>
              <w:t>41</w:t>
            </w:r>
            <w:r>
              <w:rPr>
                <w:noProof/>
                <w:webHidden/>
              </w:rPr>
              <w:fldChar w:fldCharType="end"/>
            </w:r>
          </w:hyperlink>
        </w:p>
        <w:p w:rsidR="003A20A2" w:rsidRDefault="003A20A2">
          <w:pPr>
            <w:pStyle w:val="TOC3"/>
            <w:rPr>
              <w:rFonts w:asciiTheme="minorHAnsi" w:eastAsiaTheme="minorEastAsia" w:hAnsiTheme="minorHAnsi" w:cstheme="minorBidi"/>
              <w:noProof/>
              <w:lang w:eastAsia="en-AU"/>
            </w:rPr>
          </w:pPr>
          <w:hyperlink w:anchor="_Toc4489211" w:history="1">
            <w:r w:rsidRPr="007E7D02">
              <w:rPr>
                <w:rStyle w:val="Hyperlink"/>
                <w:noProof/>
              </w:rPr>
              <w:t>The presentation of this clinical evaluation is continued in Attachment 2 PART 2</w:t>
            </w:r>
            <w:r>
              <w:rPr>
                <w:noProof/>
                <w:webHidden/>
              </w:rPr>
              <w:tab/>
            </w:r>
            <w:r>
              <w:rPr>
                <w:noProof/>
                <w:webHidden/>
              </w:rPr>
              <w:fldChar w:fldCharType="begin"/>
            </w:r>
            <w:r>
              <w:rPr>
                <w:noProof/>
                <w:webHidden/>
              </w:rPr>
              <w:instrText xml:space="preserve"> PAGEREF _Toc4489211 \h </w:instrText>
            </w:r>
            <w:r>
              <w:rPr>
                <w:noProof/>
                <w:webHidden/>
              </w:rPr>
            </w:r>
            <w:r>
              <w:rPr>
                <w:noProof/>
                <w:webHidden/>
              </w:rPr>
              <w:fldChar w:fldCharType="separate"/>
            </w:r>
            <w:r>
              <w:rPr>
                <w:noProof/>
                <w:webHidden/>
              </w:rPr>
              <w:t>120</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0778F7" w:rsidRDefault="000778F7">
      <w:pPr>
        <w:spacing w:before="0" w:after="200" w:line="0" w:lineRule="auto"/>
        <w:rPr>
          <w:rFonts w:ascii="Arial" w:eastAsia="Times New Roman" w:hAnsi="Arial"/>
          <w:b/>
          <w:bCs/>
          <w:sz w:val="32"/>
          <w:szCs w:val="26"/>
          <w:lang w:eastAsia="ja-JP"/>
        </w:rPr>
      </w:pPr>
      <w:bookmarkStart w:id="4" w:name="_Toc504038096"/>
      <w:bookmarkEnd w:id="3"/>
      <w:bookmarkEnd w:id="1"/>
      <w:bookmarkEnd w:id="0"/>
      <w:r>
        <w:br w:type="page"/>
      </w:r>
    </w:p>
    <w:p w:rsidR="002E5CF1" w:rsidRDefault="002E5CF1" w:rsidP="002E5CF1">
      <w:pPr>
        <w:pStyle w:val="Heading2"/>
        <w:numPr>
          <w:ilvl w:val="0"/>
          <w:numId w:val="0"/>
        </w:numPr>
      </w:pPr>
      <w:bookmarkStart w:id="5" w:name="_Toc4489173"/>
      <w:r>
        <w:lastRenderedPageBreak/>
        <w:t>List of common abbreviations</w:t>
      </w:r>
      <w:bookmarkEnd w:id="4"/>
      <w:bookmarkEnd w:id="5"/>
    </w:p>
    <w:tbl>
      <w:tblPr>
        <w:tblStyle w:val="TableTGAblue"/>
        <w:tblW w:w="0" w:type="auto"/>
        <w:tblLook w:val="04A0" w:firstRow="1" w:lastRow="0" w:firstColumn="1" w:lastColumn="0" w:noHBand="0" w:noVBand="1"/>
      </w:tblPr>
      <w:tblGrid>
        <w:gridCol w:w="1950"/>
        <w:gridCol w:w="6770"/>
      </w:tblGrid>
      <w:tr w:rsidR="008A3933" w:rsidTr="008A393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Abbreviation</w:t>
            </w:r>
          </w:p>
        </w:tc>
        <w:tc>
          <w:tcPr>
            <w:tcW w:w="6770" w:type="dxa"/>
          </w:tcPr>
          <w:p w:rsidR="008A3933" w:rsidRPr="004D575B" w:rsidRDefault="008A3933" w:rsidP="00FC39EE">
            <w:pPr>
              <w:cnfStyle w:val="100000000000" w:firstRow="1" w:lastRow="0" w:firstColumn="0" w:lastColumn="0" w:oddVBand="0" w:evenVBand="0" w:oddHBand="0" w:evenHBand="0" w:firstRowFirstColumn="0" w:firstRowLastColumn="0" w:lastRowFirstColumn="0" w:lastRowLastColumn="0"/>
            </w:pPr>
            <w:r w:rsidRPr="004D575B">
              <w:t>Meaning</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t>HbA1</w:t>
            </w:r>
            <w:r w:rsidRPr="003F2DE3">
              <w:rPr>
                <w:vertAlign w:val="subscript"/>
              </w:rPr>
              <w:t>c</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heme="minorHAnsi"/>
              </w:rPr>
              <w:t>Glycosylated h</w:t>
            </w:r>
            <w:r>
              <w:rPr>
                <w:rFonts w:eastAsiaTheme="minorHAnsi"/>
              </w:rPr>
              <w:t>a</w:t>
            </w:r>
            <w:r w:rsidRPr="004D575B">
              <w:rPr>
                <w:rFonts w:eastAsiaTheme="minorHAnsi"/>
              </w:rPr>
              <w:t>emoglobin (h</w:t>
            </w:r>
            <w:r>
              <w:rPr>
                <w:rFonts w:eastAsiaTheme="minorHAnsi"/>
              </w:rPr>
              <w:t>a</w:t>
            </w:r>
            <w:r w:rsidRPr="004D575B">
              <w:rPr>
                <w:rFonts w:eastAsiaTheme="minorHAnsi"/>
              </w:rPr>
              <w:t xml:space="preserve">emoglobin </w:t>
            </w:r>
            <w:r>
              <w:rPr>
                <w:rFonts w:eastAsiaTheme="minorHAnsi"/>
              </w:rPr>
              <w:t>(Hb) A</w:t>
            </w:r>
            <w:r w:rsidRPr="004D575B">
              <w:rPr>
                <w:rFonts w:eastAsiaTheme="minorHAnsi"/>
              </w:rPr>
              <w:t>1c)</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AACE</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American Association of Clinical Endocrinologists</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ABPM</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Ambulatory blood pressure monitoring</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ADA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 xml:space="preserve">American </w:t>
            </w:r>
            <w:r>
              <w:rPr>
                <w:rFonts w:eastAsia="TimesNewRoman"/>
              </w:rPr>
              <w:t>D</w:t>
            </w:r>
            <w:r w:rsidRPr="004D575B">
              <w:rPr>
                <w:rFonts w:eastAsia="TimesNewRoman"/>
              </w:rPr>
              <w:t xml:space="preserve">iabetes </w:t>
            </w:r>
            <w:r>
              <w:rPr>
                <w:rFonts w:eastAsia="TimesNewRoman"/>
              </w:rPr>
              <w:t>A</w:t>
            </w:r>
            <w:r w:rsidRPr="004D575B">
              <w:rPr>
                <w:rFonts w:eastAsia="TimesNewRoman"/>
              </w:rPr>
              <w:t>ssociation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ADME</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Absorption, distribution, metabolism and elimination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r>
              <w:t>AE</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Adverse event</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AHA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Anti-hyperglycaemic agent</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ANOVA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color w:val="000000"/>
              </w:rPr>
              <w:t>Analysis of variance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AUC</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Area under the concentration-time curve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t>AUC</w:t>
            </w:r>
            <w:r w:rsidRPr="00E700A6">
              <w:rPr>
                <w:vertAlign w:val="subscript"/>
              </w:rPr>
              <w:t>inf</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Area under the plasma concentration-time profile from time 0 extrapolated to infinite time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imesNewRoman"/>
              </w:rPr>
            </w:pPr>
            <w:r>
              <w:t>AUC</w:t>
            </w:r>
            <w:r w:rsidRPr="00E700A6">
              <w:rPr>
                <w:vertAlign w:val="subscript"/>
              </w:rPr>
              <w:t>inf</w:t>
            </w:r>
            <w:r w:rsidRPr="004D575B">
              <w:rPr>
                <w:rFonts w:eastAsia="TimesNewRoman"/>
                <w:vertAlign w:val="subscript"/>
              </w:rPr>
              <w:t>(dn)</w:t>
            </w:r>
          </w:p>
        </w:tc>
        <w:tc>
          <w:tcPr>
            <w:tcW w:w="6770" w:type="dxa"/>
          </w:tcPr>
          <w:p w:rsidR="008A3933" w:rsidRPr="004D575B" w:rsidRDefault="008A3933" w:rsidP="008348EB">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Dose normali</w:t>
            </w:r>
            <w:r w:rsidR="008348EB">
              <w:rPr>
                <w:rFonts w:eastAsia="TimesNewRoman"/>
              </w:rPr>
              <w:t>s</w:t>
            </w:r>
            <w:r w:rsidRPr="004D575B">
              <w:rPr>
                <w:rFonts w:eastAsia="TimesNewRoman"/>
              </w:rPr>
              <w:t xml:space="preserve">ed (to 1 mg) </w:t>
            </w:r>
            <w:r w:rsidR="008348EB">
              <w:rPr>
                <w:rFonts w:eastAsia="TimesNewRoman"/>
              </w:rPr>
              <w:t>AUC</w:t>
            </w:r>
            <w:r w:rsidRPr="004D575B">
              <w:rPr>
                <w:rFonts w:eastAsia="TimesNewRoman"/>
                <w:vertAlign w:val="subscript"/>
              </w:rPr>
              <w:t>inf</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rPr>
                <w:rFonts w:eastAsia="TimesNewRoman"/>
              </w:rPr>
              <w:t>AUC</w:t>
            </w:r>
            <w:r w:rsidRPr="003209C3">
              <w:rPr>
                <w:rFonts w:eastAsia="TimesNewRoman"/>
                <w:vertAlign w:val="subscript"/>
              </w:rPr>
              <w:t>last</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Area under the plasma concentration-time profile from time 0 to the time of the last quantifiable concentration (C</w:t>
            </w:r>
            <w:r w:rsidRPr="008348EB">
              <w:rPr>
                <w:rFonts w:eastAsia="TimesNewRoman"/>
                <w:vertAlign w:val="subscript"/>
              </w:rPr>
              <w:t>last</w:t>
            </w:r>
            <w:r w:rsidRPr="004D575B">
              <w:rPr>
                <w:rFonts w:eastAsia="TimesNewRoman"/>
              </w:rPr>
              <w:t>)</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AV</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Atrioventricular</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BA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Bioavailability</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BE</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Bioequivalence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r>
              <w:t>BD</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Twice</w:t>
            </w:r>
            <w:r>
              <w:rPr>
                <w:rFonts w:eastAsia="TimesNewRoman"/>
              </w:rPr>
              <w:t xml:space="preserve"> </w:t>
            </w:r>
            <w:r w:rsidRPr="004D575B">
              <w:rPr>
                <w:rFonts w:eastAsia="TimesNewRoman"/>
              </w:rPr>
              <w:t>daily</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BMI</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Body mass index</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BP</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Blood pressure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imesNewRoman"/>
              </w:rPr>
            </w:pPr>
            <w:r w:rsidRPr="004D575B">
              <w:rPr>
                <w:rFonts w:eastAsia="TimesNewRoman"/>
              </w:rPr>
              <w:t>CI</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Confidence interval</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imesNewRoman"/>
              </w:rPr>
            </w:pPr>
            <w:r w:rsidRPr="004D575B">
              <w:rPr>
                <w:rFonts w:eastAsia="TimesNewRoman"/>
              </w:rPr>
              <w:t>CKD</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Chronic kidney disease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rPr>
                <w:rFonts w:eastAsia="TimesNewRoman"/>
              </w:rPr>
              <w:t>CL (IV)</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CL; systemic clearance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rPr>
                <w:rFonts w:eastAsia="TimesNewRoman"/>
              </w:rPr>
              <w:t>CL/F (oral)</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Apparent clearance; CL/F</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proofErr w:type="spellStart"/>
            <w:r>
              <w:rPr>
                <w:rFonts w:eastAsiaTheme="minorHAnsi"/>
              </w:rPr>
              <w:t>cLDA</w:t>
            </w:r>
            <w:proofErr w:type="spellEnd"/>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Constrained longitudinal data analysis</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lastRenderedPageBreak/>
              <w:t>CLr</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color w:val="000000"/>
              </w:rPr>
              <w:t>Renal clearance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heme="minorHAnsi"/>
              </w:rPr>
            </w:pPr>
            <w:r>
              <w:t>C</w:t>
            </w:r>
            <w:r w:rsidRPr="00E700A6">
              <w:rPr>
                <w:vertAlign w:val="subscript"/>
              </w:rPr>
              <w:t>max</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Maximum observed plasma concentration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C</w:t>
            </w:r>
            <w:r w:rsidRPr="005D5405">
              <w:rPr>
                <w:vertAlign w:val="subscript"/>
              </w:rPr>
              <w:t>min</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Lowest concentration observed during the dosing interval</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CSR</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Clinical study report</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CV</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Cardiovascular</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CVOT</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Cardiovascular outcome trial</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CYP</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Cytochrome P450</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DBP</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Diastolic blood pressure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DDI</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Drug-drug interaction</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DPP</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Dipeptidyl peptidase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heme="minorHAnsi"/>
              </w:rPr>
            </w:pPr>
            <w:r>
              <w:rPr>
                <w:rFonts w:eastAsiaTheme="minorHAnsi"/>
              </w:rPr>
              <w:t>E5/S100</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8F114F">
              <w:rPr>
                <w:rFonts w:eastAsiaTheme="minorHAnsi"/>
              </w:rPr>
              <w:t>Ertugliflozin</w:t>
            </w:r>
            <w:r>
              <w:rPr>
                <w:rFonts w:eastAsiaTheme="minorHAnsi"/>
              </w:rPr>
              <w:t xml:space="preserve"> 5 mg/sitagliptin 100 mg</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heme="minorHAnsi"/>
              </w:rPr>
            </w:pPr>
            <w:r>
              <w:rPr>
                <w:rFonts w:eastAsiaTheme="minorHAnsi"/>
              </w:rPr>
              <w:t>E15/S100</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8F114F">
              <w:rPr>
                <w:rFonts w:eastAsiaTheme="minorHAnsi"/>
              </w:rPr>
              <w:t>Ertugliflozin</w:t>
            </w:r>
            <w:r>
              <w:rPr>
                <w:rFonts w:eastAsiaTheme="minorHAnsi"/>
              </w:rPr>
              <w:t xml:space="preserve"> 15 mg/ sitagliptin 100 mg</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EASD</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European Association for the Study of Diabetes</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ECG</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Electrocardiograph</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ED50</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color w:val="000000"/>
              </w:rPr>
              <w:t>Dose at half maximum effect</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eGFR</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Estimated glomerular filtration rate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EMA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European Medicines Agency</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heme="minorHAnsi"/>
              </w:rPr>
            </w:pPr>
            <w:proofErr w:type="spellStart"/>
            <w:r>
              <w:rPr>
                <w:rFonts w:eastAsiaTheme="minorHAnsi"/>
              </w:rPr>
              <w:t>Ertu</w:t>
            </w:r>
            <w:proofErr w:type="spellEnd"/>
            <w:r>
              <w:rPr>
                <w:rFonts w:eastAsiaTheme="minorHAnsi"/>
              </w:rPr>
              <w:t>/Met</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8F114F">
              <w:t>e</w:t>
            </w:r>
            <w:r w:rsidRPr="008F114F">
              <w:rPr>
                <w:color w:val="auto"/>
              </w:rPr>
              <w:t>rtugliflozin</w:t>
            </w:r>
            <w:r w:rsidRPr="008F114F">
              <w:t xml:space="preserve">/metformin </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ESRD</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End stage renal disease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EU</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European Union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F</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Bioavailability</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FAS</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Full analysis set</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FDA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Food and Drug Administration</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FDC</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Fixed-dose combination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FME</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Full model estimation</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lastRenderedPageBreak/>
              <w:t>FPG</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Fasting plasma glucose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GCP</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Good Clinical Practice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GIP</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Glucose-dependent insulinotropic polypeptide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GLP-1</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Glucagon-like peptide-1</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GMR</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Geometric mean ratio</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h</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Hour</w:t>
            </w:r>
            <w:r>
              <w:rPr>
                <w:rFonts w:eastAsia="TimesNewRoman"/>
              </w:rPr>
              <w:t>(</w:t>
            </w:r>
            <w:r w:rsidRPr="004D575B">
              <w:rPr>
                <w:rFonts w:eastAsia="TimesNewRoman"/>
              </w:rPr>
              <w:t>s</w:t>
            </w:r>
            <w:r>
              <w:rPr>
                <w:rFonts w:eastAsia="TimesNewRoman"/>
              </w:rPr>
              <w:t>)</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HCTZ</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Hydrochlorothiazide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HDL-C</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High-density lipoprotein-cholesterol</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hOAT-3</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Human organic anion transporter-3</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HPLC-MS/MS</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High-performance liquid chromatography tandem mass spectrometric</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HTCZ</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Hydrochlorothiazide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LDA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Longitudinal data analysis</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LDL</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Low-density lipoprotein</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LDL-C</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Low-density lipoprotein-cholesterol</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LLOQ</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color w:val="000000"/>
              </w:rPr>
              <w:t>Lower limit of quantitation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L-PGA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L-pyroglutamic acid</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LS</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Least-squares</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MACE</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Major adverse cardiovascular event</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min</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Minute</w:t>
            </w:r>
            <w:r>
              <w:t>(s)</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MR</w:t>
            </w:r>
          </w:p>
        </w:tc>
        <w:tc>
          <w:tcPr>
            <w:tcW w:w="6770" w:type="dxa"/>
          </w:tcPr>
          <w:p w:rsidR="008A3933" w:rsidRPr="004D575B" w:rsidRDefault="00803C18" w:rsidP="00FC39EE">
            <w:pPr>
              <w:cnfStyle w:val="000000000000" w:firstRow="0" w:lastRow="0" w:firstColumn="0" w:lastColumn="0" w:oddVBand="0" w:evenVBand="0" w:oddHBand="0" w:evenHBand="0" w:firstRowFirstColumn="0" w:firstRowLastColumn="0" w:lastRowFirstColumn="0" w:lastRowLastColumn="0"/>
              <w:rPr>
                <w:rFonts w:eastAsia="TimesNewRoman"/>
              </w:rPr>
            </w:pPr>
            <w:r>
              <w:rPr>
                <w:rFonts w:eastAsia="TimesNewRoman"/>
              </w:rPr>
              <w:t>Modified release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MRI</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Magnetic Resonance Imaging</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NONMEM</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t>N</w:t>
            </w:r>
            <w:r w:rsidRPr="004D575B">
              <w:t>on-linear mixed effects modelling</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NTX-1</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N-terminal telopeptide-1</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OAD</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Oral anti-diabetic</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OC</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Osteocalcin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lastRenderedPageBreak/>
              <w:t>P1NP</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Procollagen type 1 amino-terminal propeptide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PD</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Pharmacodynamics</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PDLC</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Pre-defined limit of change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P-gp</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P-glycoprotein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PK</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Pharmacokinetic</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PO</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Per os</w:t>
            </w:r>
            <w:r>
              <w:t xml:space="preserve"> (oral)</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popPK</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Population pharmacokinetic</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PPAS</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Per protocol analysis set</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PPG</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Post-prandial glucose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imesNewRoman"/>
              </w:rPr>
            </w:pPr>
            <w:r w:rsidRPr="004D575B">
              <w:rPr>
                <w:rFonts w:eastAsia="TimesNewRoman"/>
              </w:rPr>
              <w:t>Q/F</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t>Apparent inter-compartmental clearance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QD</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Once daily</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QT</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Time from the start of the Q wave to the end of the T wave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imesNewRoman"/>
              </w:rPr>
            </w:pPr>
            <w:r w:rsidRPr="004D575B">
              <w:rPr>
                <w:rFonts w:eastAsia="TimesNewRoman"/>
              </w:rPr>
              <w:t>QTc</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QT interval corrected for heart rate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imesNewRoman"/>
              </w:rPr>
            </w:pPr>
            <w:r w:rsidRPr="004D575B">
              <w:rPr>
                <w:rFonts w:eastAsia="TimesNewRoman"/>
              </w:rPr>
              <w:t>RAAS</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Renin-angiotensin-aldosterone system</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rPr>
                <w:rFonts w:eastAsia="TimesNewRoman"/>
              </w:rPr>
              <w:t>Rac</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Observed accumulation ratio</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RNA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Ribonucleic acid</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RTG</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Renal threshold for glucose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SA</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color w:val="000000"/>
              </w:rPr>
              <w:t>Specific activity</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SAE</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Serious adverse event</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SBP</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Systolic blood pressure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SD</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Standard deviation</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heme="minorHAnsi"/>
              </w:rPr>
            </w:pPr>
            <w:r w:rsidRPr="004D575B">
              <w:rPr>
                <w:rFonts w:eastAsiaTheme="minorHAnsi"/>
              </w:rPr>
              <w:t>SGLT1</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Sodium-glucose co-transporter 1</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rPr>
                <w:rFonts w:eastAsia="TimesNewRoman"/>
              </w:rPr>
              <w:t>SGLT2</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Sodium glucose co-transporter 2</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SOC</w:t>
            </w:r>
          </w:p>
        </w:tc>
        <w:tc>
          <w:tcPr>
            <w:tcW w:w="6770" w:type="dxa"/>
          </w:tcPr>
          <w:p w:rsidR="008A3933" w:rsidRPr="004D575B" w:rsidRDefault="008A3933" w:rsidP="008348EB">
            <w:pPr>
              <w:cnfStyle w:val="000000000000" w:firstRow="0" w:lastRow="0" w:firstColumn="0" w:lastColumn="0" w:oddVBand="0" w:evenVBand="0" w:oddHBand="0" w:evenHBand="0" w:firstRowFirstColumn="0" w:firstRowLastColumn="0" w:lastRowFirstColumn="0" w:lastRowLastColumn="0"/>
            </w:pPr>
            <w:r w:rsidRPr="004D575B">
              <w:t xml:space="preserve">System </w:t>
            </w:r>
            <w:r w:rsidR="008348EB">
              <w:t>O</w:t>
            </w:r>
            <w:r w:rsidR="008348EB" w:rsidRPr="004D575B">
              <w:t xml:space="preserve">rgan </w:t>
            </w:r>
            <w:r w:rsidR="008348EB">
              <w:t>C</w:t>
            </w:r>
            <w:r w:rsidRPr="004D575B">
              <w:t>lass</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t>SU</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t>Sulfonylurea</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lastRenderedPageBreak/>
              <w:t>t</w:t>
            </w:r>
            <w:r w:rsidRPr="00E700A6">
              <w:rPr>
                <w:vertAlign w:val="subscript"/>
              </w:rPr>
              <w:t>1/2</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Terminal half-life</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T2DM</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rPr>
                <w:rFonts w:eastAsia="TimesNewRoman"/>
              </w:rPr>
              <w:t>Type 2 diabetes mellitus</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TEAE</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Treatment-emergent adverse event</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TECOS</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Trial Evaluating Cardiovascular Outcomes with Sitagliptin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t>T</w:t>
            </w:r>
            <w:r w:rsidRPr="00E700A6">
              <w:rPr>
                <w:vertAlign w:val="subscript"/>
              </w:rPr>
              <w:t>max</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 xml:space="preserve">Time for </w:t>
            </w:r>
            <w:r>
              <w:rPr>
                <w:rFonts w:eastAsia="TimesNewRoman"/>
              </w:rPr>
              <w:t>C</w:t>
            </w:r>
            <w:r w:rsidRPr="00BE2BC8">
              <w:rPr>
                <w:rFonts w:eastAsia="TimesNewRoman"/>
                <w:vertAlign w:val="subscript"/>
              </w:rPr>
              <w:t>max</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t>UGE</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rPr>
                <w:rFonts w:eastAsia="TimesNewRoman"/>
              </w:rPr>
              <w:t>Urinary glucose excretion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imesNewRoman"/>
              </w:rPr>
            </w:pPr>
            <w:r>
              <w:t>UGE</w:t>
            </w:r>
            <w:r w:rsidRPr="00731A2E">
              <w:rPr>
                <w:vertAlign w:val="subscript"/>
              </w:rPr>
              <w:t>0-24</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sidRPr="004D575B">
              <w:t xml:space="preserve">Cumulative </w:t>
            </w:r>
            <w:r w:rsidRPr="004D575B">
              <w:rPr>
                <w:rFonts w:eastAsia="TimesNewRoman"/>
              </w:rPr>
              <w:t xml:space="preserve">urinary glucose excretion over 24 </w:t>
            </w:r>
            <w:r>
              <w:rPr>
                <w:rFonts w:eastAsia="TimesNewRoman"/>
              </w:rPr>
              <w:t>h</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UGT</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Uridine 5’-diphospho-glucuronosyltransferase</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UK</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United Kingdom</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ULN</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U</w:t>
            </w:r>
            <w:r w:rsidRPr="004D575B">
              <w:rPr>
                <w:rFonts w:eastAsiaTheme="minorHAnsi"/>
              </w:rPr>
              <w:t>pper limit of normal</w:t>
            </w:r>
          </w:p>
        </w:tc>
      </w:tr>
      <w:tr w:rsidR="008A3933" w:rsidRPr="004D575B"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03C18" w:rsidP="00FC39EE">
            <w:pPr>
              <w:rPr>
                <w:rFonts w:eastAsiaTheme="minorHAnsi"/>
              </w:rPr>
            </w:pPr>
            <w:r>
              <w:rPr>
                <w:rFonts w:eastAsiaTheme="minorHAnsi"/>
              </w:rPr>
              <w:t>US</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heme="minorHAnsi"/>
              </w:rPr>
            </w:pPr>
            <w:r w:rsidRPr="004D575B">
              <w:rPr>
                <w:rFonts w:eastAsiaTheme="minorHAnsi"/>
              </w:rPr>
              <w:t>United States</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pPr>
              <w:rPr>
                <w:rFonts w:eastAsia="TimesNewRoman"/>
              </w:rPr>
            </w:pPr>
            <w:r w:rsidRPr="004D575B">
              <w:rPr>
                <w:rFonts w:eastAsia="TimesNewRoman"/>
              </w:rPr>
              <w:t>Vc/F</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rPr>
                <w:rFonts w:eastAsia="TimesNewRoman"/>
              </w:rPr>
            </w:pPr>
            <w:r w:rsidRPr="004D575B">
              <w:t>Apparent Central Volume Of Distribution</w:t>
            </w:r>
          </w:p>
        </w:tc>
      </w:tr>
      <w:tr w:rsidR="008A3933" w:rsidRPr="00F614F6" w:rsidTr="00FC39EE">
        <w:tc>
          <w:tcPr>
            <w:cnfStyle w:val="001000000000" w:firstRow="0" w:lastRow="0" w:firstColumn="1" w:lastColumn="0" w:oddVBand="0" w:evenVBand="0" w:oddHBand="0" w:evenHBand="0" w:firstRowFirstColumn="0" w:firstRowLastColumn="0" w:lastRowFirstColumn="0" w:lastRowLastColumn="0"/>
            <w:tcW w:w="1950" w:type="dxa"/>
          </w:tcPr>
          <w:p w:rsidR="008A3933" w:rsidRPr="004D575B" w:rsidRDefault="008A3933" w:rsidP="00FC39EE">
            <w:r w:rsidRPr="004D575B">
              <w:rPr>
                <w:rFonts w:eastAsia="TimesNewRoman"/>
              </w:rPr>
              <w:t>Vz/F (oral)</w:t>
            </w:r>
          </w:p>
        </w:tc>
        <w:tc>
          <w:tcPr>
            <w:tcW w:w="6770" w:type="dxa"/>
          </w:tcPr>
          <w:p w:rsidR="008A3933" w:rsidRPr="004D575B" w:rsidRDefault="008A3933" w:rsidP="00FC39EE">
            <w:pPr>
              <w:cnfStyle w:val="000000000000" w:firstRow="0" w:lastRow="0" w:firstColumn="0" w:lastColumn="0" w:oddVBand="0" w:evenVBand="0" w:oddHBand="0" w:evenHBand="0" w:firstRowFirstColumn="0" w:firstRowLastColumn="0" w:lastRowFirstColumn="0" w:lastRowLastColumn="0"/>
            </w:pPr>
            <w:r>
              <w:rPr>
                <w:rFonts w:eastAsia="TimesNewRoman"/>
              </w:rPr>
              <w:t>A</w:t>
            </w:r>
            <w:r w:rsidRPr="004D575B">
              <w:rPr>
                <w:rFonts w:eastAsia="TimesNewRoman"/>
              </w:rPr>
              <w:t>pparent volume of distribution following oral administration</w:t>
            </w:r>
          </w:p>
        </w:tc>
      </w:tr>
    </w:tbl>
    <w:p w:rsidR="002E5CF1" w:rsidRPr="00482097" w:rsidRDefault="002E5CF1" w:rsidP="002E5CF1">
      <w:pPr>
        <w:rPr>
          <w:rFonts w:asciiTheme="minorHAnsi" w:hAnsiTheme="minorHAnsi"/>
          <w:lang w:eastAsia="ja-JP"/>
        </w:rPr>
      </w:pPr>
      <w:bookmarkStart w:id="6" w:name="_Toc351718900"/>
      <w:bookmarkStart w:id="7" w:name="_Toc355338635"/>
      <w:r w:rsidRPr="00482097">
        <w:rPr>
          <w:rFonts w:asciiTheme="minorHAnsi" w:hAnsiTheme="minorHAnsi"/>
        </w:rPr>
        <w:br w:type="page"/>
      </w:r>
    </w:p>
    <w:p w:rsidR="002E5CF1" w:rsidRPr="002E2E9A" w:rsidRDefault="002E5CF1" w:rsidP="000778F7">
      <w:pPr>
        <w:pStyle w:val="Heading2"/>
      </w:pPr>
      <w:bookmarkStart w:id="8" w:name="_Toc504038098"/>
      <w:bookmarkStart w:id="9" w:name="_Toc4489174"/>
      <w:r w:rsidRPr="002E2E9A">
        <w:lastRenderedPageBreak/>
        <w:t>Submission details</w:t>
      </w:r>
      <w:bookmarkEnd w:id="8"/>
      <w:bookmarkEnd w:id="9"/>
    </w:p>
    <w:p w:rsidR="002E5CF1" w:rsidRPr="00216A4C" w:rsidRDefault="002E5CF1" w:rsidP="000778F7">
      <w:pPr>
        <w:pStyle w:val="Heading3"/>
      </w:pPr>
      <w:bookmarkStart w:id="10" w:name="_Toc504038100"/>
      <w:bookmarkStart w:id="11" w:name="_Toc4489175"/>
      <w:r w:rsidRPr="00216A4C">
        <w:t>Submission Type</w:t>
      </w:r>
      <w:bookmarkEnd w:id="10"/>
      <w:bookmarkEnd w:id="11"/>
    </w:p>
    <w:p w:rsidR="002E5CF1" w:rsidRPr="00594F55" w:rsidRDefault="002E5CF1" w:rsidP="00803C18">
      <w:r>
        <w:t xml:space="preserve">This is an </w:t>
      </w:r>
      <w:r w:rsidRPr="00594F55">
        <w:t xml:space="preserve">application to register ertugliflozin </w:t>
      </w:r>
      <w:r w:rsidR="00803C18">
        <w:t>film coated</w:t>
      </w:r>
      <w:r w:rsidRPr="00594F55">
        <w:t xml:space="preserve"> tablets (</w:t>
      </w:r>
      <w:r>
        <w:t>5 mg</w:t>
      </w:r>
      <w:r w:rsidRPr="00594F55">
        <w:t xml:space="preserve"> and 1</w:t>
      </w:r>
      <w:r>
        <w:t>5 mg</w:t>
      </w:r>
      <w:r w:rsidRPr="00594F55">
        <w:t xml:space="preserve">) for the treatment of </w:t>
      </w:r>
      <w:r w:rsidR="000C6FC8">
        <w:t>t</w:t>
      </w:r>
      <w:r w:rsidR="008348EB">
        <w:t xml:space="preserve">ype </w:t>
      </w:r>
      <w:r w:rsidR="00803C18">
        <w:t>2 Mellitus (T2DM).</w:t>
      </w:r>
    </w:p>
    <w:p w:rsidR="002E5CF1" w:rsidRPr="00594F55" w:rsidRDefault="002E5CF1" w:rsidP="000778F7">
      <w:pPr>
        <w:pStyle w:val="Heading3"/>
      </w:pPr>
      <w:bookmarkStart w:id="12" w:name="_Toc504038101"/>
      <w:bookmarkStart w:id="13" w:name="_Toc4489176"/>
      <w:r w:rsidRPr="00594F55">
        <w:t>Drug class and therapeutic indication</w:t>
      </w:r>
      <w:bookmarkEnd w:id="12"/>
      <w:bookmarkEnd w:id="13"/>
    </w:p>
    <w:p w:rsidR="002E5CF1" w:rsidRPr="00594F55" w:rsidRDefault="002E5CF1" w:rsidP="00803C18">
      <w:r w:rsidRPr="00594F55">
        <w:t xml:space="preserve">Ertugliflozin is an oral, selective inhibitor of sodium glucose co-transporter-2 (SGLT2) which inhibits renal glucose reabsorption and results in urinary glucose excretion (UGE) and reductions in plasma glucose and haemoglobin </w:t>
      </w:r>
      <w:proofErr w:type="gramStart"/>
      <w:r w:rsidRPr="00594F55">
        <w:t>A1c</w:t>
      </w:r>
      <w:proofErr w:type="gramEnd"/>
      <w:r w:rsidRPr="00594F55">
        <w:t xml:space="preserve"> (</w:t>
      </w:r>
      <w:r>
        <w:t>HbA1c</w:t>
      </w:r>
      <w:r w:rsidRPr="00594F55">
        <w:t>) in patients with T2DM. It possesses a high selectivity for SGLT2 versus SGLT1 and other glucose transporters (</w:t>
      </w:r>
      <w:r>
        <w:t>GLUT1-4</w:t>
      </w:r>
      <w:r w:rsidRPr="00594F55">
        <w:t>).</w:t>
      </w:r>
    </w:p>
    <w:p w:rsidR="00803C18" w:rsidRDefault="002E5CF1" w:rsidP="00803C18">
      <w:r w:rsidRPr="00594F55">
        <w:t>The proposed indication</w:t>
      </w:r>
      <w:r w:rsidR="00803C18">
        <w:t xml:space="preserve"> is:</w:t>
      </w:r>
    </w:p>
    <w:p w:rsidR="002E5CF1" w:rsidRPr="00803C18" w:rsidRDefault="002E5CF1" w:rsidP="00803C18">
      <w:pPr>
        <w:ind w:left="720"/>
        <w:rPr>
          <w:i/>
        </w:rPr>
      </w:pPr>
      <w:r>
        <w:t>‘</w:t>
      </w:r>
      <w:r w:rsidRPr="00803C18">
        <w:rPr>
          <w:i/>
        </w:rPr>
        <w:t>Steglatro (ertugliflozin) is indicated as an adjunct to diet and exercise to improve glycaemic control in adults with type 2 diabetes mellitus as monotherapy when metformin is considered inappropriate due to intolerance or in combination with other anti-hyperglycaemic agents.’</w:t>
      </w:r>
    </w:p>
    <w:p w:rsidR="002E5CF1" w:rsidRDefault="002E5CF1" w:rsidP="000778F7">
      <w:pPr>
        <w:pStyle w:val="Heading3"/>
      </w:pPr>
      <w:bookmarkStart w:id="14" w:name="_Toc504038102"/>
      <w:bookmarkStart w:id="15" w:name="_Toc4489177"/>
      <w:r>
        <w:t xml:space="preserve">Dosage forms and </w:t>
      </w:r>
      <w:r w:rsidRPr="007B020B">
        <w:t>strengths</w:t>
      </w:r>
      <w:bookmarkEnd w:id="14"/>
      <w:bookmarkEnd w:id="15"/>
    </w:p>
    <w:p w:rsidR="002E5CF1" w:rsidRPr="00DA65F0" w:rsidRDefault="002E5CF1" w:rsidP="00803C18">
      <w:r>
        <w:t>Steglatro</w:t>
      </w:r>
      <w:r w:rsidRPr="00DA65F0">
        <w:t xml:space="preserve"> 5 mg tablets are pink, triangular-shaped, </w:t>
      </w:r>
      <w:r w:rsidR="00803C18">
        <w:t>film coated</w:t>
      </w:r>
      <w:r w:rsidRPr="00DA65F0">
        <w:t xml:space="preserve"> tablets debossed with</w:t>
      </w:r>
      <w:r>
        <w:t xml:space="preserve"> ‘</w:t>
      </w:r>
      <w:r w:rsidRPr="00DA65F0">
        <w:t>701</w:t>
      </w:r>
      <w:r>
        <w:t>’</w:t>
      </w:r>
      <w:r w:rsidRPr="00DA65F0">
        <w:t xml:space="preserve"> on one side and plain on the other side. Available in aluminium/aluminium blister</w:t>
      </w:r>
      <w:r>
        <w:t xml:space="preserve"> </w:t>
      </w:r>
      <w:r w:rsidRPr="00DA65F0">
        <w:t>packs of 7 tablets (starter packs) and 28 tablets.</w:t>
      </w:r>
    </w:p>
    <w:p w:rsidR="002E5CF1" w:rsidRPr="00DA65F0" w:rsidRDefault="002E5CF1" w:rsidP="00803C18">
      <w:pPr>
        <w:rPr>
          <w:lang w:eastAsia="ja-JP"/>
        </w:rPr>
      </w:pPr>
      <w:r>
        <w:t>Steglatro</w:t>
      </w:r>
      <w:r w:rsidRPr="00DA65F0">
        <w:t xml:space="preserve"> 15 mg tablets are red, triangular-shaped, </w:t>
      </w:r>
      <w:r w:rsidR="00803C18">
        <w:t>film coated</w:t>
      </w:r>
      <w:r w:rsidRPr="00DA65F0">
        <w:t xml:space="preserve"> tablets debossed with</w:t>
      </w:r>
      <w:r>
        <w:t xml:space="preserve"> ‘</w:t>
      </w:r>
      <w:r w:rsidRPr="00DA65F0">
        <w:t>702</w:t>
      </w:r>
      <w:r>
        <w:t>’</w:t>
      </w:r>
      <w:r w:rsidRPr="00DA65F0">
        <w:t xml:space="preserve"> on one side and plain on the other side. Available in aluminium/aluminium blister</w:t>
      </w:r>
      <w:r>
        <w:t xml:space="preserve"> </w:t>
      </w:r>
      <w:r w:rsidRPr="00DA65F0">
        <w:t>packs of 7 tablets (starter pack) and 28 tablets</w:t>
      </w:r>
      <w:r>
        <w:t>.</w:t>
      </w:r>
    </w:p>
    <w:p w:rsidR="002E5CF1" w:rsidRDefault="002E5CF1" w:rsidP="000778F7">
      <w:pPr>
        <w:pStyle w:val="Heading3"/>
      </w:pPr>
      <w:bookmarkStart w:id="16" w:name="_Toc504038103"/>
      <w:bookmarkStart w:id="17" w:name="_Toc4489178"/>
      <w:r>
        <w:t>Dosage and administration</w:t>
      </w:r>
      <w:bookmarkEnd w:id="16"/>
      <w:bookmarkEnd w:id="17"/>
    </w:p>
    <w:p w:rsidR="002E5CF1" w:rsidRDefault="002E5CF1" w:rsidP="00803C18">
      <w:r w:rsidRPr="000C4B4B">
        <w:t xml:space="preserve">The </w:t>
      </w:r>
      <w:r>
        <w:t>following information was provided in the ‘Dosage and administration’ section of the proposed PI:</w:t>
      </w:r>
    </w:p>
    <w:p w:rsidR="002E5CF1" w:rsidRPr="00DA65F0" w:rsidRDefault="002E5CF1" w:rsidP="00803C18">
      <w:r>
        <w:rPr>
          <w:rFonts w:cs="Arial-BoldItalicMT"/>
          <w:b/>
          <w:bCs/>
          <w:i/>
          <w:iCs/>
        </w:rPr>
        <w:t>‘</w:t>
      </w:r>
      <w:r w:rsidRPr="00DA65F0">
        <w:rPr>
          <w:rFonts w:cs="Arial-BoldItalicMT"/>
          <w:b/>
          <w:bCs/>
          <w:i/>
          <w:iCs/>
        </w:rPr>
        <w:t>General</w:t>
      </w:r>
      <w:r>
        <w:rPr>
          <w:rFonts w:cs="Arial-BoldItalicMT"/>
          <w:b/>
          <w:bCs/>
          <w:i/>
          <w:iCs/>
        </w:rPr>
        <w:t xml:space="preserve">: </w:t>
      </w:r>
      <w:r w:rsidRPr="00DA65F0">
        <w:t xml:space="preserve">The recommended starting dose of </w:t>
      </w:r>
      <w:r>
        <w:t>Steglatro</w:t>
      </w:r>
      <w:r w:rsidRPr="00DA65F0">
        <w:t xml:space="preserve"> is 5 mg once daily, taken in the morning,</w:t>
      </w:r>
      <w:r>
        <w:t xml:space="preserve"> </w:t>
      </w:r>
      <w:r w:rsidRPr="00DA65F0">
        <w:t xml:space="preserve">with or without food. In patients tolerating </w:t>
      </w:r>
      <w:r>
        <w:t>Steglatro</w:t>
      </w:r>
      <w:r w:rsidRPr="00DA65F0">
        <w:t xml:space="preserve"> 5 mg once daily, the dose may be</w:t>
      </w:r>
      <w:r>
        <w:t xml:space="preserve"> </w:t>
      </w:r>
      <w:r w:rsidRPr="00DA65F0">
        <w:t>increased to 15 mg once daily if additional glycaemic control is needed.</w:t>
      </w:r>
      <w:r>
        <w:t xml:space="preserve"> </w:t>
      </w:r>
      <w:r w:rsidRPr="00DA65F0">
        <w:t xml:space="preserve">In patients with volume depletion, correcting this condition prior to initiation of </w:t>
      </w:r>
      <w:r>
        <w:t xml:space="preserve">Steglatro </w:t>
      </w:r>
      <w:r w:rsidRPr="00DA65F0">
        <w:t xml:space="preserve">is recommended </w:t>
      </w:r>
      <w:r w:rsidR="00424310">
        <w:t>(</w:t>
      </w:r>
      <w:r w:rsidRPr="00DA65F0">
        <w:t xml:space="preserve">see </w:t>
      </w:r>
      <w:r>
        <w:t>Precautions</w:t>
      </w:r>
      <w:r w:rsidR="00424310">
        <w:t>)</w:t>
      </w:r>
      <w:r w:rsidRPr="00DA65F0">
        <w:t>.</w:t>
      </w:r>
    </w:p>
    <w:p w:rsidR="002E5CF1" w:rsidRPr="00DA65F0" w:rsidRDefault="002E5CF1" w:rsidP="00803C18">
      <w:r w:rsidRPr="00DA65F0">
        <w:rPr>
          <w:rFonts w:cs="Arial-BoldItalicMT"/>
          <w:b/>
          <w:bCs/>
          <w:i/>
          <w:iCs/>
        </w:rPr>
        <w:t>Renal Impairment</w:t>
      </w:r>
      <w:r>
        <w:rPr>
          <w:rFonts w:cs="Arial-BoldItalicMT"/>
          <w:b/>
          <w:bCs/>
          <w:i/>
          <w:iCs/>
        </w:rPr>
        <w:t xml:space="preserve">: </w:t>
      </w:r>
      <w:r w:rsidRPr="00DA65F0">
        <w:t xml:space="preserve">Assessment of renal function is recommended prior to initiation of </w:t>
      </w:r>
      <w:r>
        <w:t>Steglatro</w:t>
      </w:r>
      <w:r w:rsidRPr="00DA65F0">
        <w:t xml:space="preserve"> and</w:t>
      </w:r>
      <w:r>
        <w:t xml:space="preserve"> </w:t>
      </w:r>
      <w:r w:rsidRPr="00DA65F0">
        <w:t xml:space="preserve">periodically thereafter </w:t>
      </w:r>
      <w:r w:rsidR="00424310">
        <w:t>(</w:t>
      </w:r>
      <w:r w:rsidRPr="00DA65F0">
        <w:t xml:space="preserve">see </w:t>
      </w:r>
      <w:r>
        <w:t>Precautions</w:t>
      </w:r>
      <w:r w:rsidR="00424310">
        <w:t>)</w:t>
      </w:r>
      <w:r w:rsidRPr="00DA65F0">
        <w:t>.</w:t>
      </w:r>
      <w:r>
        <w:t xml:space="preserve"> </w:t>
      </w:r>
      <w:r w:rsidRPr="00DA65F0">
        <w:t xml:space="preserve">Initiation of </w:t>
      </w:r>
      <w:r>
        <w:t>Steglatro</w:t>
      </w:r>
      <w:r w:rsidRPr="00DA65F0">
        <w:t xml:space="preserve"> is not recommended in patients with an eGFR less than</w:t>
      </w:r>
      <w:r>
        <w:t xml:space="preserve"> </w:t>
      </w:r>
      <w:r w:rsidRPr="00DA65F0">
        <w:t>45 mL/min/1.73 m</w:t>
      </w:r>
      <w:r w:rsidRPr="00DA65F0">
        <w:rPr>
          <w:vertAlign w:val="superscript"/>
        </w:rPr>
        <w:t>2</w:t>
      </w:r>
      <w:r w:rsidRPr="00DA65F0">
        <w:t xml:space="preserve"> </w:t>
      </w:r>
      <w:r w:rsidR="00424310">
        <w:t>(</w:t>
      </w:r>
      <w:r w:rsidRPr="00DA65F0">
        <w:t xml:space="preserve">see </w:t>
      </w:r>
      <w:r>
        <w:t>Precautions</w:t>
      </w:r>
      <w:r w:rsidR="00424310">
        <w:t>)</w:t>
      </w:r>
      <w:r w:rsidRPr="00DA65F0">
        <w:t>.</w:t>
      </w:r>
    </w:p>
    <w:p w:rsidR="002E5CF1" w:rsidRPr="00DA65F0" w:rsidRDefault="002E5CF1" w:rsidP="00803C18">
      <w:r w:rsidRPr="00DA65F0">
        <w:t>In patients with an eGFR of 45 to less than 60 mL/min/1.73 m</w:t>
      </w:r>
      <w:r w:rsidRPr="002A406C">
        <w:rPr>
          <w:vertAlign w:val="superscript"/>
        </w:rPr>
        <w:t>2</w:t>
      </w:r>
      <w:r w:rsidRPr="00DA65F0">
        <w:t xml:space="preserve"> and tolerating </w:t>
      </w:r>
      <w:r>
        <w:t xml:space="preserve">Steglatro </w:t>
      </w:r>
      <w:r w:rsidRPr="00DA65F0">
        <w:t xml:space="preserve">5 mg, titrate to </w:t>
      </w:r>
      <w:r>
        <w:t>Steglatro</w:t>
      </w:r>
      <w:r w:rsidRPr="00DA65F0">
        <w:t xml:space="preserve"> 15 mg once daily as 15 mg provided clinically meaningful</w:t>
      </w:r>
      <w:r>
        <w:t xml:space="preserve"> </w:t>
      </w:r>
      <w:r w:rsidRPr="00DA65F0">
        <w:t>reductions in HbA1c.</w:t>
      </w:r>
      <w:r>
        <w:t xml:space="preserve"> </w:t>
      </w:r>
      <w:r w:rsidRPr="00DA65F0">
        <w:t xml:space="preserve">Use of </w:t>
      </w:r>
      <w:r>
        <w:t>Steglatro</w:t>
      </w:r>
      <w:r w:rsidRPr="00DA65F0">
        <w:t xml:space="preserve"> is not recommended in patients with eGFR persistently less than</w:t>
      </w:r>
      <w:r>
        <w:t xml:space="preserve"> </w:t>
      </w:r>
      <w:r w:rsidRPr="00DA65F0">
        <w:t>45</w:t>
      </w:r>
      <w:r w:rsidR="008348EB">
        <w:t> </w:t>
      </w:r>
      <w:r w:rsidRPr="00DA65F0">
        <w:t>mL/min/1.73 m</w:t>
      </w:r>
      <w:r w:rsidRPr="00DA65F0">
        <w:rPr>
          <w:vertAlign w:val="superscript"/>
        </w:rPr>
        <w:t>2</w:t>
      </w:r>
      <w:r w:rsidRPr="00DA65F0">
        <w:t>.</w:t>
      </w:r>
    </w:p>
    <w:p w:rsidR="002E5CF1" w:rsidRDefault="002E5CF1" w:rsidP="00803C18">
      <w:r w:rsidRPr="00DA65F0">
        <w:rPr>
          <w:rFonts w:cs="Arial-BoldItalicMT"/>
          <w:b/>
          <w:bCs/>
          <w:i/>
          <w:iCs/>
        </w:rPr>
        <w:t>Hepatic Impairment</w:t>
      </w:r>
      <w:r>
        <w:rPr>
          <w:rFonts w:cs="Arial-BoldItalicMT"/>
          <w:b/>
          <w:bCs/>
          <w:i/>
          <w:iCs/>
        </w:rPr>
        <w:t xml:space="preserve">: </w:t>
      </w:r>
      <w:r w:rsidRPr="00DA65F0">
        <w:t xml:space="preserve">No dosage adjustment of </w:t>
      </w:r>
      <w:r>
        <w:t>Steglatro</w:t>
      </w:r>
      <w:r w:rsidRPr="00DA65F0">
        <w:t xml:space="preserve"> is necessary in patients with mild or moderate</w:t>
      </w:r>
      <w:r>
        <w:t xml:space="preserve"> </w:t>
      </w:r>
      <w:r w:rsidRPr="00DA65F0">
        <w:t xml:space="preserve">hepatic impairment. Benefit-risk for the use of </w:t>
      </w:r>
      <w:r>
        <w:t>Steglatro</w:t>
      </w:r>
      <w:r w:rsidRPr="00DA65F0">
        <w:t xml:space="preserve"> in patients with severe hepatic</w:t>
      </w:r>
      <w:r>
        <w:t xml:space="preserve"> </w:t>
      </w:r>
      <w:r w:rsidRPr="00DA65F0">
        <w:t xml:space="preserve">impairment should be individually assessed since </w:t>
      </w:r>
      <w:r>
        <w:t>Steglatro</w:t>
      </w:r>
      <w:r w:rsidRPr="00DA65F0">
        <w:t xml:space="preserve"> has not been specifically</w:t>
      </w:r>
      <w:r>
        <w:t xml:space="preserve"> </w:t>
      </w:r>
      <w:r w:rsidRPr="00DA65F0">
        <w:t>studied in this population.</w:t>
      </w:r>
    </w:p>
    <w:p w:rsidR="002E5CF1" w:rsidRPr="00DA65F0" w:rsidRDefault="002E5CF1" w:rsidP="00803C18">
      <w:r w:rsidRPr="00DA65F0">
        <w:rPr>
          <w:rFonts w:cs="Arial-BoldItalicMT"/>
          <w:b/>
          <w:bCs/>
          <w:i/>
          <w:iCs/>
        </w:rPr>
        <w:lastRenderedPageBreak/>
        <w:t>Paediatric Population</w:t>
      </w:r>
      <w:r>
        <w:rPr>
          <w:rFonts w:cs="Arial-BoldItalicMT"/>
          <w:b/>
          <w:bCs/>
          <w:i/>
          <w:iCs/>
        </w:rPr>
        <w:t xml:space="preserve">: </w:t>
      </w:r>
      <w:r w:rsidRPr="00DA65F0">
        <w:t xml:space="preserve">Safety and effectiveness of </w:t>
      </w:r>
      <w:r>
        <w:t>Steglatro</w:t>
      </w:r>
      <w:r w:rsidRPr="00DA65F0">
        <w:t xml:space="preserve"> in paediatric patients under 18</w:t>
      </w:r>
      <w:r w:rsidR="008348EB">
        <w:t> </w:t>
      </w:r>
      <w:r w:rsidRPr="00DA65F0">
        <w:t>years of age have</w:t>
      </w:r>
      <w:r>
        <w:t xml:space="preserve"> </w:t>
      </w:r>
      <w:r w:rsidRPr="00DA65F0">
        <w:t>not been established.</w:t>
      </w:r>
    </w:p>
    <w:p w:rsidR="002E5CF1" w:rsidRDefault="002E5CF1" w:rsidP="00803C18">
      <w:r w:rsidRPr="00DA65F0">
        <w:rPr>
          <w:rFonts w:cs="Arial-BoldItalicMT"/>
          <w:b/>
          <w:bCs/>
          <w:i/>
          <w:iCs/>
        </w:rPr>
        <w:t>Elderly</w:t>
      </w:r>
      <w:r>
        <w:rPr>
          <w:rFonts w:cs="Arial-BoldItalicMT"/>
          <w:b/>
          <w:bCs/>
          <w:i/>
          <w:iCs/>
        </w:rPr>
        <w:t xml:space="preserve">: </w:t>
      </w:r>
      <w:r w:rsidRPr="00DA65F0">
        <w:t xml:space="preserve">No dosage adjustment of </w:t>
      </w:r>
      <w:r>
        <w:t>Steglatro</w:t>
      </w:r>
      <w:r w:rsidRPr="00DA65F0">
        <w:t xml:space="preserve"> is recommended based on age.</w:t>
      </w:r>
      <w:r>
        <w:t>’</w:t>
      </w:r>
    </w:p>
    <w:p w:rsidR="002E5CF1" w:rsidRDefault="002E5CF1" w:rsidP="000778F7">
      <w:pPr>
        <w:pStyle w:val="Heading2"/>
      </w:pPr>
      <w:bookmarkStart w:id="18" w:name="_Toc504038105"/>
      <w:bookmarkStart w:id="19" w:name="_Toc4489179"/>
      <w:r>
        <w:t>Background</w:t>
      </w:r>
      <w:bookmarkEnd w:id="18"/>
      <w:bookmarkEnd w:id="19"/>
    </w:p>
    <w:p w:rsidR="002E5CF1" w:rsidRDefault="002E5CF1" w:rsidP="000778F7">
      <w:pPr>
        <w:pStyle w:val="Heading3"/>
      </w:pPr>
      <w:bookmarkStart w:id="20" w:name="_Toc504038106"/>
      <w:bookmarkStart w:id="21" w:name="_Toc4489180"/>
      <w:r w:rsidRPr="00E709B3">
        <w:t>Information on the condition being treated</w:t>
      </w:r>
      <w:bookmarkEnd w:id="20"/>
      <w:bookmarkEnd w:id="21"/>
    </w:p>
    <w:p w:rsidR="002E5CF1" w:rsidRPr="002A406C" w:rsidRDefault="002E5CF1" w:rsidP="00803C18">
      <w:pPr>
        <w:rPr>
          <w:color w:val="000000"/>
        </w:rPr>
      </w:pPr>
      <w:r w:rsidRPr="008C2EA4">
        <w:t>The increasing worldwide prevalence of T2DM, along with its microvascular and</w:t>
      </w:r>
      <w:r>
        <w:t xml:space="preserve"> </w:t>
      </w:r>
      <w:r w:rsidRPr="008C2EA4">
        <w:t>macrovascular complications, is a major health issue and poses an increasing burden to</w:t>
      </w:r>
      <w:r>
        <w:t xml:space="preserve"> </w:t>
      </w:r>
      <w:r w:rsidRPr="008C2EA4">
        <w:t>health care systems around the world. The worldwide prevalence of diabetes in adults is expected to increase from 8.8% in 2015 (approximately</w:t>
      </w:r>
      <w:r>
        <w:t xml:space="preserve"> </w:t>
      </w:r>
      <w:r w:rsidRPr="008C2EA4">
        <w:t xml:space="preserve">415 million people) to an estimated 10.4% (642 million people) by </w:t>
      </w:r>
      <w:r w:rsidRPr="002A406C">
        <w:t>2040; this represents a 55% increase in the number of people with diabetes relative to 2015</w:t>
      </w:r>
      <w:r w:rsidR="00803C18">
        <w:t>.</w:t>
      </w:r>
      <w:r w:rsidRPr="002A406C">
        <w:rPr>
          <w:rStyle w:val="FootnoteReference"/>
          <w:rFonts w:asciiTheme="minorHAnsi" w:eastAsia="TimesNewRoman" w:hAnsiTheme="minorHAnsi" w:cs="TimesNewRoman"/>
        </w:rPr>
        <w:footnoteReference w:id="1"/>
      </w:r>
      <w:r w:rsidRPr="002A406C">
        <w:rPr>
          <w:rFonts w:eastAsiaTheme="minorHAnsi" w:cs="TimesNewRomanPSMT"/>
        </w:rPr>
        <w:t xml:space="preserve"> There are 1.7 million Australians with diabetes (85% of these have T2DM)</w:t>
      </w:r>
      <w:r w:rsidR="00803C18">
        <w:rPr>
          <w:rFonts w:eastAsiaTheme="minorHAnsi" w:cs="TimesNewRomanPSMT"/>
        </w:rPr>
        <w:t>.</w:t>
      </w:r>
      <w:r w:rsidRPr="002A406C">
        <w:rPr>
          <w:rStyle w:val="FootnoteReference"/>
          <w:rFonts w:asciiTheme="minorHAnsi" w:eastAsiaTheme="minorHAnsi" w:hAnsiTheme="minorHAnsi" w:cs="TimesNewRomanPSMT"/>
        </w:rPr>
        <w:footnoteReference w:id="2"/>
      </w:r>
      <w:r w:rsidRPr="002A406C">
        <w:rPr>
          <w:rFonts w:eastAsiaTheme="minorHAnsi" w:cs="TimesNewRomanPSMT"/>
        </w:rPr>
        <w:t xml:space="preserve"> Type 2 diabetes is associated with reduced life expectancy, significant morbidity due to the specific diabetes related microvascular complications (retinopathy, nephropathy and</w:t>
      </w:r>
      <w:r>
        <w:rPr>
          <w:rFonts w:eastAsiaTheme="minorHAnsi" w:cs="TimesNewRomanPSMT"/>
        </w:rPr>
        <w:t xml:space="preserve"> </w:t>
      </w:r>
      <w:r w:rsidRPr="002A406C">
        <w:rPr>
          <w:rFonts w:eastAsiaTheme="minorHAnsi" w:cs="TimesNewRomanPSMT"/>
        </w:rPr>
        <w:t>neuropathy), and the increased risk of macrovascular complications (ischemic heart disease,</w:t>
      </w:r>
      <w:r>
        <w:rPr>
          <w:rFonts w:eastAsiaTheme="minorHAnsi" w:cs="TimesNewRomanPSMT"/>
        </w:rPr>
        <w:t xml:space="preserve"> </w:t>
      </w:r>
      <w:r w:rsidRPr="002A406C">
        <w:rPr>
          <w:rFonts w:eastAsiaTheme="minorHAnsi" w:cs="TimesNewRomanPSMT"/>
        </w:rPr>
        <w:t>stroke and peripheral vascular disease). The development of these complications impacts on</w:t>
      </w:r>
      <w:r>
        <w:rPr>
          <w:rFonts w:eastAsiaTheme="minorHAnsi" w:cs="TimesNewRomanPSMT"/>
        </w:rPr>
        <w:t xml:space="preserve"> </w:t>
      </w:r>
      <w:r w:rsidRPr="002A406C">
        <w:rPr>
          <w:rFonts w:eastAsiaTheme="minorHAnsi" w:cs="TimesNewRomanPSMT"/>
        </w:rPr>
        <w:t>quality of life.</w:t>
      </w:r>
    </w:p>
    <w:p w:rsidR="002E5CF1" w:rsidRPr="00542A99" w:rsidRDefault="002E5CF1" w:rsidP="00803C18">
      <w:pPr>
        <w:rPr>
          <w:color w:val="000000"/>
        </w:rPr>
      </w:pPr>
      <w:r w:rsidRPr="00542A99">
        <w:rPr>
          <w:color w:val="000000"/>
        </w:rPr>
        <w:t>Multiple pathophysiologic deficits contribute to hyperglycaemia in patients with T2DM</w:t>
      </w:r>
      <w:r>
        <w:rPr>
          <w:color w:val="000000"/>
        </w:rPr>
        <w:t xml:space="preserve">. </w:t>
      </w:r>
      <w:r w:rsidRPr="00542A99">
        <w:rPr>
          <w:color w:val="000000"/>
        </w:rPr>
        <w:t xml:space="preserve">Insulin resistance in muscle and liver as well as </w:t>
      </w:r>
      <w:r>
        <w:rPr>
          <w:color w:val="000000"/>
        </w:rPr>
        <w:t>beta</w:t>
      </w:r>
      <w:r w:rsidRPr="00542A99">
        <w:rPr>
          <w:color w:val="000000"/>
        </w:rPr>
        <w:t>-cell failure represent</w:t>
      </w:r>
      <w:r>
        <w:rPr>
          <w:color w:val="000000"/>
        </w:rPr>
        <w:t xml:space="preserve"> </w:t>
      </w:r>
      <w:r w:rsidRPr="00542A99">
        <w:rPr>
          <w:color w:val="000000"/>
        </w:rPr>
        <w:t>the core pathophysiologic defects in T2DM. Approximately 85% of patients with T2DM are</w:t>
      </w:r>
      <w:r>
        <w:rPr>
          <w:color w:val="000000"/>
        </w:rPr>
        <w:t xml:space="preserve"> </w:t>
      </w:r>
      <w:r w:rsidRPr="00542A99">
        <w:rPr>
          <w:color w:val="000000"/>
        </w:rPr>
        <w:t>obese or overweight, a key factor underlying the development and maintenance of insulin</w:t>
      </w:r>
      <w:r>
        <w:rPr>
          <w:color w:val="000000"/>
        </w:rPr>
        <w:t xml:space="preserve"> </w:t>
      </w:r>
      <w:r w:rsidRPr="00542A99">
        <w:rPr>
          <w:color w:val="000000"/>
        </w:rPr>
        <w:t>resistance. In addition to muscle and liver, the kidney also plays a key role in glucose homeostasis.</w:t>
      </w:r>
      <w:r>
        <w:rPr>
          <w:color w:val="000000"/>
        </w:rPr>
        <w:t xml:space="preserve"> </w:t>
      </w:r>
      <w:r w:rsidRPr="00542A99">
        <w:rPr>
          <w:color w:val="000000"/>
        </w:rPr>
        <w:t>Under normal physiologic conditions, the kidney reabsorbs all of the glucose from the</w:t>
      </w:r>
      <w:r>
        <w:rPr>
          <w:color w:val="000000"/>
        </w:rPr>
        <w:t xml:space="preserve"> </w:t>
      </w:r>
      <w:r w:rsidRPr="00542A99">
        <w:rPr>
          <w:color w:val="000000"/>
        </w:rPr>
        <w:t>glomerular filtrate, and returns it to the blood. The SGLT2 protein, which is primarily</w:t>
      </w:r>
      <w:r>
        <w:rPr>
          <w:color w:val="000000"/>
        </w:rPr>
        <w:t xml:space="preserve"> </w:t>
      </w:r>
      <w:r w:rsidRPr="00542A99">
        <w:rPr>
          <w:color w:val="000000"/>
        </w:rPr>
        <w:t>expressed in the renal proximal tubules, is responsible for approximately 90% of the</w:t>
      </w:r>
      <w:r>
        <w:rPr>
          <w:color w:val="000000"/>
        </w:rPr>
        <w:t xml:space="preserve"> </w:t>
      </w:r>
      <w:r w:rsidRPr="00542A99">
        <w:rPr>
          <w:color w:val="000000"/>
        </w:rPr>
        <w:t>reabsorption of glucose filtered through the glomerulus. Filtered glucose is completely</w:t>
      </w:r>
      <w:r>
        <w:rPr>
          <w:color w:val="000000"/>
        </w:rPr>
        <w:t xml:space="preserve"> </w:t>
      </w:r>
      <w:r w:rsidRPr="00542A99">
        <w:rPr>
          <w:color w:val="000000"/>
        </w:rPr>
        <w:t>reabsorbed until the transporters reach their maximum capacity, which is called the transport</w:t>
      </w:r>
      <w:r>
        <w:rPr>
          <w:color w:val="000000"/>
        </w:rPr>
        <w:t xml:space="preserve"> </w:t>
      </w:r>
      <w:r w:rsidRPr="00542A99">
        <w:rPr>
          <w:color w:val="000000"/>
        </w:rPr>
        <w:t>maximum for glucose. The plasma glucose concentration at which this occurs is referred to</w:t>
      </w:r>
      <w:r>
        <w:rPr>
          <w:color w:val="000000"/>
        </w:rPr>
        <w:t xml:space="preserve"> </w:t>
      </w:r>
      <w:r w:rsidRPr="00542A99">
        <w:rPr>
          <w:color w:val="000000"/>
        </w:rPr>
        <w:t>as the renal threshold for glucose (RTG). Above this threshold, UGE increases in proportion</w:t>
      </w:r>
      <w:r>
        <w:rPr>
          <w:color w:val="000000"/>
        </w:rPr>
        <w:t xml:space="preserve"> </w:t>
      </w:r>
      <w:r w:rsidRPr="00542A99">
        <w:rPr>
          <w:color w:val="000000"/>
        </w:rPr>
        <w:t>to plasma glucose concentrations. In healthy subjects, the RTG is approximately 180 mg/dL</w:t>
      </w:r>
      <w:r>
        <w:rPr>
          <w:color w:val="000000"/>
        </w:rPr>
        <w:t xml:space="preserve"> </w:t>
      </w:r>
      <w:proofErr w:type="gramStart"/>
      <w:r>
        <w:rPr>
          <w:color w:val="000000"/>
        </w:rPr>
        <w:t>(10 mmol/L)</w:t>
      </w:r>
      <w:proofErr w:type="gramEnd"/>
      <w:r w:rsidRPr="00542A99">
        <w:rPr>
          <w:color w:val="000000"/>
        </w:rPr>
        <w:t>.</w:t>
      </w:r>
      <w:r>
        <w:rPr>
          <w:color w:val="000000"/>
        </w:rPr>
        <w:t xml:space="preserve"> </w:t>
      </w:r>
      <w:r w:rsidRPr="00542A99">
        <w:rPr>
          <w:color w:val="000000"/>
        </w:rPr>
        <w:t xml:space="preserve">Patients with diabetes have an increase in the </w:t>
      </w:r>
      <w:r>
        <w:rPr>
          <w:color w:val="000000"/>
        </w:rPr>
        <w:t xml:space="preserve">RTG </w:t>
      </w:r>
      <w:r w:rsidRPr="00542A99">
        <w:rPr>
          <w:color w:val="000000"/>
        </w:rPr>
        <w:t>compared with healthy</w:t>
      </w:r>
      <w:r>
        <w:rPr>
          <w:color w:val="000000"/>
        </w:rPr>
        <w:t xml:space="preserve"> </w:t>
      </w:r>
      <w:r w:rsidRPr="00542A99">
        <w:rPr>
          <w:color w:val="000000"/>
        </w:rPr>
        <w:t>subjects such that glucosuria generally does not occur until plasma glucose values reach</w:t>
      </w:r>
      <w:r>
        <w:rPr>
          <w:color w:val="000000"/>
        </w:rPr>
        <w:t xml:space="preserve"> </w:t>
      </w:r>
      <w:r w:rsidRPr="00542A99">
        <w:rPr>
          <w:color w:val="000000"/>
        </w:rPr>
        <w:t>approximately 240 mg/dL</w:t>
      </w:r>
      <w:r>
        <w:rPr>
          <w:color w:val="000000"/>
        </w:rPr>
        <w:t xml:space="preserve"> (13.5mmol/L)</w:t>
      </w:r>
      <w:r w:rsidRPr="00542A99">
        <w:rPr>
          <w:color w:val="000000"/>
        </w:rPr>
        <w:t>. Studies have shown that SGLT2 inhibitors</w:t>
      </w:r>
      <w:r>
        <w:rPr>
          <w:color w:val="000000"/>
        </w:rPr>
        <w:t xml:space="preserve"> </w:t>
      </w:r>
      <w:r w:rsidRPr="00542A99">
        <w:rPr>
          <w:color w:val="000000"/>
        </w:rPr>
        <w:t>lower the RTG, resulting in increased UGE, which is responsible for many of the</w:t>
      </w:r>
      <w:r>
        <w:rPr>
          <w:color w:val="000000"/>
        </w:rPr>
        <w:t xml:space="preserve"> </w:t>
      </w:r>
      <w:r w:rsidRPr="00542A99">
        <w:rPr>
          <w:color w:val="000000"/>
        </w:rPr>
        <w:t>pharmacodynamic (PD) effects seen with this class of agents. While SGLT2 inhibitors lower</w:t>
      </w:r>
      <w:r>
        <w:rPr>
          <w:color w:val="000000"/>
        </w:rPr>
        <w:t xml:space="preserve"> </w:t>
      </w:r>
      <w:r w:rsidRPr="00542A99">
        <w:rPr>
          <w:color w:val="000000"/>
        </w:rPr>
        <w:t>the RTG, the new RTG set point is above the usual threshold for hypoglycaemia suggesting</w:t>
      </w:r>
      <w:r>
        <w:rPr>
          <w:color w:val="000000"/>
        </w:rPr>
        <w:t xml:space="preserve"> </w:t>
      </w:r>
      <w:r w:rsidRPr="00542A99">
        <w:rPr>
          <w:color w:val="000000"/>
        </w:rPr>
        <w:t>that hypoglycaemia is unlikely with this mechanism.</w:t>
      </w:r>
    </w:p>
    <w:p w:rsidR="002E5CF1" w:rsidRDefault="002E5CF1" w:rsidP="000778F7">
      <w:pPr>
        <w:pStyle w:val="Heading3"/>
      </w:pPr>
      <w:bookmarkStart w:id="22" w:name="_Toc504038107"/>
      <w:bookmarkStart w:id="23" w:name="_Toc4489181"/>
      <w:r>
        <w:t>Current treatment options</w:t>
      </w:r>
      <w:bookmarkEnd w:id="22"/>
      <w:bookmarkEnd w:id="23"/>
    </w:p>
    <w:p w:rsidR="002E5CF1" w:rsidRDefault="002E5CF1" w:rsidP="00803C18">
      <w:r w:rsidRPr="008C2EA4">
        <w:t>Current guidelines from the American Diabetes Association (ADA)</w:t>
      </w:r>
      <w:r>
        <w:t>,</w:t>
      </w:r>
      <w:r w:rsidRPr="008C2EA4">
        <w:t xml:space="preserve"> the European</w:t>
      </w:r>
      <w:r>
        <w:t xml:space="preserve"> </w:t>
      </w:r>
      <w:r w:rsidRPr="008C2EA4">
        <w:t xml:space="preserve">Association for the Study of Diabetes (EASD) </w:t>
      </w:r>
      <w:r>
        <w:t xml:space="preserve">and Diabetes Australia </w:t>
      </w:r>
      <w:r w:rsidRPr="008C2EA4">
        <w:t>recommend a stepwise and individuali</w:t>
      </w:r>
      <w:r>
        <w:t>s</w:t>
      </w:r>
      <w:r w:rsidRPr="008C2EA4">
        <w:t>ed</w:t>
      </w:r>
      <w:r>
        <w:t xml:space="preserve"> </w:t>
      </w:r>
      <w:r w:rsidRPr="008C2EA4">
        <w:t>treatment approach to T2DM. These guidelines recommend metformin as the optimal</w:t>
      </w:r>
      <w:r>
        <w:t xml:space="preserve"> </w:t>
      </w:r>
      <w:r w:rsidRPr="008C2EA4">
        <w:t xml:space="preserve">first-line anti-hyperglycaemic agent (AHA), unless the patient has </w:t>
      </w:r>
      <w:r>
        <w:t xml:space="preserve">contraindications to </w:t>
      </w:r>
      <w:r w:rsidRPr="008C2EA4">
        <w:t xml:space="preserve">metformin. Subsequently, if the </w:t>
      </w:r>
      <w:r>
        <w:t>HbA1c</w:t>
      </w:r>
      <w:r w:rsidRPr="008C2EA4">
        <w:t xml:space="preserve"> target is not achieved after approximately 3 months,</w:t>
      </w:r>
      <w:r>
        <w:t xml:space="preserve"> </w:t>
      </w:r>
      <w:r w:rsidRPr="008C2EA4">
        <w:t>therapy should be augmented to a 2-drug combination followed by the addition of other</w:t>
      </w:r>
      <w:r>
        <w:t xml:space="preserve"> </w:t>
      </w:r>
      <w:r w:rsidRPr="008C2EA4">
        <w:t xml:space="preserve">AHAs approximately every 3 months if the </w:t>
      </w:r>
      <w:r>
        <w:t>HbA1c</w:t>
      </w:r>
      <w:r w:rsidRPr="008C2EA4">
        <w:t xml:space="preserve"> goal is not achieved.</w:t>
      </w:r>
    </w:p>
    <w:p w:rsidR="002E5CF1" w:rsidRDefault="002E5CF1" w:rsidP="00803C18">
      <w:pPr>
        <w:rPr>
          <w:color w:val="000000"/>
        </w:rPr>
      </w:pPr>
      <w:r w:rsidRPr="00CD46DB">
        <w:rPr>
          <w:rFonts w:eastAsiaTheme="minorHAnsi" w:cs="TimesNewRomanPSMT"/>
        </w:rPr>
        <w:lastRenderedPageBreak/>
        <w:t xml:space="preserve">A number of </w:t>
      </w:r>
      <w:r w:rsidRPr="00E10564">
        <w:rPr>
          <w:rFonts w:eastAsiaTheme="minorHAnsi" w:cs="TimesNewRomanPSMT"/>
        </w:rPr>
        <w:t>systematic reviews have examined the relationship between blood glucose control and long term complications in people with T2DM</w:t>
      </w:r>
      <w:r>
        <w:rPr>
          <w:rFonts w:eastAsiaTheme="minorHAnsi" w:cs="TimesNewRomanPSMT"/>
        </w:rPr>
        <w:t xml:space="preserve">. </w:t>
      </w:r>
      <w:r w:rsidRPr="00E10564">
        <w:rPr>
          <w:rFonts w:eastAsiaTheme="minorHAnsi" w:cs="TimesNewRomanPSMT"/>
        </w:rPr>
        <w:t xml:space="preserve">These studies concluded that improved glycaemic control can reduce retinopathy, renal disease and </w:t>
      </w:r>
      <w:r w:rsidRPr="00111A88">
        <w:rPr>
          <w:rFonts w:eastAsiaTheme="minorHAnsi" w:cs="TimesNewRomanPSMT"/>
        </w:rPr>
        <w:t xml:space="preserve">neuropathy in T2DM. </w:t>
      </w:r>
      <w:r w:rsidRPr="00111A88">
        <w:rPr>
          <w:color w:val="000000"/>
        </w:rPr>
        <w:t>Long term data from the United Kingdom Prospective Diabetes Study (UKPDS; Stratton, 2000) also</w:t>
      </w:r>
      <w:r w:rsidRPr="00542A99">
        <w:rPr>
          <w:color w:val="000000"/>
        </w:rPr>
        <w:t xml:space="preserve"> suggests that glycaemic control reduces the risk of macrovascular complications of T2DM. Although pharmacological intervention, either in the form of a single agent or in combination, may provide effective glycaemic control for some patients, many do not achieve their target </w:t>
      </w:r>
      <w:r>
        <w:rPr>
          <w:color w:val="000000"/>
        </w:rPr>
        <w:t>HbA1c</w:t>
      </w:r>
      <w:r w:rsidRPr="00542A99">
        <w:rPr>
          <w:color w:val="000000"/>
        </w:rPr>
        <w:t xml:space="preserve"> levels, and glycaemic control deteriorates over time. The SGLT2 inhibitors are a new class of agents for T2DM therapy that have been shown to improve glycaemic control, reduce body weight, and lower blood pressure.</w:t>
      </w:r>
    </w:p>
    <w:p w:rsidR="002E5CF1" w:rsidRDefault="002E5CF1" w:rsidP="00803C18">
      <w:pPr>
        <w:rPr>
          <w:color w:val="000000"/>
        </w:rPr>
      </w:pPr>
      <w:r>
        <w:t>Agents of this class approved for use in Australia include empagliflozin (Jardiance, approved in April 2014), dapagliflozin (Forxiga in Oct</w:t>
      </w:r>
      <w:r w:rsidR="00803C18">
        <w:t>ober</w:t>
      </w:r>
      <w:r>
        <w:t xml:space="preserve">, 2012) and </w:t>
      </w:r>
      <w:proofErr w:type="spellStart"/>
      <w:r>
        <w:t>canagliflozin</w:t>
      </w:r>
      <w:proofErr w:type="spellEnd"/>
      <w:r>
        <w:t xml:space="preserve"> (</w:t>
      </w:r>
      <w:proofErr w:type="spellStart"/>
      <w:r>
        <w:t>Invokana</w:t>
      </w:r>
      <w:proofErr w:type="spellEnd"/>
      <w:r>
        <w:t xml:space="preserve"> in Sept</w:t>
      </w:r>
      <w:r w:rsidR="00803C18">
        <w:t>ember </w:t>
      </w:r>
      <w:r>
        <w:t>2013). FDCs of empagliflozin with metformin (Jardiamet in July 2015) and dapagliflozin with metformin (Xigduo XR in July 2014) are also approved in Australia.</w:t>
      </w:r>
    </w:p>
    <w:p w:rsidR="002E5CF1" w:rsidRPr="008C2EA4" w:rsidRDefault="002E5CF1" w:rsidP="000778F7">
      <w:pPr>
        <w:pStyle w:val="Heading3"/>
      </w:pPr>
      <w:bookmarkStart w:id="24" w:name="_Toc504038108"/>
      <w:bookmarkStart w:id="25" w:name="_Toc4489182"/>
      <w:r w:rsidRPr="008C2EA4">
        <w:t>Clinical rationale</w:t>
      </w:r>
      <w:bookmarkEnd w:id="24"/>
      <w:bookmarkEnd w:id="25"/>
    </w:p>
    <w:p w:rsidR="002E5CF1" w:rsidRPr="003A1973" w:rsidRDefault="002E5CF1" w:rsidP="00803C18">
      <w:r>
        <w:t>Only about</w:t>
      </w:r>
      <w:r w:rsidRPr="008C2EA4">
        <w:t xml:space="preserve"> half of patients with</w:t>
      </w:r>
      <w:r>
        <w:t xml:space="preserve"> </w:t>
      </w:r>
      <w:r w:rsidRPr="008C2EA4">
        <w:t xml:space="preserve">T2DM achieve glycaemic control </w:t>
      </w:r>
      <w:r>
        <w:t xml:space="preserve">as </w:t>
      </w:r>
      <w:r w:rsidRPr="008C2EA4">
        <w:t>per treatment guidelines</w:t>
      </w:r>
      <w:r>
        <w:t xml:space="preserve"> d</w:t>
      </w:r>
      <w:r w:rsidRPr="008C2EA4">
        <w:t>espite the availa</w:t>
      </w:r>
      <w:r>
        <w:t>bility of a broad array of AHAs.</w:t>
      </w:r>
      <w:r w:rsidRPr="008C2EA4">
        <w:t xml:space="preserve"> Furthermore,</w:t>
      </w:r>
      <w:r>
        <w:t xml:space="preserve"> </w:t>
      </w:r>
      <w:r w:rsidRPr="008C2EA4">
        <w:t xml:space="preserve">while new classes of AHA medications have been </w:t>
      </w:r>
      <w:r w:rsidRPr="003A1973">
        <w:t>introduced over the last decade, the percentage of patients reaching glycaemic targets has not improved (Stark, 2013).</w:t>
      </w:r>
    </w:p>
    <w:p w:rsidR="002E5CF1" w:rsidRPr="003A1973" w:rsidRDefault="002E5CF1" w:rsidP="00803C18">
      <w:r w:rsidRPr="003A1973">
        <w:t>Some of the factors contributing to the low attainment of HbA1c goals are (1) patients with T2DM exhibit declining beta-cell function, which influences disease progression and leads to elevated HbA1c levels over time; (2) increased body weight leads to worsening insulin resistance; and (3) several classes of anti-hyperglycaemic medications are associated with adverse reactions, including weight gain (which may further worsen underlying insulin resistance), hypoglycaemia, oedema or gastrointestinal effects, which often limit their use, (4) patient non-compliance.</w:t>
      </w:r>
    </w:p>
    <w:p w:rsidR="002E5CF1" w:rsidRPr="0077091A" w:rsidRDefault="002E5CF1" w:rsidP="00803C18">
      <w:r w:rsidRPr="003A1973">
        <w:rPr>
          <w:color w:val="000000"/>
        </w:rPr>
        <w:t xml:space="preserve">The SGLT2 inhibitors are a new class of AHAs for T2DM therapy that when used as monotherapy or in combination with other </w:t>
      </w:r>
      <w:r w:rsidRPr="003A1973">
        <w:t>AHAs are shown to improve glycaemic control, reduce body weight and lower blood pressure and also have tolerable safety profiles. SGLT2 inhibitors have low rates of hypoglycaemia when used as monotherapy or in combinations with agents not associated with hypoglycaemia (Cefalu, 2013). Due to the insulin-independent mechanism of action, SGLT2 inhibitors may also provide durable glycaemic efficacy. Data from the CV outcome trial (CVOT) with the SGLT2 inhibitor empagliflozin (Zinman, 2014), demonstrated a significant reduction in major adverse CV events (MACE), as well as significant reductions in CV death and hospitalisation for worsening heart failure (Fitchett, 2016).</w:t>
      </w:r>
    </w:p>
    <w:p w:rsidR="002E5CF1" w:rsidRDefault="002E5CF1" w:rsidP="000778F7">
      <w:pPr>
        <w:pStyle w:val="Heading3"/>
      </w:pPr>
      <w:bookmarkStart w:id="26" w:name="_Toc504038109"/>
      <w:bookmarkStart w:id="27" w:name="_Toc4489183"/>
      <w:r>
        <w:t>Formulation</w:t>
      </w:r>
      <w:bookmarkEnd w:id="26"/>
      <w:bookmarkEnd w:id="27"/>
    </w:p>
    <w:p w:rsidR="002E5CF1" w:rsidRPr="002E2E9A" w:rsidRDefault="002E5CF1" w:rsidP="000778F7">
      <w:pPr>
        <w:pStyle w:val="Heading4"/>
      </w:pPr>
      <w:bookmarkStart w:id="28" w:name="_Toc504038110"/>
      <w:r w:rsidRPr="002E2E9A">
        <w:t>Formulation development</w:t>
      </w:r>
      <w:bookmarkEnd w:id="28"/>
    </w:p>
    <w:p w:rsidR="002E5CF1" w:rsidRPr="00285222" w:rsidRDefault="002E5CF1" w:rsidP="002E5CF1">
      <w:pPr>
        <w:pStyle w:val="Comment"/>
        <w:rPr>
          <w:rFonts w:asciiTheme="minorHAnsi" w:hAnsiTheme="minorHAnsi"/>
        </w:rPr>
      </w:pPr>
      <w:r w:rsidRPr="00532553">
        <w:rPr>
          <w:b/>
        </w:rPr>
        <w:t>Comment</w:t>
      </w:r>
      <w:r w:rsidRPr="00285222">
        <w:t>:</w:t>
      </w:r>
      <w:r w:rsidR="00803C18">
        <w:t xml:space="preserve"> </w:t>
      </w:r>
      <w:r w:rsidR="008348EB">
        <w:t xml:space="preserve"> </w:t>
      </w:r>
      <w:r w:rsidRPr="00285222">
        <w:t>MSD-Ertugliflozin tablets contain the isolated form of the active ingredient ertugliflozin, which is a co</w:t>
      </w:r>
      <w:r w:rsidR="00AE3765">
        <w:t>-</w:t>
      </w:r>
      <w:r w:rsidRPr="00285222">
        <w:t>crystal comprising 1:1 ertugliflozin and L-pyroglutamic acid (L-PGA). Although the co</w:t>
      </w:r>
      <w:r w:rsidR="00AE3765">
        <w:t>-</w:t>
      </w:r>
      <w:r w:rsidRPr="00285222">
        <w:t>crystal was used throughout development, the drug load and dose strengths in the present submission are expressed as ertugliflozin free-form.</w:t>
      </w:r>
    </w:p>
    <w:p w:rsidR="002E5CF1" w:rsidRPr="009A299E" w:rsidRDefault="002E5CF1" w:rsidP="00803C18">
      <w:r w:rsidRPr="009A299E">
        <w:t xml:space="preserve">The proposed commercial formulation of ertugliflozin L-PGA is an </w:t>
      </w:r>
      <w:r>
        <w:t xml:space="preserve">orally administered, </w:t>
      </w:r>
      <w:r w:rsidRPr="009A299E">
        <w:t xml:space="preserve">immediate-release (IR), </w:t>
      </w:r>
      <w:r w:rsidR="00803C18">
        <w:t>film coated</w:t>
      </w:r>
      <w:r w:rsidRPr="009A299E">
        <w:t xml:space="preserve"> tablet </w:t>
      </w:r>
      <w:r>
        <w:t>which was manufactured using a</w:t>
      </w:r>
      <w:r w:rsidRPr="009A299E">
        <w:t xml:space="preserve"> direct compression process</w:t>
      </w:r>
      <w:r>
        <w:t xml:space="preserve"> that are available in</w:t>
      </w:r>
      <w:r w:rsidRPr="009A299E">
        <w:t xml:space="preserve"> 5 mg and 15 mg strengths. </w:t>
      </w:r>
      <w:r>
        <w:t xml:space="preserve">A number of other formulations were used during </w:t>
      </w:r>
      <w:r w:rsidR="00803C18">
        <w:t>early development</w:t>
      </w:r>
      <w:r>
        <w:t xml:space="preserve">, these included: </w:t>
      </w:r>
      <w:r w:rsidRPr="009A299E">
        <w:t>extemporaneously prepared solution/suspension formulation</w:t>
      </w:r>
      <w:r>
        <w:t xml:space="preserve">s, which were used in the </w:t>
      </w:r>
      <w:r w:rsidRPr="009A299E">
        <w:t xml:space="preserve">single and multiple ascending dose </w:t>
      </w:r>
      <w:r w:rsidRPr="009A299E">
        <w:lastRenderedPageBreak/>
        <w:t xml:space="preserve">and </w:t>
      </w:r>
      <w:r w:rsidRPr="00E419FA">
        <w:rPr>
          <w:vertAlign w:val="superscript"/>
        </w:rPr>
        <w:t>14</w:t>
      </w:r>
      <w:r>
        <w:t>C</w:t>
      </w:r>
      <w:r w:rsidRPr="00F54FEC">
        <w:rPr>
          <w:rFonts w:eastAsia="TimesNewRoman" w:cstheme="minorHAnsi"/>
        </w:rPr>
        <w:t xml:space="preserve"> </w:t>
      </w:r>
      <w:r w:rsidRPr="00F614F6">
        <w:rPr>
          <w:rFonts w:eastAsia="TimesNewRoman" w:cstheme="minorHAnsi"/>
        </w:rPr>
        <w:t>absorption, distribution, metabolism and elimination</w:t>
      </w:r>
      <w:r w:rsidRPr="009A299E">
        <w:t xml:space="preserve"> </w:t>
      </w:r>
      <w:r>
        <w:t>(</w:t>
      </w:r>
      <w:r w:rsidRPr="009A299E">
        <w:t>ADME</w:t>
      </w:r>
      <w:r>
        <w:t>)</w:t>
      </w:r>
      <w:r w:rsidRPr="009A299E">
        <w:t xml:space="preserve"> </w:t>
      </w:r>
      <w:r>
        <w:t>Phase I</w:t>
      </w:r>
      <w:r w:rsidRPr="009A299E">
        <w:t xml:space="preserve"> studies</w:t>
      </w:r>
      <w:r>
        <w:t>; as well as</w:t>
      </w:r>
      <w:r w:rsidRPr="009A299E">
        <w:t xml:space="preserve"> uncoated 15 mg tablets</w:t>
      </w:r>
      <w:r>
        <w:t>, which</w:t>
      </w:r>
      <w:r w:rsidRPr="009A299E">
        <w:t xml:space="preserve"> contain</w:t>
      </w:r>
      <w:r>
        <w:t>ed</w:t>
      </w:r>
      <w:r w:rsidRPr="009A299E">
        <w:t xml:space="preserve"> </w:t>
      </w:r>
      <w:r>
        <w:t>amorphous ertugliflozin free-</w:t>
      </w:r>
      <w:r w:rsidRPr="009A299E">
        <w:t xml:space="preserve">form and a </w:t>
      </w:r>
      <w:r w:rsidRPr="00E419FA">
        <w:rPr>
          <w:vertAlign w:val="superscript"/>
        </w:rPr>
        <w:t>14</w:t>
      </w:r>
      <w:r w:rsidR="00803C18">
        <w:t>C </w:t>
      </w:r>
      <w:r w:rsidRPr="009A299E">
        <w:t xml:space="preserve">ertugliflozin solution for intravenous (IV) and oral administration. </w:t>
      </w:r>
      <w:r>
        <w:t>In addition, t</w:t>
      </w:r>
      <w:r w:rsidRPr="009A299E">
        <w:t xml:space="preserve">he </w:t>
      </w:r>
      <w:r>
        <w:t>Phase II</w:t>
      </w:r>
      <w:r w:rsidRPr="009A299E">
        <w:t xml:space="preserve"> studies and some early </w:t>
      </w:r>
      <w:r>
        <w:t>Phase I</w:t>
      </w:r>
      <w:r w:rsidRPr="009A299E">
        <w:t xml:space="preserve"> studies used uncoated tablets of 1 mg (using a blend containing 1% drug load), and 5 mg and 25 mg (using a common blend containing 5% drug load) dose strengths prepared by dry granulation. The tablets used in the </w:t>
      </w:r>
      <w:r>
        <w:t>Phase III</w:t>
      </w:r>
      <w:r w:rsidRPr="009A299E">
        <w:t xml:space="preserve"> studies and later </w:t>
      </w:r>
      <w:r>
        <w:t>Phase I</w:t>
      </w:r>
      <w:r w:rsidRPr="009A299E">
        <w:t xml:space="preserve"> studies </w:t>
      </w:r>
      <w:r>
        <w:t>we</w:t>
      </w:r>
      <w:r w:rsidRPr="009A299E">
        <w:t xml:space="preserve">re white, </w:t>
      </w:r>
      <w:r w:rsidR="00803C18">
        <w:t>film coated</w:t>
      </w:r>
      <w:r w:rsidRPr="009A299E">
        <w:t xml:space="preserve"> tablets manufactured from a common blend containing 5% drug load using a direct compression process. The </w:t>
      </w:r>
      <w:r>
        <w:t>Phase III</w:t>
      </w:r>
      <w:r w:rsidRPr="009A299E">
        <w:t xml:space="preserve"> studies used 5 mg and 10 mg tablets, and the later </w:t>
      </w:r>
      <w:r>
        <w:t>Phase I</w:t>
      </w:r>
      <w:r w:rsidRPr="009A299E">
        <w:t xml:space="preserve"> studies used the 2.5 mg, 5 mg and 10 mg tablets.</w:t>
      </w:r>
    </w:p>
    <w:p w:rsidR="002E5CF1" w:rsidRPr="009A299E" w:rsidRDefault="002E5CF1" w:rsidP="002E5CF1">
      <w:pPr>
        <w:autoSpaceDE w:val="0"/>
        <w:autoSpaceDN w:val="0"/>
        <w:adjustRightInd w:val="0"/>
        <w:spacing w:before="0" w:line="240" w:lineRule="auto"/>
        <w:rPr>
          <w:rFonts w:asciiTheme="minorHAnsi" w:eastAsiaTheme="minorHAnsi" w:hAnsiTheme="minorHAnsi"/>
          <w:color w:val="000000"/>
        </w:rPr>
      </w:pPr>
      <w:r w:rsidRPr="009A299E">
        <w:rPr>
          <w:rFonts w:asciiTheme="minorHAnsi" w:eastAsiaTheme="minorHAnsi" w:hAnsiTheme="minorHAnsi"/>
          <w:color w:val="000000"/>
        </w:rPr>
        <w:t xml:space="preserve">The proposed 5 mg and 15 mg commercial tablets are made from a common blend and use the same composition as the </w:t>
      </w:r>
      <w:r>
        <w:rPr>
          <w:rFonts w:asciiTheme="minorHAnsi" w:eastAsiaTheme="minorHAnsi" w:hAnsiTheme="minorHAnsi"/>
          <w:color w:val="000000"/>
        </w:rPr>
        <w:t>Phase III</w:t>
      </w:r>
      <w:r w:rsidRPr="009A299E">
        <w:rPr>
          <w:rFonts w:asciiTheme="minorHAnsi" w:eastAsiaTheme="minorHAnsi" w:hAnsiTheme="minorHAnsi"/>
          <w:color w:val="000000"/>
        </w:rPr>
        <w:t xml:space="preserve"> formulation for tablet cores. The pink and red film coats used for the 5 mg and 15 mg commercial tablets are the same as the white film coat used in </w:t>
      </w:r>
      <w:r>
        <w:rPr>
          <w:rFonts w:asciiTheme="minorHAnsi" w:eastAsiaTheme="minorHAnsi" w:hAnsiTheme="minorHAnsi"/>
          <w:color w:val="000000"/>
        </w:rPr>
        <w:t>Phase III</w:t>
      </w:r>
      <w:r w:rsidRPr="009A299E">
        <w:rPr>
          <w:rFonts w:asciiTheme="minorHAnsi" w:eastAsiaTheme="minorHAnsi" w:hAnsiTheme="minorHAnsi"/>
          <w:color w:val="000000"/>
        </w:rPr>
        <w:t xml:space="preserve"> tablets except for the addition of iron oxide colorant, and subsequent adjustment of titanium dioxide level. The 5 mg commercial tablet is presented as a triangular, pink </w:t>
      </w:r>
      <w:r w:rsidR="00803C18">
        <w:rPr>
          <w:rFonts w:asciiTheme="minorHAnsi" w:eastAsiaTheme="minorHAnsi" w:hAnsiTheme="minorHAnsi"/>
          <w:color w:val="000000"/>
        </w:rPr>
        <w:t>film coated</w:t>
      </w:r>
      <w:r w:rsidRPr="009A299E">
        <w:rPr>
          <w:rFonts w:asciiTheme="minorHAnsi" w:eastAsiaTheme="minorHAnsi" w:hAnsiTheme="minorHAnsi"/>
          <w:color w:val="000000"/>
        </w:rPr>
        <w:t xml:space="preserve"> tablet debossed with </w:t>
      </w:r>
      <w:r>
        <w:rPr>
          <w:rFonts w:asciiTheme="minorHAnsi" w:eastAsiaTheme="minorHAnsi" w:hAnsiTheme="minorHAnsi"/>
          <w:color w:val="000000"/>
        </w:rPr>
        <w:t>‘</w:t>
      </w:r>
      <w:r w:rsidRPr="009A299E">
        <w:rPr>
          <w:rFonts w:asciiTheme="minorHAnsi" w:eastAsiaTheme="minorHAnsi" w:hAnsiTheme="minorHAnsi"/>
          <w:color w:val="000000"/>
        </w:rPr>
        <w:t>701</w:t>
      </w:r>
      <w:r>
        <w:rPr>
          <w:rFonts w:asciiTheme="minorHAnsi" w:eastAsiaTheme="minorHAnsi" w:hAnsiTheme="minorHAnsi"/>
          <w:color w:val="000000"/>
        </w:rPr>
        <w:t>’</w:t>
      </w:r>
      <w:r w:rsidRPr="009A299E">
        <w:rPr>
          <w:rFonts w:asciiTheme="minorHAnsi" w:eastAsiaTheme="minorHAnsi" w:hAnsiTheme="minorHAnsi"/>
          <w:color w:val="000000"/>
        </w:rPr>
        <w:t xml:space="preserve"> on one side. The 15 mg commercial tablet is presented as a triangular, red </w:t>
      </w:r>
      <w:r w:rsidR="00803C18">
        <w:rPr>
          <w:rFonts w:asciiTheme="minorHAnsi" w:eastAsiaTheme="minorHAnsi" w:hAnsiTheme="minorHAnsi"/>
          <w:color w:val="000000"/>
        </w:rPr>
        <w:t>film coated</w:t>
      </w:r>
      <w:r w:rsidRPr="009A299E">
        <w:rPr>
          <w:rFonts w:asciiTheme="minorHAnsi" w:eastAsiaTheme="minorHAnsi" w:hAnsiTheme="minorHAnsi"/>
          <w:color w:val="000000"/>
        </w:rPr>
        <w:t xml:space="preserve"> tablet debossed with </w:t>
      </w:r>
      <w:r>
        <w:rPr>
          <w:rFonts w:asciiTheme="minorHAnsi" w:eastAsiaTheme="minorHAnsi" w:hAnsiTheme="minorHAnsi"/>
          <w:color w:val="000000"/>
        </w:rPr>
        <w:t>‘</w:t>
      </w:r>
      <w:r w:rsidRPr="009A299E">
        <w:rPr>
          <w:rFonts w:asciiTheme="minorHAnsi" w:eastAsiaTheme="minorHAnsi" w:hAnsiTheme="minorHAnsi"/>
          <w:color w:val="000000"/>
        </w:rPr>
        <w:t>702</w:t>
      </w:r>
      <w:r>
        <w:rPr>
          <w:rFonts w:asciiTheme="minorHAnsi" w:eastAsiaTheme="minorHAnsi" w:hAnsiTheme="minorHAnsi"/>
          <w:color w:val="000000"/>
        </w:rPr>
        <w:t>’</w:t>
      </w:r>
      <w:r w:rsidRPr="009A299E">
        <w:rPr>
          <w:rFonts w:asciiTheme="minorHAnsi" w:eastAsiaTheme="minorHAnsi" w:hAnsiTheme="minorHAnsi"/>
          <w:color w:val="000000"/>
        </w:rPr>
        <w:t xml:space="preserve"> on one side.</w:t>
      </w:r>
    </w:p>
    <w:p w:rsidR="002E5CF1" w:rsidRDefault="002E5CF1" w:rsidP="000778F7">
      <w:pPr>
        <w:pStyle w:val="Heading3"/>
      </w:pPr>
      <w:bookmarkStart w:id="29" w:name="_Toc504038115"/>
      <w:bookmarkStart w:id="30" w:name="_Toc4489184"/>
      <w:r>
        <w:t>Related submissions</w:t>
      </w:r>
      <w:bookmarkEnd w:id="29"/>
      <w:bookmarkEnd w:id="30"/>
    </w:p>
    <w:p w:rsidR="002E5CF1" w:rsidRPr="00594F55" w:rsidRDefault="002E5CF1" w:rsidP="00803C18">
      <w:r w:rsidRPr="00594F55">
        <w:t>Concurrent applications are being made for two new fixed-dose combinations (FDCs):</w:t>
      </w:r>
      <w:r w:rsidRPr="00594F55">
        <w:rPr>
          <w:rFonts w:cs="Wingdings"/>
        </w:rPr>
        <w:t xml:space="preserve"> </w:t>
      </w:r>
      <w:r w:rsidRPr="00594F55">
        <w:t xml:space="preserve">ertugliflozin/sitagliptin </w:t>
      </w:r>
      <w:r w:rsidR="00803C18">
        <w:t>film coated</w:t>
      </w:r>
      <w:r w:rsidRPr="00594F55">
        <w:t xml:space="preserve"> tablets </w:t>
      </w:r>
      <w:r>
        <w:t xml:space="preserve">(Steglujan; </w:t>
      </w:r>
      <w:r w:rsidR="008348EB">
        <w:t xml:space="preserve">submission </w:t>
      </w:r>
      <w:r>
        <w:t xml:space="preserve">PM-2017-1329-1-5) </w:t>
      </w:r>
      <w:r w:rsidRPr="00594F55">
        <w:t xml:space="preserve">and ertugliflozin/metformin </w:t>
      </w:r>
      <w:r w:rsidR="00803C18">
        <w:t>film coated</w:t>
      </w:r>
      <w:r w:rsidRPr="00594F55">
        <w:t xml:space="preserve"> tablets</w:t>
      </w:r>
      <w:r>
        <w:t xml:space="preserve"> (Segluromet; </w:t>
      </w:r>
      <w:r w:rsidR="008348EB">
        <w:t xml:space="preserve">submission </w:t>
      </w:r>
      <w:r>
        <w:t>PM-2017-1330-1-5)</w:t>
      </w:r>
      <w:r w:rsidR="00803C18">
        <w:t>.</w:t>
      </w:r>
    </w:p>
    <w:p w:rsidR="002E5CF1" w:rsidRPr="00594F55" w:rsidRDefault="002E5CF1" w:rsidP="00803C18">
      <w:pPr>
        <w:rPr>
          <w:lang w:eastAsia="ja-JP"/>
        </w:rPr>
      </w:pPr>
      <w:r>
        <w:rPr>
          <w:lang w:eastAsia="ja-JP"/>
        </w:rPr>
        <w:t>Metformin and sitagliptin are approved for treatment of T2DM in Australia; they are both approved for monotherapy and in combination with other AHAs</w:t>
      </w:r>
      <w:r w:rsidRPr="00594F55">
        <w:t>.</w:t>
      </w:r>
    </w:p>
    <w:p w:rsidR="002E5CF1" w:rsidRDefault="002E5CF1" w:rsidP="000778F7">
      <w:pPr>
        <w:pStyle w:val="Heading4"/>
      </w:pPr>
      <w:bookmarkStart w:id="31" w:name="_Toc504038118"/>
      <w:r>
        <w:t>Evaluator’s commentary on the background information</w:t>
      </w:r>
      <w:bookmarkEnd w:id="31"/>
    </w:p>
    <w:p w:rsidR="002E5CF1" w:rsidRDefault="002E5CF1" w:rsidP="002E5CF1">
      <w:pPr>
        <w:spacing w:before="0" w:line="240" w:lineRule="auto"/>
        <w:rPr>
          <w:lang w:eastAsia="ja-JP"/>
        </w:rPr>
      </w:pPr>
      <w:r>
        <w:rPr>
          <w:lang w:eastAsia="ja-JP"/>
        </w:rPr>
        <w:t>Evaluation of background information did not raise any concerns. The stated clinical rationale is valid and acceptable.</w:t>
      </w:r>
    </w:p>
    <w:p w:rsidR="002E5CF1" w:rsidRDefault="002E5CF1" w:rsidP="000778F7">
      <w:pPr>
        <w:pStyle w:val="Heading2"/>
      </w:pPr>
      <w:bookmarkStart w:id="32" w:name="_Toc504038119"/>
      <w:bookmarkStart w:id="33" w:name="_Toc4489185"/>
      <w:r>
        <w:t>Contents of the clinical dossier</w:t>
      </w:r>
      <w:bookmarkEnd w:id="6"/>
      <w:bookmarkEnd w:id="7"/>
      <w:bookmarkEnd w:id="32"/>
      <w:bookmarkEnd w:id="33"/>
    </w:p>
    <w:p w:rsidR="002E5CF1" w:rsidRDefault="002E5CF1" w:rsidP="000778F7">
      <w:pPr>
        <w:pStyle w:val="Heading3"/>
      </w:pPr>
      <w:bookmarkStart w:id="34" w:name="_Toc504038120"/>
      <w:bookmarkStart w:id="35" w:name="_Toc4489186"/>
      <w:r>
        <w:t>Scope of the clinical dossier</w:t>
      </w:r>
      <w:bookmarkEnd w:id="34"/>
      <w:bookmarkEnd w:id="35"/>
    </w:p>
    <w:p w:rsidR="00803C18" w:rsidRDefault="002E5CF1" w:rsidP="00803C18">
      <w:r w:rsidRPr="00520D7E">
        <w:t>The ertugliflozin clinical development program is intended to support the approval of</w:t>
      </w:r>
      <w:r>
        <w:t xml:space="preserve"> </w:t>
      </w:r>
      <w:r w:rsidRPr="00520D7E">
        <w:t>ertugliflozin as a stand-alone product, as well as the ertugliflozin/metformin and</w:t>
      </w:r>
      <w:r>
        <w:t xml:space="preserve"> </w:t>
      </w:r>
      <w:r w:rsidRPr="00520D7E">
        <w:t xml:space="preserve">ertugliflozin/sitagliptin FDCs, and consists of 29 </w:t>
      </w:r>
      <w:r>
        <w:t>Phase I</w:t>
      </w:r>
      <w:r w:rsidRPr="00520D7E">
        <w:t xml:space="preserve"> studies, 2 </w:t>
      </w:r>
      <w:r>
        <w:t>Phase II</w:t>
      </w:r>
      <w:r w:rsidRPr="00520D7E">
        <w:t xml:space="preserve"> studies, and</w:t>
      </w:r>
      <w:r>
        <w:t xml:space="preserve"> </w:t>
      </w:r>
      <w:r w:rsidR="00803C18">
        <w:t>9 Phase </w:t>
      </w:r>
      <w:r>
        <w:t>III</w:t>
      </w:r>
      <w:r w:rsidRPr="00520D7E">
        <w:t xml:space="preserve"> studies</w:t>
      </w:r>
      <w:r w:rsidR="00803C18">
        <w:t>.</w:t>
      </w:r>
    </w:p>
    <w:p w:rsidR="002E5CF1" w:rsidRPr="00C05041" w:rsidRDefault="002E5CF1" w:rsidP="000778F7">
      <w:pPr>
        <w:pStyle w:val="Heading4"/>
      </w:pPr>
      <w:r w:rsidRPr="00C05041">
        <w:t>Clinical Pharmacology</w:t>
      </w:r>
    </w:p>
    <w:p w:rsidR="00803C18" w:rsidRDefault="002E5CF1" w:rsidP="001D5121">
      <w:pPr>
        <w:rPr>
          <w:rFonts w:asciiTheme="minorHAnsi" w:eastAsia="TimesNewRoman" w:hAnsiTheme="minorHAnsi" w:cs="TimesNewRoman"/>
          <w:color w:val="000000"/>
        </w:rPr>
      </w:pPr>
      <w:r w:rsidRPr="005667FC">
        <w:t>The</w:t>
      </w:r>
      <w:r>
        <w:t>re are</w:t>
      </w:r>
      <w:r w:rsidRPr="005667FC">
        <w:t xml:space="preserve"> 24 studies related to the PK/PD</w:t>
      </w:r>
      <w:r>
        <w:t>s</w:t>
      </w:r>
      <w:r w:rsidRPr="005667FC">
        <w:t xml:space="preserve"> of ertugliflozin. Of these, </w:t>
      </w:r>
      <w:r w:rsidRPr="00AA10A9">
        <w:t xml:space="preserve">19 contain PK data and 10 contain data related to the PDs of ertugliflozin; however, one study, </w:t>
      </w:r>
      <w:r w:rsidRPr="00AA10A9">
        <w:rPr>
          <w:rFonts w:cstheme="minorHAnsi"/>
        </w:rPr>
        <w:t xml:space="preserve">P039/1005 examined the comparative bioavailability (BA) of 3 </w:t>
      </w:r>
      <w:r w:rsidR="00803C18">
        <w:rPr>
          <w:rFonts w:eastAsiaTheme="minorHAnsi" w:cstheme="minorHAnsi"/>
        </w:rPr>
        <w:t>modified release</w:t>
      </w:r>
      <w:r w:rsidRPr="00AA10A9">
        <w:rPr>
          <w:rFonts w:eastAsiaTheme="minorHAnsi" w:cstheme="minorHAnsi"/>
        </w:rPr>
        <w:t xml:space="preserve"> (MR) formulations of ertugliflozin</w:t>
      </w:r>
      <w:r w:rsidRPr="005667FC">
        <w:rPr>
          <w:rFonts w:eastAsiaTheme="minorHAnsi" w:cstheme="minorHAnsi"/>
        </w:rPr>
        <w:t xml:space="preserve"> and as a request for approval of these formulations is not contained in the present application and they were not used in </w:t>
      </w:r>
      <w:r>
        <w:rPr>
          <w:rFonts w:eastAsiaTheme="minorHAnsi" w:cstheme="minorHAnsi"/>
        </w:rPr>
        <w:t xml:space="preserve">any </w:t>
      </w:r>
      <w:r w:rsidRPr="005667FC">
        <w:rPr>
          <w:rFonts w:eastAsiaTheme="minorHAnsi" w:cstheme="minorHAnsi"/>
        </w:rPr>
        <w:t>other tri</w:t>
      </w:r>
      <w:r>
        <w:rPr>
          <w:rFonts w:eastAsiaTheme="minorHAnsi" w:cstheme="minorHAnsi"/>
        </w:rPr>
        <w:t>a</w:t>
      </w:r>
      <w:r w:rsidRPr="005667FC">
        <w:rPr>
          <w:rFonts w:eastAsiaTheme="minorHAnsi" w:cstheme="minorHAnsi"/>
        </w:rPr>
        <w:t>ls th</w:t>
      </w:r>
      <w:r>
        <w:rPr>
          <w:rFonts w:eastAsiaTheme="minorHAnsi" w:cstheme="minorHAnsi"/>
        </w:rPr>
        <w:t>is study</w:t>
      </w:r>
      <w:r w:rsidRPr="005667FC">
        <w:rPr>
          <w:rFonts w:eastAsiaTheme="minorHAnsi" w:cstheme="minorHAnsi"/>
        </w:rPr>
        <w:t xml:space="preserve"> will not be discussed in either the PK or PD sections of this report.</w:t>
      </w:r>
      <w:r>
        <w:rPr>
          <w:rFonts w:eastAsiaTheme="minorHAnsi" w:cstheme="minorHAnsi"/>
        </w:rPr>
        <w:t xml:space="preserve"> One of the dedicated PK studies</w:t>
      </w:r>
      <w:r w:rsidRPr="00C05041">
        <w:rPr>
          <w:rFonts w:eastAsiaTheme="minorHAnsi" w:cstheme="minorHAnsi"/>
        </w:rPr>
        <w:t xml:space="preserve">, </w:t>
      </w:r>
      <w:r w:rsidR="008348EB">
        <w:rPr>
          <w:rFonts w:eastAsiaTheme="minorHAnsi" w:cstheme="minorHAnsi"/>
        </w:rPr>
        <w:t xml:space="preserve">Study </w:t>
      </w:r>
      <w:r w:rsidRPr="00C05041">
        <w:rPr>
          <w:rFonts w:eastAsiaTheme="minorHAnsi" w:cstheme="minorHAnsi"/>
        </w:rPr>
        <w:t>PMAR-EQDD-B152a-DP4-403</w:t>
      </w:r>
      <w:r w:rsidR="008348EB">
        <w:rPr>
          <w:rFonts w:eastAsiaTheme="minorHAnsi" w:cstheme="minorHAnsi"/>
        </w:rPr>
        <w:t>,</w:t>
      </w:r>
      <w:r w:rsidRPr="00C05041">
        <w:rPr>
          <w:rFonts w:eastAsiaTheme="minorHAnsi" w:cstheme="minorHAnsi"/>
        </w:rPr>
        <w:t xml:space="preserve"> represented a population PK (popPK) analysis, whereas 3 of the PD studies </w:t>
      </w:r>
      <w:r w:rsidRPr="00C05041">
        <w:rPr>
          <w:rFonts w:asciiTheme="minorHAnsi" w:hAnsiTheme="minorHAnsi" w:cs="Calibri"/>
        </w:rPr>
        <w:t>(</w:t>
      </w:r>
      <w:r w:rsidRPr="00C05041">
        <w:rPr>
          <w:rFonts w:asciiTheme="minorHAnsi" w:eastAsiaTheme="minorHAnsi" w:hAnsiTheme="minorHAnsi" w:cs="Calibri"/>
        </w:rPr>
        <w:t xml:space="preserve">PMAR-EQDD-B152c-DP4-444, PMAR-EQDD-B152a-DP4-407 and ASR-EQDD-B152a-DP3-253), </w:t>
      </w:r>
      <w:r>
        <w:rPr>
          <w:rFonts w:eastAsiaTheme="minorHAnsi" w:cstheme="minorHAnsi"/>
        </w:rPr>
        <w:t xml:space="preserve">represented either </w:t>
      </w:r>
      <w:r w:rsidRPr="004A3040">
        <w:rPr>
          <w:rFonts w:asciiTheme="minorHAnsi" w:eastAsiaTheme="minorHAnsi" w:hAnsiTheme="minorHAnsi" w:cstheme="minorHAnsi"/>
        </w:rPr>
        <w:t>p</w:t>
      </w:r>
      <w:r w:rsidRPr="004A3040">
        <w:rPr>
          <w:rFonts w:asciiTheme="minorHAnsi" w:hAnsiTheme="minorHAnsi" w:cs="Calibri"/>
        </w:rPr>
        <w:t xml:space="preserve">opulation PD or </w:t>
      </w:r>
      <w:r>
        <w:rPr>
          <w:rFonts w:asciiTheme="minorHAnsi" w:hAnsiTheme="minorHAnsi" w:cs="Calibri"/>
        </w:rPr>
        <w:t>dose</w:t>
      </w:r>
      <w:r w:rsidRPr="004A3040">
        <w:rPr>
          <w:rFonts w:asciiTheme="minorHAnsi" w:hAnsiTheme="minorHAnsi" w:cs="Calibri"/>
        </w:rPr>
        <w:t>-response analyses</w:t>
      </w:r>
      <w:r>
        <w:rPr>
          <w:rFonts w:asciiTheme="minorHAnsi" w:eastAsiaTheme="minorHAnsi" w:hAnsiTheme="minorHAnsi" w:cs="Calibri"/>
        </w:rPr>
        <w:t>.</w:t>
      </w:r>
      <w:r w:rsidRPr="002C5291">
        <w:rPr>
          <w:rFonts w:asciiTheme="minorHAnsi" w:eastAsia="TimesNewRoman" w:hAnsiTheme="minorHAnsi" w:cs="TimesNewRoman"/>
          <w:color w:val="000000"/>
        </w:rPr>
        <w:t xml:space="preserve"> </w:t>
      </w:r>
      <w:r w:rsidRPr="00520D7E">
        <w:rPr>
          <w:rFonts w:asciiTheme="minorHAnsi" w:eastAsia="TimesNewRoman" w:hAnsiTheme="minorHAnsi" w:cs="TimesNewRoman"/>
          <w:color w:val="000000"/>
        </w:rPr>
        <w:t xml:space="preserve">All </w:t>
      </w:r>
      <w:r>
        <w:rPr>
          <w:rFonts w:asciiTheme="minorHAnsi" w:eastAsia="TimesNewRoman" w:hAnsiTheme="minorHAnsi" w:cs="TimesNewRoman"/>
          <w:color w:val="000000"/>
        </w:rPr>
        <w:t>Phase I</w:t>
      </w:r>
      <w:r w:rsidRPr="00520D7E">
        <w:rPr>
          <w:rFonts w:asciiTheme="minorHAnsi" w:eastAsia="TimesNewRoman" w:hAnsiTheme="minorHAnsi" w:cs="TimesNewRoman"/>
          <w:color w:val="000000"/>
        </w:rPr>
        <w:t xml:space="preserve"> studies in support of this submission are complete</w:t>
      </w:r>
      <w:r w:rsidR="00803C18">
        <w:rPr>
          <w:rFonts w:asciiTheme="minorHAnsi" w:eastAsia="TimesNewRoman" w:hAnsiTheme="minorHAnsi" w:cs="TimesNewRoman"/>
          <w:color w:val="000000"/>
        </w:rPr>
        <w:t>.</w:t>
      </w:r>
    </w:p>
    <w:p w:rsidR="002E5CF1" w:rsidRDefault="002E5CF1" w:rsidP="000778F7">
      <w:pPr>
        <w:pStyle w:val="Heading4"/>
      </w:pPr>
      <w:r w:rsidRPr="004F1E50">
        <w:lastRenderedPageBreak/>
        <w:t>Efficacy and safety</w:t>
      </w:r>
    </w:p>
    <w:p w:rsidR="002E5CF1" w:rsidRPr="00AA10A9" w:rsidRDefault="002E5CF1" w:rsidP="000778F7">
      <w:pPr>
        <w:pStyle w:val="Heading5"/>
        <w:rPr>
          <w:rStyle w:val="Heading5Char"/>
          <w:rFonts w:eastAsia="TimesNewRoman"/>
          <w:b/>
          <w:bCs/>
          <w:i/>
        </w:rPr>
      </w:pPr>
      <w:r w:rsidRPr="00AA10A9">
        <w:rPr>
          <w:rStyle w:val="Heading5Char"/>
          <w:rFonts w:eastAsia="TimesNewRoman"/>
          <w:b/>
          <w:bCs/>
          <w:i/>
        </w:rPr>
        <w:t>Pivotal Phase III studies</w:t>
      </w:r>
    </w:p>
    <w:p w:rsidR="002E5CF1" w:rsidRDefault="002E5CF1" w:rsidP="002E5CF1">
      <w:r w:rsidRPr="00BE0B53">
        <w:t xml:space="preserve">One monotherapy, 5 combination therapy and 1 </w:t>
      </w:r>
      <w:r>
        <w:t>Phase III</w:t>
      </w:r>
      <w:r w:rsidRPr="00BE0B53">
        <w:t xml:space="preserve"> study in patients with moderate renal impairment</w:t>
      </w:r>
      <w:r>
        <w:t xml:space="preserve"> (see table below).</w:t>
      </w:r>
    </w:p>
    <w:p w:rsidR="002E5CF1" w:rsidRPr="000778F7" w:rsidRDefault="002E5CF1" w:rsidP="000778F7">
      <w:pPr>
        <w:pStyle w:val="Tabletitle"/>
      </w:pPr>
      <w:bookmarkStart w:id="36" w:name="_Toc491426686"/>
      <w:bookmarkStart w:id="37" w:name="_Toc504038242"/>
      <w:r>
        <w:t xml:space="preserve">Table 1: </w:t>
      </w:r>
      <w:r w:rsidRPr="00BE0B53">
        <w:t xml:space="preserve">Overview of </w:t>
      </w:r>
      <w:r>
        <w:t>Phase III</w:t>
      </w:r>
      <w:r w:rsidRPr="00BE0B53">
        <w:t xml:space="preserve"> studies contributing to efficacy</w:t>
      </w:r>
      <w:bookmarkEnd w:id="36"/>
      <w:bookmarkEnd w:id="37"/>
    </w:p>
    <w:p w:rsidR="002E5CF1" w:rsidRPr="00BE0B53" w:rsidRDefault="002E5CF1" w:rsidP="000C6FC8">
      <w:r>
        <w:rPr>
          <w:noProof/>
          <w:lang w:eastAsia="en-AU"/>
        </w:rPr>
        <w:drawing>
          <wp:inline distT="0" distB="0" distL="0" distR="0" wp14:anchorId="62905451" wp14:editId="55FF829D">
            <wp:extent cx="5901258" cy="3628339"/>
            <wp:effectExtent l="19050" t="19050" r="23495" b="10795"/>
            <wp:docPr id="3" name="Picture 3" descr="Overview of Phase III studies contributing to effica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lum bright="-20000" contrast="40000"/>
                      <a:extLst>
                        <a:ext uri="{28A0092B-C50C-407E-A947-70E740481C1C}">
                          <a14:useLocalDpi xmlns:a14="http://schemas.microsoft.com/office/drawing/2010/main" val="0"/>
                        </a:ext>
                      </a:extLst>
                    </a:blip>
                    <a:srcRect/>
                    <a:stretch>
                      <a:fillRect/>
                    </a:stretch>
                  </pic:blipFill>
                  <pic:spPr bwMode="auto">
                    <a:xfrm>
                      <a:off x="0" y="0"/>
                      <a:ext cx="5906047" cy="3631284"/>
                    </a:xfrm>
                    <a:prstGeom prst="rect">
                      <a:avLst/>
                    </a:prstGeom>
                    <a:noFill/>
                    <a:ln w="12700">
                      <a:solidFill>
                        <a:schemeClr val="tx1"/>
                      </a:solidFill>
                    </a:ln>
                  </pic:spPr>
                </pic:pic>
              </a:graphicData>
            </a:graphic>
          </wp:inline>
        </w:drawing>
      </w:r>
    </w:p>
    <w:p w:rsidR="002E5CF1" w:rsidRPr="00AA10A9" w:rsidRDefault="002E5CF1" w:rsidP="000778F7">
      <w:pPr>
        <w:pStyle w:val="Heading5"/>
        <w:rPr>
          <w:rFonts w:eastAsia="TimesNewRoman"/>
        </w:rPr>
      </w:pPr>
      <w:r w:rsidRPr="00AA10A9">
        <w:rPr>
          <w:rFonts w:eastAsia="TimesNewRoman"/>
        </w:rPr>
        <w:t>Other studies</w:t>
      </w:r>
    </w:p>
    <w:p w:rsidR="002E5CF1" w:rsidRDefault="002E5CF1" w:rsidP="00803C18">
      <w:pPr>
        <w:rPr>
          <w:rFonts w:cs="TimesNewRoman"/>
        </w:rPr>
      </w:pPr>
      <w:r>
        <w:t xml:space="preserve">Phase II dose-finding studies: </w:t>
      </w:r>
      <w:r w:rsidR="008348EB">
        <w:t xml:space="preserve">Studies </w:t>
      </w:r>
      <w:r w:rsidRPr="00C64EC6">
        <w:rPr>
          <w:rFonts w:cs="TimesNewRoman"/>
        </w:rPr>
        <w:t>P042/1004 and P016/1006</w:t>
      </w:r>
    </w:p>
    <w:p w:rsidR="002E5CF1" w:rsidRDefault="002E5CF1" w:rsidP="00803C18">
      <w:r w:rsidRPr="009416AE">
        <w:t>Integrated summary of efficacy and safety</w:t>
      </w:r>
      <w:r>
        <w:t>; Phase I and 2 Safety analyses</w:t>
      </w:r>
    </w:p>
    <w:p w:rsidR="002E5CF1" w:rsidRPr="007A24FC" w:rsidRDefault="002E5CF1" w:rsidP="002E5CF1">
      <w:pPr>
        <w:pStyle w:val="Comment"/>
      </w:pPr>
      <w:r w:rsidRPr="00C05041">
        <w:rPr>
          <w:b/>
        </w:rPr>
        <w:t>Comment</w:t>
      </w:r>
      <w:r w:rsidR="00803C18">
        <w:t xml:space="preserve">: </w:t>
      </w:r>
      <w:r w:rsidR="008348EB">
        <w:t xml:space="preserve"> </w:t>
      </w:r>
      <w:r w:rsidRPr="007A24FC">
        <w:t xml:space="preserve">The </w:t>
      </w:r>
      <w:r>
        <w:t>Phase III</w:t>
      </w:r>
      <w:r w:rsidRPr="007A24FC">
        <w:t xml:space="preserve"> studies investigated ertugliflozin as monotherapy or in combination with other AHAs across a broad and diverse population of subjects with T2DM. However, recruitment in 2 of the 9 </w:t>
      </w:r>
      <w:r>
        <w:t>Phase III</w:t>
      </w:r>
      <w:r w:rsidRPr="007A24FC">
        <w:t xml:space="preserve"> Studies </w:t>
      </w:r>
      <w:r w:rsidR="00424310">
        <w:t>(</w:t>
      </w:r>
      <w:r w:rsidRPr="007A24FC">
        <w:t>a CVOT study (</w:t>
      </w:r>
      <w:r w:rsidR="008348EB">
        <w:t>Study </w:t>
      </w:r>
      <w:r w:rsidRPr="007A24FC">
        <w:t>P004/1021) and an Asia Pacific regional study (</w:t>
      </w:r>
      <w:r w:rsidR="008348EB">
        <w:t>Study </w:t>
      </w:r>
      <w:r w:rsidRPr="007A24FC">
        <w:t>P012/1045)</w:t>
      </w:r>
      <w:r w:rsidR="00424310">
        <w:t>)</w:t>
      </w:r>
      <w:r w:rsidRPr="007A24FC">
        <w:t xml:space="preserve"> are ongoing and limited (CVOT) or no data (Asia Pacific) from these studies are currently available. These studies will remain blinded until its completion according to agreement with the US Food and Drug Administration (FDA) and the European Medicines Agency (EMA). Neither the detailed results of the CV meta-analysis report nor any other results from the CVOT study have been included in this submission. The CVOT study is estimated to complete in 2019, with the exact timing dependent on the accrual of CV events.</w:t>
      </w:r>
    </w:p>
    <w:p w:rsidR="002E5CF1" w:rsidRDefault="002E5CF1" w:rsidP="000778F7">
      <w:pPr>
        <w:pStyle w:val="Heading3"/>
      </w:pPr>
      <w:bookmarkStart w:id="38" w:name="_Toc504038121"/>
      <w:bookmarkStart w:id="39" w:name="_Toc4489187"/>
      <w:r>
        <w:t>Paediatric data</w:t>
      </w:r>
      <w:bookmarkEnd w:id="38"/>
      <w:bookmarkEnd w:id="39"/>
    </w:p>
    <w:p w:rsidR="002E5CF1" w:rsidRPr="008C2EA4" w:rsidRDefault="002E5CF1" w:rsidP="00803C18">
      <w:pPr>
        <w:rPr>
          <w:lang w:eastAsia="ja-JP"/>
        </w:rPr>
      </w:pPr>
      <w:r w:rsidRPr="008C2EA4">
        <w:rPr>
          <w:lang w:eastAsia="ja-JP"/>
        </w:rPr>
        <w:t>There is</w:t>
      </w:r>
      <w:r>
        <w:rPr>
          <w:lang w:eastAsia="ja-JP"/>
        </w:rPr>
        <w:t xml:space="preserve"> no</w:t>
      </w:r>
      <w:r w:rsidRPr="008C2EA4">
        <w:rPr>
          <w:lang w:eastAsia="ja-JP"/>
        </w:rPr>
        <w:t xml:space="preserve"> paediatric data in the current submission. </w:t>
      </w:r>
      <w:r>
        <w:rPr>
          <w:lang w:eastAsia="ja-JP"/>
        </w:rPr>
        <w:t>T</w:t>
      </w:r>
      <w:r w:rsidRPr="008C2EA4">
        <w:rPr>
          <w:lang w:eastAsia="ja-JP"/>
        </w:rPr>
        <w:t>he sponsors have</w:t>
      </w:r>
      <w:r>
        <w:rPr>
          <w:lang w:eastAsia="ja-JP"/>
        </w:rPr>
        <w:t xml:space="preserve"> </w:t>
      </w:r>
      <w:r w:rsidRPr="008C2EA4">
        <w:rPr>
          <w:lang w:eastAsia="ja-JP"/>
        </w:rPr>
        <w:t xml:space="preserve">submitted a PIP (Paediatric investigation plan) in the EU and the </w:t>
      </w:r>
      <w:r w:rsidRPr="008C2EA4">
        <w:rPr>
          <w:rFonts w:eastAsiaTheme="minorHAnsi" w:cs="ArialMT"/>
        </w:rPr>
        <w:t>date on which the sponsors are first required to submit a report of a study conducted as</w:t>
      </w:r>
      <w:r>
        <w:rPr>
          <w:rFonts w:eastAsiaTheme="minorHAnsi" w:cs="ArialMT"/>
        </w:rPr>
        <w:t xml:space="preserve"> </w:t>
      </w:r>
      <w:r w:rsidRPr="008C2EA4">
        <w:rPr>
          <w:rFonts w:eastAsiaTheme="minorHAnsi" w:cs="ArialMT"/>
        </w:rPr>
        <w:t xml:space="preserve">part of the PIP is </w:t>
      </w:r>
      <w:r w:rsidR="00803C18">
        <w:rPr>
          <w:rFonts w:eastAsiaTheme="minorHAnsi" w:cs="ArialMT"/>
        </w:rPr>
        <w:t>September</w:t>
      </w:r>
      <w:r w:rsidRPr="008C2EA4">
        <w:rPr>
          <w:rFonts w:eastAsiaTheme="minorHAnsi" w:cs="ArialMT"/>
        </w:rPr>
        <w:t xml:space="preserve"> 2026.</w:t>
      </w:r>
    </w:p>
    <w:p w:rsidR="002E5CF1" w:rsidRDefault="002E5CF1" w:rsidP="000778F7">
      <w:pPr>
        <w:pStyle w:val="Heading3"/>
      </w:pPr>
      <w:bookmarkStart w:id="40" w:name="_Toc504038122"/>
      <w:bookmarkStart w:id="41" w:name="_Toc4489188"/>
      <w:r>
        <w:lastRenderedPageBreak/>
        <w:t>Good clinical practice</w:t>
      </w:r>
      <w:bookmarkEnd w:id="40"/>
      <w:bookmarkEnd w:id="41"/>
    </w:p>
    <w:p w:rsidR="00803C18" w:rsidRDefault="002E5CF1" w:rsidP="00803C18">
      <w:r w:rsidRPr="009E39F5">
        <w:t>Studies comprising</w:t>
      </w:r>
      <w:r>
        <w:t xml:space="preserve"> </w:t>
      </w:r>
      <w:r w:rsidRPr="009E39F5">
        <w:t>the ertugliflozin clinical development program were conducted in accordance with</w:t>
      </w:r>
      <w:r>
        <w:t xml:space="preserve"> </w:t>
      </w:r>
      <w:r w:rsidRPr="009E39F5">
        <w:t>Guidelines for Good Clinical Practice (GCP) and the Declaration of Helsinki</w:t>
      </w:r>
      <w:r w:rsidR="00803C18">
        <w:t>.</w:t>
      </w:r>
    </w:p>
    <w:p w:rsidR="002E5CF1" w:rsidRPr="009A141C" w:rsidRDefault="002E5CF1" w:rsidP="000778F7">
      <w:pPr>
        <w:pStyle w:val="Heading3"/>
      </w:pPr>
      <w:bookmarkStart w:id="42" w:name="_Toc504038123"/>
      <w:bookmarkStart w:id="43" w:name="_Toc355338639"/>
      <w:bookmarkStart w:id="44" w:name="_Toc4489189"/>
      <w:r>
        <w:t>Evaluator’s commentary on the clinical dossier</w:t>
      </w:r>
      <w:bookmarkEnd w:id="42"/>
      <w:bookmarkEnd w:id="44"/>
    </w:p>
    <w:p w:rsidR="002E5CF1" w:rsidRPr="00156B31" w:rsidRDefault="00803C18" w:rsidP="00803C18">
      <w:pPr>
        <w:rPr>
          <w:lang w:eastAsia="ja-JP"/>
        </w:rPr>
      </w:pPr>
      <w:r>
        <w:rPr>
          <w:lang w:eastAsia="ja-JP"/>
        </w:rPr>
        <w:t xml:space="preserve">The submission was well </w:t>
      </w:r>
      <w:r w:rsidR="002E5CF1">
        <w:rPr>
          <w:lang w:eastAsia="ja-JP"/>
        </w:rPr>
        <w:t xml:space="preserve">presented. </w:t>
      </w:r>
      <w:r w:rsidR="002E5CF1">
        <w:t>There were some limitations of the PK/PD studies as well as the efficacy and safety studies (summarised in relevant sections below).</w:t>
      </w:r>
    </w:p>
    <w:p w:rsidR="002E5CF1" w:rsidRDefault="002E5CF1" w:rsidP="000778F7">
      <w:pPr>
        <w:pStyle w:val="Heading2"/>
      </w:pPr>
      <w:bookmarkStart w:id="45" w:name="_Toc504038124"/>
      <w:bookmarkStart w:id="46" w:name="_Toc4489190"/>
      <w:r>
        <w:t>Pharmacokinetics</w:t>
      </w:r>
      <w:bookmarkEnd w:id="43"/>
      <w:bookmarkEnd w:id="45"/>
      <w:bookmarkEnd w:id="46"/>
    </w:p>
    <w:p w:rsidR="002E5CF1" w:rsidRPr="009A141C" w:rsidRDefault="002E5CF1" w:rsidP="000778F7">
      <w:pPr>
        <w:pStyle w:val="Heading3"/>
      </w:pPr>
      <w:bookmarkStart w:id="47" w:name="_Toc504038125"/>
      <w:bookmarkStart w:id="48" w:name="_Toc4489191"/>
      <w:r>
        <w:t>Studies providing pharmacokinetic information</w:t>
      </w:r>
      <w:bookmarkEnd w:id="47"/>
      <w:bookmarkEnd w:id="48"/>
    </w:p>
    <w:p w:rsidR="002E5CF1" w:rsidRPr="002E2E9A" w:rsidRDefault="002E5CF1" w:rsidP="002E5CF1">
      <w:pPr>
        <w:pStyle w:val="Tabletitle"/>
      </w:pPr>
      <w:bookmarkStart w:id="49" w:name="_Toc453839419"/>
      <w:bookmarkStart w:id="50" w:name="_Toc491426687"/>
      <w:bookmarkStart w:id="51" w:name="_Toc504038243"/>
      <w:r w:rsidRPr="002E2E9A">
        <w:t xml:space="preserve">Table </w:t>
      </w:r>
      <w:r>
        <w:t>2:</w:t>
      </w:r>
      <w:r w:rsidRPr="002E2E9A">
        <w:t xml:space="preserve"> Submitted pharmacokinetic studies</w:t>
      </w:r>
      <w:bookmarkEnd w:id="49"/>
      <w:bookmarkEnd w:id="50"/>
      <w:bookmarkEnd w:id="51"/>
    </w:p>
    <w:tbl>
      <w:tblPr>
        <w:tblStyle w:val="TableTGAblue"/>
        <w:tblW w:w="8897" w:type="dxa"/>
        <w:tblLayout w:type="fixed"/>
        <w:tblLook w:val="04A0" w:firstRow="1" w:lastRow="0" w:firstColumn="1" w:lastColumn="0" w:noHBand="0" w:noVBand="1"/>
      </w:tblPr>
      <w:tblGrid>
        <w:gridCol w:w="1668"/>
        <w:gridCol w:w="1701"/>
        <w:gridCol w:w="1417"/>
        <w:gridCol w:w="4111"/>
      </w:tblGrid>
      <w:tr w:rsidR="002E5CF1" w:rsidRPr="001D5121" w:rsidTr="002E5CF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68" w:type="dxa"/>
          </w:tcPr>
          <w:p w:rsidR="002E5CF1" w:rsidRPr="001D5121" w:rsidRDefault="002E5CF1" w:rsidP="001D5121">
            <w:pPr>
              <w:rPr>
                <w:b w:val="0"/>
                <w:sz w:val="20"/>
                <w:szCs w:val="20"/>
              </w:rPr>
            </w:pPr>
            <w:r w:rsidRPr="001D5121">
              <w:rPr>
                <w:sz w:val="20"/>
                <w:szCs w:val="20"/>
              </w:rPr>
              <w:t>PK topic</w:t>
            </w:r>
          </w:p>
        </w:tc>
        <w:tc>
          <w:tcPr>
            <w:tcW w:w="1701" w:type="dxa"/>
          </w:tcPr>
          <w:p w:rsidR="002E5CF1" w:rsidRPr="001D5121" w:rsidRDefault="002E5CF1" w:rsidP="001D5121">
            <w:pPr>
              <w:cnfStyle w:val="100000000000" w:firstRow="1" w:lastRow="0" w:firstColumn="0" w:lastColumn="0" w:oddVBand="0" w:evenVBand="0" w:oddHBand="0" w:evenHBand="0" w:firstRowFirstColumn="0" w:firstRowLastColumn="0" w:lastRowFirstColumn="0" w:lastRowLastColumn="0"/>
              <w:rPr>
                <w:b w:val="0"/>
                <w:sz w:val="20"/>
                <w:szCs w:val="20"/>
              </w:rPr>
            </w:pPr>
            <w:r w:rsidRPr="001D5121">
              <w:rPr>
                <w:sz w:val="20"/>
                <w:szCs w:val="20"/>
              </w:rPr>
              <w:t>Subtopic</w:t>
            </w:r>
          </w:p>
        </w:tc>
        <w:tc>
          <w:tcPr>
            <w:tcW w:w="1417" w:type="dxa"/>
          </w:tcPr>
          <w:p w:rsidR="002E5CF1" w:rsidRPr="001D5121" w:rsidRDefault="002E5CF1" w:rsidP="001D5121">
            <w:pPr>
              <w:cnfStyle w:val="100000000000" w:firstRow="1" w:lastRow="0" w:firstColumn="0" w:lastColumn="0" w:oddVBand="0" w:evenVBand="0" w:oddHBand="0" w:evenHBand="0" w:firstRowFirstColumn="0" w:firstRowLastColumn="0" w:lastRowFirstColumn="0" w:lastRowLastColumn="0"/>
              <w:rPr>
                <w:b w:val="0"/>
                <w:sz w:val="20"/>
                <w:szCs w:val="20"/>
              </w:rPr>
            </w:pPr>
            <w:r w:rsidRPr="001D5121">
              <w:rPr>
                <w:sz w:val="20"/>
                <w:szCs w:val="20"/>
              </w:rPr>
              <w:t>Study ID</w:t>
            </w:r>
          </w:p>
        </w:tc>
        <w:tc>
          <w:tcPr>
            <w:tcW w:w="4111" w:type="dxa"/>
          </w:tcPr>
          <w:p w:rsidR="002E5CF1" w:rsidRPr="001D5121" w:rsidRDefault="002E5CF1" w:rsidP="001D5121">
            <w:pPr>
              <w:cnfStyle w:val="100000000000" w:firstRow="1" w:lastRow="0" w:firstColumn="0" w:lastColumn="0" w:oddVBand="0" w:evenVBand="0" w:oddHBand="0" w:evenHBand="0" w:firstRowFirstColumn="0" w:firstRowLastColumn="0" w:lastRowFirstColumn="0" w:lastRowLastColumn="0"/>
              <w:rPr>
                <w:b w:val="0"/>
                <w:sz w:val="20"/>
                <w:szCs w:val="20"/>
              </w:rPr>
            </w:pPr>
            <w:r w:rsidRPr="001D5121">
              <w:rPr>
                <w:sz w:val="20"/>
                <w:szCs w:val="20"/>
              </w:rPr>
              <w:t>*</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val="restart"/>
          </w:tcPr>
          <w:p w:rsidR="002E5CF1" w:rsidRPr="001D5121" w:rsidRDefault="002E5CF1" w:rsidP="001D5121">
            <w:pPr>
              <w:rPr>
                <w:sz w:val="20"/>
                <w:szCs w:val="20"/>
              </w:rPr>
            </w:pPr>
            <w:r w:rsidRPr="001D5121">
              <w:rPr>
                <w:sz w:val="20"/>
                <w:szCs w:val="20"/>
              </w:rPr>
              <w:t>PK in healthy adults</w:t>
            </w: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BE</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bCs/>
                <w:color w:val="000000"/>
                <w:sz w:val="20"/>
                <w:szCs w:val="20"/>
              </w:rPr>
              <w:t>P023/1037</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u w:val="single"/>
              </w:rPr>
            </w:pPr>
            <w:r w:rsidRPr="001D5121">
              <w:rPr>
                <w:sz w:val="20"/>
                <w:szCs w:val="20"/>
                <w:lang w:eastAsia="en-US"/>
              </w:rPr>
              <w:t>BE of the ertugliflozin 15 mg commercial image tablet and the 15 mg ertugliflozin dose studied in Phase III</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BA</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P</w:t>
            </w:r>
            <w:r w:rsidRPr="001D5121">
              <w:rPr>
                <w:rFonts w:eastAsia="TimesNewRoman"/>
                <w:sz w:val="20"/>
                <w:szCs w:val="20"/>
              </w:rPr>
              <w:t>020/1043</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 xml:space="preserve">Absolute BA </w:t>
            </w:r>
            <w:r w:rsidRPr="001D5121">
              <w:rPr>
                <w:rFonts w:eastAsia="TimesNewRoman"/>
                <w:sz w:val="20"/>
                <w:szCs w:val="20"/>
                <w:lang w:eastAsia="en-US"/>
              </w:rPr>
              <w:t>of ertugliflozin</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BA/BE</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P011/1034</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Relative BA of ertugliflozin when administered as a tablet containing amorphous form versus tablets containing co</w:t>
            </w:r>
            <w:r w:rsidR="00AE3765" w:rsidRPr="001D5121">
              <w:rPr>
                <w:rFonts w:eastAsia="TimesNewRoman"/>
                <w:sz w:val="20"/>
                <w:szCs w:val="20"/>
                <w:lang w:eastAsia="en-US"/>
              </w:rPr>
              <w:t>-</w:t>
            </w:r>
            <w:r w:rsidRPr="001D5121">
              <w:rPr>
                <w:rFonts w:eastAsia="TimesNewRoman"/>
                <w:sz w:val="20"/>
                <w:szCs w:val="20"/>
                <w:lang w:eastAsia="en-US"/>
              </w:rPr>
              <w:t>crystal</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Food</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P024/</w:t>
            </w:r>
            <w:r w:rsidRPr="001D5121">
              <w:rPr>
                <w:rFonts w:eastAsia="TimesNewRoman"/>
                <w:sz w:val="20"/>
                <w:szCs w:val="20"/>
              </w:rPr>
              <w:t>1048</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The effect of food on the PKs of ertugliflozin 15 mg commercial image tablet.</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vMerge w:val="restart"/>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Escalating Single dose</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bCs/>
                <w:color w:val="000000"/>
                <w:sz w:val="20"/>
                <w:szCs w:val="20"/>
              </w:rPr>
              <w:t>P036/1001</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Ertugliflozin PKs following single oral doses ranging from 0.5- to 300-mg</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vMerge/>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bCs/>
                <w:color w:val="000000"/>
                <w:sz w:val="20"/>
                <w:szCs w:val="20"/>
              </w:rPr>
              <w:t>P037/1002</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PKs of ertugliflozin and its metabolite M2</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Mass balance</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bCs/>
                <w:color w:val="000000"/>
                <w:sz w:val="20"/>
                <w:szCs w:val="20"/>
              </w:rPr>
            </w:pPr>
            <w:bookmarkStart w:id="52" w:name="_Toc492029855"/>
            <w:bookmarkStart w:id="53" w:name="_Toc504038244"/>
            <w:r w:rsidRPr="001D5121">
              <w:rPr>
                <w:rStyle w:val="Heading8Char"/>
              </w:rPr>
              <w:t>P038/1003</w:t>
            </w:r>
            <w:bookmarkEnd w:id="52"/>
            <w:bookmarkEnd w:id="53"/>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1D5121">
              <w:rPr>
                <w:rFonts w:eastAsia="TimesNewRoman"/>
                <w:sz w:val="20"/>
                <w:szCs w:val="20"/>
                <w:lang w:eastAsia="en-US"/>
              </w:rPr>
              <w:t xml:space="preserve">Rate and extent of excretion of total radioactivity in urine and faeces, following a single oral dose of 25 mg </w:t>
            </w:r>
            <w:r w:rsidR="00424310" w:rsidRPr="001D5121">
              <w:rPr>
                <w:rFonts w:eastAsia="TimesNewRoman"/>
                <w:sz w:val="20"/>
                <w:szCs w:val="20"/>
                <w:lang w:eastAsia="en-US"/>
              </w:rPr>
              <w:t>(</w:t>
            </w:r>
            <w:r w:rsidRPr="001D5121">
              <w:rPr>
                <w:rFonts w:eastAsia="TimesNewRoman"/>
                <w:sz w:val="20"/>
                <w:szCs w:val="20"/>
                <w:vertAlign w:val="superscript"/>
                <w:lang w:eastAsia="en-US"/>
              </w:rPr>
              <w:t>14</w:t>
            </w:r>
            <w:r w:rsidRPr="001D5121">
              <w:rPr>
                <w:rFonts w:eastAsia="TimesNewRoman"/>
                <w:sz w:val="20"/>
                <w:szCs w:val="20"/>
                <w:lang w:eastAsia="en-US"/>
              </w:rPr>
              <w:t>C</w:t>
            </w:r>
            <w:r w:rsidR="00424310" w:rsidRPr="001D5121">
              <w:rPr>
                <w:rFonts w:eastAsia="TimesNewRoman"/>
                <w:sz w:val="20"/>
                <w:szCs w:val="20"/>
                <w:lang w:eastAsia="en-US"/>
              </w:rPr>
              <w:t>)</w:t>
            </w:r>
            <w:r w:rsidRPr="001D5121">
              <w:rPr>
                <w:rFonts w:eastAsia="TimesNewRoman"/>
                <w:sz w:val="20"/>
                <w:szCs w:val="20"/>
                <w:lang w:eastAsia="en-US"/>
              </w:rPr>
              <w:t>ertugliflozin</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Effect of timing of doses</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bCs/>
                <w:color w:val="000000"/>
                <w:sz w:val="20"/>
                <w:szCs w:val="20"/>
              </w:rPr>
              <w:t>P035/1051</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Equivalence of exposure following daily dosing with 5 mg QD</w:t>
            </w:r>
            <w:r w:rsidR="00CA2F4B" w:rsidRPr="001D5121">
              <w:rPr>
                <w:rFonts w:eastAsia="TimesNewRoman"/>
                <w:sz w:val="20"/>
                <w:szCs w:val="20"/>
                <w:lang w:eastAsia="en-US"/>
              </w:rPr>
              <w:t xml:space="preserve"> versus</w:t>
            </w:r>
            <w:r w:rsidRPr="001D5121">
              <w:rPr>
                <w:rFonts w:eastAsia="TimesNewRoman"/>
                <w:sz w:val="20"/>
                <w:szCs w:val="20"/>
                <w:lang w:eastAsia="en-US"/>
              </w:rPr>
              <w:t xml:space="preserve"> </w:t>
            </w:r>
            <w:r w:rsidR="00803C18" w:rsidRPr="001D5121">
              <w:rPr>
                <w:rFonts w:eastAsia="TimesNewRoman"/>
                <w:sz w:val="20"/>
                <w:szCs w:val="20"/>
                <w:lang w:eastAsia="en-US"/>
              </w:rPr>
              <w:t>BD</w:t>
            </w:r>
            <w:r w:rsidRPr="001D5121">
              <w:rPr>
                <w:rFonts w:eastAsia="TimesNewRoman"/>
                <w:sz w:val="20"/>
                <w:szCs w:val="20"/>
                <w:lang w:eastAsia="en-US"/>
              </w:rPr>
              <w:t>.</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val="restart"/>
          </w:tcPr>
          <w:p w:rsidR="002E5CF1" w:rsidRPr="001D5121" w:rsidRDefault="002E5CF1" w:rsidP="001D5121">
            <w:pPr>
              <w:rPr>
                <w:sz w:val="20"/>
                <w:szCs w:val="20"/>
              </w:rPr>
            </w:pPr>
            <w:r w:rsidRPr="001D5121">
              <w:rPr>
                <w:sz w:val="20"/>
                <w:szCs w:val="20"/>
              </w:rPr>
              <w:t>PK in special populations</w:t>
            </w: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Target population§</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P040/1007</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 xml:space="preserve">Ertugliflozin PKs following administration QD and </w:t>
            </w:r>
            <w:r w:rsidR="00803C18" w:rsidRPr="001D5121">
              <w:rPr>
                <w:rFonts w:eastAsia="TimesNewRoman"/>
                <w:sz w:val="20"/>
                <w:szCs w:val="20"/>
                <w:lang w:eastAsia="en-US"/>
              </w:rPr>
              <w:t>BD</w:t>
            </w:r>
            <w:r w:rsidRPr="001D5121">
              <w:rPr>
                <w:rFonts w:eastAsia="TimesNewRoman"/>
                <w:sz w:val="20"/>
                <w:szCs w:val="20"/>
                <w:lang w:eastAsia="en-US"/>
              </w:rPr>
              <w:t xml:space="preserve"> in adults with T2DM; and to investigate the relationship between plasma concentrations and PD.</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Hepatic impairment</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bCs/>
                <w:color w:val="000000"/>
                <w:sz w:val="20"/>
                <w:szCs w:val="20"/>
              </w:rPr>
              <w:t>P014/1024</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rFonts w:eastAsia="TimesNewRoman"/>
                <w:sz w:val="20"/>
                <w:szCs w:val="20"/>
                <w:lang w:eastAsia="en-US"/>
              </w:rPr>
            </w:pPr>
            <w:r w:rsidRPr="001D5121">
              <w:rPr>
                <w:rFonts w:eastAsia="TimesNewRoman"/>
                <w:sz w:val="20"/>
                <w:szCs w:val="20"/>
                <w:lang w:eastAsia="en-US"/>
              </w:rPr>
              <w:t>Effect of moderate hepatic impairment on the ertugliflozin PKs following a single oral dose of 15 mg.</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Renal impairment</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bCs/>
                <w:color w:val="000000"/>
                <w:sz w:val="20"/>
                <w:szCs w:val="20"/>
              </w:rPr>
              <w:t>P009/1023</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Effect of renal impairment on ertugliflozin PKs and PDs following a single oral dose of 15 mg.</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Other special population</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P041/1009</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Comparison of ertugliflozin PKs and PDs following single and multiple doses in healthy Japanese and Westerners.</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val="restart"/>
          </w:tcPr>
          <w:p w:rsidR="002E5CF1" w:rsidRPr="001D5121" w:rsidRDefault="002E5CF1" w:rsidP="001D5121">
            <w:pPr>
              <w:rPr>
                <w:sz w:val="20"/>
                <w:szCs w:val="20"/>
              </w:rPr>
            </w:pPr>
            <w:r w:rsidRPr="001D5121">
              <w:rPr>
                <w:sz w:val="20"/>
                <w:szCs w:val="20"/>
              </w:rPr>
              <w:t>PK interactions</w:t>
            </w: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Metformin</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bCs/>
                <w:color w:val="000000"/>
                <w:sz w:val="20"/>
                <w:szCs w:val="20"/>
              </w:rPr>
              <w:t>P019/1032</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Effect of 100</w:t>
            </w:r>
            <w:r w:rsidR="0038343A" w:rsidRPr="001D5121">
              <w:rPr>
                <w:rFonts w:eastAsia="TimesNewRoman"/>
                <w:sz w:val="20"/>
                <w:szCs w:val="20"/>
                <w:lang w:eastAsia="en-US"/>
              </w:rPr>
              <w:t>0 mg</w:t>
            </w:r>
            <w:r w:rsidRPr="001D5121">
              <w:rPr>
                <w:rFonts w:eastAsia="TimesNewRoman"/>
                <w:sz w:val="20"/>
                <w:szCs w:val="20"/>
                <w:lang w:eastAsia="en-US"/>
              </w:rPr>
              <w:t xml:space="preserve"> metformin on the PKs of a 15 mg dose of ertugliflozin </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Sitagliptin</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P022/1033</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Effect of 100 mg sitagliptin on the PKs of a 15 mg dose of ertugliflozin</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Simvastatin</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P030/1036</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Effect of 40 mg simvastatin on the PKs of a 15 mg dose of ertugliflozin</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Rifampin?</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bCs/>
                <w:color w:val="000000"/>
                <w:sz w:val="20"/>
                <w:szCs w:val="20"/>
              </w:rPr>
              <w:t>P021/1040</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 xml:space="preserve">Effect of steady-state </w:t>
            </w:r>
            <w:r w:rsidR="00AE3765" w:rsidRPr="001D5121">
              <w:rPr>
                <w:rFonts w:eastAsia="TimesNewRoman"/>
                <w:sz w:val="20"/>
                <w:szCs w:val="20"/>
                <w:lang w:eastAsia="en-US"/>
              </w:rPr>
              <w:t xml:space="preserve">rifampin? </w:t>
            </w:r>
            <w:r w:rsidRPr="001D5121">
              <w:rPr>
                <w:rFonts w:eastAsia="TimesNewRoman"/>
                <w:sz w:val="20"/>
                <w:szCs w:val="20"/>
                <w:lang w:eastAsia="en-US"/>
              </w:rPr>
              <w:t>on the PKs of a single 15 mg dose of ertugliflozin</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vMerge/>
          </w:tcPr>
          <w:p w:rsidR="002E5CF1" w:rsidRPr="001D5121" w:rsidRDefault="002E5CF1" w:rsidP="001D5121">
            <w:pPr>
              <w:rPr>
                <w:sz w:val="20"/>
                <w:szCs w:val="20"/>
              </w:rPr>
            </w:pP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Glimepiride</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bCs/>
                <w:color w:val="000000"/>
                <w:sz w:val="20"/>
                <w:szCs w:val="20"/>
              </w:rPr>
              <w:t>P032/1044</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imesNewRoman"/>
                <w:sz w:val="20"/>
                <w:szCs w:val="20"/>
                <w:lang w:eastAsia="en-US"/>
              </w:rPr>
              <w:t xml:space="preserve">Effect of 1mg glimepiride on the PKs of 15 mg ertugliflozin </w:t>
            </w:r>
          </w:p>
        </w:tc>
      </w:tr>
      <w:tr w:rsidR="002E5CF1" w:rsidRPr="001D5121" w:rsidTr="002E5CF1">
        <w:tc>
          <w:tcPr>
            <w:cnfStyle w:val="001000000000" w:firstRow="0" w:lastRow="0" w:firstColumn="1" w:lastColumn="0" w:oddVBand="0" w:evenVBand="0" w:oddHBand="0" w:evenHBand="0" w:firstRowFirstColumn="0" w:firstRowLastColumn="0" w:lastRowFirstColumn="0" w:lastRowLastColumn="0"/>
            <w:tcW w:w="1668" w:type="dxa"/>
          </w:tcPr>
          <w:p w:rsidR="002E5CF1" w:rsidRPr="001D5121" w:rsidRDefault="002E5CF1" w:rsidP="001D5121">
            <w:pPr>
              <w:rPr>
                <w:sz w:val="20"/>
                <w:szCs w:val="20"/>
              </w:rPr>
            </w:pPr>
            <w:r w:rsidRPr="001D5121">
              <w:rPr>
                <w:sz w:val="20"/>
                <w:szCs w:val="20"/>
              </w:rPr>
              <w:t>Population PK analyses</w:t>
            </w:r>
          </w:p>
        </w:tc>
        <w:tc>
          <w:tcPr>
            <w:tcW w:w="170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sz w:val="20"/>
                <w:szCs w:val="20"/>
              </w:rPr>
              <w:t>Healthy and target pop</w:t>
            </w:r>
          </w:p>
        </w:tc>
        <w:tc>
          <w:tcPr>
            <w:tcW w:w="1417"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heme="minorHAnsi"/>
                <w:sz w:val="20"/>
                <w:szCs w:val="20"/>
                <w:lang w:eastAsia="en-US"/>
              </w:rPr>
              <w:t>PMAR-EQDD-B152a-DP4-403</w:t>
            </w:r>
          </w:p>
        </w:tc>
        <w:tc>
          <w:tcPr>
            <w:tcW w:w="4111" w:type="dxa"/>
          </w:tcPr>
          <w:p w:rsidR="002E5CF1" w:rsidRPr="001D5121" w:rsidRDefault="002E5CF1" w:rsidP="001D5121">
            <w:pPr>
              <w:cnfStyle w:val="000000000000" w:firstRow="0" w:lastRow="0" w:firstColumn="0" w:lastColumn="0" w:oddVBand="0" w:evenVBand="0" w:oddHBand="0" w:evenHBand="0" w:firstRowFirstColumn="0" w:firstRowLastColumn="0" w:lastRowFirstColumn="0" w:lastRowLastColumn="0"/>
              <w:rPr>
                <w:sz w:val="20"/>
                <w:szCs w:val="20"/>
              </w:rPr>
            </w:pPr>
            <w:r w:rsidRPr="001D5121">
              <w:rPr>
                <w:rFonts w:eastAsiaTheme="minorHAnsi"/>
                <w:sz w:val="20"/>
                <w:szCs w:val="20"/>
                <w:lang w:eastAsia="en-US"/>
              </w:rPr>
              <w:t xml:space="preserve">To describe the structural PK model and quantify the population variability in ertugliflozin PKs </w:t>
            </w:r>
          </w:p>
        </w:tc>
      </w:tr>
    </w:tbl>
    <w:p w:rsidR="002E5CF1" w:rsidRDefault="002E5CF1" w:rsidP="000778F7">
      <w:pPr>
        <w:pStyle w:val="TableDescription"/>
      </w:pPr>
      <w:r w:rsidRPr="002E2E9A">
        <w:t>* Indicates the primary PK aim of the study</w:t>
      </w:r>
      <w:r w:rsidR="00AE3765" w:rsidRPr="002E2E9A">
        <w:t>. †</w:t>
      </w:r>
      <w:r w:rsidRPr="002E2E9A">
        <w:t xml:space="preserve"> </w:t>
      </w:r>
      <w:r w:rsidRPr="000778F7">
        <w:t>Bioequivalence</w:t>
      </w:r>
      <w:r w:rsidRPr="002E2E9A">
        <w:t xml:space="preserve"> of different formulations.</w:t>
      </w:r>
      <w:r>
        <w:t xml:space="preserve"> </w:t>
      </w:r>
      <w:r w:rsidRPr="002E2E9A">
        <w:t xml:space="preserve">§ </w:t>
      </w:r>
      <w:r w:rsidRPr="0075648E">
        <w:t>Subjects</w:t>
      </w:r>
      <w:r w:rsidRPr="002E2E9A">
        <w:t xml:space="preserve"> who would be eligible to receive the drug if approved for the proposed indication.</w:t>
      </w:r>
    </w:p>
    <w:p w:rsidR="002E5CF1" w:rsidRDefault="002E5CF1" w:rsidP="000778F7">
      <w:pPr>
        <w:pStyle w:val="Tabletitle"/>
      </w:pPr>
      <w:bookmarkStart w:id="54" w:name="_Toc453839420"/>
      <w:bookmarkStart w:id="55" w:name="_Ref492027433"/>
      <w:bookmarkStart w:id="56" w:name="_Toc504038245"/>
      <w:r>
        <w:t xml:space="preserve">Table 3: </w:t>
      </w:r>
      <w:r w:rsidRPr="00BC615D">
        <w:t xml:space="preserve">Pharmacokinetic results excluded from </w:t>
      </w:r>
      <w:r w:rsidRPr="000778F7">
        <w:t>consideration</w:t>
      </w:r>
      <w:bookmarkEnd w:id="54"/>
      <w:bookmarkEnd w:id="55"/>
      <w:bookmarkEnd w:id="56"/>
    </w:p>
    <w:tbl>
      <w:tblPr>
        <w:tblStyle w:val="TableTGAblue"/>
        <w:tblW w:w="0" w:type="auto"/>
        <w:tblLayout w:type="fixed"/>
        <w:tblLook w:val="04A0" w:firstRow="1" w:lastRow="0" w:firstColumn="1" w:lastColumn="0" w:noHBand="0" w:noVBand="1"/>
      </w:tblPr>
      <w:tblGrid>
        <w:gridCol w:w="1642"/>
        <w:gridCol w:w="2719"/>
        <w:gridCol w:w="4536"/>
      </w:tblGrid>
      <w:tr w:rsidR="002E5CF1" w:rsidTr="002E5CF1">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42" w:type="dxa"/>
          </w:tcPr>
          <w:p w:rsidR="002E5CF1" w:rsidRPr="0075648E" w:rsidRDefault="002E5CF1" w:rsidP="00803C18">
            <w:pPr>
              <w:ind w:left="0" w:right="0"/>
              <w:rPr>
                <w:sz w:val="20"/>
                <w:szCs w:val="20"/>
              </w:rPr>
            </w:pPr>
            <w:r w:rsidRPr="0075648E">
              <w:rPr>
                <w:sz w:val="20"/>
                <w:szCs w:val="20"/>
              </w:rPr>
              <w:t>Study ID</w:t>
            </w:r>
          </w:p>
        </w:tc>
        <w:tc>
          <w:tcPr>
            <w:tcW w:w="2719" w:type="dxa"/>
          </w:tcPr>
          <w:p w:rsidR="002E5CF1" w:rsidRPr="0075648E" w:rsidRDefault="002E5CF1" w:rsidP="00803C18">
            <w:pPr>
              <w:ind w:left="0" w:right="0"/>
              <w:cnfStyle w:val="100000000000" w:firstRow="1" w:lastRow="0" w:firstColumn="0" w:lastColumn="0" w:oddVBand="0" w:evenVBand="0" w:oddHBand="0" w:evenHBand="0" w:firstRowFirstColumn="0" w:firstRowLastColumn="0" w:lastRowFirstColumn="0" w:lastRowLastColumn="0"/>
              <w:rPr>
                <w:sz w:val="20"/>
                <w:szCs w:val="20"/>
              </w:rPr>
            </w:pPr>
            <w:r w:rsidRPr="0075648E">
              <w:rPr>
                <w:sz w:val="20"/>
                <w:szCs w:val="20"/>
              </w:rPr>
              <w:t>Subtopics</w:t>
            </w:r>
          </w:p>
        </w:tc>
        <w:tc>
          <w:tcPr>
            <w:tcW w:w="4536" w:type="dxa"/>
          </w:tcPr>
          <w:p w:rsidR="002E5CF1" w:rsidRPr="0075648E" w:rsidRDefault="002E5CF1" w:rsidP="00803C18">
            <w:pPr>
              <w:ind w:left="0" w:right="0"/>
              <w:cnfStyle w:val="100000000000" w:firstRow="1" w:lastRow="0" w:firstColumn="0" w:lastColumn="0" w:oddVBand="0" w:evenVBand="0" w:oddHBand="0" w:evenHBand="0" w:firstRowFirstColumn="0" w:firstRowLastColumn="0" w:lastRowFirstColumn="0" w:lastRowLastColumn="0"/>
              <w:rPr>
                <w:sz w:val="20"/>
                <w:szCs w:val="20"/>
              </w:rPr>
            </w:pPr>
            <w:r w:rsidRPr="0075648E">
              <w:rPr>
                <w:sz w:val="20"/>
                <w:szCs w:val="20"/>
              </w:rPr>
              <w:t>PK results excluded</w:t>
            </w:r>
          </w:p>
        </w:tc>
      </w:tr>
      <w:tr w:rsidR="002E5CF1" w:rsidTr="002E5CF1">
        <w:tc>
          <w:tcPr>
            <w:cnfStyle w:val="001000000000" w:firstRow="0" w:lastRow="0" w:firstColumn="1" w:lastColumn="0" w:oddVBand="0" w:evenVBand="0" w:oddHBand="0" w:evenHBand="0" w:firstRowFirstColumn="0" w:firstRowLastColumn="0" w:lastRowFirstColumn="0" w:lastRowLastColumn="0"/>
            <w:tcW w:w="1642" w:type="dxa"/>
          </w:tcPr>
          <w:p w:rsidR="002E5CF1" w:rsidRPr="0075648E" w:rsidRDefault="002E5CF1" w:rsidP="00803C18">
            <w:pPr>
              <w:ind w:left="0" w:right="0"/>
              <w:rPr>
                <w:sz w:val="20"/>
                <w:szCs w:val="20"/>
              </w:rPr>
            </w:pPr>
            <w:r w:rsidRPr="0075648E">
              <w:rPr>
                <w:sz w:val="20"/>
                <w:szCs w:val="20"/>
              </w:rPr>
              <w:t>P039/1005</w:t>
            </w:r>
          </w:p>
        </w:tc>
        <w:tc>
          <w:tcPr>
            <w:tcW w:w="2719" w:type="dxa"/>
          </w:tcPr>
          <w:p w:rsidR="002E5CF1" w:rsidRPr="0075648E" w:rsidRDefault="002E5CF1"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75648E">
              <w:rPr>
                <w:sz w:val="20"/>
                <w:szCs w:val="20"/>
              </w:rPr>
              <w:t>Bioavailability/</w:t>
            </w:r>
            <w:r w:rsidR="00803C18">
              <w:rPr>
                <w:sz w:val="20"/>
                <w:szCs w:val="20"/>
              </w:rPr>
              <w:t xml:space="preserve"> </w:t>
            </w:r>
            <w:r w:rsidRPr="0075648E">
              <w:rPr>
                <w:sz w:val="20"/>
                <w:szCs w:val="20"/>
              </w:rPr>
              <w:t>Bioequivalence</w:t>
            </w:r>
          </w:p>
        </w:tc>
        <w:tc>
          <w:tcPr>
            <w:tcW w:w="4536" w:type="dxa"/>
          </w:tcPr>
          <w:p w:rsidR="002E5CF1" w:rsidRPr="0075648E" w:rsidRDefault="002E5CF1" w:rsidP="00803C18">
            <w:pPr>
              <w:ind w:left="0" w:right="0"/>
              <w:cnfStyle w:val="000000000000" w:firstRow="0" w:lastRow="0" w:firstColumn="0" w:lastColumn="0" w:oddVBand="0" w:evenVBand="0" w:oddHBand="0" w:evenHBand="0" w:firstRowFirstColumn="0" w:firstRowLastColumn="0" w:lastRowFirstColumn="0" w:lastRowLastColumn="0"/>
              <w:rPr>
                <w:color w:val="auto"/>
                <w:sz w:val="20"/>
                <w:szCs w:val="20"/>
              </w:rPr>
            </w:pPr>
            <w:r w:rsidRPr="0075648E">
              <w:rPr>
                <w:rFonts w:eastAsiaTheme="minorHAnsi"/>
                <w:color w:val="auto"/>
                <w:sz w:val="20"/>
                <w:szCs w:val="20"/>
              </w:rPr>
              <w:t>Relative BA of modified release formulations of ertugliflozin that are not part of the current marketing application and were not used in any other clinical studies that form a part of this application</w:t>
            </w:r>
            <w:r w:rsidR="00803C18">
              <w:rPr>
                <w:rFonts w:eastAsiaTheme="minorHAnsi"/>
                <w:color w:val="auto"/>
                <w:sz w:val="20"/>
                <w:szCs w:val="20"/>
              </w:rPr>
              <w:t>.</w:t>
            </w:r>
          </w:p>
        </w:tc>
      </w:tr>
    </w:tbl>
    <w:p w:rsidR="002E5CF1" w:rsidRPr="002B74F6" w:rsidRDefault="002E5CF1" w:rsidP="000778F7">
      <w:pPr>
        <w:pStyle w:val="Heading3"/>
      </w:pPr>
      <w:bookmarkStart w:id="57" w:name="_Toc461096075"/>
      <w:bookmarkStart w:id="58" w:name="_Toc504038126"/>
      <w:bookmarkStart w:id="59" w:name="_Toc4489192"/>
      <w:r w:rsidRPr="002B74F6">
        <w:t>Summary of pharmacokinetics</w:t>
      </w:r>
      <w:bookmarkEnd w:id="57"/>
      <w:bookmarkEnd w:id="58"/>
      <w:bookmarkEnd w:id="59"/>
    </w:p>
    <w:p w:rsidR="002E5CF1" w:rsidRDefault="002E5CF1" w:rsidP="000778F7">
      <w:pPr>
        <w:pStyle w:val="Heading4"/>
      </w:pPr>
      <w:bookmarkStart w:id="60" w:name="_Ref271189106"/>
      <w:bookmarkStart w:id="61" w:name="_Ref271189143"/>
      <w:bookmarkStart w:id="62" w:name="_Toc272414618"/>
      <w:bookmarkStart w:id="63" w:name="_Toc290888467"/>
      <w:bookmarkStart w:id="64" w:name="_Toc416353663"/>
      <w:bookmarkStart w:id="65" w:name="_Toc421005244"/>
      <w:bookmarkStart w:id="66" w:name="_Toc432079126"/>
      <w:bookmarkStart w:id="67" w:name="_Toc432080699"/>
      <w:bookmarkStart w:id="68" w:name="_Toc461096077"/>
      <w:bookmarkStart w:id="69" w:name="_Toc504038128"/>
      <w:r w:rsidRPr="00545B14">
        <w:t>Pharmacokinetics in healthy subjects</w:t>
      </w:r>
      <w:bookmarkEnd w:id="60"/>
      <w:bookmarkEnd w:id="61"/>
      <w:bookmarkEnd w:id="62"/>
      <w:bookmarkEnd w:id="63"/>
      <w:bookmarkEnd w:id="64"/>
      <w:bookmarkEnd w:id="65"/>
      <w:bookmarkEnd w:id="66"/>
      <w:bookmarkEnd w:id="67"/>
      <w:bookmarkEnd w:id="68"/>
      <w:bookmarkEnd w:id="69"/>
    </w:p>
    <w:p w:rsidR="002E5CF1" w:rsidRPr="00D04309" w:rsidRDefault="002E5CF1" w:rsidP="002E5CF1">
      <w:pPr>
        <w:rPr>
          <w:lang w:eastAsia="ja-JP"/>
        </w:rPr>
      </w:pPr>
      <w:r>
        <w:rPr>
          <w:lang w:eastAsia="ja-JP"/>
        </w:rPr>
        <w:t xml:space="preserve">Plasma concentrations of ertugliflozin were determined </w:t>
      </w:r>
      <w:r w:rsidRPr="009B57EA">
        <w:rPr>
          <w:rFonts w:eastAsia="TimesNewRoman" w:cstheme="minorHAnsi"/>
        </w:rPr>
        <w:t>using validated, sensitive and specific HPLC-MS/MS method</w:t>
      </w:r>
      <w:r>
        <w:rPr>
          <w:rFonts w:eastAsia="TimesNewRoman" w:cstheme="minorHAnsi"/>
        </w:rPr>
        <w:t>s with a lower limit of quantification (L</w:t>
      </w:r>
      <w:r w:rsidR="00803C18">
        <w:rPr>
          <w:rFonts w:eastAsia="TimesNewRoman" w:cstheme="minorHAnsi"/>
        </w:rPr>
        <w:t xml:space="preserve">LOQ) ranging from 0.020 </w:t>
      </w:r>
      <w:proofErr w:type="gramStart"/>
      <w:r w:rsidR="00803C18">
        <w:rPr>
          <w:rFonts w:eastAsia="TimesNewRoman" w:cstheme="minorHAnsi"/>
        </w:rPr>
        <w:t>to 0.50 </w:t>
      </w:r>
      <w:r>
        <w:rPr>
          <w:rFonts w:eastAsia="TimesNewRoman" w:cstheme="minorHAnsi"/>
        </w:rPr>
        <w:t>ng/mL</w:t>
      </w:r>
      <w:proofErr w:type="gramEnd"/>
      <w:r>
        <w:rPr>
          <w:rFonts w:eastAsia="TimesNewRoman" w:cstheme="minorHAnsi"/>
        </w:rPr>
        <w:t>.</w:t>
      </w:r>
    </w:p>
    <w:p w:rsidR="002E5CF1" w:rsidRPr="005B0142" w:rsidRDefault="002E5CF1" w:rsidP="000778F7">
      <w:pPr>
        <w:pStyle w:val="Heading4"/>
      </w:pPr>
      <w:bookmarkStart w:id="70" w:name="_Toc272414619"/>
      <w:bookmarkStart w:id="71" w:name="_Toc290888468"/>
      <w:bookmarkStart w:id="72" w:name="_Toc416353664"/>
      <w:r w:rsidRPr="005B0142">
        <w:lastRenderedPageBreak/>
        <w:t>Absorption</w:t>
      </w:r>
      <w:bookmarkEnd w:id="70"/>
      <w:bookmarkEnd w:id="71"/>
      <w:bookmarkEnd w:id="72"/>
    </w:p>
    <w:p w:rsidR="002E5CF1" w:rsidRPr="00451C3C" w:rsidRDefault="002E5CF1" w:rsidP="000778F7">
      <w:pPr>
        <w:pStyle w:val="Heading5"/>
      </w:pPr>
      <w:bookmarkStart w:id="73" w:name="_Toc241374287"/>
      <w:bookmarkStart w:id="74" w:name="_Toc272414620"/>
      <w:bookmarkStart w:id="75" w:name="_Toc290888469"/>
      <w:bookmarkStart w:id="76" w:name="_Toc416353665"/>
      <w:r w:rsidRPr="00AA10A9">
        <w:t>Sites and mechanism of absorption</w:t>
      </w:r>
    </w:p>
    <w:p w:rsidR="002E5CF1" w:rsidRPr="00800AFA" w:rsidRDefault="002E5CF1" w:rsidP="00803C18">
      <w:pPr>
        <w:rPr>
          <w:rFonts w:eastAsia="TimesNewRoman" w:cstheme="minorHAnsi"/>
        </w:rPr>
      </w:pPr>
      <w:r w:rsidRPr="009A299E">
        <w:t xml:space="preserve">The proposed commercial formulation of </w:t>
      </w:r>
      <w:r>
        <w:t>MSD-</w:t>
      </w:r>
      <w:r w:rsidRPr="009A299E">
        <w:t xml:space="preserve">ertugliflozin </w:t>
      </w:r>
      <w:r>
        <w:t xml:space="preserve">is an orally administered, </w:t>
      </w:r>
      <w:r w:rsidRPr="009A299E">
        <w:t xml:space="preserve">IR, </w:t>
      </w:r>
      <w:r w:rsidR="00803C18">
        <w:t>film coated</w:t>
      </w:r>
      <w:r w:rsidRPr="009A299E">
        <w:t xml:space="preserve"> tablet, </w:t>
      </w:r>
      <w:r>
        <w:t>which is provided in</w:t>
      </w:r>
      <w:r w:rsidRPr="009A299E">
        <w:t xml:space="preserve"> 5 mg and 15 mg </w:t>
      </w:r>
      <w:r>
        <w:t xml:space="preserve">tablet </w:t>
      </w:r>
      <w:r w:rsidRPr="009A299E">
        <w:t>strengths</w:t>
      </w:r>
      <w:r>
        <w:t xml:space="preserve">. </w:t>
      </w:r>
      <w:r w:rsidRPr="009B57EA">
        <w:rPr>
          <w:rFonts w:eastAsia="TimesNewRoman" w:cstheme="minorHAnsi"/>
        </w:rPr>
        <w:t xml:space="preserve">Following administration of a single oral 15 mg dose of </w:t>
      </w:r>
      <w:r>
        <w:rPr>
          <w:rFonts w:eastAsia="TimesNewRoman" w:cstheme="minorHAnsi"/>
        </w:rPr>
        <w:t xml:space="preserve">the commercial image tablet or the </w:t>
      </w:r>
      <w:r w:rsidRPr="009B57EA">
        <w:rPr>
          <w:rFonts w:eastAsia="TimesNewRoman" w:cstheme="minorHAnsi"/>
        </w:rPr>
        <w:t xml:space="preserve">ertugliflozin </w:t>
      </w:r>
      <w:r>
        <w:rPr>
          <w:rFonts w:eastAsia="TimesNewRoman" w:cstheme="minorHAnsi"/>
        </w:rPr>
        <w:t xml:space="preserve">Phase III form under fasted conditions, the median </w:t>
      </w:r>
      <w:r w:rsidR="006F000B">
        <w:rPr>
          <w:rFonts w:eastAsia="TimesNewRoman" w:cstheme="minorHAnsi"/>
        </w:rPr>
        <w:t>T</w:t>
      </w:r>
      <w:r w:rsidR="006F000B" w:rsidRPr="006F000B">
        <w:rPr>
          <w:rFonts w:eastAsia="TimesNewRoman" w:cstheme="minorHAnsi"/>
          <w:vertAlign w:val="subscript"/>
        </w:rPr>
        <w:t>max</w:t>
      </w:r>
      <w:r>
        <w:rPr>
          <w:rFonts w:eastAsia="TimesNewRoman" w:cstheme="minorHAnsi"/>
        </w:rPr>
        <w:t xml:space="preserve"> occurred 1 h after dosing for both treatments and the mean t</w:t>
      </w:r>
      <w:r>
        <w:rPr>
          <w:rFonts w:eastAsia="TimesNewRoman" w:cstheme="minorHAnsi"/>
          <w:vertAlign w:val="subscript"/>
        </w:rPr>
        <w:t>1/2</w:t>
      </w:r>
      <w:r>
        <w:rPr>
          <w:rFonts w:eastAsia="TimesNewRoman" w:cstheme="minorHAnsi"/>
        </w:rPr>
        <w:t xml:space="preserve"> values ranged from 12.18 h to 12.58 h.</w:t>
      </w:r>
    </w:p>
    <w:p w:rsidR="002E5CF1" w:rsidRPr="005B0142" w:rsidRDefault="002E5CF1" w:rsidP="00606E10">
      <w:pPr>
        <w:pStyle w:val="Heading4"/>
        <w:numPr>
          <w:ilvl w:val="3"/>
          <w:numId w:val="8"/>
        </w:numPr>
      </w:pPr>
      <w:r w:rsidRPr="005B0142">
        <w:t>Bioavailability</w:t>
      </w:r>
      <w:bookmarkEnd w:id="73"/>
      <w:bookmarkEnd w:id="74"/>
      <w:bookmarkEnd w:id="75"/>
      <w:bookmarkEnd w:id="76"/>
    </w:p>
    <w:p w:rsidR="002E5CF1" w:rsidRPr="00AA10A9" w:rsidRDefault="002E5CF1" w:rsidP="002E5CF1">
      <w:pPr>
        <w:pStyle w:val="Heading5"/>
      </w:pPr>
      <w:r w:rsidRPr="00AA10A9">
        <w:t>Absolute bioavailability</w:t>
      </w:r>
    </w:p>
    <w:p w:rsidR="002E5CF1" w:rsidRPr="009B57EA" w:rsidRDefault="002E5CF1" w:rsidP="00803C18">
      <w:pPr>
        <w:rPr>
          <w:color w:val="000000"/>
        </w:rPr>
      </w:pPr>
      <w:r w:rsidRPr="00F76523">
        <w:t>Study P020/1043</w:t>
      </w:r>
      <w:r>
        <w:t xml:space="preserve"> examined the </w:t>
      </w:r>
      <w:r w:rsidRPr="009B57EA">
        <w:t xml:space="preserve">absolute </w:t>
      </w:r>
      <w:r>
        <w:t xml:space="preserve">oral </w:t>
      </w:r>
      <w:r w:rsidRPr="009B57EA">
        <w:t xml:space="preserve">bioavailability </w:t>
      </w:r>
      <w:r>
        <w:t>(</w:t>
      </w:r>
      <w:r w:rsidRPr="009B57EA">
        <w:t>F</w:t>
      </w:r>
      <w:r>
        <w:t>)</w:t>
      </w:r>
      <w:r w:rsidRPr="009B57EA">
        <w:t xml:space="preserve"> of ertugliflozin</w:t>
      </w:r>
      <w:r>
        <w:t xml:space="preserve"> by comparing the PKs of ertugliflozin following </w:t>
      </w:r>
      <w:r w:rsidRPr="009B57EA">
        <w:t xml:space="preserve">a single </w:t>
      </w:r>
      <w:r>
        <w:t xml:space="preserve">15 mg </w:t>
      </w:r>
      <w:r w:rsidRPr="009B57EA">
        <w:t xml:space="preserve">oral dose of unlabelled ertugliflozin </w:t>
      </w:r>
      <w:r>
        <w:t xml:space="preserve">(amorphous) and </w:t>
      </w:r>
      <w:r w:rsidRPr="009B57EA">
        <w:t xml:space="preserve">a single 100 µg IV dose of </w:t>
      </w:r>
      <w:r w:rsidRPr="009B57EA">
        <w:rPr>
          <w:vertAlign w:val="superscript"/>
        </w:rPr>
        <w:t>14</w:t>
      </w:r>
      <w:r w:rsidRPr="009B57EA">
        <w:t>C-ertugliflozin</w:t>
      </w:r>
      <w:r>
        <w:t>, which</w:t>
      </w:r>
      <w:r w:rsidRPr="009B57EA">
        <w:t xml:space="preserve"> contain</w:t>
      </w:r>
      <w:r>
        <w:t>ed</w:t>
      </w:r>
      <w:r w:rsidRPr="009B57EA">
        <w:t xml:space="preserve"> approximately 400 nCi of </w:t>
      </w:r>
      <w:r w:rsidRPr="009B57EA">
        <w:rPr>
          <w:vertAlign w:val="superscript"/>
        </w:rPr>
        <w:t>14</w:t>
      </w:r>
      <w:r w:rsidRPr="009B57EA">
        <w:t xml:space="preserve">C </w:t>
      </w:r>
      <w:r>
        <w:t xml:space="preserve">and was </w:t>
      </w:r>
      <w:r w:rsidRPr="009B57EA">
        <w:t>administered as an infusion</w:t>
      </w:r>
      <w:r>
        <w:t xml:space="preserve">, in eight White males. The results indicated that </w:t>
      </w:r>
      <w:r w:rsidRPr="009B57EA">
        <w:rPr>
          <w:color w:val="000000"/>
        </w:rPr>
        <w:t xml:space="preserve">the ratio (PO/IV) of adjusted geometric </w:t>
      </w:r>
      <w:r>
        <w:rPr>
          <w:color w:val="000000"/>
        </w:rPr>
        <w:t xml:space="preserve">mean (GMR) </w:t>
      </w:r>
      <w:proofErr w:type="spellStart"/>
      <w:proofErr w:type="gramStart"/>
      <w:r w:rsidRPr="009B57EA">
        <w:rPr>
          <w:color w:val="000000"/>
        </w:rPr>
        <w:t>AUC</w:t>
      </w:r>
      <w:r w:rsidRPr="009B57EA">
        <w:rPr>
          <w:color w:val="000000"/>
          <w:vertAlign w:val="subscript"/>
        </w:rPr>
        <w:t>inf</w:t>
      </w:r>
      <w:proofErr w:type="spellEnd"/>
      <w:r w:rsidR="00424310">
        <w:rPr>
          <w:color w:val="000000"/>
        </w:rPr>
        <w:t>(</w:t>
      </w:r>
      <w:proofErr w:type="spellStart"/>
      <w:proofErr w:type="gramEnd"/>
      <w:r w:rsidRPr="009B57EA">
        <w:rPr>
          <w:color w:val="000000"/>
        </w:rPr>
        <w:t>dn</w:t>
      </w:r>
      <w:proofErr w:type="spellEnd"/>
      <w:r w:rsidR="00424310">
        <w:rPr>
          <w:color w:val="000000"/>
        </w:rPr>
        <w:t>)</w:t>
      </w:r>
      <w:r w:rsidRPr="009B57EA">
        <w:rPr>
          <w:color w:val="000000"/>
        </w:rPr>
        <w:t xml:space="preserve"> values </w:t>
      </w:r>
      <w:r>
        <w:rPr>
          <w:color w:val="000000"/>
        </w:rPr>
        <w:t>(</w:t>
      </w:r>
      <w:r w:rsidR="006F000B">
        <w:rPr>
          <w:color w:val="000000"/>
        </w:rPr>
        <w:t>that is,</w:t>
      </w:r>
      <w:r>
        <w:rPr>
          <w:color w:val="000000"/>
        </w:rPr>
        <w:t xml:space="preserve"> F) </w:t>
      </w:r>
      <w:r w:rsidRPr="009B57EA">
        <w:rPr>
          <w:color w:val="000000"/>
        </w:rPr>
        <w:t>was 104.7% (90% CI: 101.6%, 107.9%).</w:t>
      </w:r>
    </w:p>
    <w:p w:rsidR="002E5CF1" w:rsidRPr="00AA10A9" w:rsidRDefault="002E5CF1" w:rsidP="002E5CF1">
      <w:pPr>
        <w:pStyle w:val="Heading5"/>
      </w:pPr>
      <w:r w:rsidRPr="00AA10A9">
        <w:t>Bioavailability relative to an oral solution or micronised suspension</w:t>
      </w:r>
    </w:p>
    <w:p w:rsidR="002E5CF1" w:rsidRDefault="002E5CF1" w:rsidP="002E5CF1">
      <w:pPr>
        <w:rPr>
          <w:lang w:eastAsia="ja-JP"/>
        </w:rPr>
      </w:pPr>
      <w:r>
        <w:rPr>
          <w:lang w:eastAsia="ja-JP"/>
        </w:rPr>
        <w:t>Not applicable.</w:t>
      </w:r>
    </w:p>
    <w:p w:rsidR="002E5CF1" w:rsidRPr="00AA10A9" w:rsidRDefault="002E5CF1" w:rsidP="002E5CF1">
      <w:pPr>
        <w:pStyle w:val="Heading5"/>
      </w:pPr>
      <w:r w:rsidRPr="00AA10A9">
        <w:t>Bioequivalence of clinical trial and market formulations</w:t>
      </w:r>
    </w:p>
    <w:p w:rsidR="002E5CF1" w:rsidRDefault="002E5CF1" w:rsidP="00803C18">
      <w:pPr>
        <w:rPr>
          <w:color w:val="000000"/>
        </w:rPr>
      </w:pPr>
      <w:r w:rsidRPr="006F000B">
        <w:t xml:space="preserve">Study </w:t>
      </w:r>
      <w:r w:rsidRPr="006F000B">
        <w:rPr>
          <w:bCs/>
          <w:color w:val="000000"/>
        </w:rPr>
        <w:t>P023/1037</w:t>
      </w:r>
      <w:r>
        <w:rPr>
          <w:bCs/>
          <w:color w:val="000000"/>
        </w:rPr>
        <w:t xml:space="preserve"> examined the </w:t>
      </w:r>
      <w:r w:rsidRPr="009B57EA">
        <w:t>bioequivalence of the ertugliflozin 15 mg commercial image tablet</w:t>
      </w:r>
      <w:r>
        <w:t xml:space="preserve"> and</w:t>
      </w:r>
      <w:r w:rsidRPr="009B57EA">
        <w:t xml:space="preserve"> the ertugliflozin </w:t>
      </w:r>
      <w:r>
        <w:t>Phase III</w:t>
      </w:r>
      <w:r w:rsidRPr="009B57EA">
        <w:t>, 15 mg dose (administered as one 10 mg tablet + one 5 mg tablet) under fasted conditions</w:t>
      </w:r>
      <w:r>
        <w:t xml:space="preserve">. The results indicated that the two formulations were bioequivalent as the </w:t>
      </w:r>
      <w:r w:rsidRPr="009B57EA">
        <w:rPr>
          <w:color w:val="000000"/>
        </w:rPr>
        <w:t xml:space="preserve">90% CIs for the ratios </w:t>
      </w:r>
      <w:r>
        <w:rPr>
          <w:color w:val="000000"/>
        </w:rPr>
        <w:t xml:space="preserve">for </w:t>
      </w:r>
      <w:r w:rsidR="006F000B">
        <w:t>T</w:t>
      </w:r>
      <w:r w:rsidR="006F000B" w:rsidRPr="006F000B">
        <w:rPr>
          <w:vertAlign w:val="subscript"/>
        </w:rPr>
        <w:t>max</w:t>
      </w:r>
      <w:r>
        <w:rPr>
          <w:color w:val="000000"/>
        </w:rPr>
        <w:t xml:space="preserve">, </w:t>
      </w:r>
      <w:r w:rsidRPr="004841E7">
        <w:rPr>
          <w:color w:val="000000"/>
        </w:rPr>
        <w:t>AUC</w:t>
      </w:r>
      <w:r>
        <w:rPr>
          <w:color w:val="000000"/>
          <w:vertAlign w:val="subscript"/>
        </w:rPr>
        <w:t xml:space="preserve">inf </w:t>
      </w:r>
      <w:r w:rsidRPr="004841E7">
        <w:rPr>
          <w:color w:val="000000"/>
        </w:rPr>
        <w:t>and</w:t>
      </w:r>
      <w:r>
        <w:rPr>
          <w:color w:val="000000"/>
          <w:vertAlign w:val="subscript"/>
        </w:rPr>
        <w:t xml:space="preserve"> </w:t>
      </w:r>
      <w:r w:rsidRPr="004841E7">
        <w:rPr>
          <w:color w:val="000000"/>
        </w:rPr>
        <w:t>AUC</w:t>
      </w:r>
      <w:r w:rsidRPr="004841E7">
        <w:rPr>
          <w:color w:val="000000"/>
          <w:vertAlign w:val="subscript"/>
        </w:rPr>
        <w:t>last</w:t>
      </w:r>
      <w:r>
        <w:rPr>
          <w:color w:val="000000"/>
        </w:rPr>
        <w:t xml:space="preserve"> all </w:t>
      </w:r>
      <w:r w:rsidRPr="004841E7">
        <w:rPr>
          <w:color w:val="000000"/>
        </w:rPr>
        <w:t>fell</w:t>
      </w:r>
      <w:r w:rsidRPr="009B57EA">
        <w:rPr>
          <w:color w:val="000000"/>
        </w:rPr>
        <w:t xml:space="preserve"> within the (80%, 125%) acceptance range for bioequivalence.</w:t>
      </w:r>
    </w:p>
    <w:p w:rsidR="002E5CF1" w:rsidRDefault="002E5CF1" w:rsidP="00803C18">
      <w:r w:rsidRPr="00F76523">
        <w:t>Study P011/1034</w:t>
      </w:r>
      <w:r w:rsidRPr="002E4F3F">
        <w:t xml:space="preserve"> </w:t>
      </w:r>
      <w:r w:rsidRPr="009B57EA">
        <w:t>estimate</w:t>
      </w:r>
      <w:r>
        <w:t>d</w:t>
      </w:r>
      <w:r w:rsidRPr="009B57EA">
        <w:t xml:space="preserve"> the relative bioavailability of ertugliflozin when administered as a</w:t>
      </w:r>
      <w:r>
        <w:t>n</w:t>
      </w:r>
      <w:r w:rsidRPr="009B57EA">
        <w:t xml:space="preserve"> </w:t>
      </w:r>
      <w:r w:rsidRPr="009A299E">
        <w:rPr>
          <w:rFonts w:asciiTheme="minorHAnsi" w:eastAsiaTheme="minorHAnsi" w:hAnsiTheme="minorHAnsi"/>
          <w:color w:val="000000"/>
        </w:rPr>
        <w:t>uncoated 15 mg tablet</w:t>
      </w:r>
      <w:r>
        <w:rPr>
          <w:rFonts w:asciiTheme="minorHAnsi" w:eastAsiaTheme="minorHAnsi" w:hAnsiTheme="minorHAnsi"/>
          <w:color w:val="000000"/>
        </w:rPr>
        <w:t>, which</w:t>
      </w:r>
      <w:r w:rsidRPr="009A299E">
        <w:rPr>
          <w:rFonts w:asciiTheme="minorHAnsi" w:eastAsiaTheme="minorHAnsi" w:hAnsiTheme="minorHAnsi"/>
          <w:color w:val="000000"/>
        </w:rPr>
        <w:t xml:space="preserve"> contain</w:t>
      </w:r>
      <w:r>
        <w:rPr>
          <w:rFonts w:asciiTheme="minorHAnsi" w:eastAsiaTheme="minorHAnsi" w:hAnsiTheme="minorHAnsi"/>
          <w:color w:val="000000"/>
        </w:rPr>
        <w:t>ed</w:t>
      </w:r>
      <w:r w:rsidRPr="009A299E">
        <w:rPr>
          <w:rFonts w:asciiTheme="minorHAnsi" w:eastAsiaTheme="minorHAnsi" w:hAnsiTheme="minorHAnsi"/>
          <w:color w:val="000000"/>
        </w:rPr>
        <w:t xml:space="preserve"> amorphous ertugliflozin free form</w:t>
      </w:r>
      <w:r w:rsidRPr="009B57EA">
        <w:t xml:space="preserve"> </w:t>
      </w:r>
      <w:r>
        <w:t xml:space="preserve">and a </w:t>
      </w:r>
      <w:r w:rsidRPr="009B57EA">
        <w:t>tablet</w:t>
      </w:r>
      <w:r>
        <w:t xml:space="preserve"> containing co</w:t>
      </w:r>
      <w:r w:rsidR="006F000B">
        <w:t>-</w:t>
      </w:r>
      <w:r>
        <w:t>crystal that was used during the Phase III studies, under fasted conditions</w:t>
      </w:r>
      <w:r>
        <w:rPr>
          <w:rFonts w:asciiTheme="minorHAnsi" w:eastAsiaTheme="minorHAnsi" w:hAnsiTheme="minorHAnsi"/>
          <w:color w:val="000000"/>
        </w:rPr>
        <w:t xml:space="preserve">. Although slightly different in terms of median </w:t>
      </w:r>
      <w:r w:rsidR="006F000B">
        <w:t>T</w:t>
      </w:r>
      <w:r w:rsidR="006F000B" w:rsidRPr="006F000B">
        <w:rPr>
          <w:vertAlign w:val="subscript"/>
        </w:rPr>
        <w:t>max</w:t>
      </w:r>
      <w:r>
        <w:rPr>
          <w:rFonts w:asciiTheme="minorHAnsi" w:eastAsiaTheme="minorHAnsi" w:hAnsiTheme="minorHAnsi"/>
          <w:color w:val="000000"/>
        </w:rPr>
        <w:t xml:space="preserve">, </w:t>
      </w:r>
      <w:r w:rsidR="006F000B">
        <w:rPr>
          <w:rFonts w:asciiTheme="minorHAnsi" w:eastAsiaTheme="minorHAnsi" w:hAnsiTheme="minorHAnsi"/>
          <w:color w:val="000000"/>
        </w:rPr>
        <w:t>that is,</w:t>
      </w:r>
      <w:r>
        <w:rPr>
          <w:rFonts w:asciiTheme="minorHAnsi" w:eastAsiaTheme="minorHAnsi" w:hAnsiTheme="minorHAnsi"/>
          <w:color w:val="000000"/>
        </w:rPr>
        <w:t xml:space="preserve"> 1 h verses 1.5 h, the results indicated that the two tablets were bioequivalent in regards to their AUC and </w:t>
      </w:r>
      <w:r w:rsidR="006F000B">
        <w:t>T</w:t>
      </w:r>
      <w:r w:rsidR="006F000B" w:rsidRPr="006F000B">
        <w:rPr>
          <w:vertAlign w:val="subscript"/>
        </w:rPr>
        <w:t>max</w:t>
      </w:r>
      <w:r>
        <w:rPr>
          <w:rFonts w:asciiTheme="minorHAnsi" w:eastAsiaTheme="minorHAnsi" w:hAnsiTheme="minorHAnsi"/>
          <w:color w:val="000000"/>
        </w:rPr>
        <w:t xml:space="preserve"> as the </w:t>
      </w:r>
      <w:r>
        <w:t>GMR</w:t>
      </w:r>
      <w:r w:rsidRPr="009B57EA">
        <w:t xml:space="preserve"> (90% CI) </w:t>
      </w:r>
      <w:r>
        <w:t xml:space="preserve">values </w:t>
      </w:r>
      <w:r w:rsidRPr="009B57EA">
        <w:t>were 98.70% (95.44%, 102.06%) and 98.32% (92.23%, 104.81%), respectively, for the amorphous form relative to the co</w:t>
      </w:r>
      <w:r w:rsidR="00F76523">
        <w:t>-</w:t>
      </w:r>
      <w:r w:rsidRPr="009B57EA">
        <w:t>crystal</w:t>
      </w:r>
      <w:r>
        <w:t xml:space="preserve"> and thus the </w:t>
      </w:r>
      <w:r w:rsidRPr="009B57EA">
        <w:t>90% CIs were also wholly contained within the acceptance range for bioequivalence (</w:t>
      </w:r>
      <w:r w:rsidR="006F000B">
        <w:t>that is,</w:t>
      </w:r>
      <w:r>
        <w:t xml:space="preserve"> </w:t>
      </w:r>
      <w:r w:rsidR="00803C18">
        <w:t xml:space="preserve">80% to </w:t>
      </w:r>
      <w:r w:rsidRPr="009B57EA">
        <w:t>125%)</w:t>
      </w:r>
      <w:r>
        <w:t>.</w:t>
      </w:r>
    </w:p>
    <w:p w:rsidR="002E5CF1" w:rsidRPr="00AA10A9" w:rsidRDefault="002E5CF1" w:rsidP="006F000B">
      <w:pPr>
        <w:pStyle w:val="Heading5"/>
      </w:pPr>
      <w:r w:rsidRPr="006F000B">
        <w:t>Bioequivalence</w:t>
      </w:r>
      <w:r w:rsidRPr="00AA10A9">
        <w:t xml:space="preserve"> of different dosage forms and strengths</w:t>
      </w:r>
    </w:p>
    <w:p w:rsidR="002E5CF1" w:rsidRDefault="002E5CF1" w:rsidP="002E5CF1">
      <w:pPr>
        <w:rPr>
          <w:lang w:eastAsia="ja-JP"/>
        </w:rPr>
      </w:pPr>
      <w:r>
        <w:rPr>
          <w:lang w:eastAsia="ja-JP"/>
        </w:rPr>
        <w:t>Not applicable.</w:t>
      </w:r>
    </w:p>
    <w:p w:rsidR="002E5CF1" w:rsidRPr="00AA10A9" w:rsidRDefault="002E5CF1" w:rsidP="002E5CF1">
      <w:pPr>
        <w:pStyle w:val="Heading5"/>
      </w:pPr>
      <w:r w:rsidRPr="00AA10A9">
        <w:t>Bioequivalence to relevant registered products</w:t>
      </w:r>
    </w:p>
    <w:p w:rsidR="002E5CF1" w:rsidRDefault="002E5CF1" w:rsidP="002E5CF1">
      <w:pPr>
        <w:rPr>
          <w:lang w:eastAsia="ja-JP"/>
        </w:rPr>
      </w:pPr>
      <w:r>
        <w:rPr>
          <w:lang w:eastAsia="ja-JP"/>
        </w:rPr>
        <w:t>Not applicable.</w:t>
      </w:r>
    </w:p>
    <w:p w:rsidR="002E5CF1" w:rsidRPr="00AA10A9" w:rsidRDefault="002E5CF1" w:rsidP="002E5CF1">
      <w:pPr>
        <w:pStyle w:val="Heading5"/>
      </w:pPr>
      <w:r w:rsidRPr="00AA10A9">
        <w:t>Influence of food</w:t>
      </w:r>
    </w:p>
    <w:p w:rsidR="00803C18" w:rsidRDefault="002E5CF1" w:rsidP="002E5CF1">
      <w:pPr>
        <w:autoSpaceDE w:val="0"/>
        <w:autoSpaceDN w:val="0"/>
        <w:adjustRightInd w:val="0"/>
        <w:spacing w:before="0" w:line="240" w:lineRule="auto"/>
        <w:rPr>
          <w:rFonts w:eastAsiaTheme="minorHAnsi"/>
        </w:rPr>
      </w:pPr>
      <w:r w:rsidRPr="00C808BF">
        <w:rPr>
          <w:rFonts w:eastAsiaTheme="minorHAnsi"/>
        </w:rPr>
        <w:t>The effect of food (</w:t>
      </w:r>
      <w:r w:rsidR="00803C18">
        <w:rPr>
          <w:rFonts w:eastAsiaTheme="minorHAnsi"/>
        </w:rPr>
        <w:t>high fat</w:t>
      </w:r>
      <w:r w:rsidRPr="00C808BF">
        <w:rPr>
          <w:rFonts w:eastAsiaTheme="minorHAnsi"/>
        </w:rPr>
        <w:t xml:space="preserve">, </w:t>
      </w:r>
      <w:r w:rsidR="00803C18">
        <w:rPr>
          <w:rFonts w:eastAsiaTheme="minorHAnsi"/>
        </w:rPr>
        <w:t>high calorie</w:t>
      </w:r>
      <w:r w:rsidRPr="006F000B">
        <w:rPr>
          <w:rFonts w:eastAsiaTheme="minorHAnsi"/>
        </w:rPr>
        <w:t xml:space="preserve"> breakfast) on ertugliflozin PKs was evaluated in two studies. The first of these, Study P024/1048</w:t>
      </w:r>
      <w:r w:rsidRPr="00C808BF">
        <w:rPr>
          <w:rFonts w:eastAsiaTheme="minorHAnsi"/>
        </w:rPr>
        <w:t xml:space="preserve">, </w:t>
      </w:r>
      <w:r>
        <w:rPr>
          <w:rFonts w:eastAsiaTheme="minorHAnsi"/>
        </w:rPr>
        <w:t xml:space="preserve">was undertaken using </w:t>
      </w:r>
      <w:r w:rsidRPr="00C808BF">
        <w:rPr>
          <w:rFonts w:eastAsiaTheme="minorHAnsi"/>
        </w:rPr>
        <w:t xml:space="preserve">the 15 mg commercial </w:t>
      </w:r>
      <w:r>
        <w:rPr>
          <w:rFonts w:eastAsiaTheme="minorHAnsi"/>
        </w:rPr>
        <w:t xml:space="preserve">image </w:t>
      </w:r>
      <w:r w:rsidRPr="00C808BF">
        <w:rPr>
          <w:rFonts w:eastAsiaTheme="minorHAnsi"/>
        </w:rPr>
        <w:t xml:space="preserve">tablet </w:t>
      </w:r>
      <w:r>
        <w:rPr>
          <w:rFonts w:eastAsiaTheme="minorHAnsi"/>
        </w:rPr>
        <w:t xml:space="preserve">and indicated that </w:t>
      </w:r>
      <w:r w:rsidRPr="00C808BF">
        <w:rPr>
          <w:rFonts w:eastAsiaTheme="minorHAnsi"/>
        </w:rPr>
        <w:t xml:space="preserve">food </w:t>
      </w:r>
      <w:r>
        <w:rPr>
          <w:rFonts w:eastAsiaTheme="minorHAnsi"/>
        </w:rPr>
        <w:t xml:space="preserve">had no meaningful effect on </w:t>
      </w:r>
      <w:r w:rsidRPr="00C808BF">
        <w:rPr>
          <w:rFonts w:eastAsiaTheme="minorHAnsi"/>
        </w:rPr>
        <w:t>AUC</w:t>
      </w:r>
      <w:r w:rsidRPr="00C808BF">
        <w:rPr>
          <w:rFonts w:eastAsiaTheme="minorHAnsi"/>
          <w:vertAlign w:val="subscript"/>
        </w:rPr>
        <w:t>inf</w:t>
      </w:r>
      <w:r>
        <w:rPr>
          <w:rFonts w:eastAsiaTheme="minorHAnsi"/>
          <w:vertAlign w:val="subscript"/>
        </w:rPr>
        <w:t xml:space="preserve"> </w:t>
      </w:r>
      <w:r>
        <w:rPr>
          <w:rFonts w:eastAsiaTheme="minorHAnsi"/>
        </w:rPr>
        <w:t>(90% CI for the GMR: 88.0</w:t>
      </w:r>
      <w:r w:rsidR="00803C18">
        <w:rPr>
          <w:rFonts w:asciiTheme="minorHAnsi" w:eastAsiaTheme="minorHAnsi" w:hAnsiTheme="minorHAnsi"/>
        </w:rPr>
        <w:t xml:space="preserve"> to</w:t>
      </w:r>
      <w:r w:rsidR="0010567B" w:rsidRPr="002B464E">
        <w:rPr>
          <w:rFonts w:asciiTheme="minorHAnsi" w:eastAsiaTheme="minorHAnsi" w:hAnsiTheme="minorHAnsi"/>
        </w:rPr>
        <w:t xml:space="preserve"> </w:t>
      </w:r>
      <w:r>
        <w:rPr>
          <w:rFonts w:eastAsiaTheme="minorHAnsi"/>
        </w:rPr>
        <w:t xml:space="preserve">95.4), whereas, </w:t>
      </w:r>
      <w:r w:rsidR="006F000B">
        <w:rPr>
          <w:rFonts w:eastAsia="TimesNewRoman" w:cstheme="minorHAnsi"/>
        </w:rPr>
        <w:t>T</w:t>
      </w:r>
      <w:r w:rsidR="006F000B" w:rsidRPr="006F000B">
        <w:rPr>
          <w:rFonts w:eastAsia="TimesNewRoman" w:cstheme="minorHAnsi"/>
          <w:vertAlign w:val="subscript"/>
        </w:rPr>
        <w:t>max</w:t>
      </w:r>
      <w:r>
        <w:rPr>
          <w:rFonts w:eastAsiaTheme="minorHAnsi"/>
        </w:rPr>
        <w:t xml:space="preserve"> was reduced by approximately </w:t>
      </w:r>
      <w:r w:rsidRPr="00C808BF">
        <w:rPr>
          <w:rFonts w:eastAsiaTheme="minorHAnsi"/>
        </w:rPr>
        <w:t>29% compared to</w:t>
      </w:r>
      <w:r>
        <w:rPr>
          <w:rFonts w:eastAsiaTheme="minorHAnsi"/>
        </w:rPr>
        <w:t xml:space="preserve"> </w:t>
      </w:r>
      <w:r w:rsidRPr="00C808BF">
        <w:rPr>
          <w:rFonts w:eastAsiaTheme="minorHAnsi"/>
        </w:rPr>
        <w:t>the fasted condition</w:t>
      </w:r>
      <w:r>
        <w:rPr>
          <w:rFonts w:eastAsiaTheme="minorHAnsi"/>
        </w:rPr>
        <w:t>.</w:t>
      </w:r>
      <w:r w:rsidRPr="00C808BF">
        <w:rPr>
          <w:rFonts w:eastAsiaTheme="minorHAnsi"/>
        </w:rPr>
        <w:t xml:space="preserve"> </w:t>
      </w:r>
      <w:r>
        <w:rPr>
          <w:rFonts w:eastAsiaTheme="minorHAnsi"/>
        </w:rPr>
        <w:t xml:space="preserve">This </w:t>
      </w:r>
      <w:r w:rsidRPr="00C808BF">
        <w:rPr>
          <w:rFonts w:eastAsiaTheme="minorHAnsi"/>
        </w:rPr>
        <w:t xml:space="preserve">decrease in ertugliflozin </w:t>
      </w:r>
      <w:r w:rsidR="006F000B">
        <w:rPr>
          <w:rFonts w:eastAsia="TimesNewRoman" w:cstheme="minorHAnsi"/>
        </w:rPr>
        <w:t>T</w:t>
      </w:r>
      <w:r w:rsidR="006F000B" w:rsidRPr="006F000B">
        <w:rPr>
          <w:rFonts w:eastAsia="TimesNewRoman" w:cstheme="minorHAnsi"/>
          <w:vertAlign w:val="subscript"/>
        </w:rPr>
        <w:t>max</w:t>
      </w:r>
      <w:r w:rsidRPr="00C808BF">
        <w:rPr>
          <w:rFonts w:eastAsiaTheme="minorHAnsi"/>
        </w:rPr>
        <w:t xml:space="preserve"> with food is </w:t>
      </w:r>
      <w:r>
        <w:rPr>
          <w:rFonts w:eastAsiaTheme="minorHAnsi"/>
        </w:rPr>
        <w:t>unlikely to be</w:t>
      </w:r>
      <w:r w:rsidRPr="00C808BF">
        <w:rPr>
          <w:rFonts w:eastAsiaTheme="minorHAnsi"/>
        </w:rPr>
        <w:t xml:space="preserve"> clinically relevant</w:t>
      </w:r>
      <w:r w:rsidR="00803C18">
        <w:rPr>
          <w:rFonts w:eastAsiaTheme="minorHAnsi"/>
        </w:rPr>
        <w:t>.</w:t>
      </w:r>
    </w:p>
    <w:p w:rsidR="002E5CF1" w:rsidRPr="00B46C64" w:rsidRDefault="002E5CF1" w:rsidP="006F000B">
      <w:pPr>
        <w:pStyle w:val="Comment"/>
      </w:pPr>
      <w:r w:rsidRPr="006F000B">
        <w:rPr>
          <w:b/>
        </w:rPr>
        <w:t>Comment</w:t>
      </w:r>
      <w:r w:rsidRPr="00B46C64">
        <w:t>:</w:t>
      </w:r>
      <w:r w:rsidR="00803C18">
        <w:t xml:space="preserve"> </w:t>
      </w:r>
      <w:r w:rsidR="008348EB">
        <w:t xml:space="preserve"> </w:t>
      </w:r>
      <w:r w:rsidRPr="00B46C64">
        <w:t xml:space="preserve">These results justify proposed dosing of ertugliflozin with or without food. Ertugliflozin was administered at same time in mornings in all </w:t>
      </w:r>
      <w:r>
        <w:t>Phase III</w:t>
      </w:r>
      <w:r w:rsidRPr="00B46C64">
        <w:t xml:space="preserve"> studies.</w:t>
      </w:r>
      <w:r>
        <w:t xml:space="preserve"> </w:t>
      </w:r>
      <w:r w:rsidRPr="00B46C64">
        <w:t xml:space="preserve">This is similar to the proposed dosing in the PI which </w:t>
      </w:r>
      <w:r>
        <w:t>also recommends once daily dosing in the morning, with or without food.’</w:t>
      </w:r>
    </w:p>
    <w:p w:rsidR="002E5CF1" w:rsidRPr="009B57EA" w:rsidRDefault="002E5CF1" w:rsidP="00803C18">
      <w:pPr>
        <w:rPr>
          <w:rFonts w:eastAsia="TimesNewRoman" w:cstheme="minorHAnsi"/>
        </w:rPr>
      </w:pPr>
      <w:r>
        <w:lastRenderedPageBreak/>
        <w:t>The second study,</w:t>
      </w:r>
      <w:r w:rsidRPr="00C808BF">
        <w:rPr>
          <w:b/>
        </w:rPr>
        <w:t xml:space="preserve"> </w:t>
      </w:r>
      <w:r w:rsidR="008348EB">
        <w:t>Study </w:t>
      </w:r>
      <w:r w:rsidRPr="006F000B">
        <w:t>P036/1001</w:t>
      </w:r>
      <w:r>
        <w:t xml:space="preserve">, examined the effect of food on the PKs of </w:t>
      </w:r>
      <w:r w:rsidRPr="00C808BF">
        <w:t>a 100 mg dose of the suspension formulation.</w:t>
      </w:r>
      <w:r>
        <w:t xml:space="preserve"> For this formulation, compared to the fasted condition, </w:t>
      </w:r>
      <w:r w:rsidRPr="009B57EA">
        <w:rPr>
          <w:rFonts w:eastAsia="TimesNewRoman" w:cstheme="minorHAnsi"/>
        </w:rPr>
        <w:t xml:space="preserve">food resulted in delayed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rPr>
        <w:t xml:space="preserve"> (median 2.5 </w:t>
      </w:r>
      <w:r>
        <w:rPr>
          <w:rFonts w:eastAsia="TimesNewRoman" w:cstheme="minorHAnsi"/>
        </w:rPr>
        <w:t>h</w:t>
      </w:r>
      <w:r w:rsidRPr="009B57EA">
        <w:rPr>
          <w:rFonts w:eastAsia="TimesNewRoman" w:cstheme="minorHAnsi"/>
        </w:rPr>
        <w:t>) and lower peak exposure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rPr>
        <w:t xml:space="preserve"> decreased by 54%) while total exposure, as measured by AUC</w:t>
      </w:r>
      <w:r w:rsidRPr="009B57EA">
        <w:rPr>
          <w:rFonts w:eastAsia="TimesNewRoman" w:cstheme="minorHAnsi"/>
          <w:vertAlign w:val="subscript"/>
        </w:rPr>
        <w:t>inf</w:t>
      </w:r>
      <w:r w:rsidRPr="009B57EA">
        <w:rPr>
          <w:rFonts w:eastAsia="TimesNewRoman" w:cstheme="minorHAnsi"/>
        </w:rPr>
        <w:t>, decreased by 18%.</w:t>
      </w:r>
    </w:p>
    <w:p w:rsidR="002E5CF1" w:rsidRPr="00AA10A9" w:rsidRDefault="002E5CF1" w:rsidP="002E5CF1">
      <w:pPr>
        <w:pStyle w:val="Heading5"/>
      </w:pPr>
      <w:r w:rsidRPr="00AA10A9">
        <w:t>Dose proportionality</w:t>
      </w:r>
    </w:p>
    <w:p w:rsidR="002E5CF1" w:rsidRDefault="002E5CF1" w:rsidP="002E5CF1">
      <w:pPr>
        <w:rPr>
          <w:lang w:eastAsia="ja-JP"/>
        </w:rPr>
      </w:pPr>
      <w:r w:rsidRPr="006F000B">
        <w:rPr>
          <w:rFonts w:eastAsiaTheme="minorHAnsi"/>
        </w:rPr>
        <w:t>Study P036/1001</w:t>
      </w:r>
      <w:r w:rsidR="006F000B" w:rsidRPr="006F000B">
        <w:rPr>
          <w:rFonts w:eastAsiaTheme="minorHAnsi"/>
        </w:rPr>
        <w:t xml:space="preserve"> </w:t>
      </w:r>
      <w:r w:rsidRPr="006F000B">
        <w:rPr>
          <w:rFonts w:eastAsiaTheme="minorHAnsi"/>
        </w:rPr>
        <w:t xml:space="preserve">also </w:t>
      </w:r>
      <w:r>
        <w:rPr>
          <w:rFonts w:eastAsiaTheme="minorHAnsi"/>
        </w:rPr>
        <w:t xml:space="preserve">examined the </w:t>
      </w:r>
      <w:r w:rsidRPr="009B57EA">
        <w:rPr>
          <w:rFonts w:eastAsia="TimesNewRoman" w:cstheme="minorHAnsi"/>
        </w:rPr>
        <w:t>PK</w:t>
      </w:r>
      <w:r>
        <w:rPr>
          <w:rFonts w:eastAsia="TimesNewRoman" w:cstheme="minorHAnsi"/>
        </w:rPr>
        <w:t>s</w:t>
      </w:r>
      <w:r w:rsidRPr="009B57EA">
        <w:rPr>
          <w:rFonts w:eastAsia="TimesNewRoman" w:cstheme="minorHAnsi"/>
        </w:rPr>
        <w:t xml:space="preserve"> of </w:t>
      </w:r>
      <w:r>
        <w:rPr>
          <w:rFonts w:eastAsia="TimesNewRoman" w:cstheme="minorHAnsi"/>
        </w:rPr>
        <w:t>ertugliflozin</w:t>
      </w:r>
      <w:r w:rsidRPr="009B57EA">
        <w:rPr>
          <w:rFonts w:eastAsia="TimesNewRoman" w:cstheme="minorHAnsi"/>
        </w:rPr>
        <w:t xml:space="preserve"> following </w:t>
      </w:r>
      <w:r>
        <w:rPr>
          <w:rFonts w:eastAsia="TimesNewRoman" w:cstheme="minorHAnsi"/>
        </w:rPr>
        <w:t xml:space="preserve">escalating </w:t>
      </w:r>
      <w:r w:rsidRPr="009B57EA">
        <w:rPr>
          <w:rFonts w:eastAsia="TimesNewRoman" w:cstheme="minorHAnsi"/>
        </w:rPr>
        <w:t>single oral doses</w:t>
      </w:r>
      <w:r>
        <w:rPr>
          <w:rFonts w:eastAsia="TimesNewRoman" w:cstheme="minorHAnsi"/>
        </w:rPr>
        <w:t xml:space="preserve"> under fasted conditions. The results indicated that f</w:t>
      </w:r>
      <w:r w:rsidRPr="009B57EA">
        <w:rPr>
          <w:rFonts w:eastAsia="TimesNewRoman" w:cstheme="minorHAnsi"/>
        </w:rPr>
        <w:t>ollowi</w:t>
      </w:r>
      <w:r w:rsidR="00803C18">
        <w:rPr>
          <w:rFonts w:eastAsia="TimesNewRoman" w:cstheme="minorHAnsi"/>
        </w:rPr>
        <w:t>ng administration of single 0.5 to 300 </w:t>
      </w:r>
      <w:r w:rsidRPr="009B57EA">
        <w:rPr>
          <w:rFonts w:eastAsia="TimesNewRoman" w:cstheme="minorHAnsi"/>
        </w:rPr>
        <w:t xml:space="preserve">mg doses, peak concentrations were observed at 1 </w:t>
      </w:r>
      <w:r>
        <w:rPr>
          <w:rFonts w:eastAsia="TimesNewRoman" w:cstheme="minorHAnsi"/>
        </w:rPr>
        <w:t>h</w:t>
      </w:r>
      <w:r w:rsidRPr="009B57EA">
        <w:rPr>
          <w:rFonts w:eastAsia="TimesNewRoman" w:cstheme="minorHAnsi"/>
        </w:rPr>
        <w:t xml:space="preserve"> post-dose.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rPr>
        <w:t xml:space="preserve"> and AUC</w:t>
      </w:r>
      <w:r w:rsidRPr="009B57EA">
        <w:rPr>
          <w:rFonts w:eastAsia="TimesNewRoman" w:cstheme="minorHAnsi"/>
          <w:vertAlign w:val="subscript"/>
        </w:rPr>
        <w:t>inf</w:t>
      </w:r>
      <w:r w:rsidRPr="009B57EA">
        <w:rPr>
          <w:rFonts w:eastAsia="TimesNewRoman" w:cstheme="minorHAnsi"/>
        </w:rPr>
        <w:t xml:space="preserve"> increased proportionally with increasing dose. Terminal t</w:t>
      </w:r>
      <w:r w:rsidRPr="00127B63">
        <w:rPr>
          <w:rFonts w:eastAsia="TimesNewRoman" w:cstheme="minorHAnsi"/>
          <w:vertAlign w:val="subscript"/>
        </w:rPr>
        <w:t>1/2</w:t>
      </w:r>
      <w:r w:rsidRPr="009B57EA">
        <w:rPr>
          <w:rFonts w:eastAsia="TimesNewRoman" w:cstheme="minorHAnsi"/>
        </w:rPr>
        <w:t xml:space="preserve"> </w:t>
      </w:r>
      <w:r>
        <w:rPr>
          <w:rFonts w:eastAsia="TimesNewRoman" w:cstheme="minorHAnsi"/>
        </w:rPr>
        <w:t>values</w:t>
      </w:r>
      <w:r w:rsidRPr="009B57EA">
        <w:rPr>
          <w:rFonts w:eastAsia="TimesNewRoman" w:cstheme="minorHAnsi"/>
        </w:rPr>
        <w:t xml:space="preserve"> </w:t>
      </w:r>
      <w:r>
        <w:rPr>
          <w:rFonts w:eastAsia="TimesNewRoman" w:cstheme="minorHAnsi"/>
        </w:rPr>
        <w:t xml:space="preserve">were reasonably </w:t>
      </w:r>
      <w:r w:rsidRPr="009B57EA">
        <w:rPr>
          <w:rFonts w:eastAsia="TimesNewRoman" w:cstheme="minorHAnsi"/>
        </w:rPr>
        <w:t xml:space="preserve">consistent across all doses, with arithmetic mean values </w:t>
      </w:r>
      <w:r>
        <w:rPr>
          <w:rFonts w:eastAsia="TimesNewRoman" w:cstheme="minorHAnsi"/>
        </w:rPr>
        <w:t xml:space="preserve">ranging </w:t>
      </w:r>
      <w:r w:rsidRPr="009B57EA">
        <w:rPr>
          <w:rFonts w:eastAsia="TimesNewRoman" w:cstheme="minorHAnsi"/>
        </w:rPr>
        <w:t xml:space="preserve">from 11 to 17 </w:t>
      </w:r>
      <w:r>
        <w:rPr>
          <w:rFonts w:eastAsia="TimesNewRoman" w:cstheme="minorHAnsi"/>
        </w:rPr>
        <w:t>h and the v</w:t>
      </w:r>
      <w:r w:rsidRPr="009B57EA">
        <w:rPr>
          <w:rFonts w:eastAsia="TimesNewRoman" w:cstheme="minorHAnsi"/>
        </w:rPr>
        <w:t xml:space="preserve">ariability in </w:t>
      </w:r>
      <w:r>
        <w:rPr>
          <w:rFonts w:eastAsia="TimesNewRoman" w:cstheme="minorHAnsi"/>
        </w:rPr>
        <w:t>ertugliflozin</w:t>
      </w:r>
      <w:r w:rsidRPr="009B57EA">
        <w:rPr>
          <w:rFonts w:eastAsia="TimesNewRoman" w:cstheme="minorHAnsi"/>
        </w:rPr>
        <w:t xml:space="preserve"> exposure was less than 25% across all doses.</w:t>
      </w:r>
    </w:p>
    <w:p w:rsidR="002E5CF1" w:rsidRPr="00AA10A9" w:rsidRDefault="002E5CF1" w:rsidP="002E5CF1">
      <w:pPr>
        <w:pStyle w:val="Heading5"/>
      </w:pPr>
      <w:r w:rsidRPr="00AA10A9">
        <w:t>Bioavailability during multiple-dosing</w:t>
      </w:r>
    </w:p>
    <w:p w:rsidR="00803C18" w:rsidRDefault="002E5CF1" w:rsidP="002E5CF1">
      <w:pPr>
        <w:rPr>
          <w:rFonts w:eastAsia="TimesNewRoman" w:cstheme="minorHAnsi"/>
        </w:rPr>
      </w:pPr>
      <w:r w:rsidRPr="00F76523">
        <w:rPr>
          <w:rFonts w:cstheme="minorHAnsi"/>
        </w:rPr>
        <w:t xml:space="preserve">Study </w:t>
      </w:r>
      <w:r w:rsidRPr="00F76523">
        <w:rPr>
          <w:rFonts w:cstheme="minorHAnsi"/>
          <w:bCs/>
          <w:color w:val="000000"/>
        </w:rPr>
        <w:t>P037/1002</w:t>
      </w:r>
      <w:r>
        <w:rPr>
          <w:rFonts w:cstheme="minorHAnsi"/>
          <w:bCs/>
          <w:color w:val="000000"/>
        </w:rPr>
        <w:t xml:space="preserve"> </w:t>
      </w:r>
      <w:r w:rsidRPr="009B57EA">
        <w:rPr>
          <w:rFonts w:eastAsia="TimesNewRoman" w:cstheme="minorHAnsi"/>
        </w:rPr>
        <w:t>characterise</w:t>
      </w:r>
      <w:r>
        <w:rPr>
          <w:rFonts w:eastAsia="TimesNewRoman" w:cstheme="minorHAnsi"/>
        </w:rPr>
        <w:t>d</w:t>
      </w:r>
      <w:r w:rsidRPr="009B57EA">
        <w:rPr>
          <w:rFonts w:eastAsia="TimesNewRoman" w:cstheme="minorHAnsi"/>
        </w:rPr>
        <w:t xml:space="preserve"> the PK</w:t>
      </w:r>
      <w:r>
        <w:rPr>
          <w:rFonts w:eastAsia="TimesNewRoman" w:cstheme="minorHAnsi"/>
        </w:rPr>
        <w:t>s</w:t>
      </w:r>
      <w:r w:rsidRPr="009B57EA">
        <w:rPr>
          <w:rFonts w:eastAsia="TimesNewRoman" w:cstheme="minorHAnsi"/>
        </w:rPr>
        <w:t xml:space="preserve"> of </w:t>
      </w:r>
      <w:r>
        <w:rPr>
          <w:rFonts w:eastAsia="TimesNewRoman" w:cstheme="minorHAnsi"/>
        </w:rPr>
        <w:t xml:space="preserve">ertugliflozin following administration of once-daily (QD) doses ranging from 1mg to 100 mg for 14 days in </w:t>
      </w:r>
      <w:r w:rsidRPr="009B57EA">
        <w:t>otherwise healthy overweight or obese subjects.</w:t>
      </w:r>
      <w:r>
        <w:rPr>
          <w:rFonts w:cstheme="minorHAnsi"/>
          <w:bCs/>
          <w:color w:val="000000"/>
        </w:rPr>
        <w:t xml:space="preserve"> In this study, the</w:t>
      </w:r>
      <w:r w:rsidRPr="009B57EA">
        <w:rPr>
          <w:rFonts w:eastAsia="TimesNewRoman" w:cstheme="minorHAnsi"/>
        </w:rPr>
        <w:t xml:space="preserve"> 1 mg </w:t>
      </w:r>
      <w:r>
        <w:rPr>
          <w:rFonts w:eastAsia="TimesNewRoman" w:cstheme="minorHAnsi"/>
        </w:rPr>
        <w:t xml:space="preserve">doses </w:t>
      </w:r>
      <w:r w:rsidRPr="009B57EA">
        <w:rPr>
          <w:rFonts w:eastAsia="TimesNewRoman" w:cstheme="minorHAnsi"/>
        </w:rPr>
        <w:t>were administered as a solution</w:t>
      </w:r>
      <w:r>
        <w:rPr>
          <w:rFonts w:eastAsia="TimesNewRoman" w:cstheme="minorHAnsi"/>
        </w:rPr>
        <w:t>, whereas,</w:t>
      </w:r>
      <w:r w:rsidRPr="009B57EA">
        <w:rPr>
          <w:rFonts w:eastAsia="TimesNewRoman" w:cstheme="minorHAnsi"/>
        </w:rPr>
        <w:t xml:space="preserve"> </w:t>
      </w:r>
      <w:r>
        <w:rPr>
          <w:rFonts w:eastAsia="TimesNewRoman" w:cstheme="minorHAnsi"/>
        </w:rPr>
        <w:t xml:space="preserve">the </w:t>
      </w:r>
      <w:r w:rsidRPr="009B57EA">
        <w:rPr>
          <w:rFonts w:eastAsia="TimesNewRoman" w:cstheme="minorHAnsi"/>
        </w:rPr>
        <w:t xml:space="preserve">5, 25, and 100 mg </w:t>
      </w:r>
      <w:r>
        <w:rPr>
          <w:rFonts w:eastAsia="TimesNewRoman" w:cstheme="minorHAnsi"/>
        </w:rPr>
        <w:t xml:space="preserve">doses were </w:t>
      </w:r>
      <w:r w:rsidRPr="009B57EA">
        <w:rPr>
          <w:rFonts w:eastAsia="TimesNewRoman" w:cstheme="minorHAnsi"/>
        </w:rPr>
        <w:t>administered as a suspension.</w:t>
      </w:r>
      <w:r>
        <w:rPr>
          <w:rFonts w:eastAsia="TimesNewRoman" w:cstheme="minorHAnsi"/>
        </w:rPr>
        <w:t xml:space="preserve"> Following 14 days of treatment, median </w:t>
      </w:r>
      <w:r w:rsidR="006F000B">
        <w:rPr>
          <w:rFonts w:eastAsia="TimesNewRoman" w:cstheme="minorHAnsi"/>
        </w:rPr>
        <w:t>T</w:t>
      </w:r>
      <w:r w:rsidR="006F000B" w:rsidRPr="006F000B">
        <w:rPr>
          <w:rFonts w:eastAsia="TimesNewRoman" w:cstheme="minorHAnsi"/>
          <w:vertAlign w:val="subscript"/>
        </w:rPr>
        <w:t>max</w:t>
      </w:r>
      <w:r>
        <w:rPr>
          <w:rFonts w:eastAsia="TimesNewRoman" w:cstheme="minorHAnsi"/>
        </w:rPr>
        <w:t xml:space="preserve"> ranged from 1.5 to 2 h and mean t</w:t>
      </w:r>
      <w:r>
        <w:rPr>
          <w:rFonts w:eastAsia="TimesNewRoman" w:cstheme="minorHAnsi"/>
          <w:vertAlign w:val="subscript"/>
        </w:rPr>
        <w:t>1/2</w:t>
      </w:r>
      <w:r>
        <w:rPr>
          <w:rFonts w:eastAsia="TimesNewRoman" w:cstheme="minorHAnsi"/>
        </w:rPr>
        <w:t xml:space="preserve"> ranged from 12.3 to 14.8 h. Mean </w:t>
      </w:r>
      <w:r w:rsidR="006F000B">
        <w:rPr>
          <w:rFonts w:eastAsia="TimesNewRoman" w:cstheme="minorHAnsi"/>
        </w:rPr>
        <w:t>T</w:t>
      </w:r>
      <w:r w:rsidR="006F000B" w:rsidRPr="006F000B">
        <w:rPr>
          <w:rFonts w:eastAsia="TimesNewRoman" w:cstheme="minorHAnsi"/>
          <w:vertAlign w:val="subscript"/>
        </w:rPr>
        <w:t>max</w:t>
      </w:r>
      <w:r>
        <w:rPr>
          <w:rFonts w:eastAsia="TimesNewRoman" w:cstheme="minorHAnsi"/>
        </w:rPr>
        <w:t xml:space="preserve"> and </w:t>
      </w:r>
      <w:r w:rsidR="007C5FC9" w:rsidRPr="00F76566">
        <w:rPr>
          <w:rFonts w:asciiTheme="minorHAnsi" w:eastAsia="TimesNewRoman" w:hAnsiTheme="minorHAnsi" w:cstheme="minorHAnsi"/>
        </w:rPr>
        <w:t>AUC</w:t>
      </w:r>
      <w:r w:rsidR="007C5FC9" w:rsidRPr="007C5FC9">
        <w:rPr>
          <w:rFonts w:asciiTheme="minorHAnsi" w:eastAsia="TimesNewRoman" w:hAnsiTheme="minorHAnsi" w:cstheme="minorHAnsi"/>
          <w:vertAlign w:val="subscript"/>
        </w:rPr>
        <w:t>τ</w:t>
      </w:r>
      <w:r w:rsidR="007C5FC9">
        <w:rPr>
          <w:rFonts w:asciiTheme="minorHAnsi" w:eastAsia="TimesNewRoman" w:hAnsiTheme="minorHAnsi" w:cstheme="minorHAnsi"/>
          <w:vertAlign w:val="subscript"/>
        </w:rPr>
        <w:t xml:space="preserve"> </w:t>
      </w:r>
      <w:r>
        <w:rPr>
          <w:rFonts w:eastAsia="TimesNewRoman" w:cstheme="minorHAnsi"/>
        </w:rPr>
        <w:t xml:space="preserve">values increased proportionally with dose </w:t>
      </w:r>
      <w:r w:rsidRPr="009B57EA">
        <w:rPr>
          <w:rFonts w:eastAsia="TimesNewRoman" w:cstheme="minorHAnsi"/>
        </w:rPr>
        <w:t xml:space="preserve">over the 100-fold </w:t>
      </w:r>
      <w:r>
        <w:rPr>
          <w:rFonts w:eastAsia="TimesNewRoman" w:cstheme="minorHAnsi"/>
        </w:rPr>
        <w:t xml:space="preserve">dose </w:t>
      </w:r>
      <w:r w:rsidRPr="009B57EA">
        <w:rPr>
          <w:rFonts w:eastAsia="TimesNewRoman" w:cstheme="minorHAnsi"/>
        </w:rPr>
        <w:t>range e</w:t>
      </w:r>
      <w:r>
        <w:rPr>
          <w:rFonts w:eastAsia="TimesNewRoman" w:cstheme="minorHAnsi"/>
        </w:rPr>
        <w:t>xamined and the relative accumulation ratios following 14 days dosing compared to a single dose for the 1 mg, 5 mg, 25 mg and 100 mg doses were, 1.36, 1.25, 1.22 and 1.38, respectively</w:t>
      </w:r>
      <w:r w:rsidR="00803C18">
        <w:rPr>
          <w:rFonts w:eastAsia="TimesNewRoman" w:cstheme="minorHAnsi"/>
        </w:rPr>
        <w:t>.</w:t>
      </w:r>
    </w:p>
    <w:p w:rsidR="002E5CF1" w:rsidRPr="00AA10A9" w:rsidRDefault="002E5CF1" w:rsidP="002E5CF1">
      <w:pPr>
        <w:pStyle w:val="Heading5"/>
      </w:pPr>
      <w:r w:rsidRPr="00AA10A9">
        <w:t>Effect of administration timing</w:t>
      </w:r>
    </w:p>
    <w:p w:rsidR="002E5CF1" w:rsidRPr="009B57EA" w:rsidRDefault="002E5CF1" w:rsidP="002E5CF1">
      <w:pPr>
        <w:autoSpaceDE w:val="0"/>
        <w:autoSpaceDN w:val="0"/>
        <w:adjustRightInd w:val="0"/>
        <w:rPr>
          <w:rFonts w:eastAsia="TimesNewRoman" w:cstheme="minorHAnsi"/>
          <w:color w:val="000000"/>
        </w:rPr>
      </w:pPr>
      <w:r w:rsidRPr="006F000B">
        <w:rPr>
          <w:rFonts w:cstheme="minorHAnsi"/>
        </w:rPr>
        <w:t xml:space="preserve">Study </w:t>
      </w:r>
      <w:r w:rsidRPr="006F000B">
        <w:rPr>
          <w:rFonts w:cstheme="minorHAnsi"/>
          <w:bCs/>
          <w:color w:val="000000"/>
        </w:rPr>
        <w:t>P035/1051</w:t>
      </w:r>
      <w:r>
        <w:rPr>
          <w:rFonts w:cstheme="minorHAnsi"/>
        </w:rPr>
        <w:t xml:space="preserve"> compared the PKs of ertugliflozin following 6 days dosing with either 5 mg QD or 2.5 mg </w:t>
      </w:r>
      <w:r w:rsidR="00803C18">
        <w:rPr>
          <w:rFonts w:cstheme="minorHAnsi"/>
        </w:rPr>
        <w:t>BD</w:t>
      </w:r>
      <w:r>
        <w:rPr>
          <w:rFonts w:cstheme="minorHAnsi"/>
        </w:rPr>
        <w:t xml:space="preserve"> and </w:t>
      </w:r>
      <w:r w:rsidRPr="009B57EA">
        <w:rPr>
          <w:rFonts w:eastAsia="TimesNewRoman" w:cstheme="minorHAnsi"/>
        </w:rPr>
        <w:t xml:space="preserve">15 mg QD </w:t>
      </w:r>
      <w:r>
        <w:rPr>
          <w:rFonts w:eastAsia="TimesNewRoman" w:cstheme="minorHAnsi"/>
        </w:rPr>
        <w:t xml:space="preserve">or </w:t>
      </w:r>
      <w:r w:rsidRPr="009B57EA">
        <w:rPr>
          <w:rFonts w:eastAsia="TimesNewRoman" w:cstheme="minorHAnsi"/>
        </w:rPr>
        <w:t xml:space="preserve">7.5 mg </w:t>
      </w:r>
      <w:r w:rsidR="00803C18">
        <w:rPr>
          <w:rFonts w:eastAsia="TimesNewRoman" w:cstheme="minorHAnsi"/>
        </w:rPr>
        <w:t>BD</w:t>
      </w:r>
      <w:r>
        <w:rPr>
          <w:rFonts w:cstheme="minorHAnsi"/>
        </w:rPr>
        <w:t xml:space="preserve"> in 70 healthy subjects. Following 6 days of treatment, the mean </w:t>
      </w:r>
      <w:r w:rsidRPr="009B57EA">
        <w:rPr>
          <w:rFonts w:eastAsia="TimesNewRoman" w:cstheme="minorHAnsi"/>
          <w:color w:val="000000"/>
        </w:rPr>
        <w:t>AUC</w:t>
      </w:r>
      <w:r w:rsidRPr="00C82CFE">
        <w:rPr>
          <w:rFonts w:eastAsia="TimesNewRoman" w:cstheme="minorHAnsi"/>
          <w:color w:val="000000"/>
          <w:vertAlign w:val="subscript"/>
        </w:rPr>
        <w:t>24</w:t>
      </w:r>
      <w:r w:rsidRPr="009B57EA">
        <w:rPr>
          <w:rFonts w:eastAsia="TimesNewRoman" w:cstheme="minorHAnsi"/>
          <w:color w:val="000000"/>
        </w:rPr>
        <w:t xml:space="preserve"> was similar for both </w:t>
      </w:r>
      <w:r w:rsidR="00803C18">
        <w:rPr>
          <w:rFonts w:eastAsia="TimesNewRoman" w:cstheme="minorHAnsi"/>
          <w:color w:val="000000"/>
        </w:rPr>
        <w:t>BD</w:t>
      </w:r>
      <w:r w:rsidRPr="009B57EA">
        <w:rPr>
          <w:rFonts w:eastAsia="TimesNewRoman" w:cstheme="minorHAnsi"/>
          <w:color w:val="000000"/>
        </w:rPr>
        <w:t xml:space="preserve"> and QD treatments, whereas</w:t>
      </w:r>
      <w:r>
        <w:rPr>
          <w:rFonts w:eastAsia="TimesNewRoman" w:cstheme="minorHAnsi"/>
          <w:color w:val="000000"/>
        </w:rPr>
        <w:t>,</w:t>
      </w:r>
      <w:r w:rsidRPr="009B57EA">
        <w:rPr>
          <w:rFonts w:eastAsia="TimesNewRoman" w:cstheme="minorHAnsi"/>
          <w:color w:val="000000"/>
        </w:rPr>
        <w:t xml:space="preserve"> the mean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color w:val="000000"/>
        </w:rPr>
        <w:t xml:space="preserve"> after the morning dose was higher for the QD treatment than that for the </w:t>
      </w:r>
      <w:r w:rsidR="00803C18">
        <w:rPr>
          <w:rFonts w:eastAsia="TimesNewRoman" w:cstheme="minorHAnsi"/>
          <w:color w:val="000000"/>
        </w:rPr>
        <w:t>BD</w:t>
      </w:r>
      <w:r w:rsidRPr="009B57EA">
        <w:rPr>
          <w:rFonts w:eastAsia="TimesNewRoman" w:cstheme="minorHAnsi"/>
          <w:color w:val="000000"/>
        </w:rPr>
        <w:t xml:space="preserve"> treatment.</w:t>
      </w:r>
      <w:r>
        <w:rPr>
          <w:rFonts w:eastAsia="TimesNewRoman" w:cstheme="minorHAnsi"/>
          <w:color w:val="000000"/>
        </w:rPr>
        <w:t xml:space="preserve"> </w:t>
      </w:r>
      <w:r w:rsidRPr="009B57EA">
        <w:rPr>
          <w:rFonts w:eastAsia="TimesNewRoman" w:cstheme="minorHAnsi"/>
          <w:color w:val="000000"/>
        </w:rPr>
        <w:t>Similar results were observed following oral administration</w:t>
      </w:r>
      <w:r>
        <w:rPr>
          <w:rFonts w:eastAsia="TimesNewRoman" w:cstheme="minorHAnsi"/>
          <w:color w:val="000000"/>
        </w:rPr>
        <w:t xml:space="preserve"> of ertugliflozin 7.5 mg </w:t>
      </w:r>
      <w:r w:rsidR="00803C18">
        <w:rPr>
          <w:rFonts w:eastAsia="TimesNewRoman" w:cstheme="minorHAnsi"/>
          <w:color w:val="000000"/>
        </w:rPr>
        <w:t>BD</w:t>
      </w:r>
      <w:r>
        <w:rPr>
          <w:rFonts w:eastAsia="TimesNewRoman" w:cstheme="minorHAnsi"/>
          <w:color w:val="000000"/>
        </w:rPr>
        <w:t xml:space="preserve"> or</w:t>
      </w:r>
      <w:r w:rsidRPr="009B57EA">
        <w:rPr>
          <w:rFonts w:eastAsia="TimesNewRoman" w:cstheme="minorHAnsi"/>
          <w:color w:val="000000"/>
        </w:rPr>
        <w:t xml:space="preserve"> 15 mg QD for 6 days</w:t>
      </w:r>
      <w:r>
        <w:rPr>
          <w:rFonts w:eastAsia="TimesNewRoman" w:cstheme="minorHAnsi"/>
          <w:color w:val="000000"/>
        </w:rPr>
        <w:t xml:space="preserve">. </w:t>
      </w:r>
      <w:r w:rsidRPr="009B57EA">
        <w:rPr>
          <w:rFonts w:eastAsia="TimesNewRoman" w:cstheme="minorHAnsi"/>
          <w:color w:val="000000"/>
        </w:rPr>
        <w:t>The GMRs (</w:t>
      </w:r>
      <w:r w:rsidR="00803C18">
        <w:rPr>
          <w:rFonts w:eastAsia="TimesNewRoman" w:cstheme="minorHAnsi"/>
          <w:color w:val="000000"/>
        </w:rPr>
        <w:t>BD</w:t>
      </w:r>
      <w:r w:rsidRPr="009B57EA">
        <w:rPr>
          <w:rFonts w:eastAsia="TimesNewRoman" w:cstheme="minorHAnsi"/>
          <w:color w:val="000000"/>
        </w:rPr>
        <w:t>/QD) of ertugliflozin AUC</w:t>
      </w:r>
      <w:r w:rsidRPr="00C82CFE">
        <w:rPr>
          <w:rFonts w:eastAsia="TimesNewRoman" w:cstheme="minorHAnsi"/>
          <w:color w:val="000000"/>
          <w:vertAlign w:val="subscript"/>
        </w:rPr>
        <w:t>24</w:t>
      </w:r>
      <w:r w:rsidRPr="009B57EA">
        <w:rPr>
          <w:rFonts w:eastAsia="TimesNewRoman" w:cstheme="minorHAnsi"/>
          <w:color w:val="000000"/>
        </w:rPr>
        <w:t xml:space="preserve"> were 100.78% (98.76%, 102.83%) for comparison between 2.5 mg </w:t>
      </w:r>
      <w:r w:rsidR="00803C18">
        <w:rPr>
          <w:rFonts w:eastAsia="TimesNewRoman" w:cstheme="minorHAnsi"/>
          <w:color w:val="000000"/>
        </w:rPr>
        <w:t>BD</w:t>
      </w:r>
      <w:r w:rsidR="00CA2F4B">
        <w:rPr>
          <w:rFonts w:eastAsia="TimesNewRoman" w:cstheme="minorHAnsi"/>
          <w:color w:val="000000"/>
        </w:rPr>
        <w:t xml:space="preserve"> versus</w:t>
      </w:r>
      <w:r w:rsidRPr="009B57EA">
        <w:rPr>
          <w:rFonts w:eastAsia="TimesNewRoman" w:cstheme="minorHAnsi"/>
          <w:color w:val="000000"/>
        </w:rPr>
        <w:t xml:space="preserve"> 5 mg QD, and 99.73% (97.08%, 102.45%) for comparison between 7.5 mg </w:t>
      </w:r>
      <w:r w:rsidR="00803C18">
        <w:rPr>
          <w:rFonts w:eastAsia="TimesNewRoman" w:cstheme="minorHAnsi"/>
          <w:color w:val="000000"/>
        </w:rPr>
        <w:t>BD</w:t>
      </w:r>
      <w:r w:rsidR="00CA2F4B">
        <w:rPr>
          <w:rFonts w:eastAsia="TimesNewRoman" w:cstheme="minorHAnsi"/>
          <w:color w:val="000000"/>
        </w:rPr>
        <w:t xml:space="preserve"> versus</w:t>
      </w:r>
      <w:r w:rsidRPr="009B57EA">
        <w:rPr>
          <w:rFonts w:eastAsia="TimesNewRoman" w:cstheme="minorHAnsi"/>
          <w:color w:val="000000"/>
        </w:rPr>
        <w:t xml:space="preserve"> 15 mg QD, respectively</w:t>
      </w:r>
      <w:r>
        <w:rPr>
          <w:rFonts w:eastAsia="TimesNewRoman" w:cstheme="minorHAnsi"/>
          <w:color w:val="000000"/>
        </w:rPr>
        <w:t>.</w:t>
      </w:r>
    </w:p>
    <w:p w:rsidR="002E5CF1" w:rsidRPr="005B0142" w:rsidRDefault="002E5CF1" w:rsidP="00606E10">
      <w:pPr>
        <w:pStyle w:val="Heading4"/>
        <w:numPr>
          <w:ilvl w:val="3"/>
          <w:numId w:val="8"/>
        </w:numPr>
      </w:pPr>
      <w:r w:rsidRPr="005B0142">
        <w:t>Distribution</w:t>
      </w:r>
    </w:p>
    <w:p w:rsidR="002E5CF1" w:rsidRPr="00AA10A9" w:rsidRDefault="002E5CF1" w:rsidP="002E5CF1">
      <w:pPr>
        <w:pStyle w:val="Heading5"/>
      </w:pPr>
      <w:r w:rsidRPr="00AA10A9">
        <w:t>Volume of distribution</w:t>
      </w:r>
    </w:p>
    <w:p w:rsidR="002E5CF1" w:rsidRDefault="002E5CF1" w:rsidP="00803C18">
      <w:r w:rsidRPr="004C2E32">
        <w:rPr>
          <w:rFonts w:cstheme="minorHAnsi"/>
        </w:rPr>
        <w:t xml:space="preserve">The apparent volume of distribution following oral administration (Vz/F) of a </w:t>
      </w:r>
      <w:r w:rsidRPr="004C2E32">
        <w:t>15 mg dose (administered as three 5 mg tablets) of unlabe</w:t>
      </w:r>
      <w:r w:rsidR="00F76523">
        <w:t>lled ertugliflozin was 215.3 L</w:t>
      </w:r>
      <w:r w:rsidRPr="004C2E32">
        <w:t>.</w:t>
      </w:r>
      <w:r>
        <w:t xml:space="preserve"> A second study provided an estimate of the Vz/F in healthy subjects of 304.5 L.</w:t>
      </w:r>
    </w:p>
    <w:p w:rsidR="002E5CF1" w:rsidRPr="00AA10A9" w:rsidRDefault="002E5CF1" w:rsidP="006F000B">
      <w:pPr>
        <w:pStyle w:val="Heading5"/>
      </w:pPr>
      <w:r w:rsidRPr="00AA10A9">
        <w:t>Plasma protein binding</w:t>
      </w:r>
    </w:p>
    <w:p w:rsidR="002E5CF1" w:rsidRPr="002115DA" w:rsidRDefault="002E5CF1" w:rsidP="00803C18">
      <w:pPr>
        <w:rPr>
          <w:b/>
          <w:lang w:eastAsia="ja-JP"/>
        </w:rPr>
      </w:pPr>
      <w:r w:rsidRPr="002115DA">
        <w:rPr>
          <w:lang w:eastAsia="ja-JP"/>
        </w:rPr>
        <w:t xml:space="preserve">In healthy subjects, </w:t>
      </w:r>
      <w:r w:rsidRPr="006F000B">
        <w:rPr>
          <w:lang w:eastAsia="ja-JP"/>
        </w:rPr>
        <w:t xml:space="preserve">Study </w:t>
      </w:r>
      <w:r w:rsidRPr="006F000B">
        <w:rPr>
          <w:rFonts w:eastAsia="TimesNewRoman,Bold" w:cs="TimesNewRoman,Bold"/>
          <w:bCs/>
        </w:rPr>
        <w:t>P009/1023</w:t>
      </w:r>
      <w:r w:rsidRPr="002115DA">
        <w:rPr>
          <w:rFonts w:eastAsia="TimesNewRoman,Bold" w:cs="TimesNewRoman,Bold"/>
          <w:b/>
          <w:bCs/>
        </w:rPr>
        <w:t xml:space="preserve"> </w:t>
      </w:r>
      <w:r w:rsidRPr="002115DA">
        <w:t xml:space="preserve">the mean fraction unbound for ertugliflozin was 0.035, indicating that protein binding was high. This result was supported by </w:t>
      </w:r>
      <w:r w:rsidRPr="00135E1B">
        <w:rPr>
          <w:i/>
        </w:rPr>
        <w:t>in vitro</w:t>
      </w:r>
      <w:r w:rsidRPr="002115DA">
        <w:t xml:space="preserve"> studies which indicated that at a concentration of </w:t>
      </w:r>
      <w:r w:rsidRPr="002115DA">
        <w:rPr>
          <w:rFonts w:cs="TimesNewRoman"/>
        </w:rPr>
        <w:t xml:space="preserve">2.3 </w:t>
      </w:r>
      <w:r>
        <w:rPr>
          <w:rFonts w:cs="Symbol"/>
        </w:rPr>
        <w:t>µ</w:t>
      </w:r>
      <w:r w:rsidRPr="002115DA">
        <w:rPr>
          <w:rFonts w:cs="TimesNewRoman"/>
        </w:rPr>
        <w:t>M (</w:t>
      </w:r>
      <w:r w:rsidR="006F000B">
        <w:rPr>
          <w:rFonts w:cs="TimesNewRoman"/>
        </w:rPr>
        <w:t>that is,</w:t>
      </w:r>
      <w:r>
        <w:rPr>
          <w:rFonts w:cs="TimesNewRoman"/>
        </w:rPr>
        <w:t xml:space="preserve"> </w:t>
      </w:r>
      <w:r w:rsidRPr="002115DA">
        <w:rPr>
          <w:rFonts w:cs="TimesNewRoman"/>
        </w:rPr>
        <w:t xml:space="preserve">1.0 </w:t>
      </w:r>
      <w:r>
        <w:rPr>
          <w:rFonts w:cs="Symbol"/>
        </w:rPr>
        <w:t>µ</w:t>
      </w:r>
      <w:r w:rsidRPr="002115DA">
        <w:rPr>
          <w:rFonts w:cs="TimesNewRoman"/>
        </w:rPr>
        <w:t>g/mL), 93.6% of ertugliflozin was bound to plasma proteins (</w:t>
      </w:r>
      <w:r w:rsidR="006F000B">
        <w:rPr>
          <w:rFonts w:cs="TimesNewRoman"/>
        </w:rPr>
        <w:t>that is,</w:t>
      </w:r>
      <w:r w:rsidRPr="002115DA">
        <w:rPr>
          <w:rFonts w:cs="TimesNewRoman"/>
        </w:rPr>
        <w:t xml:space="preserve"> </w:t>
      </w:r>
      <w:r>
        <w:rPr>
          <w:rFonts w:cs="TimesNewRoman"/>
        </w:rPr>
        <w:t xml:space="preserve">the </w:t>
      </w:r>
      <w:r w:rsidRPr="002115DA">
        <w:rPr>
          <w:rFonts w:cs="TimesNewRoman"/>
        </w:rPr>
        <w:t>mean fraction unbound was 0.064).</w:t>
      </w:r>
    </w:p>
    <w:p w:rsidR="002E5CF1" w:rsidRPr="00AA10A9" w:rsidRDefault="002E5CF1" w:rsidP="006F000B">
      <w:pPr>
        <w:pStyle w:val="Heading5"/>
      </w:pPr>
      <w:r w:rsidRPr="00AA10A9">
        <w:t>Erythrocyte distribution</w:t>
      </w:r>
    </w:p>
    <w:p w:rsidR="002E5CF1" w:rsidRPr="00281ADE" w:rsidRDefault="002E5CF1" w:rsidP="00803C18">
      <w:pPr>
        <w:rPr>
          <w:lang w:eastAsia="ja-JP"/>
        </w:rPr>
      </w:pPr>
      <w:r>
        <w:t>In human whole blood, ertugliflozin distributed preferentially into plasma relative to red blood cells with a blood-to-plasma concentration ratio of 0.</w:t>
      </w:r>
      <w:r w:rsidRPr="00281ADE">
        <w:t>66.</w:t>
      </w:r>
    </w:p>
    <w:p w:rsidR="002E5CF1" w:rsidRPr="00AA10A9" w:rsidRDefault="002E5CF1" w:rsidP="002E5CF1">
      <w:pPr>
        <w:pStyle w:val="Heading5"/>
      </w:pPr>
      <w:r w:rsidRPr="00AA10A9">
        <w:t>Tissue distribution</w:t>
      </w:r>
    </w:p>
    <w:p w:rsidR="00803C18" w:rsidRDefault="002E5CF1" w:rsidP="002E5CF1">
      <w:pPr>
        <w:rPr>
          <w:lang w:eastAsia="ja-JP"/>
        </w:rPr>
      </w:pPr>
      <w:bookmarkStart w:id="77" w:name="_Toc272414622"/>
      <w:bookmarkStart w:id="78" w:name="_Toc290888471"/>
      <w:bookmarkStart w:id="79" w:name="_Toc416353667"/>
      <w:r>
        <w:rPr>
          <w:lang w:eastAsia="ja-JP"/>
        </w:rPr>
        <w:t>Although plasma protein binding is high, the volume of distribution would indicate that there is some level of ertugliflozin distribution to the tissues</w:t>
      </w:r>
      <w:r w:rsidR="00803C18">
        <w:rPr>
          <w:lang w:eastAsia="ja-JP"/>
        </w:rPr>
        <w:t>.</w:t>
      </w:r>
    </w:p>
    <w:p w:rsidR="002E5CF1" w:rsidRPr="005B0142" w:rsidRDefault="002E5CF1" w:rsidP="00606E10">
      <w:pPr>
        <w:pStyle w:val="Heading4"/>
        <w:numPr>
          <w:ilvl w:val="3"/>
          <w:numId w:val="8"/>
        </w:numPr>
      </w:pPr>
      <w:r w:rsidRPr="005B0142">
        <w:lastRenderedPageBreak/>
        <w:t>Metabolism</w:t>
      </w:r>
      <w:bookmarkEnd w:id="77"/>
      <w:bookmarkEnd w:id="78"/>
      <w:bookmarkEnd w:id="79"/>
    </w:p>
    <w:p w:rsidR="002E5CF1" w:rsidRPr="00AA10A9" w:rsidRDefault="002E5CF1" w:rsidP="002E5CF1">
      <w:pPr>
        <w:pStyle w:val="Heading5"/>
      </w:pPr>
      <w:r w:rsidRPr="00AA10A9">
        <w:t>Interconversion between enantiomers</w:t>
      </w:r>
    </w:p>
    <w:p w:rsidR="002E5CF1" w:rsidRDefault="002E5CF1" w:rsidP="002E5CF1">
      <w:pPr>
        <w:rPr>
          <w:lang w:eastAsia="ja-JP"/>
        </w:rPr>
      </w:pPr>
      <w:r>
        <w:rPr>
          <w:lang w:eastAsia="ja-JP"/>
        </w:rPr>
        <w:t>Not applicable.</w:t>
      </w:r>
    </w:p>
    <w:p w:rsidR="002E5CF1" w:rsidRPr="00AA10A9" w:rsidRDefault="002E5CF1" w:rsidP="002E5CF1">
      <w:pPr>
        <w:pStyle w:val="Heading5"/>
      </w:pPr>
      <w:r w:rsidRPr="00AA10A9">
        <w:t>Sites of metabolism and mechanisms / enzyme systems involved</w:t>
      </w:r>
    </w:p>
    <w:p w:rsidR="002E5CF1" w:rsidRPr="009B57EA" w:rsidRDefault="002E5CF1" w:rsidP="002E5CF1">
      <w:pPr>
        <w:autoSpaceDE w:val="0"/>
        <w:autoSpaceDN w:val="0"/>
        <w:adjustRightInd w:val="0"/>
        <w:rPr>
          <w:rFonts w:eastAsia="TimesNewRoman" w:cstheme="minorHAnsi"/>
        </w:rPr>
      </w:pPr>
      <w:r>
        <w:rPr>
          <w:lang w:eastAsia="ja-JP"/>
        </w:rPr>
        <w:t xml:space="preserve">In the mass balance study, </w:t>
      </w:r>
      <w:r w:rsidR="008348EB">
        <w:t>Study</w:t>
      </w:r>
      <w:proofErr w:type="gramStart"/>
      <w:r w:rsidR="008348EB">
        <w:t> </w:t>
      </w:r>
      <w:r w:rsidR="008348EB" w:rsidRPr="006F000B">
        <w:rPr>
          <w:lang w:eastAsia="ja-JP"/>
        </w:rPr>
        <w:t xml:space="preserve"> </w:t>
      </w:r>
      <w:r w:rsidRPr="006F000B">
        <w:rPr>
          <w:lang w:eastAsia="ja-JP"/>
        </w:rPr>
        <w:t>P038</w:t>
      </w:r>
      <w:proofErr w:type="gramEnd"/>
      <w:r w:rsidRPr="006F000B">
        <w:rPr>
          <w:lang w:eastAsia="ja-JP"/>
        </w:rPr>
        <w:t>/1003,</w:t>
      </w:r>
      <w:r>
        <w:rPr>
          <w:lang w:eastAsia="ja-JP"/>
        </w:rPr>
        <w:t xml:space="preserve"> </w:t>
      </w:r>
      <w:r w:rsidRPr="009B57EA">
        <w:rPr>
          <w:rFonts w:eastAsia="TimesNewRoman" w:cstheme="minorHAnsi"/>
        </w:rPr>
        <w:t xml:space="preserve">8 metabolites were detected by </w:t>
      </w:r>
      <w:r>
        <w:rPr>
          <w:rFonts w:eastAsia="TimesNewRoman" w:cstheme="minorHAnsi"/>
        </w:rPr>
        <w:t>HPLC analysis</w:t>
      </w:r>
      <w:r w:rsidRPr="009B57EA">
        <w:rPr>
          <w:rFonts w:eastAsia="TimesNewRoman" w:cstheme="minorHAnsi"/>
        </w:rPr>
        <w:t xml:space="preserve">, all of which had been previously </w:t>
      </w:r>
      <w:r>
        <w:rPr>
          <w:rFonts w:eastAsia="TimesNewRoman" w:cstheme="minorHAnsi"/>
        </w:rPr>
        <w:t xml:space="preserve">identified </w:t>
      </w:r>
      <w:r w:rsidRPr="009B57EA">
        <w:rPr>
          <w:rFonts w:eastAsia="TimesNewRoman" w:cstheme="minorHAnsi"/>
        </w:rPr>
        <w:t xml:space="preserve">in non-clinical species. </w:t>
      </w:r>
      <w:r>
        <w:rPr>
          <w:rFonts w:eastAsia="TimesNewRoman" w:cstheme="minorHAnsi"/>
        </w:rPr>
        <w:t>Ertugliflozin</w:t>
      </w:r>
      <w:r w:rsidRPr="009B57EA">
        <w:rPr>
          <w:rFonts w:eastAsia="TimesNewRoman" w:cstheme="minorHAnsi"/>
        </w:rPr>
        <w:t xml:space="preserve"> underwent minimal </w:t>
      </w:r>
      <w:r w:rsidR="008348EB">
        <w:rPr>
          <w:rFonts w:eastAsia="TimesNewRoman" w:cstheme="minorHAnsi"/>
        </w:rPr>
        <w:t xml:space="preserve">phase </w:t>
      </w:r>
      <w:r>
        <w:rPr>
          <w:rFonts w:eastAsia="TimesNewRoman" w:cstheme="minorHAnsi"/>
        </w:rPr>
        <w:t>I</w:t>
      </w:r>
      <w:r w:rsidRPr="009B57EA">
        <w:rPr>
          <w:rFonts w:eastAsia="TimesNewRoman" w:cstheme="minorHAnsi"/>
        </w:rPr>
        <w:t xml:space="preserve"> metabolism</w:t>
      </w:r>
      <w:r>
        <w:rPr>
          <w:rFonts w:eastAsia="TimesNewRoman" w:cstheme="minorHAnsi"/>
        </w:rPr>
        <w:t xml:space="preserve"> and</w:t>
      </w:r>
      <w:r w:rsidRPr="009B57EA">
        <w:rPr>
          <w:rFonts w:eastAsia="TimesNewRoman" w:cstheme="minorHAnsi"/>
        </w:rPr>
        <w:t xml:space="preserve"> the major metabolic pathway was </w:t>
      </w:r>
      <w:r>
        <w:rPr>
          <w:rFonts w:eastAsia="TimesNewRoman" w:cstheme="minorHAnsi"/>
        </w:rPr>
        <w:t xml:space="preserve">via </w:t>
      </w:r>
      <w:r w:rsidRPr="009B57EA">
        <w:rPr>
          <w:rFonts w:eastAsia="TimesNewRoman" w:cstheme="minorHAnsi"/>
        </w:rPr>
        <w:t>glucuronidation</w:t>
      </w:r>
      <w:r>
        <w:rPr>
          <w:rFonts w:eastAsia="TimesNewRoman" w:cstheme="minorHAnsi"/>
        </w:rPr>
        <w:t>, which</w:t>
      </w:r>
      <w:r w:rsidRPr="009B57EA">
        <w:rPr>
          <w:rFonts w:eastAsia="TimesNewRoman" w:cstheme="minorHAnsi"/>
        </w:rPr>
        <w:t xml:space="preserve"> occurred on the hydroxyl groups of the modified glucose moiety of </w:t>
      </w:r>
      <w:r>
        <w:rPr>
          <w:rFonts w:eastAsia="TimesNewRoman" w:cstheme="minorHAnsi"/>
        </w:rPr>
        <w:t>ertugliflozin</w:t>
      </w:r>
      <w:r w:rsidRPr="009B57EA">
        <w:rPr>
          <w:rFonts w:eastAsia="TimesNewRoman" w:cstheme="minorHAnsi"/>
        </w:rPr>
        <w:t xml:space="preserve"> and its des-ethyl metabolite, M2. Glucuronides were primarily excreted in urine. Isomeric glucuronides of </w:t>
      </w:r>
      <w:r>
        <w:rPr>
          <w:rFonts w:eastAsia="TimesNewRoman" w:cstheme="minorHAnsi"/>
        </w:rPr>
        <w:t>ertugliflozin</w:t>
      </w:r>
      <w:r w:rsidRPr="009B57EA">
        <w:rPr>
          <w:rFonts w:eastAsia="TimesNewRoman" w:cstheme="minorHAnsi"/>
        </w:rPr>
        <w:t xml:space="preserve">, </w:t>
      </w:r>
      <w:r w:rsidR="006F000B">
        <w:rPr>
          <w:rFonts w:eastAsia="TimesNewRoman" w:cstheme="minorHAnsi"/>
        </w:rPr>
        <w:t>that is,</w:t>
      </w:r>
      <w:r w:rsidRPr="009B57EA">
        <w:rPr>
          <w:rFonts w:eastAsia="TimesNewRoman" w:cstheme="minorHAnsi"/>
        </w:rPr>
        <w:t xml:space="preserve"> M5a, M5b, M5c, and those of M2, </w:t>
      </w:r>
      <w:r w:rsidR="006F000B">
        <w:rPr>
          <w:rFonts w:eastAsia="TimesNewRoman" w:cstheme="minorHAnsi"/>
        </w:rPr>
        <w:t>that is,</w:t>
      </w:r>
      <w:r w:rsidRPr="009B57EA">
        <w:rPr>
          <w:rFonts w:eastAsia="TimesNewRoman" w:cstheme="minorHAnsi"/>
        </w:rPr>
        <w:t xml:space="preserve"> M6a and M6b, were the major radioactivity constituents in urine. Collectively, they accounted for 43.9% of the administered dose, and 87.8% of radioactivity excreted in urine.</w:t>
      </w:r>
      <w:r>
        <w:rPr>
          <w:rFonts w:eastAsia="TimesNewRoman" w:cstheme="minorHAnsi"/>
        </w:rPr>
        <w:t xml:space="preserve"> </w:t>
      </w:r>
      <w:r w:rsidRPr="009B57EA">
        <w:rPr>
          <w:rFonts w:eastAsia="TimesNewRoman" w:cstheme="minorHAnsi"/>
        </w:rPr>
        <w:t>Glucuronides M5a, M5b, M5c, and M6a were also the major circulating metabolites, representing 12.2%, 4.1%, 24.1%, and 6.0% of total radioactivity in plasma, respectively.</w:t>
      </w:r>
    </w:p>
    <w:p w:rsidR="002E5CF1" w:rsidRPr="00AA10A9" w:rsidRDefault="002E5CF1" w:rsidP="002E5CF1">
      <w:pPr>
        <w:pStyle w:val="Heading5"/>
      </w:pPr>
      <w:r w:rsidRPr="00AA10A9">
        <w:t>Non-renal clearance</w:t>
      </w:r>
    </w:p>
    <w:p w:rsidR="002E5CF1" w:rsidRPr="009B57EA" w:rsidRDefault="002E5CF1" w:rsidP="002E5CF1">
      <w:pPr>
        <w:autoSpaceDE w:val="0"/>
        <w:autoSpaceDN w:val="0"/>
        <w:adjustRightInd w:val="0"/>
        <w:rPr>
          <w:rFonts w:eastAsia="TimesNewRoman" w:cstheme="minorHAnsi"/>
        </w:rPr>
      </w:pPr>
      <w:r>
        <w:rPr>
          <w:lang w:eastAsia="ja-JP"/>
        </w:rPr>
        <w:t xml:space="preserve">Following an oral dose of 25 mg </w:t>
      </w:r>
      <w:r w:rsidR="00424310">
        <w:rPr>
          <w:rFonts w:eastAsia="TimesNewRoman" w:cstheme="minorHAnsi"/>
        </w:rPr>
        <w:t>(</w:t>
      </w:r>
      <w:r w:rsidRPr="009B57EA">
        <w:rPr>
          <w:rFonts w:eastAsia="TimesNewRoman" w:cstheme="minorHAnsi"/>
          <w:vertAlign w:val="superscript"/>
        </w:rPr>
        <w:t>14</w:t>
      </w:r>
      <w:r w:rsidRPr="009B57EA">
        <w:rPr>
          <w:rFonts w:eastAsia="TimesNewRoman" w:cstheme="minorHAnsi"/>
        </w:rPr>
        <w:t>C</w:t>
      </w:r>
      <w:r w:rsidR="00424310">
        <w:rPr>
          <w:rFonts w:eastAsia="TimesNewRoman" w:cstheme="minorHAnsi"/>
        </w:rPr>
        <w:t>)</w:t>
      </w:r>
      <w:r w:rsidR="00803C18">
        <w:rPr>
          <w:rFonts w:eastAsia="TimesNewRoman" w:cstheme="minorHAnsi"/>
        </w:rPr>
        <w:t xml:space="preserve"> </w:t>
      </w:r>
      <w:r>
        <w:rPr>
          <w:rFonts w:eastAsia="TimesNewRoman" w:cstheme="minorHAnsi"/>
        </w:rPr>
        <w:t>ertugliflozin</w:t>
      </w:r>
      <w:r w:rsidRPr="009B57EA">
        <w:rPr>
          <w:rFonts w:eastAsia="TimesNewRoman" w:cstheme="minorHAnsi"/>
        </w:rPr>
        <w:t xml:space="preserve"> </w:t>
      </w:r>
      <w:r>
        <w:rPr>
          <w:rFonts w:eastAsia="TimesNewRoman" w:cstheme="minorHAnsi"/>
        </w:rPr>
        <w:t xml:space="preserve">as a suspension </w:t>
      </w:r>
      <w:r w:rsidRPr="009B57EA">
        <w:rPr>
          <w:rFonts w:eastAsia="TimesNewRoman" w:cstheme="minorHAnsi"/>
        </w:rPr>
        <w:t>(100 µCi)</w:t>
      </w:r>
      <w:r>
        <w:rPr>
          <w:rFonts w:eastAsia="TimesNewRoman" w:cstheme="minorHAnsi"/>
        </w:rPr>
        <w:t xml:space="preserve"> </w:t>
      </w:r>
      <w:r w:rsidRPr="009B57EA">
        <w:rPr>
          <w:rFonts w:eastAsia="TimesNewRoman" w:cstheme="minorHAnsi"/>
        </w:rPr>
        <w:t xml:space="preserve">40.9±7.1% </w:t>
      </w:r>
      <w:r>
        <w:rPr>
          <w:rFonts w:eastAsia="TimesNewRoman" w:cstheme="minorHAnsi"/>
        </w:rPr>
        <w:t xml:space="preserve">of radioactivity was recovered in the </w:t>
      </w:r>
      <w:r w:rsidRPr="009B57EA">
        <w:rPr>
          <w:rFonts w:eastAsia="TimesNewRoman" w:cstheme="minorHAnsi"/>
        </w:rPr>
        <w:t>faeces</w:t>
      </w:r>
      <w:r>
        <w:rPr>
          <w:rFonts w:eastAsia="TimesNewRoman" w:cstheme="minorHAnsi"/>
        </w:rPr>
        <w:t xml:space="preserve"> </w:t>
      </w:r>
      <w:r w:rsidRPr="006F000B">
        <w:rPr>
          <w:rFonts w:eastAsia="TimesNewRoman" w:cstheme="minorHAnsi"/>
        </w:rPr>
        <w:t>(</w:t>
      </w:r>
      <w:r w:rsidRPr="006F000B">
        <w:rPr>
          <w:lang w:eastAsia="ja-JP"/>
        </w:rPr>
        <w:t>P038/1003)</w:t>
      </w:r>
      <w:r w:rsidRPr="006F000B">
        <w:rPr>
          <w:rFonts w:eastAsia="TimesNewRoman" w:cstheme="minorHAnsi"/>
        </w:rPr>
        <w:t>.</w:t>
      </w:r>
      <w:r>
        <w:rPr>
          <w:rFonts w:eastAsia="TimesNewRoman" w:cstheme="minorHAnsi"/>
        </w:rPr>
        <w:t xml:space="preserve"> </w:t>
      </w:r>
      <w:r w:rsidRPr="009B57EA">
        <w:rPr>
          <w:rFonts w:eastAsia="TimesNewRoman" w:cstheme="minorHAnsi"/>
        </w:rPr>
        <w:t xml:space="preserve">The excretion of radioactivity in faeces was prolonged due to irregular bowel movements observed in some subjects. At 24, 48, 72, and 96 </w:t>
      </w:r>
      <w:r>
        <w:rPr>
          <w:rFonts w:eastAsia="TimesNewRoman" w:cstheme="minorHAnsi"/>
        </w:rPr>
        <w:t>h</w:t>
      </w:r>
      <w:r w:rsidRPr="009B57EA">
        <w:rPr>
          <w:rFonts w:eastAsia="TimesNewRoman" w:cstheme="minorHAnsi"/>
        </w:rPr>
        <w:t xml:space="preserve"> post-dose, the mean ± SD cumulative recovery was 4.5±9.8%, 11.4±16.7%, 20.9±17.8%, and 28.3±17.5%, respectively, which accounted for approximately 11%, 28%, 51%, and 69% of radioactivity recovered in faeces, respectively.</w:t>
      </w:r>
    </w:p>
    <w:p w:rsidR="002E5CF1" w:rsidRPr="00AA10A9" w:rsidRDefault="002E5CF1" w:rsidP="002E5CF1">
      <w:pPr>
        <w:pStyle w:val="Heading5"/>
      </w:pPr>
      <w:r w:rsidRPr="00AA10A9">
        <w:t>Metabolites identified in humans:</w:t>
      </w:r>
      <w:r w:rsidR="001D5121">
        <w:t xml:space="preserve"> active and other</w:t>
      </w:r>
    </w:p>
    <w:p w:rsidR="00803C18" w:rsidRDefault="002E5CF1" w:rsidP="00803C18">
      <w:r w:rsidRPr="00286FA1">
        <w:t xml:space="preserve">The two primary circulating glucuronide metabolites, M5c (PF-06481944), and M5a </w:t>
      </w:r>
      <w:r w:rsidR="00803C18">
        <w:t>(PF</w:t>
      </w:r>
      <w:r w:rsidR="00803C18">
        <w:noBreakHyphen/>
      </w:r>
      <w:r w:rsidRPr="00286FA1">
        <w:t>06685948)</w:t>
      </w:r>
      <w:r>
        <w:t xml:space="preserve"> </w:t>
      </w:r>
      <w:r w:rsidRPr="00286FA1">
        <w:t>were identified as being pharmacologically inactive at clinically relevant concentrations.</w:t>
      </w:r>
      <w:r>
        <w:t xml:space="preserve"> </w:t>
      </w:r>
      <w:r>
        <w:rPr>
          <w:lang w:eastAsia="ja-JP"/>
        </w:rPr>
        <w:t>For further information refer to the preceding section of this report entitled ‘</w:t>
      </w:r>
      <w:r w:rsidRPr="00533011">
        <w:t>Sites of metabolism and mechanisms / enzyme systems involved</w:t>
      </w:r>
      <w:r>
        <w:t>’</w:t>
      </w:r>
      <w:r w:rsidR="00803C18">
        <w:t>.</w:t>
      </w:r>
    </w:p>
    <w:p w:rsidR="002E5CF1" w:rsidRPr="00AA10A9" w:rsidRDefault="002E5CF1" w:rsidP="002E5CF1">
      <w:pPr>
        <w:pStyle w:val="Heading5"/>
      </w:pPr>
      <w:r w:rsidRPr="00AA10A9">
        <w:t>Pharmacokinetics of metabolites</w:t>
      </w:r>
    </w:p>
    <w:p w:rsidR="002E5CF1" w:rsidRPr="00840A98" w:rsidRDefault="002E5CF1" w:rsidP="002E5CF1">
      <w:pPr>
        <w:rPr>
          <w:lang w:eastAsia="ja-JP"/>
        </w:rPr>
      </w:pPr>
      <w:r w:rsidRPr="00F76523">
        <w:rPr>
          <w:rFonts w:cstheme="minorHAnsi"/>
        </w:rPr>
        <w:t xml:space="preserve">Study </w:t>
      </w:r>
      <w:r w:rsidRPr="00F76523">
        <w:rPr>
          <w:rFonts w:cstheme="minorHAnsi"/>
          <w:bCs/>
          <w:color w:val="000000"/>
        </w:rPr>
        <w:t>P037/1002</w:t>
      </w:r>
      <w:r>
        <w:rPr>
          <w:rFonts w:cstheme="minorHAnsi"/>
          <w:bCs/>
          <w:color w:val="000000"/>
        </w:rPr>
        <w:t xml:space="preserve"> compared the PKs of ertugliflozin </w:t>
      </w:r>
      <w:r w:rsidRPr="009B57EA">
        <w:rPr>
          <w:rFonts w:eastAsia="TimesNewRoman" w:cstheme="minorHAnsi"/>
        </w:rPr>
        <w:t>and its metabolite PF-05217539</w:t>
      </w:r>
      <w:r>
        <w:rPr>
          <w:rFonts w:eastAsia="TimesNewRoman" w:cstheme="minorHAnsi"/>
        </w:rPr>
        <w:t xml:space="preserve"> (also known as M2) following single and multiple QD doses of 1 to 100 mg ertugliflozin. </w:t>
      </w:r>
      <w:r w:rsidRPr="009B57EA">
        <w:rPr>
          <w:rFonts w:eastAsia="TimesNewRoman" w:cstheme="minorHAnsi"/>
        </w:rPr>
        <w:t xml:space="preserve">Based on </w:t>
      </w:r>
      <w:r>
        <w:rPr>
          <w:rFonts w:eastAsia="TimesNewRoman" w:cstheme="minorHAnsi"/>
        </w:rPr>
        <w:t>the GMR</w:t>
      </w:r>
      <w:r w:rsidRPr="009B57EA">
        <w:rPr>
          <w:rFonts w:eastAsia="TimesNewRoman" w:cstheme="minorHAnsi"/>
        </w:rPr>
        <w:t xml:space="preserve"> </w:t>
      </w:r>
      <w:r>
        <w:rPr>
          <w:rFonts w:eastAsia="TimesNewRoman" w:cstheme="minorHAnsi"/>
        </w:rPr>
        <w:t xml:space="preserve">of </w:t>
      </w:r>
      <w:r w:rsidR="007C5FC9" w:rsidRPr="00F76566">
        <w:rPr>
          <w:rFonts w:asciiTheme="minorHAnsi" w:eastAsia="TimesNewRoman" w:hAnsiTheme="minorHAnsi" w:cstheme="minorHAnsi"/>
        </w:rPr>
        <w:t>AUC</w:t>
      </w:r>
      <w:r w:rsidR="007C5FC9" w:rsidRPr="007C5FC9">
        <w:rPr>
          <w:rFonts w:asciiTheme="minorHAnsi" w:eastAsia="TimesNewRoman" w:hAnsiTheme="minorHAnsi" w:cstheme="minorHAnsi"/>
          <w:vertAlign w:val="subscript"/>
        </w:rPr>
        <w:t>τ</w:t>
      </w:r>
      <w:r w:rsidR="007C5FC9">
        <w:rPr>
          <w:rFonts w:asciiTheme="minorHAnsi" w:eastAsia="TimesNewRoman" w:hAnsiTheme="minorHAnsi" w:cstheme="minorHAnsi"/>
          <w:vertAlign w:val="subscript"/>
        </w:rPr>
        <w:t xml:space="preserve"> </w:t>
      </w:r>
      <w:r w:rsidRPr="009B57EA">
        <w:rPr>
          <w:rFonts w:eastAsia="TimesNewRoman" w:cstheme="minorHAnsi"/>
        </w:rPr>
        <w:t xml:space="preserve">values on Day 14, total plasma PF-05217539 exposure </w:t>
      </w:r>
      <w:r>
        <w:rPr>
          <w:rFonts w:eastAsia="TimesNewRoman" w:cstheme="minorHAnsi"/>
        </w:rPr>
        <w:t>represented</w:t>
      </w:r>
      <w:r w:rsidRPr="009B57EA">
        <w:rPr>
          <w:rFonts w:eastAsia="TimesNewRoman" w:cstheme="minorHAnsi"/>
        </w:rPr>
        <w:t xml:space="preserve"> less than 2% of that for the parent compound</w:t>
      </w:r>
      <w:r>
        <w:rPr>
          <w:rFonts w:eastAsia="TimesNewRoman" w:cstheme="minorHAnsi"/>
        </w:rPr>
        <w:t>.</w:t>
      </w:r>
    </w:p>
    <w:p w:rsidR="002E5CF1" w:rsidRPr="00AA10A9" w:rsidRDefault="002E5CF1" w:rsidP="002E5CF1">
      <w:pPr>
        <w:pStyle w:val="Heading5"/>
      </w:pPr>
      <w:r w:rsidRPr="00AA10A9">
        <w:t>Consequences of genetic polymorphism</w:t>
      </w:r>
    </w:p>
    <w:p w:rsidR="002E5CF1" w:rsidRDefault="002E5CF1" w:rsidP="002E5CF1">
      <w:pPr>
        <w:rPr>
          <w:lang w:eastAsia="ja-JP"/>
        </w:rPr>
      </w:pPr>
      <w:bookmarkStart w:id="80" w:name="_Toc241374289"/>
      <w:bookmarkStart w:id="81" w:name="_Toc272414623"/>
      <w:bookmarkStart w:id="82" w:name="_Toc290888472"/>
      <w:bookmarkStart w:id="83" w:name="_Toc416353668"/>
      <w:r>
        <w:rPr>
          <w:lang w:eastAsia="ja-JP"/>
        </w:rPr>
        <w:t>Not examined.</w:t>
      </w:r>
    </w:p>
    <w:p w:rsidR="002E5CF1" w:rsidRPr="005B0142" w:rsidRDefault="002E5CF1" w:rsidP="00606E10">
      <w:pPr>
        <w:pStyle w:val="Heading4"/>
        <w:numPr>
          <w:ilvl w:val="3"/>
          <w:numId w:val="8"/>
        </w:numPr>
      </w:pPr>
      <w:r w:rsidRPr="005B0142">
        <w:t>E</w:t>
      </w:r>
      <w:bookmarkEnd w:id="80"/>
      <w:r w:rsidRPr="005B0142">
        <w:t>xcretion</w:t>
      </w:r>
      <w:bookmarkEnd w:id="81"/>
      <w:bookmarkEnd w:id="82"/>
      <w:bookmarkEnd w:id="83"/>
    </w:p>
    <w:p w:rsidR="002E5CF1" w:rsidRPr="00AA10A9" w:rsidRDefault="002E5CF1" w:rsidP="002E5CF1">
      <w:pPr>
        <w:pStyle w:val="Heading5"/>
      </w:pPr>
      <w:r w:rsidRPr="00AA10A9">
        <w:t>Routes and mechanisms of excretion</w:t>
      </w:r>
    </w:p>
    <w:p w:rsidR="00803C18" w:rsidRDefault="002E5CF1" w:rsidP="002E5CF1">
      <w:pPr>
        <w:autoSpaceDE w:val="0"/>
        <w:autoSpaceDN w:val="0"/>
        <w:adjustRightInd w:val="0"/>
        <w:rPr>
          <w:rFonts w:eastAsia="TimesNewRoman" w:cstheme="minorHAnsi"/>
        </w:rPr>
      </w:pPr>
      <w:r w:rsidRPr="009B57EA">
        <w:rPr>
          <w:rFonts w:eastAsia="TimesNewRoman" w:cstheme="minorHAnsi"/>
        </w:rPr>
        <w:t>The total recovery of administered radioactivity ranged from 83.7% to 96.6%. The mean</w:t>
      </w:r>
      <w:r>
        <w:rPr>
          <w:rFonts w:eastAsia="TimesNewRoman" w:cstheme="minorHAnsi"/>
        </w:rPr>
        <w:t xml:space="preserve"> </w:t>
      </w:r>
      <w:r w:rsidRPr="009B57EA">
        <w:rPr>
          <w:rFonts w:eastAsia="TimesNewRoman" w:cstheme="minorHAnsi"/>
        </w:rPr>
        <w:t>±</w:t>
      </w:r>
      <w:r>
        <w:rPr>
          <w:rFonts w:eastAsia="TimesNewRoman" w:cstheme="minorHAnsi"/>
        </w:rPr>
        <w:t xml:space="preserve"> </w:t>
      </w:r>
      <w:r w:rsidRPr="009B57EA">
        <w:rPr>
          <w:rFonts w:eastAsia="TimesNewRoman" w:cstheme="minorHAnsi"/>
        </w:rPr>
        <w:t xml:space="preserve">SD total recovery of radioactivity for all subjects was 91.0±4.6%, 40.9±7.1% of which was </w:t>
      </w:r>
      <w:r>
        <w:rPr>
          <w:rFonts w:eastAsia="TimesNewRoman" w:cstheme="minorHAnsi"/>
        </w:rPr>
        <w:t xml:space="preserve">recovered </w:t>
      </w:r>
      <w:r w:rsidRPr="009B57EA">
        <w:rPr>
          <w:rFonts w:eastAsia="TimesNewRoman" w:cstheme="minorHAnsi"/>
        </w:rPr>
        <w:t>in faeces and 50.2±10.1% in urine</w:t>
      </w:r>
      <w:r w:rsidR="00803C18">
        <w:rPr>
          <w:rFonts w:eastAsia="TimesNewRoman" w:cstheme="minorHAnsi"/>
        </w:rPr>
        <w:t>.</w:t>
      </w:r>
    </w:p>
    <w:p w:rsidR="002E5CF1" w:rsidRPr="00AA10A9" w:rsidRDefault="002E5CF1" w:rsidP="002E5CF1">
      <w:pPr>
        <w:pStyle w:val="Heading5"/>
      </w:pPr>
      <w:r w:rsidRPr="00AA10A9">
        <w:t>Mass balance studies</w:t>
      </w:r>
    </w:p>
    <w:p w:rsidR="002E5CF1" w:rsidRPr="009B57EA" w:rsidRDefault="002E5CF1" w:rsidP="002E5CF1">
      <w:pPr>
        <w:autoSpaceDE w:val="0"/>
        <w:autoSpaceDN w:val="0"/>
        <w:adjustRightInd w:val="0"/>
        <w:rPr>
          <w:rFonts w:eastAsia="TimesNewRoman" w:cstheme="minorHAnsi"/>
        </w:rPr>
      </w:pPr>
      <w:r>
        <w:rPr>
          <w:rFonts w:eastAsia="TimesNewRoman" w:cstheme="minorHAnsi"/>
        </w:rPr>
        <w:t>P</w:t>
      </w:r>
      <w:r w:rsidRPr="009B57EA">
        <w:rPr>
          <w:rFonts w:eastAsia="TimesNewRoman" w:cstheme="minorHAnsi"/>
        </w:rPr>
        <w:t xml:space="preserve">eak concentrations of </w:t>
      </w:r>
      <w:r>
        <w:rPr>
          <w:rFonts w:eastAsia="TimesNewRoman" w:cstheme="minorHAnsi"/>
        </w:rPr>
        <w:t>ertugliflozin</w:t>
      </w:r>
      <w:r w:rsidRPr="009B57EA">
        <w:rPr>
          <w:rFonts w:eastAsia="TimesNewRoman" w:cstheme="minorHAnsi"/>
        </w:rPr>
        <w:t xml:space="preserve"> and total radioactivity in plasma generally occurred 1 </w:t>
      </w:r>
      <w:r>
        <w:rPr>
          <w:rFonts w:eastAsia="TimesNewRoman" w:cstheme="minorHAnsi"/>
        </w:rPr>
        <w:t>h</w:t>
      </w:r>
      <w:r w:rsidRPr="009B57EA">
        <w:rPr>
          <w:rFonts w:eastAsia="TimesNewRoman" w:cstheme="minorHAnsi"/>
        </w:rPr>
        <w:t xml:space="preserve"> after oral dosing. The t</w:t>
      </w:r>
      <w:r w:rsidRPr="00127B63">
        <w:rPr>
          <w:rFonts w:eastAsia="TimesNewRoman" w:cstheme="minorHAnsi"/>
          <w:vertAlign w:val="subscript"/>
        </w:rPr>
        <w:t>1/2</w:t>
      </w:r>
      <w:r w:rsidRPr="009B57EA">
        <w:rPr>
          <w:rFonts w:eastAsia="TimesNewRoman" w:cstheme="minorHAnsi"/>
        </w:rPr>
        <w:t xml:space="preserve"> was the same for </w:t>
      </w:r>
      <w:r>
        <w:rPr>
          <w:rFonts w:eastAsia="TimesNewRoman" w:cstheme="minorHAnsi"/>
        </w:rPr>
        <w:t>ertugliflozin</w:t>
      </w:r>
      <w:r w:rsidRPr="009B57EA">
        <w:rPr>
          <w:rFonts w:eastAsia="TimesNewRoman" w:cstheme="minorHAnsi"/>
        </w:rPr>
        <w:t xml:space="preserve"> and total radioactivity, averaging approximately 17 </w:t>
      </w:r>
      <w:r>
        <w:rPr>
          <w:rFonts w:eastAsia="TimesNewRoman" w:cstheme="minorHAnsi"/>
        </w:rPr>
        <w:t>h</w:t>
      </w:r>
      <w:r w:rsidRPr="009B57EA">
        <w:rPr>
          <w:rFonts w:eastAsia="TimesNewRoman" w:cstheme="minorHAnsi"/>
        </w:rPr>
        <w:t xml:space="preserve">. Geometric mean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rPr>
        <w:t xml:space="preserve"> and AUC</w:t>
      </w:r>
      <w:r w:rsidRPr="00127B63">
        <w:rPr>
          <w:rFonts w:eastAsia="TimesNewRoman" w:cstheme="minorHAnsi"/>
          <w:vertAlign w:val="subscript"/>
        </w:rPr>
        <w:t>inf</w:t>
      </w:r>
      <w:r w:rsidRPr="009B57EA">
        <w:rPr>
          <w:rFonts w:eastAsia="TimesNewRoman" w:cstheme="minorHAnsi"/>
        </w:rPr>
        <w:t xml:space="preserve"> </w:t>
      </w:r>
      <w:r>
        <w:rPr>
          <w:rFonts w:eastAsia="TimesNewRoman" w:cstheme="minorHAnsi"/>
        </w:rPr>
        <w:t xml:space="preserve">values </w:t>
      </w:r>
      <w:r w:rsidR="00803C18">
        <w:rPr>
          <w:rFonts w:eastAsia="TimesNewRoman" w:cstheme="minorHAnsi"/>
        </w:rPr>
        <w:t>were approximately 1.5 fold and 2.3 </w:t>
      </w:r>
      <w:r w:rsidRPr="009B57EA">
        <w:rPr>
          <w:rFonts w:eastAsia="TimesNewRoman" w:cstheme="minorHAnsi"/>
        </w:rPr>
        <w:t xml:space="preserve">fold higher, respectively, for total radioactivity than for </w:t>
      </w:r>
      <w:r>
        <w:rPr>
          <w:rFonts w:eastAsia="TimesNewRoman" w:cstheme="minorHAnsi"/>
        </w:rPr>
        <w:t>ertugliflozin</w:t>
      </w:r>
      <w:r w:rsidRPr="009B57EA">
        <w:rPr>
          <w:rFonts w:eastAsia="TimesNewRoman" w:cstheme="minorHAnsi"/>
        </w:rPr>
        <w:t xml:space="preserve">, suggesting that the parent </w:t>
      </w:r>
      <w:r>
        <w:rPr>
          <w:rFonts w:eastAsia="TimesNewRoman" w:cstheme="minorHAnsi"/>
        </w:rPr>
        <w:t>ertugliflozin</w:t>
      </w:r>
      <w:r w:rsidRPr="009B57EA">
        <w:rPr>
          <w:rFonts w:eastAsia="TimesNewRoman" w:cstheme="minorHAnsi"/>
        </w:rPr>
        <w:t xml:space="preserve"> accounted for approximately 50% of the circulating radioactivity.</w:t>
      </w:r>
    </w:p>
    <w:p w:rsidR="002E5CF1" w:rsidRPr="00AA10A9" w:rsidRDefault="002E5CF1" w:rsidP="002E5CF1">
      <w:pPr>
        <w:pStyle w:val="Heading5"/>
      </w:pPr>
      <w:r w:rsidRPr="00AA10A9">
        <w:lastRenderedPageBreak/>
        <w:t>Renal clearance</w:t>
      </w:r>
    </w:p>
    <w:p w:rsidR="002E5CF1" w:rsidRDefault="002E5CF1" w:rsidP="002E5CF1">
      <w:pPr>
        <w:rPr>
          <w:lang w:eastAsia="ja-JP"/>
        </w:rPr>
      </w:pPr>
      <w:bookmarkStart w:id="84" w:name="_Toc241374291"/>
      <w:bookmarkStart w:id="85" w:name="_Toc272414624"/>
      <w:bookmarkStart w:id="86" w:name="_Toc290888473"/>
      <w:bookmarkStart w:id="87" w:name="_Toc416353669"/>
      <w:r>
        <w:rPr>
          <w:rFonts w:eastAsia="TimesNewRoman" w:cstheme="minorHAnsi"/>
        </w:rPr>
        <w:t xml:space="preserve">Approximately 50% of </w:t>
      </w:r>
      <w:r>
        <w:rPr>
          <w:lang w:eastAsia="ja-JP"/>
        </w:rPr>
        <w:t xml:space="preserve">a 25 mg oral dose of </w:t>
      </w:r>
      <w:r w:rsidR="00424310">
        <w:rPr>
          <w:rFonts w:eastAsia="TimesNewRoman" w:cstheme="minorHAnsi"/>
        </w:rPr>
        <w:t>(</w:t>
      </w:r>
      <w:r w:rsidRPr="009B57EA">
        <w:rPr>
          <w:rFonts w:eastAsia="TimesNewRoman" w:cstheme="minorHAnsi"/>
          <w:vertAlign w:val="superscript"/>
        </w:rPr>
        <w:t>14</w:t>
      </w:r>
      <w:r w:rsidRPr="009B57EA">
        <w:rPr>
          <w:rFonts w:eastAsia="TimesNewRoman" w:cstheme="minorHAnsi"/>
        </w:rPr>
        <w:t>C</w:t>
      </w:r>
      <w:r w:rsidR="00424310">
        <w:rPr>
          <w:rFonts w:eastAsia="TimesNewRoman" w:cstheme="minorHAnsi"/>
        </w:rPr>
        <w:t>)</w:t>
      </w:r>
      <w:r w:rsidR="00803C18">
        <w:rPr>
          <w:rFonts w:eastAsia="TimesNewRoman" w:cstheme="minorHAnsi"/>
        </w:rPr>
        <w:t xml:space="preserve"> </w:t>
      </w:r>
      <w:r>
        <w:rPr>
          <w:rFonts w:eastAsia="TimesNewRoman" w:cstheme="minorHAnsi"/>
        </w:rPr>
        <w:t>ertugliflozin</w:t>
      </w:r>
      <w:r w:rsidRPr="009B57EA">
        <w:rPr>
          <w:rFonts w:eastAsia="TimesNewRoman" w:cstheme="minorHAnsi"/>
        </w:rPr>
        <w:t xml:space="preserve"> </w:t>
      </w:r>
      <w:r>
        <w:rPr>
          <w:rFonts w:eastAsia="TimesNewRoman" w:cstheme="minorHAnsi"/>
        </w:rPr>
        <w:t xml:space="preserve">suspension </w:t>
      </w:r>
      <w:r w:rsidRPr="009B57EA">
        <w:rPr>
          <w:rFonts w:eastAsia="TimesNewRoman" w:cstheme="minorHAnsi"/>
        </w:rPr>
        <w:t>(100 µCi)</w:t>
      </w:r>
      <w:r>
        <w:rPr>
          <w:rFonts w:eastAsia="TimesNewRoman" w:cstheme="minorHAnsi"/>
        </w:rPr>
        <w:t xml:space="preserve"> was recovered in the urine. </w:t>
      </w:r>
      <w:r w:rsidRPr="009B57EA">
        <w:rPr>
          <w:rFonts w:eastAsia="TimesNewRoman" w:cstheme="minorHAnsi"/>
        </w:rPr>
        <w:t xml:space="preserve">The excretion of radioactivity in urine was rapid; at 24 </w:t>
      </w:r>
      <w:r>
        <w:rPr>
          <w:rFonts w:eastAsia="TimesNewRoman" w:cstheme="minorHAnsi"/>
        </w:rPr>
        <w:t>h</w:t>
      </w:r>
      <w:r w:rsidRPr="009B57EA">
        <w:rPr>
          <w:rFonts w:eastAsia="TimesNewRoman" w:cstheme="minorHAnsi"/>
        </w:rPr>
        <w:t xml:space="preserve"> post-dose, the mean cumulative recovery was 40.0±7.0%, accounting for approximately 80% of total radioactivity recovered in urine; at 48 </w:t>
      </w:r>
      <w:r>
        <w:rPr>
          <w:rFonts w:eastAsia="TimesNewRoman" w:cstheme="minorHAnsi"/>
        </w:rPr>
        <w:t>h</w:t>
      </w:r>
      <w:r w:rsidRPr="009B57EA">
        <w:rPr>
          <w:rFonts w:eastAsia="TimesNewRoman" w:cstheme="minorHAnsi"/>
        </w:rPr>
        <w:t xml:space="preserve"> post-dose, the mean cumulative recovery was 46.1±8.7%, accounting for approximately 92% of total radioactivity recovered in urine.</w:t>
      </w:r>
    </w:p>
    <w:p w:rsidR="002E5CF1" w:rsidRDefault="002E5CF1" w:rsidP="00606E10">
      <w:pPr>
        <w:pStyle w:val="Heading4"/>
        <w:numPr>
          <w:ilvl w:val="3"/>
          <w:numId w:val="8"/>
        </w:numPr>
      </w:pPr>
      <w:r>
        <w:t xml:space="preserve">Intra </w:t>
      </w:r>
      <w:r w:rsidRPr="005B0142">
        <w:t>and inter</w:t>
      </w:r>
      <w:r>
        <w:t xml:space="preserve"> </w:t>
      </w:r>
      <w:r w:rsidRPr="00F77F87">
        <w:t>individual</w:t>
      </w:r>
      <w:r w:rsidRPr="005B0142">
        <w:t xml:space="preserve"> variability</w:t>
      </w:r>
      <w:bookmarkEnd w:id="84"/>
      <w:r w:rsidRPr="005B0142">
        <w:t xml:space="preserve"> of pharmacokinetics</w:t>
      </w:r>
      <w:bookmarkEnd w:id="85"/>
      <w:bookmarkEnd w:id="86"/>
      <w:bookmarkEnd w:id="87"/>
    </w:p>
    <w:p w:rsidR="002E5CF1" w:rsidRPr="00100BA7" w:rsidRDefault="002E5CF1" w:rsidP="00803C18">
      <w:pPr>
        <w:rPr>
          <w:lang w:eastAsia="ja-JP"/>
        </w:rPr>
      </w:pPr>
      <w:bookmarkStart w:id="88" w:name="_Toc241374292"/>
      <w:bookmarkStart w:id="89" w:name="_Ref271189131"/>
      <w:bookmarkStart w:id="90" w:name="_Ref271189136"/>
      <w:bookmarkStart w:id="91" w:name="_Toc272414625"/>
      <w:bookmarkStart w:id="92" w:name="_Toc290888474"/>
      <w:bookmarkStart w:id="93" w:name="_Toc416353670"/>
      <w:bookmarkStart w:id="94" w:name="_Toc421005245"/>
      <w:bookmarkStart w:id="95" w:name="_Toc432079127"/>
      <w:bookmarkStart w:id="96" w:name="_Toc432080700"/>
      <w:r>
        <w:t xml:space="preserve">The PopPK analysis, </w:t>
      </w:r>
      <w:r w:rsidRPr="00F76523">
        <w:rPr>
          <w:rFonts w:cstheme="minorHAnsi"/>
        </w:rPr>
        <w:t>PMAR-EQDD-B152a-DP4-403</w:t>
      </w:r>
      <w:r>
        <w:t xml:space="preserve"> provided an estimate of the i</w:t>
      </w:r>
      <w:r w:rsidRPr="00100BA7">
        <w:t xml:space="preserve">nter-individual variance on CL/F expressed as %CV </w:t>
      </w:r>
      <w:r>
        <w:t>of</w:t>
      </w:r>
      <w:r w:rsidRPr="00100BA7">
        <w:t xml:space="preserve"> 32%.</w:t>
      </w:r>
      <w:r>
        <w:t xml:space="preserve"> </w:t>
      </w:r>
      <w:r w:rsidRPr="00100BA7">
        <w:t xml:space="preserve">Residual error estimates were 38.7% for the </w:t>
      </w:r>
      <w:r w:rsidR="00803C18">
        <w:t>Phase </w:t>
      </w:r>
      <w:r>
        <w:t>I</w:t>
      </w:r>
      <w:r w:rsidRPr="00100BA7">
        <w:t xml:space="preserve"> studies and 83.6% for the </w:t>
      </w:r>
      <w:r>
        <w:t>Phase II</w:t>
      </w:r>
      <w:r w:rsidRPr="00100BA7">
        <w:t xml:space="preserve"> and </w:t>
      </w:r>
      <w:r w:rsidR="008348EB">
        <w:t>III</w:t>
      </w:r>
      <w:r w:rsidRPr="00100BA7">
        <w:t xml:space="preserve"> studies.</w:t>
      </w:r>
    </w:p>
    <w:p w:rsidR="002E5CF1" w:rsidRPr="00545B14" w:rsidRDefault="002E5CF1" w:rsidP="00F76523">
      <w:pPr>
        <w:pStyle w:val="Heading3"/>
      </w:pPr>
      <w:bookmarkStart w:id="97" w:name="_Toc461096078"/>
      <w:bookmarkStart w:id="98" w:name="_Toc504038129"/>
      <w:bookmarkStart w:id="99" w:name="_Toc4489193"/>
      <w:r w:rsidRPr="00545B14">
        <w:t>Pharmacokinetics in the target population</w:t>
      </w:r>
      <w:bookmarkEnd w:id="88"/>
      <w:bookmarkEnd w:id="89"/>
      <w:bookmarkEnd w:id="90"/>
      <w:bookmarkEnd w:id="91"/>
      <w:bookmarkEnd w:id="92"/>
      <w:bookmarkEnd w:id="93"/>
      <w:bookmarkEnd w:id="94"/>
      <w:bookmarkEnd w:id="95"/>
      <w:bookmarkEnd w:id="96"/>
      <w:bookmarkEnd w:id="97"/>
      <w:bookmarkEnd w:id="98"/>
      <w:bookmarkEnd w:id="99"/>
    </w:p>
    <w:p w:rsidR="002E5CF1" w:rsidRDefault="002E5CF1" w:rsidP="00803C18">
      <w:pPr>
        <w:rPr>
          <w:rFonts w:eastAsia="TimesNewRoman"/>
        </w:rPr>
      </w:pPr>
      <w:bookmarkStart w:id="100" w:name="_Toc241374293"/>
      <w:bookmarkStart w:id="101" w:name="_Toc272414626"/>
      <w:bookmarkStart w:id="102" w:name="_Toc290888475"/>
      <w:bookmarkStart w:id="103" w:name="_Toc416353671"/>
      <w:bookmarkStart w:id="104" w:name="_Toc421005246"/>
      <w:bookmarkStart w:id="105" w:name="_Toc432079128"/>
      <w:bookmarkStart w:id="106" w:name="_Toc432080701"/>
      <w:r>
        <w:rPr>
          <w:rFonts w:eastAsia="TimesNewRoman"/>
        </w:rPr>
        <w:t xml:space="preserve">Two Phase II studies, </w:t>
      </w:r>
      <w:r w:rsidR="008348EB">
        <w:t xml:space="preserve">Studies </w:t>
      </w:r>
      <w:r w:rsidRPr="00F76523">
        <w:t>P042/1004 and P016/1006 examined ertugliflozin trough concentrations at various time points following 4 and 12 weeks of treatment, respectively, with a range of QD doses in subjects with T2DM. In Study P042/1004</w:t>
      </w:r>
      <w:r>
        <w:t xml:space="preserve"> ertugliflozin doses of 1 mg, 5</w:t>
      </w:r>
      <w:r w:rsidR="008348EB">
        <w:t> </w:t>
      </w:r>
      <w:r>
        <w:t>mg or 25 mg were administered to 193 subjects with T2DM and</w:t>
      </w:r>
      <w:r w:rsidRPr="000B66C9">
        <w:rPr>
          <w:rFonts w:asciiTheme="minorHAnsi" w:hAnsiTheme="minorHAnsi"/>
        </w:rPr>
        <w:t xml:space="preserve"> i</w:t>
      </w:r>
      <w:r w:rsidRPr="000B66C9">
        <w:rPr>
          <w:rFonts w:asciiTheme="minorHAnsi" w:eastAsia="TimesNewRoman" w:hAnsiTheme="minorHAnsi" w:cs="TimesNewRoman"/>
        </w:rPr>
        <w:t>nadequate glycaemic and blood pressure control</w:t>
      </w:r>
      <w:r w:rsidRPr="00595A14">
        <w:rPr>
          <w:rFonts w:asciiTheme="minorHAnsi" w:eastAsia="TimesNewRoman" w:hAnsiTheme="minorHAnsi" w:cs="TimesNewRoman"/>
        </w:rPr>
        <w:t>. The results indicated that in this population e</w:t>
      </w:r>
      <w:r w:rsidRPr="00595A14">
        <w:rPr>
          <w:rFonts w:asciiTheme="minorHAnsi" w:eastAsia="TimesNewRoman" w:hAnsiTheme="minorHAnsi"/>
        </w:rPr>
        <w:t>rtugliflozin</w:t>
      </w:r>
      <w:r w:rsidRPr="00595A14">
        <w:rPr>
          <w:rFonts w:eastAsia="TimesNewRoman"/>
        </w:rPr>
        <w:t xml:space="preserve"> trough concentrations increased proportionally with increasing dose and appeared to be stable over 4</w:t>
      </w:r>
      <w:r w:rsidR="00833C92">
        <w:rPr>
          <w:rFonts w:eastAsia="TimesNewRoman"/>
        </w:rPr>
        <w:t xml:space="preserve"> week</w:t>
      </w:r>
      <w:r w:rsidRPr="00595A14">
        <w:rPr>
          <w:rFonts w:eastAsia="TimesNewRoman"/>
        </w:rPr>
        <w:t xml:space="preserve">s of dosing (Table </w:t>
      </w:r>
      <w:r w:rsidR="00595A14" w:rsidRPr="00595A14">
        <w:rPr>
          <w:rFonts w:eastAsia="TimesNewRoman"/>
        </w:rPr>
        <w:t>4</w:t>
      </w:r>
      <w:r w:rsidRPr="00595A14">
        <w:rPr>
          <w:rFonts w:eastAsia="TimesNewRoman"/>
        </w:rPr>
        <w:t>). For instance, following QD dosing with 1 mg, 5 mg and 25 mg ertugliflozin for 4 weeks the median</w:t>
      </w:r>
      <w:r>
        <w:rPr>
          <w:rFonts w:eastAsia="TimesNewRoman"/>
        </w:rPr>
        <w:t xml:space="preserve"> trough concentrations were 0.94, 3.71 and 22.35 ng/mL respectively, whereas, the trough concentrations were 4.02 and 3.71 ng/mL following 1 and 4</w:t>
      </w:r>
      <w:r w:rsidR="008348EB">
        <w:rPr>
          <w:rFonts w:eastAsia="TimesNewRoman"/>
        </w:rPr>
        <w:t> </w:t>
      </w:r>
      <w:r w:rsidR="00803C18">
        <w:rPr>
          <w:rFonts w:eastAsia="TimesNewRoman"/>
        </w:rPr>
        <w:t>weeks of QD dosing with 5 </w:t>
      </w:r>
      <w:r>
        <w:rPr>
          <w:rFonts w:eastAsia="TimesNewRoman"/>
        </w:rPr>
        <w:t>mg, respectively.</w:t>
      </w:r>
    </w:p>
    <w:p w:rsidR="00595A14" w:rsidRPr="00250D80" w:rsidRDefault="00595A14" w:rsidP="00595A14">
      <w:pPr>
        <w:pStyle w:val="Tabletitle"/>
        <w:rPr>
          <w:rFonts w:eastAsia="TimesNewRoman"/>
        </w:rPr>
      </w:pPr>
      <w:bookmarkStart w:id="107" w:name="_Ref492026981"/>
      <w:bookmarkStart w:id="108" w:name="_Ref492027112"/>
      <w:bookmarkStart w:id="109" w:name="_Toc504038347"/>
      <w:r w:rsidRPr="00250D80">
        <w:t xml:space="preserve">Table </w:t>
      </w:r>
      <w:r>
        <w:t>4:</w:t>
      </w:r>
      <w:r w:rsidRPr="00250D80">
        <w:t xml:space="preserve"> Study P042/1004 Summary of Plasma ertugliflozin </w:t>
      </w:r>
      <w:r w:rsidR="008348EB">
        <w:t>t</w:t>
      </w:r>
      <w:r w:rsidRPr="00250D80">
        <w:t xml:space="preserve">rough </w:t>
      </w:r>
      <w:r w:rsidR="008348EB">
        <w:t>c</w:t>
      </w:r>
      <w:r w:rsidRPr="00250D80">
        <w:t>oncentrations (ng/mL) by Visit</w:t>
      </w:r>
      <w:bookmarkEnd w:id="107"/>
      <w:bookmarkEnd w:id="108"/>
      <w:bookmarkEnd w:id="109"/>
    </w:p>
    <w:p w:rsidR="00595A14" w:rsidRPr="000C6FC8" w:rsidRDefault="00595A14" w:rsidP="000C6FC8">
      <w:pPr>
        <w:rPr>
          <w:u w:val="single"/>
        </w:rPr>
      </w:pPr>
      <w:r w:rsidRPr="00250D80">
        <w:rPr>
          <w:noProof/>
          <w:lang w:eastAsia="en-AU"/>
        </w:rPr>
        <w:drawing>
          <wp:inline distT="0" distB="0" distL="0" distR="0" wp14:anchorId="17918595" wp14:editId="44BE57DB">
            <wp:extent cx="4557370" cy="3325161"/>
            <wp:effectExtent l="0" t="0" r="0" b="8890"/>
            <wp:docPr id="80" name="Picture 80" descr="Study P042/1004 Summary of Plasma ertugliflozin Trough Concentrations (ng/mL) by Vi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58141" cy="3325723"/>
                    </a:xfrm>
                    <a:prstGeom prst="rect">
                      <a:avLst/>
                    </a:prstGeom>
                    <a:noFill/>
                    <a:ln>
                      <a:noFill/>
                    </a:ln>
                  </pic:spPr>
                </pic:pic>
              </a:graphicData>
            </a:graphic>
          </wp:inline>
        </w:drawing>
      </w:r>
    </w:p>
    <w:p w:rsidR="00803C18" w:rsidRDefault="00803C18" w:rsidP="00803C18">
      <w:pPr>
        <w:pStyle w:val="Heading4"/>
        <w:rPr>
          <w:rFonts w:eastAsia="TimesNewRoman"/>
        </w:rPr>
      </w:pPr>
      <w:r w:rsidRPr="00F76523">
        <w:rPr>
          <w:rFonts w:eastAsia="TimesNewRoman"/>
        </w:rPr>
        <w:t xml:space="preserve">Study </w:t>
      </w:r>
      <w:r w:rsidRPr="00F76523">
        <w:t>P016/1006</w:t>
      </w:r>
    </w:p>
    <w:p w:rsidR="002E5CF1" w:rsidRDefault="002E5CF1" w:rsidP="00803C18">
      <w:pPr>
        <w:rPr>
          <w:rFonts w:eastAsia="TimesNewRoman"/>
        </w:rPr>
      </w:pPr>
      <w:r w:rsidRPr="00F76523">
        <w:rPr>
          <w:rFonts w:eastAsia="TimesNewRoman"/>
        </w:rPr>
        <w:t xml:space="preserve">Study </w:t>
      </w:r>
      <w:r w:rsidRPr="00F76523">
        <w:t>P016/1006</w:t>
      </w:r>
      <w:r>
        <w:t xml:space="preserve"> examined ertugliflozin trough levels following QD doses of 1 mg, 5 mg, 10 mg and 25 mg ertugliflozin in subjects with inadequately controlled T2DM who were receiving stable doses of metformin. As in the preceding study, e</w:t>
      </w:r>
      <w:r w:rsidRPr="00FE4C12">
        <w:rPr>
          <w:rFonts w:eastAsia="TimesNewRoman"/>
        </w:rPr>
        <w:t xml:space="preserve">rtugliflozin concentrations increased </w:t>
      </w:r>
      <w:r w:rsidRPr="00FE4C12">
        <w:rPr>
          <w:rFonts w:eastAsia="TimesNewRoman"/>
        </w:rPr>
        <w:lastRenderedPageBreak/>
        <w:t>proportionally with increasing dose and appeared to be stable over the multiple weeks of dosing (</w:t>
      </w:r>
      <w:r w:rsidR="00F76523" w:rsidRPr="00595A14">
        <w:rPr>
          <w:rFonts w:eastAsia="TimesNewRoman"/>
        </w:rPr>
        <w:t>Table 5</w:t>
      </w:r>
      <w:r w:rsidR="00595A14" w:rsidRPr="00595A14">
        <w:rPr>
          <w:rFonts w:eastAsia="TimesNewRoman"/>
        </w:rPr>
        <w:t>)</w:t>
      </w:r>
      <w:r w:rsidRPr="00595A14">
        <w:rPr>
          <w:rFonts w:eastAsia="TimesNewRoman"/>
        </w:rPr>
        <w:t>.</w:t>
      </w:r>
      <w:r>
        <w:rPr>
          <w:rFonts w:eastAsia="TimesNewRoman"/>
        </w:rPr>
        <w:t xml:space="preserve"> For instance, following QD dosing with 1 mg, 5 mg, 10 mg and 25 mg ertugliflozin for 12 weeks in patients also receiving stable doses of metformin the median trough concentrations of ertugliflozin were 0.84, 4.37,</w:t>
      </w:r>
      <w:r w:rsidR="00803C18">
        <w:rPr>
          <w:rFonts w:eastAsia="TimesNewRoman"/>
        </w:rPr>
        <w:t xml:space="preserve"> </w:t>
      </w:r>
      <w:r>
        <w:rPr>
          <w:rFonts w:eastAsia="TimesNewRoman"/>
        </w:rPr>
        <w:t>9.69 and 24.2 ng/mL respectively, whereas, the trough concentrations were 5.86 and 4.37 ng/mL, following 2 and 12 weeks of QD dosing with 5 mg, respectively.</w:t>
      </w:r>
    </w:p>
    <w:p w:rsidR="00595A14" w:rsidRDefault="00595A14" w:rsidP="00595A14">
      <w:pPr>
        <w:pStyle w:val="Tabletitle"/>
      </w:pPr>
      <w:bookmarkStart w:id="110" w:name="_Toc504038351"/>
      <w:r w:rsidRPr="00FE4C12">
        <w:t>Table 5</w:t>
      </w:r>
      <w:r>
        <w:t xml:space="preserve">: </w:t>
      </w:r>
      <w:r w:rsidRPr="00FE4C12">
        <w:t xml:space="preserve">Study </w:t>
      </w:r>
      <w:r w:rsidRPr="00FE4C12">
        <w:rPr>
          <w:color w:val="000000"/>
        </w:rPr>
        <w:t xml:space="preserve">P016/1006 </w:t>
      </w:r>
      <w:r w:rsidRPr="00FE4C12">
        <w:t>Summary of ertugliflozin pharmacokinetic concentrations (ng/ml) versus time</w:t>
      </w:r>
      <w:bookmarkEnd w:id="110"/>
    </w:p>
    <w:p w:rsidR="00595A14" w:rsidRPr="00E2616D" w:rsidRDefault="00595A14" w:rsidP="00595A14">
      <w:pPr>
        <w:rPr>
          <w:rFonts w:eastAsia="TimesNewRoman"/>
        </w:rPr>
      </w:pPr>
      <w:r w:rsidRPr="00106DD0">
        <w:rPr>
          <w:rFonts w:eastAsia="TimesNewRoman"/>
          <w:noProof/>
          <w:lang w:eastAsia="en-AU"/>
        </w:rPr>
        <w:drawing>
          <wp:inline distT="0" distB="0" distL="0" distR="0" wp14:anchorId="2FD36EAF" wp14:editId="5D49FC60">
            <wp:extent cx="5288507" cy="3021140"/>
            <wp:effectExtent l="0" t="0" r="7620" b="8255"/>
            <wp:docPr id="83" name="Picture 83" descr="Study P016/1006 Summary of ertugliflozin pharmacokinetic concentrations (ng/ml) versus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92029" cy="3023152"/>
                    </a:xfrm>
                    <a:prstGeom prst="rect">
                      <a:avLst/>
                    </a:prstGeom>
                    <a:noFill/>
                    <a:ln>
                      <a:noFill/>
                    </a:ln>
                  </pic:spPr>
                </pic:pic>
              </a:graphicData>
            </a:graphic>
          </wp:inline>
        </w:drawing>
      </w:r>
    </w:p>
    <w:p w:rsidR="00803C18" w:rsidRDefault="002E5CF1" w:rsidP="00F76523">
      <w:pPr>
        <w:pStyle w:val="Comment"/>
      </w:pPr>
      <w:r w:rsidRPr="000231DE">
        <w:rPr>
          <w:b/>
        </w:rPr>
        <w:t>Comment</w:t>
      </w:r>
      <w:r w:rsidRPr="00CC02B7">
        <w:t>:</w:t>
      </w:r>
      <w:r w:rsidR="008348EB">
        <w:t xml:space="preserve"> </w:t>
      </w:r>
      <w:r w:rsidRPr="00CC02B7">
        <w:t xml:space="preserve">It is important to note that none of the above </w:t>
      </w:r>
      <w:r>
        <w:t>Phase II</w:t>
      </w:r>
      <w:r w:rsidRPr="00CC02B7">
        <w:t xml:space="preserve"> dose-ranging studies evaluated the proposed 1</w:t>
      </w:r>
      <w:r>
        <w:t>5 mg</w:t>
      </w:r>
      <w:r w:rsidRPr="00CC02B7">
        <w:t xml:space="preserve"> dose of ertugliflozin</w:t>
      </w:r>
      <w:r w:rsidR="00803C18">
        <w:t>.</w:t>
      </w:r>
    </w:p>
    <w:p w:rsidR="00803C18" w:rsidRDefault="002E5CF1" w:rsidP="00803C18">
      <w:pPr>
        <w:pStyle w:val="Heading4"/>
      </w:pPr>
      <w:r w:rsidRPr="005E6B55">
        <w:t>Study P040/1007</w:t>
      </w:r>
    </w:p>
    <w:p w:rsidR="002E5CF1" w:rsidRPr="00803C18" w:rsidRDefault="00803C18" w:rsidP="002E5CF1">
      <w:pPr>
        <w:rPr>
          <w:rFonts w:cstheme="minorHAnsi"/>
        </w:rPr>
      </w:pPr>
      <w:r w:rsidRPr="00803C18">
        <w:rPr>
          <w:rFonts w:cstheme="minorHAnsi"/>
        </w:rPr>
        <w:t xml:space="preserve">Study P040/1007 </w:t>
      </w:r>
      <w:r w:rsidR="002E5CF1" w:rsidRPr="00803C18">
        <w:rPr>
          <w:rFonts w:eastAsia="TimesNewRoman" w:cstheme="minorHAnsi"/>
        </w:rPr>
        <w:t>assessed</w:t>
      </w:r>
      <w:r w:rsidR="002E5CF1" w:rsidRPr="009B57EA">
        <w:rPr>
          <w:rFonts w:eastAsia="TimesNewRoman" w:cstheme="minorHAnsi"/>
        </w:rPr>
        <w:t xml:space="preserve"> the PK of </w:t>
      </w:r>
      <w:r w:rsidR="002E5CF1">
        <w:rPr>
          <w:rFonts w:eastAsia="TimesNewRoman" w:cstheme="minorHAnsi"/>
        </w:rPr>
        <w:t>ertugliflozin</w:t>
      </w:r>
      <w:r w:rsidR="002E5CF1" w:rsidRPr="009B57EA">
        <w:rPr>
          <w:rFonts w:eastAsia="TimesNewRoman" w:cstheme="minorHAnsi"/>
        </w:rPr>
        <w:t xml:space="preserve"> </w:t>
      </w:r>
      <w:r w:rsidR="002E5CF1">
        <w:rPr>
          <w:rFonts w:eastAsia="TimesNewRoman" w:cstheme="minorHAnsi"/>
        </w:rPr>
        <w:t xml:space="preserve">following administration of 1 mg or </w:t>
      </w:r>
      <w:r w:rsidR="002E5CF1" w:rsidRPr="009B57EA">
        <w:rPr>
          <w:rFonts w:eastAsia="TimesNewRoman" w:cstheme="minorHAnsi"/>
        </w:rPr>
        <w:t xml:space="preserve">2 mg </w:t>
      </w:r>
      <w:r w:rsidR="002E5CF1">
        <w:rPr>
          <w:rFonts w:eastAsia="TimesNewRoman" w:cstheme="minorHAnsi"/>
        </w:rPr>
        <w:t>twice-daily (</w:t>
      </w:r>
      <w:r>
        <w:rPr>
          <w:rFonts w:eastAsia="TimesNewRoman" w:cstheme="minorHAnsi"/>
        </w:rPr>
        <w:t>BD</w:t>
      </w:r>
      <w:r w:rsidR="002E5CF1">
        <w:rPr>
          <w:rFonts w:eastAsia="TimesNewRoman" w:cstheme="minorHAnsi"/>
        </w:rPr>
        <w:t>) and</w:t>
      </w:r>
      <w:r w:rsidR="002E5CF1" w:rsidRPr="009B57EA">
        <w:rPr>
          <w:rFonts w:eastAsia="TimesNewRoman" w:cstheme="minorHAnsi"/>
        </w:rPr>
        <w:t xml:space="preserve"> </w:t>
      </w:r>
      <w:r w:rsidR="002E5CF1">
        <w:rPr>
          <w:rFonts w:eastAsia="TimesNewRoman" w:cstheme="minorHAnsi"/>
        </w:rPr>
        <w:t xml:space="preserve">2 mg </w:t>
      </w:r>
      <w:r>
        <w:rPr>
          <w:rFonts w:eastAsia="TimesNewRoman" w:cstheme="minorHAnsi"/>
        </w:rPr>
        <w:t>BD</w:t>
      </w:r>
      <w:r w:rsidR="002E5CF1">
        <w:rPr>
          <w:rFonts w:eastAsia="TimesNewRoman" w:cstheme="minorHAnsi"/>
        </w:rPr>
        <w:t xml:space="preserve"> or </w:t>
      </w:r>
      <w:r w:rsidR="002E5CF1" w:rsidRPr="009B57EA">
        <w:rPr>
          <w:rFonts w:eastAsia="TimesNewRoman" w:cstheme="minorHAnsi"/>
        </w:rPr>
        <w:t xml:space="preserve">4 mg </w:t>
      </w:r>
      <w:r w:rsidR="002E5CF1">
        <w:rPr>
          <w:rFonts w:eastAsia="TimesNewRoman" w:cstheme="minorHAnsi"/>
        </w:rPr>
        <w:t xml:space="preserve">QD </w:t>
      </w:r>
      <w:r w:rsidR="002E5CF1" w:rsidRPr="009B57EA">
        <w:rPr>
          <w:rFonts w:eastAsia="TimesNewRoman" w:cstheme="minorHAnsi"/>
        </w:rPr>
        <w:t xml:space="preserve">in </w:t>
      </w:r>
      <w:r w:rsidR="002E5CF1">
        <w:rPr>
          <w:rFonts w:eastAsia="TimesNewRoman" w:cstheme="minorHAnsi"/>
        </w:rPr>
        <w:t xml:space="preserve">52 </w:t>
      </w:r>
      <w:r w:rsidR="002E5CF1" w:rsidRPr="009B57EA">
        <w:rPr>
          <w:rFonts w:eastAsia="TimesNewRoman" w:cstheme="minorHAnsi"/>
        </w:rPr>
        <w:t>adults with T2DM</w:t>
      </w:r>
      <w:r w:rsidR="002E5CF1">
        <w:rPr>
          <w:rFonts w:eastAsia="TimesNewRoman" w:cstheme="minorHAnsi"/>
        </w:rPr>
        <w:t xml:space="preserve">. </w:t>
      </w:r>
      <w:r w:rsidR="002E5CF1" w:rsidRPr="009B57EA">
        <w:rPr>
          <w:rFonts w:eastAsia="TimesNewRoman" w:cstheme="minorHAnsi"/>
        </w:rPr>
        <w:t xml:space="preserve">Following </w:t>
      </w:r>
      <w:r>
        <w:rPr>
          <w:rFonts w:eastAsia="TimesNewRoman" w:cstheme="minorHAnsi"/>
        </w:rPr>
        <w:t>BD</w:t>
      </w:r>
      <w:r w:rsidR="002E5CF1" w:rsidRPr="009B57EA">
        <w:rPr>
          <w:rFonts w:eastAsia="TimesNewRoman" w:cstheme="minorHAnsi"/>
        </w:rPr>
        <w:t xml:space="preserve"> </w:t>
      </w:r>
      <w:r w:rsidR="002E5CF1">
        <w:rPr>
          <w:rFonts w:eastAsia="TimesNewRoman" w:cstheme="minorHAnsi"/>
        </w:rPr>
        <w:t>administration</w:t>
      </w:r>
      <w:r w:rsidR="002E5CF1" w:rsidRPr="009B57EA">
        <w:rPr>
          <w:rFonts w:eastAsia="TimesNewRoman" w:cstheme="minorHAnsi"/>
        </w:rPr>
        <w:t xml:space="preserve">, </w:t>
      </w:r>
      <w:r w:rsidR="006F000B">
        <w:rPr>
          <w:rFonts w:eastAsia="TimesNewRoman" w:cstheme="minorHAnsi"/>
        </w:rPr>
        <w:t>T</w:t>
      </w:r>
      <w:r w:rsidR="006F000B" w:rsidRPr="006F000B">
        <w:rPr>
          <w:rFonts w:eastAsia="TimesNewRoman" w:cstheme="minorHAnsi"/>
          <w:vertAlign w:val="subscript"/>
        </w:rPr>
        <w:t>max</w:t>
      </w:r>
      <w:r w:rsidR="002E5CF1" w:rsidRPr="009B57EA">
        <w:rPr>
          <w:rFonts w:eastAsia="TimesNewRoman" w:cstheme="minorHAnsi"/>
        </w:rPr>
        <w:t xml:space="preserve"> generally occurred after the second dose, with a median </w:t>
      </w:r>
      <w:r w:rsidR="002E5CF1">
        <w:rPr>
          <w:rFonts w:eastAsia="TimesNewRoman" w:cstheme="minorHAnsi"/>
        </w:rPr>
        <w:t>value</w:t>
      </w:r>
      <w:r w:rsidR="002E5CF1" w:rsidRPr="009B57EA">
        <w:rPr>
          <w:rFonts w:eastAsia="TimesNewRoman" w:cstheme="minorHAnsi"/>
        </w:rPr>
        <w:t xml:space="preserve"> of 6 </w:t>
      </w:r>
      <w:r w:rsidR="002E5CF1">
        <w:rPr>
          <w:rFonts w:eastAsia="TimesNewRoman" w:cstheme="minorHAnsi"/>
        </w:rPr>
        <w:t>h</w:t>
      </w:r>
      <w:r w:rsidR="002E5CF1" w:rsidRPr="009B57EA">
        <w:rPr>
          <w:rFonts w:eastAsia="TimesNewRoman" w:cstheme="minorHAnsi"/>
        </w:rPr>
        <w:t xml:space="preserve"> compared to 1 </w:t>
      </w:r>
      <w:r w:rsidR="002E5CF1">
        <w:rPr>
          <w:rFonts w:eastAsia="TimesNewRoman" w:cstheme="minorHAnsi"/>
        </w:rPr>
        <w:t>h</w:t>
      </w:r>
      <w:r w:rsidR="002E5CF1" w:rsidRPr="009B57EA">
        <w:rPr>
          <w:rFonts w:eastAsia="TimesNewRoman" w:cstheme="minorHAnsi"/>
        </w:rPr>
        <w:t xml:space="preserve"> for QD dosing. </w:t>
      </w:r>
      <w:r w:rsidR="006F000B">
        <w:rPr>
          <w:rFonts w:eastAsia="TimesNewRoman" w:cstheme="minorHAnsi"/>
        </w:rPr>
        <w:t>T</w:t>
      </w:r>
      <w:r w:rsidR="006F000B" w:rsidRPr="006F000B">
        <w:rPr>
          <w:rFonts w:eastAsia="TimesNewRoman" w:cstheme="minorHAnsi"/>
          <w:vertAlign w:val="subscript"/>
        </w:rPr>
        <w:t>max</w:t>
      </w:r>
      <w:r w:rsidR="002E5CF1" w:rsidRPr="009B57EA">
        <w:rPr>
          <w:rFonts w:eastAsia="TimesNewRoman" w:cstheme="minorHAnsi"/>
        </w:rPr>
        <w:t xml:space="preserve"> for </w:t>
      </w:r>
      <w:r>
        <w:rPr>
          <w:rFonts w:eastAsia="TimesNewRoman" w:cstheme="minorHAnsi"/>
        </w:rPr>
        <w:t>BD</w:t>
      </w:r>
      <w:r w:rsidR="002E5CF1" w:rsidRPr="009B57EA">
        <w:rPr>
          <w:rFonts w:eastAsia="TimesNewRoman" w:cstheme="minorHAnsi"/>
        </w:rPr>
        <w:t xml:space="preserve"> dosing was approximately 30% lower than that observed </w:t>
      </w:r>
      <w:r w:rsidR="002E5CF1">
        <w:rPr>
          <w:rFonts w:eastAsia="TimesNewRoman" w:cstheme="minorHAnsi"/>
        </w:rPr>
        <w:t xml:space="preserve">following </w:t>
      </w:r>
      <w:r w:rsidR="002E5CF1" w:rsidRPr="009B57EA">
        <w:rPr>
          <w:rFonts w:eastAsia="TimesNewRoman" w:cstheme="minorHAnsi"/>
        </w:rPr>
        <w:t xml:space="preserve">the QD dose. However, total </w:t>
      </w:r>
      <w:r w:rsidR="002E5CF1">
        <w:rPr>
          <w:rFonts w:eastAsia="TimesNewRoman" w:cstheme="minorHAnsi"/>
        </w:rPr>
        <w:t>ertugliflozin</w:t>
      </w:r>
      <w:r w:rsidR="002E5CF1" w:rsidRPr="009B57EA">
        <w:rPr>
          <w:rFonts w:eastAsia="TimesNewRoman" w:cstheme="minorHAnsi"/>
        </w:rPr>
        <w:t xml:space="preserve"> exposure following </w:t>
      </w:r>
      <w:r>
        <w:rPr>
          <w:rFonts w:eastAsia="TimesNewRoman" w:cstheme="minorHAnsi"/>
        </w:rPr>
        <w:t>BD</w:t>
      </w:r>
      <w:r w:rsidR="002E5CF1" w:rsidRPr="009B57EA">
        <w:rPr>
          <w:rFonts w:eastAsia="TimesNewRoman" w:cstheme="minorHAnsi"/>
        </w:rPr>
        <w:t xml:space="preserve"> and QD dose was comparable, as supported by nearly identical geometric mean AUC</w:t>
      </w:r>
      <w:r w:rsidR="002E5CF1" w:rsidRPr="00127B63">
        <w:rPr>
          <w:rFonts w:eastAsia="TimesNewRoman" w:cstheme="minorHAnsi"/>
          <w:vertAlign w:val="subscript"/>
        </w:rPr>
        <w:t>last</w:t>
      </w:r>
      <w:r w:rsidR="002E5CF1" w:rsidRPr="009B57EA">
        <w:rPr>
          <w:rFonts w:eastAsia="TimesNewRoman" w:cstheme="minorHAnsi"/>
        </w:rPr>
        <w:t xml:space="preserve"> values for equivalent total </w:t>
      </w:r>
      <w:r w:rsidR="002E5CF1">
        <w:rPr>
          <w:rFonts w:eastAsia="TimesNewRoman" w:cstheme="minorHAnsi"/>
        </w:rPr>
        <w:t>dose</w:t>
      </w:r>
      <w:r>
        <w:rPr>
          <w:rFonts w:eastAsia="TimesNewRoman" w:cstheme="minorHAnsi"/>
        </w:rPr>
        <w:t>s. For instance, for the 2 mg B</w:t>
      </w:r>
      <w:r w:rsidR="002E5CF1">
        <w:rPr>
          <w:rFonts w:eastAsia="TimesNewRoman" w:cstheme="minorHAnsi"/>
        </w:rPr>
        <w:t xml:space="preserve">D and 4 mg QD doses the </w:t>
      </w:r>
      <w:r w:rsidR="00D66779">
        <w:rPr>
          <w:rFonts w:eastAsiaTheme="minorHAnsi" w:cstheme="minorHAnsi"/>
        </w:rPr>
        <w:t>AUC</w:t>
      </w:r>
      <w:r w:rsidR="00D66779" w:rsidRPr="00D66779">
        <w:rPr>
          <w:rFonts w:eastAsiaTheme="minorHAnsi" w:cstheme="minorHAnsi"/>
          <w:vertAlign w:val="subscript"/>
        </w:rPr>
        <w:t>t</w:t>
      </w:r>
      <w:r w:rsidR="002E5CF1">
        <w:rPr>
          <w:rFonts w:eastAsia="TimesNewRoman" w:cstheme="minorHAnsi"/>
        </w:rPr>
        <w:t xml:space="preserve"> values were </w:t>
      </w:r>
      <w:proofErr w:type="gramStart"/>
      <w:r w:rsidR="002E5CF1">
        <w:rPr>
          <w:rFonts w:eastAsia="TimesNewRoman" w:cstheme="minorHAnsi"/>
        </w:rPr>
        <w:t>272 ng.h/mL</w:t>
      </w:r>
      <w:proofErr w:type="gramEnd"/>
      <w:r w:rsidR="002E5CF1">
        <w:rPr>
          <w:rFonts w:eastAsia="TimesNewRoman" w:cstheme="minorHAnsi"/>
        </w:rPr>
        <w:t xml:space="preserve"> and 270.5 ng.h/mL, respectively.</w:t>
      </w:r>
    </w:p>
    <w:p w:rsidR="002E5CF1" w:rsidRPr="00BC2BC4" w:rsidRDefault="002E5CF1" w:rsidP="00B54ACE">
      <w:pPr>
        <w:pStyle w:val="Comment"/>
      </w:pPr>
      <w:r w:rsidRPr="00B54ACE">
        <w:rPr>
          <w:b/>
        </w:rPr>
        <w:t>Comment</w:t>
      </w:r>
      <w:r w:rsidR="00803C18">
        <w:t xml:space="preserve">: </w:t>
      </w:r>
      <w:r>
        <w:t xml:space="preserve">This study in T2DM did not evaluate the proposed daily doses of 5 mg and 15 mg. However, no difference between once daily (5 mg and 15 </w:t>
      </w:r>
      <w:r w:rsidR="00730F18">
        <w:t>mg QD</w:t>
      </w:r>
      <w:r>
        <w:t>) and twice daily (2.5 mg bd and 7.5 mg bd) dosing was observed in Study P035/1051 in healthy subjects.</w:t>
      </w:r>
    </w:p>
    <w:p w:rsidR="002E5CF1" w:rsidRPr="00BB1717" w:rsidRDefault="002E5CF1" w:rsidP="00CA2F4B">
      <w:pPr>
        <w:pStyle w:val="Heading3"/>
      </w:pPr>
      <w:bookmarkStart w:id="111" w:name="_Toc461096079"/>
      <w:bookmarkStart w:id="112" w:name="_Toc504038130"/>
      <w:bookmarkStart w:id="113" w:name="_Toc4489194"/>
      <w:r w:rsidRPr="00BB1717">
        <w:t>Pharmacokinetics in special populations</w:t>
      </w:r>
      <w:bookmarkEnd w:id="100"/>
      <w:bookmarkEnd w:id="101"/>
      <w:bookmarkEnd w:id="102"/>
      <w:bookmarkEnd w:id="103"/>
      <w:bookmarkEnd w:id="104"/>
      <w:bookmarkEnd w:id="105"/>
      <w:bookmarkEnd w:id="106"/>
      <w:bookmarkEnd w:id="111"/>
      <w:bookmarkEnd w:id="112"/>
      <w:bookmarkEnd w:id="113"/>
    </w:p>
    <w:p w:rsidR="002E5CF1" w:rsidRPr="005B0142" w:rsidRDefault="002E5CF1" w:rsidP="00CA2F4B">
      <w:pPr>
        <w:pStyle w:val="Heading4"/>
      </w:pPr>
      <w:bookmarkStart w:id="114" w:name="_Toc272414627"/>
      <w:bookmarkStart w:id="115" w:name="_Toc290888476"/>
      <w:bookmarkStart w:id="116" w:name="_Toc416353672"/>
      <w:bookmarkStart w:id="117" w:name="_Ref492027711"/>
      <w:bookmarkStart w:id="118" w:name="_Ref492027716"/>
      <w:r w:rsidRPr="005B0142">
        <w:t>Pharmacokinetics in subjects with impaired hepatic function</w:t>
      </w:r>
      <w:bookmarkEnd w:id="114"/>
      <w:bookmarkEnd w:id="115"/>
      <w:bookmarkEnd w:id="116"/>
      <w:bookmarkEnd w:id="117"/>
      <w:bookmarkEnd w:id="118"/>
    </w:p>
    <w:p w:rsidR="002E5CF1" w:rsidRDefault="002E5CF1" w:rsidP="002E5CF1">
      <w:pPr>
        <w:rPr>
          <w:rFonts w:eastAsia="TimesNewRoman" w:cstheme="minorHAnsi"/>
        </w:rPr>
      </w:pPr>
      <w:bookmarkStart w:id="119" w:name="_Toc272414628"/>
      <w:bookmarkStart w:id="120" w:name="_Toc290888477"/>
      <w:bookmarkStart w:id="121" w:name="_Toc416353673"/>
      <w:r w:rsidRPr="00CA2F4B">
        <w:rPr>
          <w:lang w:eastAsia="ja-JP"/>
        </w:rPr>
        <w:t xml:space="preserve">Study </w:t>
      </w:r>
      <w:r w:rsidRPr="00CA2F4B">
        <w:rPr>
          <w:rFonts w:cstheme="minorHAnsi"/>
          <w:color w:val="000000"/>
        </w:rPr>
        <w:t>P014/1024</w:t>
      </w:r>
      <w:r>
        <w:rPr>
          <w:rFonts w:cstheme="minorHAnsi"/>
          <w:color w:val="000000"/>
        </w:rPr>
        <w:t xml:space="preserve"> compared</w:t>
      </w:r>
      <w:r w:rsidRPr="009B57EA">
        <w:rPr>
          <w:rFonts w:eastAsia="TimesNewRoman" w:cstheme="minorHAnsi"/>
        </w:rPr>
        <w:t xml:space="preserve"> the </w:t>
      </w:r>
      <w:r>
        <w:rPr>
          <w:rFonts w:eastAsia="TimesNewRoman" w:cstheme="minorHAnsi"/>
        </w:rPr>
        <w:t xml:space="preserve">PKs following </w:t>
      </w:r>
      <w:r w:rsidRPr="009B57EA">
        <w:rPr>
          <w:rFonts w:eastAsia="TimesNewRoman" w:cstheme="minorHAnsi"/>
        </w:rPr>
        <w:t xml:space="preserve">a single oral dose of ertugliflozin 15 mg </w:t>
      </w:r>
      <w:r>
        <w:rPr>
          <w:rFonts w:eastAsia="TimesNewRoman" w:cstheme="minorHAnsi"/>
        </w:rPr>
        <w:t xml:space="preserve">in healthy subjects and in subjects with </w:t>
      </w:r>
      <w:r w:rsidRPr="009B57EA">
        <w:rPr>
          <w:rFonts w:eastAsia="TimesNewRoman" w:cstheme="minorHAnsi"/>
        </w:rPr>
        <w:t>moderate hepatic impairment</w:t>
      </w:r>
      <w:r>
        <w:rPr>
          <w:rFonts w:eastAsia="TimesNewRoman" w:cstheme="minorHAnsi"/>
        </w:rPr>
        <w:t xml:space="preserve"> under fasted conditions</w:t>
      </w:r>
      <w:r w:rsidRPr="009B57EA">
        <w:rPr>
          <w:rFonts w:eastAsia="TimesNewRoman" w:cstheme="minorHAnsi"/>
        </w:rPr>
        <w:t>.</w:t>
      </w:r>
      <w:r>
        <w:rPr>
          <w:rFonts w:eastAsia="TimesNewRoman" w:cstheme="minorHAnsi"/>
        </w:rPr>
        <w:t xml:space="preserve"> Under these conditions the </w:t>
      </w:r>
      <w:r>
        <w:rPr>
          <w:rFonts w:eastAsia="TimesNewRoman" w:cstheme="minorHAnsi"/>
          <w:color w:val="000000"/>
        </w:rPr>
        <w:t>GMRs</w:t>
      </w:r>
      <w:r w:rsidRPr="009B57EA">
        <w:rPr>
          <w:rFonts w:eastAsia="TimesNewRoman" w:cstheme="minorHAnsi"/>
          <w:color w:val="000000"/>
        </w:rPr>
        <w:t xml:space="preserve"> (90% CI) for AUC</w:t>
      </w:r>
      <w:r w:rsidRPr="00127B63">
        <w:rPr>
          <w:rFonts w:eastAsia="TimesNewRoman" w:cstheme="minorHAnsi"/>
          <w:color w:val="000000"/>
          <w:vertAlign w:val="subscript"/>
        </w:rPr>
        <w:t>inf</w:t>
      </w:r>
      <w:r w:rsidRPr="009B57EA">
        <w:rPr>
          <w:rFonts w:eastAsia="TimesNewRoman" w:cstheme="minorHAnsi"/>
          <w:color w:val="000000"/>
        </w:rPr>
        <w:t xml:space="preserve">,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color w:val="000000"/>
        </w:rPr>
        <w:t>, and AUC</w:t>
      </w:r>
      <w:r w:rsidRPr="00127B63">
        <w:rPr>
          <w:rFonts w:eastAsia="TimesNewRoman" w:cstheme="minorHAnsi"/>
          <w:color w:val="000000"/>
          <w:vertAlign w:val="subscript"/>
        </w:rPr>
        <w:t>last</w:t>
      </w:r>
      <w:r w:rsidRPr="009B57EA">
        <w:rPr>
          <w:rFonts w:eastAsia="TimesNewRoman" w:cstheme="minorHAnsi"/>
          <w:color w:val="000000"/>
        </w:rPr>
        <w:t xml:space="preserve"> in </w:t>
      </w:r>
      <w:r>
        <w:rPr>
          <w:rFonts w:eastAsia="TimesNewRoman" w:cstheme="minorHAnsi"/>
          <w:color w:val="000000"/>
        </w:rPr>
        <w:t xml:space="preserve">subjects with </w:t>
      </w:r>
      <w:r w:rsidRPr="009B57EA">
        <w:rPr>
          <w:rFonts w:eastAsia="TimesNewRoman" w:cstheme="minorHAnsi"/>
          <w:color w:val="000000"/>
        </w:rPr>
        <w:t>moderate hepatic impairment</w:t>
      </w:r>
      <w:r>
        <w:rPr>
          <w:rFonts w:eastAsia="TimesNewRoman" w:cstheme="minorHAnsi"/>
          <w:color w:val="000000"/>
        </w:rPr>
        <w:t xml:space="preserve"> </w:t>
      </w:r>
      <w:r w:rsidRPr="009B57EA">
        <w:rPr>
          <w:rFonts w:eastAsia="TimesNewRoman" w:cstheme="minorHAnsi"/>
          <w:color w:val="000000"/>
        </w:rPr>
        <w:t xml:space="preserve">compared to </w:t>
      </w:r>
      <w:r>
        <w:rPr>
          <w:rFonts w:eastAsia="TimesNewRoman" w:cstheme="minorHAnsi"/>
          <w:color w:val="000000"/>
        </w:rPr>
        <w:t xml:space="preserve">subjects with </w:t>
      </w:r>
      <w:r w:rsidRPr="009B57EA">
        <w:rPr>
          <w:rFonts w:eastAsia="TimesNewRoman" w:cstheme="minorHAnsi"/>
          <w:color w:val="000000"/>
        </w:rPr>
        <w:t xml:space="preserve">normal hepatic function were 87.43% (68.11%, </w:t>
      </w:r>
      <w:r w:rsidRPr="009B57EA">
        <w:rPr>
          <w:rFonts w:eastAsia="TimesNewRoman" w:cstheme="minorHAnsi"/>
          <w:color w:val="000000"/>
        </w:rPr>
        <w:lastRenderedPageBreak/>
        <w:t>112.22%), 78.70% (65.74%, 94.23%) and 87.31 (68.01%, 112.08%), respectively.</w:t>
      </w:r>
      <w:r>
        <w:rPr>
          <w:rFonts w:eastAsia="TimesNewRoman" w:cstheme="minorHAnsi"/>
          <w:color w:val="000000"/>
        </w:rPr>
        <w:t xml:space="preserve"> Ertugliflozin </w:t>
      </w:r>
      <w:r w:rsidR="006F000B">
        <w:rPr>
          <w:rFonts w:eastAsia="TimesNewRoman" w:cstheme="minorHAnsi"/>
        </w:rPr>
        <w:t>T</w:t>
      </w:r>
      <w:r w:rsidR="006F000B" w:rsidRPr="006F000B">
        <w:rPr>
          <w:rFonts w:eastAsia="TimesNewRoman" w:cstheme="minorHAnsi"/>
          <w:vertAlign w:val="subscript"/>
        </w:rPr>
        <w:t>max</w:t>
      </w:r>
      <w:r>
        <w:rPr>
          <w:rFonts w:eastAsia="TimesNewRoman" w:cstheme="minorHAnsi"/>
          <w:color w:val="000000"/>
        </w:rPr>
        <w:t xml:space="preserve"> </w:t>
      </w:r>
      <w:r w:rsidRPr="009B57EA">
        <w:rPr>
          <w:rFonts w:eastAsia="TimesNewRoman" w:cstheme="minorHAnsi"/>
          <w:color w:val="000000"/>
        </w:rPr>
        <w:t>range</w:t>
      </w:r>
      <w:r>
        <w:rPr>
          <w:rFonts w:eastAsia="TimesNewRoman" w:cstheme="minorHAnsi"/>
          <w:color w:val="000000"/>
        </w:rPr>
        <w:t xml:space="preserve">d from </w:t>
      </w:r>
      <w:r w:rsidRPr="009B57EA">
        <w:rPr>
          <w:rFonts w:eastAsia="TimesNewRoman" w:cstheme="minorHAnsi"/>
          <w:color w:val="000000"/>
        </w:rPr>
        <w:t xml:space="preserve">1.00-1.25 </w:t>
      </w:r>
      <w:r>
        <w:rPr>
          <w:rFonts w:eastAsia="TimesNewRoman" w:cstheme="minorHAnsi"/>
          <w:color w:val="000000"/>
        </w:rPr>
        <w:t>h</w:t>
      </w:r>
      <w:r w:rsidRPr="009B57EA">
        <w:rPr>
          <w:rFonts w:eastAsia="TimesNewRoman" w:cstheme="minorHAnsi"/>
          <w:color w:val="000000"/>
        </w:rPr>
        <w:t xml:space="preserve"> for </w:t>
      </w:r>
      <w:r>
        <w:rPr>
          <w:rFonts w:eastAsia="TimesNewRoman" w:cstheme="minorHAnsi"/>
          <w:color w:val="000000"/>
        </w:rPr>
        <w:t xml:space="preserve">subjects with </w:t>
      </w:r>
      <w:r w:rsidRPr="009B57EA">
        <w:rPr>
          <w:rFonts w:eastAsia="TimesNewRoman" w:cstheme="minorHAnsi"/>
          <w:color w:val="000000"/>
        </w:rPr>
        <w:t xml:space="preserve">moderate hepatic impairment and </w:t>
      </w:r>
      <w:r>
        <w:rPr>
          <w:rFonts w:eastAsia="TimesNewRoman" w:cstheme="minorHAnsi"/>
          <w:color w:val="000000"/>
        </w:rPr>
        <w:t>for normal subjects and the estimates of mean t</w:t>
      </w:r>
      <w:r>
        <w:rPr>
          <w:rFonts w:eastAsia="TimesNewRoman" w:cstheme="minorHAnsi"/>
          <w:color w:val="000000"/>
          <w:vertAlign w:val="subscript"/>
        </w:rPr>
        <w:t>1/2</w:t>
      </w:r>
      <w:r>
        <w:rPr>
          <w:rFonts w:eastAsia="TimesNewRoman" w:cstheme="minorHAnsi"/>
          <w:color w:val="000000"/>
        </w:rPr>
        <w:t xml:space="preserve"> were similar </w:t>
      </w:r>
      <w:r w:rsidRPr="009B57EA">
        <w:rPr>
          <w:rFonts w:eastAsia="TimesNewRoman" w:cstheme="minorHAnsi"/>
          <w:color w:val="000000"/>
        </w:rPr>
        <w:t>(14.6</w:t>
      </w:r>
      <w:r w:rsidR="00CA2F4B">
        <w:rPr>
          <w:rFonts w:eastAsia="TimesNewRoman" w:cstheme="minorHAnsi"/>
          <w:color w:val="000000"/>
        </w:rPr>
        <w:t xml:space="preserve"> versus</w:t>
      </w:r>
      <w:r w:rsidRPr="009B57EA">
        <w:rPr>
          <w:rFonts w:eastAsia="TimesNewRoman" w:cstheme="minorHAnsi"/>
          <w:color w:val="000000"/>
        </w:rPr>
        <w:t xml:space="preserve"> 13.8 </w:t>
      </w:r>
      <w:r>
        <w:rPr>
          <w:rFonts w:eastAsia="TimesNewRoman" w:cstheme="minorHAnsi"/>
          <w:color w:val="000000"/>
        </w:rPr>
        <w:t>h</w:t>
      </w:r>
      <w:r w:rsidRPr="009B57EA">
        <w:rPr>
          <w:rFonts w:eastAsia="TimesNewRoman" w:cstheme="minorHAnsi"/>
          <w:color w:val="000000"/>
        </w:rPr>
        <w:t>)</w:t>
      </w:r>
      <w:r>
        <w:rPr>
          <w:rFonts w:eastAsia="TimesNewRoman" w:cstheme="minorHAnsi"/>
          <w:color w:val="000000"/>
        </w:rPr>
        <w:t xml:space="preserve"> </w:t>
      </w:r>
      <w:r w:rsidRPr="009B57EA">
        <w:rPr>
          <w:rFonts w:eastAsia="TimesNewRoman" w:cstheme="minorHAnsi"/>
          <w:color w:val="000000"/>
        </w:rPr>
        <w:t>(</w:t>
      </w:r>
      <w:r w:rsidR="006E7AB6">
        <w:rPr>
          <w:rFonts w:eastAsia="TimesNewRoman" w:cstheme="minorHAnsi"/>
          <w:color w:val="000000"/>
        </w:rPr>
        <w:t>Table 6</w:t>
      </w:r>
      <w:r w:rsidRPr="009B57EA">
        <w:rPr>
          <w:rFonts w:eastAsia="TimesNewRoman" w:cstheme="minorHAnsi"/>
          <w:color w:val="000000"/>
        </w:rPr>
        <w:t>).</w:t>
      </w:r>
      <w:r>
        <w:rPr>
          <w:rFonts w:eastAsia="TimesNewRoman" w:cstheme="minorHAnsi"/>
          <w:color w:val="000000"/>
        </w:rPr>
        <w:t xml:space="preserve"> I</w:t>
      </w:r>
      <w:r w:rsidRPr="009B57EA">
        <w:rPr>
          <w:rFonts w:eastAsia="TimesNewRoman" w:cstheme="minorHAnsi"/>
          <w:color w:val="000000"/>
        </w:rPr>
        <w:t xml:space="preserve">nter-subject variability was </w:t>
      </w:r>
      <w:r>
        <w:rPr>
          <w:rFonts w:eastAsia="TimesNewRoman" w:cstheme="minorHAnsi"/>
          <w:color w:val="000000"/>
        </w:rPr>
        <w:t xml:space="preserve">greater in subjects with </w:t>
      </w:r>
      <w:r w:rsidRPr="009B57EA">
        <w:rPr>
          <w:rFonts w:eastAsia="TimesNewRoman" w:cstheme="minorHAnsi"/>
          <w:color w:val="000000"/>
        </w:rPr>
        <w:t xml:space="preserve">moderate hepatic impairment </w:t>
      </w:r>
      <w:r>
        <w:rPr>
          <w:rFonts w:eastAsia="TimesNewRoman" w:cstheme="minorHAnsi"/>
          <w:color w:val="000000"/>
        </w:rPr>
        <w:t xml:space="preserve">as the %CV for AUC and </w:t>
      </w:r>
      <w:r w:rsidR="006F000B">
        <w:rPr>
          <w:rFonts w:eastAsia="TimesNewRoman" w:cstheme="minorHAnsi"/>
        </w:rPr>
        <w:t>T</w:t>
      </w:r>
      <w:r w:rsidR="006F000B" w:rsidRPr="006F000B">
        <w:rPr>
          <w:rFonts w:eastAsia="TimesNewRoman" w:cstheme="minorHAnsi"/>
          <w:vertAlign w:val="subscript"/>
        </w:rPr>
        <w:t>max</w:t>
      </w:r>
      <w:r>
        <w:rPr>
          <w:rFonts w:eastAsia="TimesNewRoman" w:cstheme="minorHAnsi"/>
          <w:color w:val="000000"/>
        </w:rPr>
        <w:t xml:space="preserve"> were 39% and 27%, respectively, compared to 14% and 11%, respectively for normal subjects. In addition, the levels of ertugliflozin unbound in plasma were similar in both groups of subjects (</w:t>
      </w:r>
      <w:r w:rsidR="006F000B">
        <w:rPr>
          <w:rFonts w:eastAsia="TimesNewRoman" w:cstheme="minorHAnsi"/>
          <w:color w:val="000000"/>
        </w:rPr>
        <w:t>that is,</w:t>
      </w:r>
      <w:r>
        <w:rPr>
          <w:rFonts w:eastAsia="TimesNewRoman" w:cstheme="minorHAnsi"/>
          <w:color w:val="000000"/>
        </w:rPr>
        <w:t xml:space="preserve"> 3</w:t>
      </w:r>
      <w:r w:rsidR="00803C18">
        <w:rPr>
          <w:rFonts w:asciiTheme="minorHAnsi" w:eastAsiaTheme="minorHAnsi" w:hAnsiTheme="minorHAnsi"/>
        </w:rPr>
        <w:t xml:space="preserve"> to</w:t>
      </w:r>
      <w:r w:rsidR="0010567B" w:rsidRPr="002B464E">
        <w:rPr>
          <w:rFonts w:asciiTheme="minorHAnsi" w:eastAsiaTheme="minorHAnsi" w:hAnsiTheme="minorHAnsi"/>
        </w:rPr>
        <w:t xml:space="preserve"> </w:t>
      </w:r>
      <w:r>
        <w:rPr>
          <w:rFonts w:eastAsia="TimesNewRoman" w:cstheme="minorHAnsi"/>
          <w:color w:val="000000"/>
        </w:rPr>
        <w:t xml:space="preserve">4%) and the </w:t>
      </w:r>
      <w:r w:rsidRPr="00FE4C12">
        <w:rPr>
          <w:rFonts w:eastAsia="TimesNewRoman" w:cstheme="minorHAnsi"/>
        </w:rPr>
        <w:t>CL/F for unbound ertugliflozin was 4702 and 4512 mL/min for subjects with moderate hepatic impairment and subjects with normal hepatic function, respectively.</w:t>
      </w:r>
      <w:r>
        <w:rPr>
          <w:rFonts w:eastAsia="TimesNewRoman" w:cstheme="minorHAnsi"/>
        </w:rPr>
        <w:t xml:space="preserve"> Although there was little change in ertugliflozin exposure between the two groups, </w:t>
      </w:r>
      <w:r w:rsidRPr="005E54ED">
        <w:rPr>
          <w:rFonts w:eastAsia="TimesNewRoman" w:cstheme="minorHAnsi"/>
        </w:rPr>
        <w:t>plasma levels of the M5c metabolite were approximately 1.46-fold higher (based on AUC</w:t>
      </w:r>
      <w:r w:rsidRPr="005E54ED">
        <w:rPr>
          <w:rFonts w:eastAsia="TimesNewRoman" w:cstheme="minorHAnsi"/>
          <w:vertAlign w:val="subscript"/>
        </w:rPr>
        <w:t>inf</w:t>
      </w:r>
      <w:r w:rsidRPr="005E54ED">
        <w:rPr>
          <w:rFonts w:eastAsia="TimesNewRoman" w:cstheme="minorHAnsi"/>
        </w:rPr>
        <w:t xml:space="preserve">; </w:t>
      </w:r>
      <w:r w:rsidR="005E54ED" w:rsidRPr="005E54ED">
        <w:rPr>
          <w:rFonts w:eastAsia="TimesNewRoman" w:cstheme="minorHAnsi"/>
        </w:rPr>
        <w:t>Table 7)</w:t>
      </w:r>
      <w:r w:rsidRPr="005E54ED">
        <w:rPr>
          <w:rFonts w:eastAsia="TimesNewRoman" w:cstheme="minorHAnsi"/>
        </w:rPr>
        <w:t>, whereas, plasma levels of the M5a metabolite were approximately 1.36-fold lower (</w:t>
      </w:r>
      <w:r w:rsidR="005E54ED" w:rsidRPr="005E54ED">
        <w:rPr>
          <w:rFonts w:eastAsia="TimesNewRoman" w:cstheme="minorHAnsi"/>
        </w:rPr>
        <w:t>Table 8</w:t>
      </w:r>
      <w:r w:rsidRPr="005E54ED">
        <w:rPr>
          <w:rFonts w:eastAsia="TimesNewRoman" w:cstheme="minorHAnsi"/>
        </w:rPr>
        <w:t>). Plasma protein binding was unaffected in patients with moderate hepatic impairment.</w:t>
      </w:r>
    </w:p>
    <w:p w:rsidR="00307775" w:rsidRPr="00250D80" w:rsidRDefault="006E7AB6" w:rsidP="006E7AB6">
      <w:pPr>
        <w:pStyle w:val="Tabletitle"/>
        <w:rPr>
          <w:rFonts w:eastAsia="TimesNewRoman"/>
          <w:color w:val="000000"/>
        </w:rPr>
      </w:pPr>
      <w:bookmarkStart w:id="122" w:name="_Ref492027144"/>
      <w:bookmarkStart w:id="123" w:name="_Ref492027687"/>
      <w:bookmarkStart w:id="124" w:name="_Toc504038294"/>
      <w:r>
        <w:t xml:space="preserve">Table 6: </w:t>
      </w:r>
      <w:r w:rsidR="00307775" w:rsidRPr="00250D80">
        <w:t xml:space="preserve">Study </w:t>
      </w:r>
      <w:r w:rsidR="00307775" w:rsidRPr="00250D80">
        <w:rPr>
          <w:color w:val="000000"/>
        </w:rPr>
        <w:t>P014/1024</w:t>
      </w:r>
      <w:r w:rsidR="00803C18">
        <w:rPr>
          <w:color w:val="000000"/>
        </w:rPr>
        <w:t>;</w:t>
      </w:r>
      <w:r w:rsidR="00307775" w:rsidRPr="00250D80">
        <w:rPr>
          <w:color w:val="000000"/>
        </w:rPr>
        <w:t xml:space="preserve"> </w:t>
      </w:r>
      <w:r w:rsidR="00307775" w:rsidRPr="00250D80">
        <w:t xml:space="preserve">Summary </w:t>
      </w:r>
      <w:r w:rsidR="00803C18" w:rsidRPr="00250D80">
        <w:t>of plasma and urine ertugliflozin pharmacokinetic parameter values following single oral doses of er</w:t>
      </w:r>
      <w:r w:rsidR="00307775" w:rsidRPr="00250D80">
        <w:t>tugliflozin 15 mg</w:t>
      </w:r>
      <w:bookmarkEnd w:id="122"/>
      <w:bookmarkEnd w:id="123"/>
      <w:bookmarkEnd w:id="124"/>
    </w:p>
    <w:p w:rsidR="00307775" w:rsidRDefault="00307775" w:rsidP="000C6FC8">
      <w:r w:rsidRPr="00250D80">
        <w:rPr>
          <w:noProof/>
          <w:lang w:eastAsia="en-AU"/>
        </w:rPr>
        <w:drawing>
          <wp:inline distT="0" distB="0" distL="0" distR="0" wp14:anchorId="1C70DDAD" wp14:editId="30F4ED0D">
            <wp:extent cx="4565176" cy="2271449"/>
            <wp:effectExtent l="0" t="0" r="6985" b="0"/>
            <wp:docPr id="42" name="Picture 42" descr="Study P014/1024 Summary of Plasma and Urine Ertugliflozin Pharmacokinetic Parameter Values Following Single Oral Doses of Ertugliflozin 15 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7323" cy="2272517"/>
                    </a:xfrm>
                    <a:prstGeom prst="rect">
                      <a:avLst/>
                    </a:prstGeom>
                    <a:noFill/>
                    <a:ln>
                      <a:noFill/>
                    </a:ln>
                  </pic:spPr>
                </pic:pic>
              </a:graphicData>
            </a:graphic>
          </wp:inline>
        </w:drawing>
      </w:r>
    </w:p>
    <w:p w:rsidR="00307775" w:rsidRDefault="00307775" w:rsidP="005E54ED">
      <w:pPr>
        <w:pStyle w:val="Tabletitle"/>
        <w:rPr>
          <w:rFonts w:eastAsia="TimesNewRoman" w:cstheme="minorHAnsi"/>
        </w:rPr>
      </w:pPr>
      <w:bookmarkStart w:id="125" w:name="_Ref492030464"/>
      <w:bookmarkStart w:id="126" w:name="_Toc504038298"/>
      <w:r w:rsidRPr="00FE4C12">
        <w:rPr>
          <w:rFonts w:cstheme="minorHAnsi"/>
        </w:rPr>
        <w:t xml:space="preserve">Table </w:t>
      </w:r>
      <w:r w:rsidR="005E54ED">
        <w:rPr>
          <w:rFonts w:cstheme="minorHAnsi"/>
        </w:rPr>
        <w:t>7</w:t>
      </w:r>
      <w:r>
        <w:rPr>
          <w:rFonts w:cstheme="minorHAnsi"/>
        </w:rPr>
        <w:t>:</w:t>
      </w:r>
      <w:r w:rsidR="005E54ED">
        <w:rPr>
          <w:rFonts w:cstheme="minorHAnsi"/>
        </w:rPr>
        <w:t xml:space="preserve"> </w:t>
      </w:r>
      <w:r w:rsidRPr="00FE4C12">
        <w:rPr>
          <w:rFonts w:cstheme="minorHAnsi"/>
        </w:rPr>
        <w:t xml:space="preserve">Study </w:t>
      </w:r>
      <w:r w:rsidRPr="00FE4C12">
        <w:rPr>
          <w:rFonts w:cstheme="minorHAnsi"/>
          <w:color w:val="000000"/>
        </w:rPr>
        <w:t>P014/1024</w:t>
      </w:r>
      <w:r w:rsidR="00803C18">
        <w:rPr>
          <w:rFonts w:cstheme="minorHAnsi"/>
          <w:color w:val="000000"/>
        </w:rPr>
        <w:t>;</w:t>
      </w:r>
      <w:r>
        <w:rPr>
          <w:rFonts w:cstheme="minorHAnsi"/>
          <w:color w:val="000000"/>
        </w:rPr>
        <w:t xml:space="preserve"> </w:t>
      </w:r>
      <w:r w:rsidR="007C10EB">
        <w:t xml:space="preserve">Summary </w:t>
      </w:r>
      <w:r w:rsidR="00803C18">
        <w:t>of plasma and urin</w:t>
      </w:r>
      <w:r>
        <w:t xml:space="preserve">e PF-06481944 </w:t>
      </w:r>
      <w:r w:rsidR="00803C18">
        <w:t>pharmacokinetic parameter values following single oral doses of ertugliflozi</w:t>
      </w:r>
      <w:r>
        <w:t>n 15 mg</w:t>
      </w:r>
      <w:bookmarkEnd w:id="125"/>
      <w:bookmarkEnd w:id="126"/>
    </w:p>
    <w:p w:rsidR="00307775" w:rsidRDefault="00307775" w:rsidP="000C6FC8">
      <w:r w:rsidRPr="00184831">
        <w:rPr>
          <w:noProof/>
          <w:lang w:eastAsia="en-AU"/>
        </w:rPr>
        <w:drawing>
          <wp:inline distT="0" distB="0" distL="0" distR="0" wp14:anchorId="689C1F1E" wp14:editId="4862A148">
            <wp:extent cx="5588758" cy="2771141"/>
            <wp:effectExtent l="0" t="0" r="0" b="0"/>
            <wp:docPr id="648" name="Picture 648" descr="Study P014/1024 Summary of Plasma and Urine PF-06481944 Pharmacokinetic Parameter Values Following Single Oral Doses of Ertugliflozin 15 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89972" cy="2771743"/>
                    </a:xfrm>
                    <a:prstGeom prst="rect">
                      <a:avLst/>
                    </a:prstGeom>
                    <a:noFill/>
                    <a:ln>
                      <a:noFill/>
                    </a:ln>
                  </pic:spPr>
                </pic:pic>
              </a:graphicData>
            </a:graphic>
          </wp:inline>
        </w:drawing>
      </w:r>
    </w:p>
    <w:p w:rsidR="00307775" w:rsidRDefault="00307775" w:rsidP="005E54ED">
      <w:pPr>
        <w:pStyle w:val="Tabletitle"/>
        <w:rPr>
          <w:rFonts w:cstheme="minorHAnsi"/>
          <w:color w:val="000000"/>
        </w:rPr>
      </w:pPr>
      <w:bookmarkStart w:id="127" w:name="_Ref492030465"/>
      <w:bookmarkStart w:id="128" w:name="_Toc504038299"/>
      <w:r w:rsidRPr="00FE4C12">
        <w:rPr>
          <w:rFonts w:cstheme="minorHAnsi"/>
        </w:rPr>
        <w:lastRenderedPageBreak/>
        <w:t xml:space="preserve">Table </w:t>
      </w:r>
      <w:r w:rsidR="005E54ED">
        <w:rPr>
          <w:rFonts w:cstheme="minorHAnsi"/>
        </w:rPr>
        <w:t xml:space="preserve">8: </w:t>
      </w:r>
      <w:r w:rsidRPr="00FE4C12">
        <w:rPr>
          <w:rFonts w:cstheme="minorHAnsi"/>
        </w:rPr>
        <w:t xml:space="preserve">Study </w:t>
      </w:r>
      <w:r w:rsidRPr="00FE4C12">
        <w:rPr>
          <w:rFonts w:cstheme="minorHAnsi"/>
          <w:color w:val="000000"/>
        </w:rPr>
        <w:t>P014/1024</w:t>
      </w:r>
      <w:r w:rsidR="00803C18">
        <w:rPr>
          <w:rFonts w:cstheme="minorHAnsi"/>
          <w:color w:val="000000"/>
        </w:rPr>
        <w:t>;</w:t>
      </w:r>
      <w:r>
        <w:rPr>
          <w:rFonts w:cstheme="minorHAnsi"/>
          <w:color w:val="000000"/>
        </w:rPr>
        <w:t xml:space="preserve"> </w:t>
      </w:r>
      <w:r w:rsidR="007C10EB">
        <w:t xml:space="preserve">Summary </w:t>
      </w:r>
      <w:r w:rsidR="00803C18">
        <w:t xml:space="preserve">of plasma and urine </w:t>
      </w:r>
      <w:r>
        <w:t xml:space="preserve">PF-06685948 </w:t>
      </w:r>
      <w:r w:rsidR="00803C18">
        <w:t>pharmacokinetic parameter values following single oral doses of ertugliflo</w:t>
      </w:r>
      <w:r>
        <w:t>zin 15 mg</w:t>
      </w:r>
      <w:bookmarkEnd w:id="127"/>
      <w:bookmarkEnd w:id="128"/>
    </w:p>
    <w:p w:rsidR="00307775" w:rsidRPr="00FE4C12" w:rsidRDefault="00307775" w:rsidP="00307775">
      <w:pPr>
        <w:autoSpaceDE w:val="0"/>
        <w:autoSpaceDN w:val="0"/>
        <w:adjustRightInd w:val="0"/>
        <w:rPr>
          <w:rFonts w:cstheme="minorHAnsi"/>
        </w:rPr>
      </w:pPr>
      <w:r w:rsidRPr="00184831">
        <w:rPr>
          <w:rFonts w:cstheme="minorHAnsi"/>
          <w:noProof/>
          <w:lang w:eastAsia="en-AU"/>
        </w:rPr>
        <w:drawing>
          <wp:inline distT="0" distB="0" distL="0" distR="0" wp14:anchorId="22A1744F" wp14:editId="26F7C8ED">
            <wp:extent cx="4988257" cy="2449636"/>
            <wp:effectExtent l="0" t="0" r="3175" b="8255"/>
            <wp:docPr id="649" name="Picture 649" descr="Study P014/1024 Summary of Plasma and Urine PF-06685948 Pharmacokinetic Parameter Values Following Single Oral Doses of Ertugliflozin 15 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89600" cy="2450296"/>
                    </a:xfrm>
                    <a:prstGeom prst="rect">
                      <a:avLst/>
                    </a:prstGeom>
                    <a:noFill/>
                    <a:ln>
                      <a:noFill/>
                    </a:ln>
                  </pic:spPr>
                </pic:pic>
              </a:graphicData>
            </a:graphic>
          </wp:inline>
        </w:drawing>
      </w:r>
    </w:p>
    <w:p w:rsidR="002E5CF1" w:rsidRPr="00CC02B7" w:rsidRDefault="002E5CF1" w:rsidP="00CA2F4B">
      <w:pPr>
        <w:pStyle w:val="Comment"/>
        <w:rPr>
          <w:lang w:eastAsia="en-AU"/>
        </w:rPr>
      </w:pPr>
      <w:r w:rsidRPr="00CA2F4B">
        <w:rPr>
          <w:rFonts w:eastAsia="TimesNewRoman"/>
          <w:b/>
          <w:color w:val="000000"/>
        </w:rPr>
        <w:t>Comment</w:t>
      </w:r>
      <w:r w:rsidR="00803C18">
        <w:rPr>
          <w:rFonts w:eastAsia="TimesNewRoman"/>
          <w:color w:val="000000"/>
        </w:rPr>
        <w:t xml:space="preserve">: </w:t>
      </w:r>
      <w:r w:rsidRPr="00CC02B7">
        <w:rPr>
          <w:lang w:eastAsia="en-AU"/>
        </w:rPr>
        <w:t xml:space="preserve">The small decreases in ertugliflozin exposure associated with moderate hepatic impairment are unlikely to be clinically relevant. </w:t>
      </w:r>
      <w:r>
        <w:rPr>
          <w:lang w:eastAsia="en-AU"/>
        </w:rPr>
        <w:t>H</w:t>
      </w:r>
      <w:r w:rsidRPr="00CC02B7">
        <w:rPr>
          <w:lang w:eastAsia="en-AU"/>
        </w:rPr>
        <w:t>owever, the PKs of ertugliflozin were not evaluated in patients with severe hepatic impairment.</w:t>
      </w:r>
    </w:p>
    <w:p w:rsidR="002E5CF1" w:rsidRPr="005B0142" w:rsidRDefault="002E5CF1" w:rsidP="00606E10">
      <w:pPr>
        <w:pStyle w:val="Heading4"/>
        <w:numPr>
          <w:ilvl w:val="3"/>
          <w:numId w:val="8"/>
        </w:numPr>
      </w:pPr>
      <w:r w:rsidRPr="005B0142">
        <w:t>Pharmacokinetics in subjects with impaired renal function</w:t>
      </w:r>
      <w:bookmarkEnd w:id="119"/>
      <w:bookmarkEnd w:id="120"/>
      <w:bookmarkEnd w:id="121"/>
    </w:p>
    <w:p w:rsidR="002E5CF1" w:rsidRDefault="002E5CF1" w:rsidP="002E5CF1">
      <w:pPr>
        <w:rPr>
          <w:rFonts w:eastAsia="TimesNewRoman" w:cstheme="minorHAnsi"/>
        </w:rPr>
      </w:pPr>
      <w:bookmarkStart w:id="129" w:name="_Toc272414629"/>
      <w:bookmarkStart w:id="130" w:name="_Toc290888478"/>
      <w:bookmarkStart w:id="131" w:name="_Toc416353674"/>
      <w:r w:rsidRPr="00CA2F4B">
        <w:rPr>
          <w:rFonts w:asciiTheme="minorHAnsi" w:hAnsiTheme="minorHAnsi"/>
          <w:lang w:eastAsia="ja-JP"/>
        </w:rPr>
        <w:t xml:space="preserve">Study </w:t>
      </w:r>
      <w:r w:rsidRPr="00CA2F4B">
        <w:rPr>
          <w:rFonts w:asciiTheme="minorHAnsi" w:eastAsia="TimesNewRoman,Bold" w:hAnsiTheme="minorHAnsi" w:cs="TimesNewRoman,Bold"/>
          <w:bCs/>
        </w:rPr>
        <w:t>P009/1023</w:t>
      </w:r>
      <w:r>
        <w:rPr>
          <w:rFonts w:asciiTheme="minorHAnsi" w:eastAsia="TimesNewRoman,Bold" w:hAnsiTheme="minorHAnsi" w:cs="TimesNewRoman,Bold"/>
          <w:bCs/>
        </w:rPr>
        <w:t xml:space="preserve"> compared the effect of renal impairment and T2DM on ertugliflozin PKs following a single dose of 15 mg ertugliflozin in healthy subjects with normal renal function and subjects with T2DM and normal renal function or mild, moderate or severe renal impairment. In subjects with normal renal function, either healthy or with T2DM, the AUC values for ertugliflozin were similar (1189 and 1222 ng.h/mL, respectively, </w:t>
      </w:r>
      <w:r w:rsidR="005E54ED">
        <w:rPr>
          <w:rFonts w:asciiTheme="minorHAnsi" w:eastAsia="TimesNewRoman,Bold" w:hAnsiTheme="minorHAnsi" w:cs="TimesNewRoman,Bold"/>
          <w:bCs/>
        </w:rPr>
        <w:t>Table 9</w:t>
      </w:r>
      <w:r>
        <w:rPr>
          <w:rFonts w:asciiTheme="minorHAnsi" w:eastAsia="TimesNewRoman,Bold" w:hAnsiTheme="minorHAnsi" w:cs="TimesNewRoman,Bold"/>
          <w:bCs/>
        </w:rPr>
        <w:t>), whereas, b</w:t>
      </w:r>
      <w:r w:rsidRPr="009B57EA">
        <w:rPr>
          <w:rFonts w:eastAsia="TimesNewRoman" w:cstheme="minorHAnsi"/>
        </w:rPr>
        <w:t>ased on the log-linear regression analy</w:t>
      </w:r>
      <w:r>
        <w:rPr>
          <w:rFonts w:eastAsia="TimesNewRoman" w:cstheme="minorHAnsi"/>
        </w:rPr>
        <w:t>sis of AUC</w:t>
      </w:r>
      <w:r w:rsidRPr="00127B63">
        <w:rPr>
          <w:rFonts w:eastAsia="TimesNewRoman" w:cstheme="minorHAnsi"/>
          <w:vertAlign w:val="subscript"/>
        </w:rPr>
        <w:t>inf</w:t>
      </w:r>
      <w:r>
        <w:rPr>
          <w:rFonts w:eastAsia="TimesNewRoman" w:cstheme="minorHAnsi"/>
        </w:rPr>
        <w:t xml:space="preserve"> and BSA-un</w:t>
      </w:r>
      <w:r w:rsidR="005E54ED">
        <w:rPr>
          <w:rFonts w:eastAsia="TimesNewRoman" w:cstheme="minorHAnsi"/>
        </w:rPr>
        <w:t>-</w:t>
      </w:r>
      <w:r>
        <w:rPr>
          <w:rFonts w:eastAsia="TimesNewRoman" w:cstheme="minorHAnsi"/>
        </w:rPr>
        <w:t>normalis</w:t>
      </w:r>
      <w:r w:rsidRPr="009B57EA">
        <w:rPr>
          <w:rFonts w:eastAsia="TimesNewRoman" w:cstheme="minorHAnsi"/>
        </w:rPr>
        <w:t>ed eGFR for all subjects, the predicted mean AUC</w:t>
      </w:r>
      <w:r w:rsidRPr="00127B63">
        <w:rPr>
          <w:rFonts w:eastAsia="TimesNewRoman" w:cstheme="minorHAnsi"/>
          <w:vertAlign w:val="subscript"/>
        </w:rPr>
        <w:t>inf</w:t>
      </w:r>
      <w:r w:rsidRPr="009B57EA">
        <w:rPr>
          <w:rFonts w:eastAsia="TimesNewRoman" w:cstheme="minorHAnsi"/>
        </w:rPr>
        <w:t xml:space="preserve"> values for mild (eGFR</w:t>
      </w:r>
      <w:r>
        <w:rPr>
          <w:rFonts w:eastAsia="TimesNewRoman" w:cstheme="minorHAnsi"/>
        </w:rPr>
        <w:t xml:space="preserve"> = </w:t>
      </w:r>
      <w:r w:rsidRPr="009B57EA">
        <w:rPr>
          <w:rFonts w:eastAsia="TimesNewRoman" w:cstheme="minorHAnsi"/>
        </w:rPr>
        <w:t>75 mL/min), moderate (eGFR</w:t>
      </w:r>
      <w:r w:rsidR="00803C18">
        <w:rPr>
          <w:rFonts w:eastAsia="TimesNewRoman" w:cstheme="minorHAnsi"/>
        </w:rPr>
        <w:t xml:space="preserve"> </w:t>
      </w:r>
      <w:r w:rsidRPr="009B57EA">
        <w:rPr>
          <w:rFonts w:eastAsia="TimesNewRoman" w:cstheme="minorHAnsi"/>
        </w:rPr>
        <w:t>=</w:t>
      </w:r>
      <w:r w:rsidR="00803C18">
        <w:rPr>
          <w:rFonts w:eastAsia="TimesNewRoman" w:cstheme="minorHAnsi"/>
        </w:rPr>
        <w:t xml:space="preserve"> </w:t>
      </w:r>
      <w:r w:rsidRPr="009B57EA">
        <w:rPr>
          <w:rFonts w:eastAsia="TimesNewRoman" w:cstheme="minorHAnsi"/>
        </w:rPr>
        <w:t>45 mL/min) and severe (eGFR</w:t>
      </w:r>
      <w:r w:rsidR="00803C18">
        <w:rPr>
          <w:rFonts w:eastAsia="TimesNewRoman" w:cstheme="minorHAnsi"/>
        </w:rPr>
        <w:t xml:space="preserve"> </w:t>
      </w:r>
      <w:r w:rsidRPr="009B57EA">
        <w:rPr>
          <w:rFonts w:eastAsia="TimesNewRoman" w:cstheme="minorHAnsi"/>
        </w:rPr>
        <w:t>=</w:t>
      </w:r>
      <w:r w:rsidR="00803C18">
        <w:rPr>
          <w:rFonts w:eastAsia="TimesNewRoman" w:cstheme="minorHAnsi"/>
        </w:rPr>
        <w:t xml:space="preserve"> </w:t>
      </w:r>
      <w:r w:rsidRPr="009B57EA">
        <w:rPr>
          <w:rFonts w:eastAsia="TimesNewRoman" w:cstheme="minorHAnsi"/>
        </w:rPr>
        <w:t xml:space="preserve">15 mL/min) renal impairment </w:t>
      </w:r>
      <w:r>
        <w:rPr>
          <w:rFonts w:eastAsia="TimesNewRoman" w:cstheme="minorHAnsi"/>
        </w:rPr>
        <w:t xml:space="preserve">in subjects with </w:t>
      </w:r>
      <w:r w:rsidR="00803C18">
        <w:rPr>
          <w:rFonts w:eastAsia="TimesNewRoman" w:cstheme="minorHAnsi"/>
        </w:rPr>
        <w:t>T2DM were 1585 ng.h/mL, 1875 </w:t>
      </w:r>
      <w:r w:rsidRPr="009B57EA">
        <w:rPr>
          <w:rFonts w:eastAsia="TimesNewRoman" w:cstheme="minorHAnsi"/>
        </w:rPr>
        <w:t xml:space="preserve">ng.h/mL and 2219 ng.h/mL, respectively, which are approximately 1.2, 1.4 and 1.7-fold higher </w:t>
      </w:r>
      <w:r>
        <w:rPr>
          <w:rFonts w:eastAsia="TimesNewRoman" w:cstheme="minorHAnsi"/>
        </w:rPr>
        <w:t>than</w:t>
      </w:r>
      <w:r w:rsidRPr="009B57EA">
        <w:rPr>
          <w:rFonts w:eastAsia="TimesNewRoman" w:cstheme="minorHAnsi"/>
        </w:rPr>
        <w:t xml:space="preserve"> AUC</w:t>
      </w:r>
      <w:r w:rsidRPr="00127B63">
        <w:rPr>
          <w:rFonts w:eastAsia="TimesNewRoman" w:cstheme="minorHAnsi"/>
          <w:vertAlign w:val="subscript"/>
        </w:rPr>
        <w:t>inf</w:t>
      </w:r>
      <w:r w:rsidRPr="009B57EA">
        <w:rPr>
          <w:rFonts w:eastAsia="TimesNewRoman" w:cstheme="minorHAnsi"/>
        </w:rPr>
        <w:t xml:space="preserve"> </w:t>
      </w:r>
      <w:r>
        <w:rPr>
          <w:rFonts w:eastAsia="TimesNewRoman" w:cstheme="minorHAnsi"/>
        </w:rPr>
        <w:t xml:space="preserve">values in </w:t>
      </w:r>
      <w:r w:rsidRPr="009B57EA">
        <w:rPr>
          <w:rFonts w:eastAsia="TimesNewRoman" w:cstheme="minorHAnsi"/>
        </w:rPr>
        <w:t xml:space="preserve">subjects with normal renal function (pooled mean 1340 </w:t>
      </w:r>
      <w:proofErr w:type="spellStart"/>
      <w:r w:rsidRPr="009B57EA">
        <w:rPr>
          <w:rFonts w:eastAsia="TimesNewRoman" w:cstheme="minorHAnsi"/>
        </w:rPr>
        <w:t>ng.h</w:t>
      </w:r>
      <w:proofErr w:type="spellEnd"/>
      <w:r w:rsidRPr="009B57EA">
        <w:rPr>
          <w:rFonts w:eastAsia="TimesNewRoman" w:cstheme="minorHAnsi"/>
        </w:rPr>
        <w:t xml:space="preserve">/mL; </w:t>
      </w:r>
      <w:proofErr w:type="spellStart"/>
      <w:r w:rsidRPr="009B57EA">
        <w:rPr>
          <w:rFonts w:eastAsia="TimesNewRoman" w:cstheme="minorHAnsi"/>
        </w:rPr>
        <w:t>eGFR</w:t>
      </w:r>
      <w:proofErr w:type="spellEnd"/>
      <w:r w:rsidR="000C6FC8">
        <w:rPr>
          <w:rFonts w:eastAsia="TimesNewRoman" w:cstheme="minorHAnsi"/>
        </w:rPr>
        <w:t xml:space="preserve"> </w:t>
      </w:r>
      <w:r w:rsidRPr="009B57EA">
        <w:rPr>
          <w:rFonts w:eastAsia="TimesNewRoman" w:cstheme="minorHAnsi"/>
        </w:rPr>
        <w:t>=</w:t>
      </w:r>
      <w:r w:rsidR="000C6FC8">
        <w:rPr>
          <w:rFonts w:eastAsia="TimesNewRoman" w:cstheme="minorHAnsi"/>
        </w:rPr>
        <w:t xml:space="preserve"> </w:t>
      </w:r>
      <w:r w:rsidRPr="009B57EA">
        <w:rPr>
          <w:rFonts w:eastAsia="TimesNewRoman" w:cstheme="minorHAnsi"/>
        </w:rPr>
        <w:t>105 mL/min). Log-linear regression of CL/F versus BSA-unnormalised eGFR showed a corresponding decrease in CL/F with declining renal function</w:t>
      </w:r>
      <w:r>
        <w:rPr>
          <w:rFonts w:eastAsia="TimesNewRoman" w:cstheme="minorHAnsi"/>
        </w:rPr>
        <w:t>. Plasma protein binding was unaffected in patients with renal impairment.</w:t>
      </w:r>
    </w:p>
    <w:p w:rsidR="00307775" w:rsidRPr="00250D80" w:rsidRDefault="005E54ED" w:rsidP="005E54ED">
      <w:pPr>
        <w:pStyle w:val="Tabletitle"/>
        <w:rPr>
          <w:rFonts w:eastAsia="TimesNewRoman"/>
        </w:rPr>
      </w:pPr>
      <w:r>
        <w:lastRenderedPageBreak/>
        <w:t xml:space="preserve">Table 9: </w:t>
      </w:r>
      <w:r w:rsidR="00307775" w:rsidRPr="00250D80">
        <w:t xml:space="preserve">Study </w:t>
      </w:r>
      <w:r w:rsidR="00307775" w:rsidRPr="00250D80">
        <w:rPr>
          <w:color w:val="000000"/>
        </w:rPr>
        <w:t>P009/1023</w:t>
      </w:r>
      <w:r w:rsidR="00803C18">
        <w:rPr>
          <w:color w:val="000000"/>
        </w:rPr>
        <w:t>;</w:t>
      </w:r>
      <w:r w:rsidR="00307775" w:rsidRPr="00250D80">
        <w:rPr>
          <w:color w:val="000000"/>
        </w:rPr>
        <w:t xml:space="preserve"> </w:t>
      </w:r>
      <w:r w:rsidR="007C10EB">
        <w:t>D</w:t>
      </w:r>
      <w:r w:rsidR="007C10EB" w:rsidRPr="00250D80">
        <w:t xml:space="preserve">escriptive </w:t>
      </w:r>
      <w:r w:rsidR="00803C18" w:rsidRPr="00250D80">
        <w:t>summary of ertugliflozin pharmacokinetic parameter value</w:t>
      </w:r>
      <w:r w:rsidR="00307775" w:rsidRPr="00250D80">
        <w:t>s</w:t>
      </w:r>
    </w:p>
    <w:p w:rsidR="00307775" w:rsidRPr="00250D80" w:rsidRDefault="00307775" w:rsidP="000C6FC8">
      <w:r w:rsidRPr="00250D80">
        <w:rPr>
          <w:noProof/>
          <w:lang w:eastAsia="en-AU"/>
        </w:rPr>
        <w:drawing>
          <wp:inline distT="0" distB="0" distL="0" distR="0" wp14:anchorId="5E1CC04E" wp14:editId="100A4622">
            <wp:extent cx="4930444" cy="3233782"/>
            <wp:effectExtent l="0" t="0" r="3810" b="5080"/>
            <wp:docPr id="36" name="Picture 36" descr="Study P009/1023 Descriptive Summary of Ertugliflozin Pharmacokinetic Parameter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39066" cy="3239437"/>
                    </a:xfrm>
                    <a:prstGeom prst="rect">
                      <a:avLst/>
                    </a:prstGeom>
                    <a:noFill/>
                    <a:ln>
                      <a:noFill/>
                    </a:ln>
                  </pic:spPr>
                </pic:pic>
              </a:graphicData>
            </a:graphic>
          </wp:inline>
        </w:drawing>
      </w:r>
    </w:p>
    <w:p w:rsidR="002E5CF1" w:rsidRPr="005B0142" w:rsidRDefault="002E5CF1" w:rsidP="00CA2F4B">
      <w:pPr>
        <w:pStyle w:val="Heading4"/>
      </w:pPr>
      <w:r w:rsidRPr="005B0142">
        <w:t>Pharmacokinetics according to age</w:t>
      </w:r>
      <w:bookmarkEnd w:id="129"/>
      <w:bookmarkEnd w:id="130"/>
      <w:bookmarkEnd w:id="131"/>
    </w:p>
    <w:p w:rsidR="002E5CF1" w:rsidRDefault="002E5CF1" w:rsidP="002E5CF1">
      <w:pPr>
        <w:rPr>
          <w:lang w:eastAsia="ja-JP"/>
        </w:rPr>
      </w:pPr>
      <w:bookmarkStart w:id="132" w:name="_Toc272414630"/>
      <w:bookmarkStart w:id="133" w:name="_Toc290888479"/>
      <w:bookmarkStart w:id="134" w:name="_Toc416353675"/>
      <w:r>
        <w:rPr>
          <w:lang w:eastAsia="ja-JP"/>
        </w:rPr>
        <w:t>Please refer to the section of this report tha</w:t>
      </w:r>
      <w:r w:rsidR="00CA2F4B">
        <w:rPr>
          <w:lang w:eastAsia="ja-JP"/>
        </w:rPr>
        <w:t>t describes the PopPK analysis below.</w:t>
      </w:r>
    </w:p>
    <w:p w:rsidR="002E5CF1" w:rsidRPr="00CA2F4B" w:rsidRDefault="002E5CF1" w:rsidP="00606E10">
      <w:pPr>
        <w:pStyle w:val="Heading4"/>
        <w:numPr>
          <w:ilvl w:val="3"/>
          <w:numId w:val="8"/>
        </w:numPr>
      </w:pPr>
      <w:r w:rsidRPr="005B0142">
        <w:t>Pharmacokinetics related to genetic factors</w:t>
      </w:r>
      <w:bookmarkEnd w:id="132"/>
      <w:bookmarkEnd w:id="133"/>
      <w:bookmarkEnd w:id="134"/>
    </w:p>
    <w:p w:rsidR="002E5CF1" w:rsidRDefault="002E5CF1" w:rsidP="002E5CF1">
      <w:pPr>
        <w:autoSpaceDE w:val="0"/>
        <w:autoSpaceDN w:val="0"/>
        <w:adjustRightInd w:val="0"/>
        <w:rPr>
          <w:rFonts w:eastAsia="TimesNewRoman" w:cstheme="minorHAnsi"/>
        </w:rPr>
      </w:pPr>
      <w:bookmarkStart w:id="135" w:name="_Toc272414631"/>
      <w:bookmarkStart w:id="136" w:name="_Toc290888480"/>
      <w:bookmarkStart w:id="137" w:name="_Toc416353676"/>
      <w:r w:rsidRPr="00CA2F4B">
        <w:rPr>
          <w:rFonts w:cstheme="minorHAnsi"/>
        </w:rPr>
        <w:t>Study P041/1009</w:t>
      </w:r>
      <w:r>
        <w:rPr>
          <w:rFonts w:cstheme="minorHAnsi"/>
        </w:rPr>
        <w:t xml:space="preserve"> compared the PKs following single doses of </w:t>
      </w:r>
      <w:r w:rsidRPr="009B57EA">
        <w:rPr>
          <w:rFonts w:eastAsia="TimesNewRoman" w:cstheme="minorHAnsi"/>
        </w:rPr>
        <w:t>1 mg, 5 mg and 25 mg</w:t>
      </w:r>
      <w:r>
        <w:rPr>
          <w:rFonts w:eastAsia="TimesNewRoman" w:cstheme="minorHAnsi"/>
        </w:rPr>
        <w:t xml:space="preserve"> ertugliflozin in 9 Japanese and 6 Western males and examined ertugliflozin PKs following multiple doses of 25 mg QD in Japanese subjects. </w:t>
      </w:r>
      <w:r w:rsidRPr="009B57EA">
        <w:rPr>
          <w:rFonts w:eastAsia="TimesNewRoman" w:cstheme="minorHAnsi"/>
        </w:rPr>
        <w:t xml:space="preserve">Following a single oral dose of </w:t>
      </w:r>
      <w:r>
        <w:rPr>
          <w:rFonts w:eastAsia="TimesNewRoman" w:cstheme="minorHAnsi"/>
        </w:rPr>
        <w:t>ertugliflozin</w:t>
      </w:r>
      <w:r w:rsidRPr="009B57EA">
        <w:rPr>
          <w:rFonts w:eastAsia="TimesNewRoman" w:cstheme="minorHAnsi"/>
        </w:rPr>
        <w:t xml:space="preserve"> under fasted conditions, absorption of </w:t>
      </w:r>
      <w:r>
        <w:rPr>
          <w:rFonts w:eastAsia="TimesNewRoman" w:cstheme="minorHAnsi"/>
        </w:rPr>
        <w:t>ertugliflozin</w:t>
      </w:r>
      <w:r w:rsidRPr="009B57EA">
        <w:rPr>
          <w:rFonts w:eastAsia="TimesNewRoman" w:cstheme="minorHAnsi"/>
        </w:rPr>
        <w:t xml:space="preserve"> was rapid with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rPr>
        <w:t xml:space="preserve"> </w:t>
      </w:r>
      <w:r>
        <w:rPr>
          <w:rFonts w:eastAsia="TimesNewRoman" w:cstheme="minorHAnsi"/>
        </w:rPr>
        <w:t>occurring between</w:t>
      </w:r>
      <w:r w:rsidRPr="009B57EA">
        <w:rPr>
          <w:rFonts w:eastAsia="TimesNewRoman" w:cstheme="minorHAnsi"/>
        </w:rPr>
        <w:t xml:space="preserve"> 1.0 </w:t>
      </w:r>
      <w:r>
        <w:rPr>
          <w:rFonts w:eastAsia="TimesNewRoman" w:cstheme="minorHAnsi"/>
        </w:rPr>
        <w:t>and</w:t>
      </w:r>
      <w:r w:rsidRPr="009B57EA">
        <w:rPr>
          <w:rFonts w:eastAsia="TimesNewRoman" w:cstheme="minorHAnsi"/>
        </w:rPr>
        <w:t xml:space="preserve"> 1.</w:t>
      </w:r>
      <w:r>
        <w:rPr>
          <w:rFonts w:eastAsia="TimesNewRoman" w:cstheme="minorHAnsi"/>
        </w:rPr>
        <w:t>5</w:t>
      </w:r>
      <w:r w:rsidRPr="009B57EA">
        <w:rPr>
          <w:rFonts w:eastAsia="TimesNewRoman" w:cstheme="minorHAnsi"/>
        </w:rPr>
        <w:t xml:space="preserve"> </w:t>
      </w:r>
      <w:r>
        <w:rPr>
          <w:rFonts w:eastAsia="TimesNewRoman" w:cstheme="minorHAnsi"/>
        </w:rPr>
        <w:t>h</w:t>
      </w:r>
      <w:r w:rsidRPr="009B57EA">
        <w:rPr>
          <w:rFonts w:eastAsia="TimesNewRoman" w:cstheme="minorHAnsi"/>
        </w:rPr>
        <w:t xml:space="preserve"> in both the Japanese and Western subjects (</w:t>
      </w:r>
      <w:r w:rsidR="005E54ED">
        <w:rPr>
          <w:rFonts w:eastAsia="TimesNewRoman" w:cstheme="minorHAnsi"/>
        </w:rPr>
        <w:t>Table 10</w:t>
      </w:r>
      <w:r w:rsidRPr="009B57EA">
        <w:rPr>
          <w:rFonts w:eastAsia="TimesNewRoman" w:cstheme="minorHAnsi"/>
        </w:rPr>
        <w:t xml:space="preserve">). Following attainment of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rPr>
        <w:t xml:space="preserve">, </w:t>
      </w:r>
      <w:r>
        <w:rPr>
          <w:rFonts w:eastAsia="TimesNewRoman" w:cstheme="minorHAnsi"/>
        </w:rPr>
        <w:t>plasma</w:t>
      </w:r>
      <w:r w:rsidRPr="009B57EA">
        <w:rPr>
          <w:rFonts w:eastAsia="TimesNewRoman" w:cstheme="minorHAnsi"/>
        </w:rPr>
        <w:t xml:space="preserve"> concentrations </w:t>
      </w:r>
      <w:r>
        <w:rPr>
          <w:rFonts w:eastAsia="TimesNewRoman" w:cstheme="minorHAnsi"/>
        </w:rPr>
        <w:t xml:space="preserve">of ertugliflozin </w:t>
      </w:r>
      <w:r w:rsidRPr="009B57EA">
        <w:rPr>
          <w:rFonts w:eastAsia="TimesNewRoman" w:cstheme="minorHAnsi"/>
        </w:rPr>
        <w:t>declined in a biphasic manner over time with mean t</w:t>
      </w:r>
      <w:r w:rsidRPr="00127B63">
        <w:rPr>
          <w:rFonts w:eastAsia="TimesNewRoman" w:cstheme="minorHAnsi"/>
          <w:vertAlign w:val="subscript"/>
        </w:rPr>
        <w:t>1/2</w:t>
      </w:r>
      <w:r w:rsidRPr="009B57EA">
        <w:rPr>
          <w:rFonts w:eastAsia="TimesNewRoman" w:cstheme="minorHAnsi"/>
        </w:rPr>
        <w:t xml:space="preserve"> </w:t>
      </w:r>
      <w:r>
        <w:rPr>
          <w:rFonts w:eastAsia="TimesNewRoman" w:cstheme="minorHAnsi"/>
        </w:rPr>
        <w:t>values ranging from</w:t>
      </w:r>
      <w:r w:rsidRPr="009B57EA">
        <w:rPr>
          <w:rFonts w:eastAsia="TimesNewRoman" w:cstheme="minorHAnsi"/>
        </w:rPr>
        <w:t xml:space="preserve"> 12.4 to 13.6 </w:t>
      </w:r>
      <w:r>
        <w:rPr>
          <w:rFonts w:eastAsia="TimesNewRoman" w:cstheme="minorHAnsi"/>
        </w:rPr>
        <w:t>h</w:t>
      </w:r>
      <w:r w:rsidRPr="009B57EA">
        <w:rPr>
          <w:rFonts w:eastAsia="TimesNewRoman" w:cstheme="minorHAnsi"/>
        </w:rPr>
        <w:t xml:space="preserve"> in Japanese and 10.7 </w:t>
      </w:r>
      <w:r>
        <w:rPr>
          <w:rFonts w:eastAsia="TimesNewRoman" w:cstheme="minorHAnsi"/>
        </w:rPr>
        <w:t>h</w:t>
      </w:r>
      <w:r w:rsidRPr="009B57EA">
        <w:rPr>
          <w:rFonts w:eastAsia="TimesNewRoman" w:cstheme="minorHAnsi"/>
        </w:rPr>
        <w:t xml:space="preserve"> in Western subjects, which appeared independent of doses. </w:t>
      </w:r>
      <w:r>
        <w:rPr>
          <w:rFonts w:eastAsia="TimesNewRoman" w:cstheme="minorHAnsi"/>
        </w:rPr>
        <w:t xml:space="preserve">Ertugliflozin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rPr>
        <w:t xml:space="preserve"> and AUC</w:t>
      </w:r>
      <w:r w:rsidRPr="00127B63">
        <w:rPr>
          <w:rFonts w:eastAsia="TimesNewRoman" w:cstheme="minorHAnsi"/>
          <w:vertAlign w:val="subscript"/>
        </w:rPr>
        <w:t>last</w:t>
      </w:r>
      <w:r w:rsidRPr="009B57EA">
        <w:rPr>
          <w:rFonts w:eastAsia="TimesNewRoman" w:cstheme="minorHAnsi"/>
        </w:rPr>
        <w:t xml:space="preserve"> increased dose</w:t>
      </w:r>
      <w:r>
        <w:rPr>
          <w:rFonts w:eastAsia="TimesNewRoman" w:cstheme="minorHAnsi"/>
        </w:rPr>
        <w:t>-</w:t>
      </w:r>
      <w:r w:rsidRPr="009B57EA">
        <w:rPr>
          <w:rFonts w:eastAsia="TimesNewRoman" w:cstheme="minorHAnsi"/>
        </w:rPr>
        <w:t>proportional</w:t>
      </w:r>
      <w:r>
        <w:rPr>
          <w:rFonts w:eastAsia="TimesNewRoman" w:cstheme="minorHAnsi"/>
        </w:rPr>
        <w:t>ly</w:t>
      </w:r>
      <w:r w:rsidRPr="009B57EA">
        <w:rPr>
          <w:rFonts w:eastAsia="TimesNewRoman" w:cstheme="minorHAnsi"/>
        </w:rPr>
        <w:t xml:space="preserve"> in both populations. </w:t>
      </w:r>
      <w:r>
        <w:rPr>
          <w:rFonts w:eastAsia="TimesNewRoman" w:cstheme="minorHAnsi"/>
        </w:rPr>
        <w:t>Overall, the GMRs</w:t>
      </w:r>
      <w:r w:rsidRPr="009B57EA">
        <w:rPr>
          <w:rFonts w:eastAsia="TimesNewRoman" w:cstheme="minorHAnsi"/>
        </w:rPr>
        <w:t xml:space="preserve"> for AUC</w:t>
      </w:r>
      <w:r w:rsidRPr="00127B63">
        <w:rPr>
          <w:rFonts w:eastAsia="TimesNewRoman" w:cstheme="minorHAnsi"/>
          <w:vertAlign w:val="subscript"/>
        </w:rPr>
        <w:t>last</w:t>
      </w:r>
      <w:r w:rsidRPr="009B57EA">
        <w:rPr>
          <w:rFonts w:eastAsia="TimesNewRoman" w:cstheme="minorHAnsi"/>
        </w:rPr>
        <w:t xml:space="preserve"> and AUC</w:t>
      </w:r>
      <w:r w:rsidRPr="00127B63">
        <w:rPr>
          <w:rFonts w:eastAsia="TimesNewRoman" w:cstheme="minorHAnsi"/>
          <w:vertAlign w:val="subscript"/>
        </w:rPr>
        <w:t>inf</w:t>
      </w:r>
      <w:r w:rsidRPr="009B57EA">
        <w:rPr>
          <w:rFonts w:eastAsia="TimesNewRoman" w:cstheme="minorHAnsi"/>
        </w:rPr>
        <w:t xml:space="preserve"> ranged from 90.32% to 99.66% and 91.05% to 98.94%, respectively, suggesting </w:t>
      </w:r>
      <w:r>
        <w:rPr>
          <w:rFonts w:eastAsia="TimesNewRoman" w:cstheme="minorHAnsi"/>
        </w:rPr>
        <w:t xml:space="preserve">that </w:t>
      </w:r>
      <w:r w:rsidRPr="009B57EA">
        <w:rPr>
          <w:rFonts w:eastAsia="TimesNewRoman" w:cstheme="minorHAnsi"/>
        </w:rPr>
        <w:t>AUC</w:t>
      </w:r>
      <w:r w:rsidRPr="00127B63">
        <w:rPr>
          <w:rFonts w:eastAsia="TimesNewRoman" w:cstheme="minorHAnsi"/>
          <w:vertAlign w:val="subscript"/>
        </w:rPr>
        <w:t>last</w:t>
      </w:r>
      <w:r w:rsidRPr="009B57EA">
        <w:rPr>
          <w:rFonts w:eastAsia="TimesNewRoman" w:cstheme="minorHAnsi"/>
        </w:rPr>
        <w:t xml:space="preserve"> and AUC</w:t>
      </w:r>
      <w:r w:rsidRPr="00127B63">
        <w:rPr>
          <w:rFonts w:eastAsia="TimesNewRoman" w:cstheme="minorHAnsi"/>
          <w:vertAlign w:val="subscript"/>
        </w:rPr>
        <w:t>inf</w:t>
      </w:r>
      <w:r w:rsidRPr="009B57EA">
        <w:rPr>
          <w:rFonts w:eastAsia="TimesNewRoman" w:cstheme="minorHAnsi"/>
        </w:rPr>
        <w:t xml:space="preserve"> </w:t>
      </w:r>
      <w:r>
        <w:rPr>
          <w:rFonts w:eastAsia="TimesNewRoman" w:cstheme="minorHAnsi"/>
        </w:rPr>
        <w:t>values we</w:t>
      </w:r>
      <w:r w:rsidRPr="009B57EA">
        <w:rPr>
          <w:rFonts w:eastAsia="TimesNewRoman" w:cstheme="minorHAnsi"/>
        </w:rPr>
        <w:t>re similar between the 2 populations (</w:t>
      </w:r>
      <w:r w:rsidR="005E54ED">
        <w:rPr>
          <w:rFonts w:eastAsia="TimesNewRoman" w:cstheme="minorHAnsi"/>
        </w:rPr>
        <w:t>Table 11</w:t>
      </w:r>
      <w:r w:rsidRPr="009B57EA">
        <w:rPr>
          <w:rFonts w:eastAsia="TimesNewRoman" w:cstheme="minorHAnsi"/>
        </w:rPr>
        <w:t>).</w:t>
      </w:r>
      <w:r>
        <w:rPr>
          <w:rFonts w:eastAsia="TimesNewRoman" w:cstheme="minorHAnsi"/>
        </w:rPr>
        <w:t xml:space="preserve"> </w:t>
      </w:r>
      <w:r w:rsidRPr="009B57EA">
        <w:rPr>
          <w:rFonts w:eastAsia="TimesNewRoman" w:cstheme="minorHAnsi"/>
        </w:rPr>
        <w:t xml:space="preserve">Following multiple oral doses of </w:t>
      </w:r>
      <w:r>
        <w:rPr>
          <w:rFonts w:eastAsia="TimesNewRoman" w:cstheme="minorHAnsi"/>
        </w:rPr>
        <w:t>ertugliflozin</w:t>
      </w:r>
      <w:r w:rsidRPr="009B57EA">
        <w:rPr>
          <w:rFonts w:eastAsia="TimesNewRoman" w:cstheme="minorHAnsi"/>
        </w:rPr>
        <w:t xml:space="preserve">, </w:t>
      </w:r>
      <w:r>
        <w:rPr>
          <w:rFonts w:eastAsia="TimesNewRoman" w:cstheme="minorHAnsi"/>
        </w:rPr>
        <w:t xml:space="preserve">the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rPr>
        <w:t xml:space="preserve"> of </w:t>
      </w:r>
      <w:r>
        <w:rPr>
          <w:rFonts w:eastAsia="TimesNewRoman" w:cstheme="minorHAnsi"/>
        </w:rPr>
        <w:t>ertugliflozin</w:t>
      </w:r>
      <w:r w:rsidRPr="009B57EA">
        <w:rPr>
          <w:rFonts w:eastAsia="TimesNewRoman" w:cstheme="minorHAnsi"/>
        </w:rPr>
        <w:t xml:space="preserve"> </w:t>
      </w:r>
      <w:r>
        <w:rPr>
          <w:rFonts w:eastAsia="TimesNewRoman" w:cstheme="minorHAnsi"/>
        </w:rPr>
        <w:t xml:space="preserve">occurred at approximately </w:t>
      </w:r>
      <w:r w:rsidRPr="009B57EA">
        <w:rPr>
          <w:rFonts w:eastAsia="TimesNewRoman" w:cstheme="minorHAnsi"/>
        </w:rPr>
        <w:t xml:space="preserve">2.50 </w:t>
      </w:r>
      <w:r>
        <w:rPr>
          <w:rFonts w:eastAsia="TimesNewRoman" w:cstheme="minorHAnsi"/>
        </w:rPr>
        <w:t>h</w:t>
      </w:r>
      <w:r w:rsidRPr="009B57EA">
        <w:rPr>
          <w:rFonts w:eastAsia="TimesNewRoman" w:cstheme="minorHAnsi"/>
        </w:rPr>
        <w:t xml:space="preserve"> post-dose on both Day 1 and Day 7 (</w:t>
      </w:r>
      <w:r w:rsidR="005E54ED">
        <w:rPr>
          <w:rFonts w:eastAsia="TimesNewRoman" w:cstheme="minorHAnsi"/>
        </w:rPr>
        <w:t>Table 12</w:t>
      </w:r>
      <w:r w:rsidRPr="009B57EA">
        <w:rPr>
          <w:rFonts w:eastAsia="TimesNewRoman" w:cstheme="minorHAnsi"/>
        </w:rPr>
        <w:t>).</w:t>
      </w:r>
      <w:r>
        <w:rPr>
          <w:rFonts w:eastAsia="TimesNewRoman" w:cstheme="minorHAnsi"/>
        </w:rPr>
        <w:t xml:space="preserve"> The g</w:t>
      </w:r>
      <w:r w:rsidRPr="009B57EA">
        <w:rPr>
          <w:rFonts w:eastAsia="TimesNewRoman" w:cstheme="minorHAnsi"/>
        </w:rPr>
        <w:t>eometric mean observed accumulation ratio was 1.11, suggesting minimal accumulation after multiple dose administration.</w:t>
      </w:r>
    </w:p>
    <w:p w:rsidR="00307775" w:rsidRPr="00250D80" w:rsidRDefault="00307775" w:rsidP="005E54ED">
      <w:pPr>
        <w:pStyle w:val="Tabletitle"/>
      </w:pPr>
      <w:bookmarkStart w:id="138" w:name="_Ref492027188"/>
      <w:bookmarkStart w:id="139" w:name="_Ref492027360"/>
      <w:bookmarkStart w:id="140" w:name="_Toc504038301"/>
      <w:r w:rsidRPr="00250D80">
        <w:lastRenderedPageBreak/>
        <w:t xml:space="preserve">Table </w:t>
      </w:r>
      <w:r w:rsidR="005E54ED">
        <w:t xml:space="preserve">10: </w:t>
      </w:r>
      <w:r w:rsidRPr="00250D80">
        <w:t>Study P041/1009</w:t>
      </w:r>
      <w:r w:rsidR="00803C18">
        <w:t>:</w:t>
      </w:r>
      <w:r w:rsidRPr="00250D80">
        <w:t xml:space="preserve"> Summary of ertugliflozin </w:t>
      </w:r>
      <w:r w:rsidR="00803C18" w:rsidRPr="00250D80">
        <w:t xml:space="preserve">pharmacokinetic parameters </w:t>
      </w:r>
      <w:r w:rsidRPr="00250D80">
        <w:t xml:space="preserve">in Japanese and Western </w:t>
      </w:r>
      <w:r w:rsidR="007C10EB">
        <w:t>h</w:t>
      </w:r>
      <w:r w:rsidR="007C10EB" w:rsidRPr="00250D80">
        <w:t xml:space="preserve">ealthy </w:t>
      </w:r>
      <w:r w:rsidR="007C10EB">
        <w:t>s</w:t>
      </w:r>
      <w:r w:rsidR="007C10EB" w:rsidRPr="00250D80">
        <w:t xml:space="preserve">ubjects </w:t>
      </w:r>
      <w:r w:rsidR="00803C18" w:rsidRPr="00250D80">
        <w:t xml:space="preserve">following single oral doses </w:t>
      </w:r>
      <w:r w:rsidRPr="00250D80">
        <w:t>in Cohort A</w:t>
      </w:r>
      <w:bookmarkEnd w:id="138"/>
      <w:bookmarkEnd w:id="139"/>
      <w:bookmarkEnd w:id="140"/>
    </w:p>
    <w:p w:rsidR="00307775" w:rsidRPr="00250D80" w:rsidRDefault="00307775" w:rsidP="000C6FC8">
      <w:r w:rsidRPr="00250D80">
        <w:rPr>
          <w:noProof/>
          <w:lang w:eastAsia="en-AU"/>
        </w:rPr>
        <w:drawing>
          <wp:inline distT="0" distB="0" distL="0" distR="0" wp14:anchorId="0AC86A76" wp14:editId="45A8D97A">
            <wp:extent cx="5310835" cy="2045258"/>
            <wp:effectExtent l="0" t="0" r="4445" b="0"/>
            <wp:docPr id="30" name="Picture 30" descr="Study P041/1009 Summary of ertugliflozin Pharmacokinetic Parameters in Japanese and Western Healthy Subjects following Single Oral Doses in Cohor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10990" cy="2045318"/>
                    </a:xfrm>
                    <a:prstGeom prst="rect">
                      <a:avLst/>
                    </a:prstGeom>
                    <a:noFill/>
                    <a:ln>
                      <a:noFill/>
                    </a:ln>
                  </pic:spPr>
                </pic:pic>
              </a:graphicData>
            </a:graphic>
          </wp:inline>
        </w:drawing>
      </w:r>
    </w:p>
    <w:p w:rsidR="005F68B1" w:rsidRPr="00250D80" w:rsidRDefault="005F68B1" w:rsidP="005E54ED">
      <w:pPr>
        <w:pStyle w:val="Tabletitle"/>
        <w:rPr>
          <w:rFonts w:eastAsia="TimesNewRoman"/>
        </w:rPr>
      </w:pPr>
      <w:bookmarkStart w:id="141" w:name="_Ref492027191"/>
      <w:bookmarkStart w:id="142" w:name="_Ref492027363"/>
      <w:bookmarkStart w:id="143" w:name="_Toc504038302"/>
      <w:r w:rsidRPr="00250D80">
        <w:t xml:space="preserve">Table </w:t>
      </w:r>
      <w:r w:rsidR="005E54ED">
        <w:t xml:space="preserve">11: </w:t>
      </w:r>
      <w:r w:rsidRPr="00250D80">
        <w:t>Study P041/1009</w:t>
      </w:r>
      <w:r w:rsidR="00803C18">
        <w:t>:</w:t>
      </w:r>
      <w:r w:rsidRPr="00250D80">
        <w:t xml:space="preserve"> Statistical </w:t>
      </w:r>
      <w:r w:rsidR="00803C18" w:rsidRPr="00250D80">
        <w:t xml:space="preserve">summary of ertugliflozin exposure comparison </w:t>
      </w:r>
      <w:r w:rsidRPr="00250D80">
        <w:t xml:space="preserve">between Japanese and Western </w:t>
      </w:r>
      <w:r w:rsidR="007C10EB">
        <w:t>h</w:t>
      </w:r>
      <w:r w:rsidR="007C10EB" w:rsidRPr="00250D80">
        <w:t xml:space="preserve">ealthy </w:t>
      </w:r>
      <w:r w:rsidR="00803C18">
        <w:t>s</w:t>
      </w:r>
      <w:r w:rsidRPr="00250D80">
        <w:t>ubjects in Cohort A</w:t>
      </w:r>
      <w:bookmarkEnd w:id="141"/>
      <w:bookmarkEnd w:id="142"/>
      <w:bookmarkEnd w:id="143"/>
    </w:p>
    <w:p w:rsidR="005F68B1" w:rsidRDefault="005F68B1" w:rsidP="000C6FC8">
      <w:r w:rsidRPr="00250D80">
        <w:rPr>
          <w:noProof/>
          <w:lang w:eastAsia="en-AU"/>
        </w:rPr>
        <w:drawing>
          <wp:inline distT="0" distB="0" distL="0" distR="0" wp14:anchorId="3DCFFE72" wp14:editId="6F611EC6">
            <wp:extent cx="4996281" cy="2169499"/>
            <wp:effectExtent l="0" t="0" r="0" b="2540"/>
            <wp:docPr id="31" name="Picture 31" descr="Study P041/1009: Statistical summary of ertugliflozin exposure comparison between Japanese and Western healthy subjects in Cohor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6567" cy="2169623"/>
                    </a:xfrm>
                    <a:prstGeom prst="rect">
                      <a:avLst/>
                    </a:prstGeom>
                    <a:noFill/>
                    <a:ln>
                      <a:noFill/>
                    </a:ln>
                  </pic:spPr>
                </pic:pic>
              </a:graphicData>
            </a:graphic>
          </wp:inline>
        </w:drawing>
      </w:r>
    </w:p>
    <w:p w:rsidR="005F68B1" w:rsidRPr="00250D80" w:rsidRDefault="005F68B1" w:rsidP="005E54ED">
      <w:pPr>
        <w:pStyle w:val="Tabletitle"/>
        <w:rPr>
          <w:rFonts w:eastAsia="TimesNewRoman"/>
        </w:rPr>
      </w:pPr>
      <w:bookmarkStart w:id="144" w:name="_Ref492027197"/>
      <w:bookmarkStart w:id="145" w:name="_Ref492027366"/>
      <w:bookmarkStart w:id="146" w:name="_Toc504038304"/>
      <w:r w:rsidRPr="00250D80">
        <w:t xml:space="preserve">Table </w:t>
      </w:r>
      <w:r w:rsidR="005E54ED">
        <w:t xml:space="preserve">12: </w:t>
      </w:r>
      <w:r w:rsidRPr="00250D80">
        <w:t xml:space="preserve">Study P041/1009 Summary of ertugliflozin </w:t>
      </w:r>
      <w:r w:rsidR="00803C18" w:rsidRPr="00250D80">
        <w:t>pharmacokinetic parameter values following multiple doses with ertugli</w:t>
      </w:r>
      <w:r w:rsidRPr="00250D80">
        <w:t>flozin in Cohort B</w:t>
      </w:r>
      <w:bookmarkEnd w:id="144"/>
      <w:bookmarkEnd w:id="145"/>
      <w:bookmarkEnd w:id="146"/>
    </w:p>
    <w:p w:rsidR="005F68B1" w:rsidRPr="00250D80" w:rsidRDefault="005F68B1" w:rsidP="000C6FC8">
      <w:r w:rsidRPr="00250D80">
        <w:rPr>
          <w:noProof/>
          <w:lang w:eastAsia="en-AU"/>
        </w:rPr>
        <w:drawing>
          <wp:inline distT="0" distB="0" distL="0" distR="0" wp14:anchorId="07D3111E" wp14:editId="47446CF0">
            <wp:extent cx="5084064" cy="2615144"/>
            <wp:effectExtent l="0" t="0" r="2540" b="0"/>
            <wp:docPr id="33" name="Picture 33" descr="Study P041/1009 Summary of ertugliflozin Pharmacokinetic Parameter Values Following Multiple Doses With ertugliflozin in Cohor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84475" cy="2615355"/>
                    </a:xfrm>
                    <a:prstGeom prst="rect">
                      <a:avLst/>
                    </a:prstGeom>
                    <a:noFill/>
                    <a:ln>
                      <a:noFill/>
                    </a:ln>
                  </pic:spPr>
                </pic:pic>
              </a:graphicData>
            </a:graphic>
          </wp:inline>
        </w:drawing>
      </w:r>
    </w:p>
    <w:p w:rsidR="002E5CF1" w:rsidRDefault="002E5CF1" w:rsidP="00CA2F4B">
      <w:pPr>
        <w:pStyle w:val="Heading4"/>
      </w:pPr>
      <w:r w:rsidRPr="005B0142">
        <w:lastRenderedPageBreak/>
        <w:t>Ph</w:t>
      </w:r>
      <w:r>
        <w:t xml:space="preserve">armacokinetics </w:t>
      </w:r>
      <w:r w:rsidRPr="005B0142">
        <w:t xml:space="preserve">in other special </w:t>
      </w:r>
      <w:r w:rsidRPr="00CA2F4B">
        <w:t>population</w:t>
      </w:r>
      <w:r w:rsidRPr="005B0142">
        <w:t xml:space="preserve"> / </w:t>
      </w:r>
      <w:r>
        <w:t>with</w:t>
      </w:r>
      <w:r w:rsidRPr="005B0142">
        <w:t xml:space="preserve"> other population characteristic</w:t>
      </w:r>
      <w:bookmarkEnd w:id="135"/>
      <w:bookmarkEnd w:id="136"/>
      <w:bookmarkEnd w:id="137"/>
    </w:p>
    <w:p w:rsidR="002E5CF1" w:rsidRPr="00974FDE" w:rsidRDefault="002E5CF1" w:rsidP="002E5CF1">
      <w:pPr>
        <w:rPr>
          <w:lang w:eastAsia="ja-JP"/>
        </w:rPr>
      </w:pPr>
      <w:r>
        <w:rPr>
          <w:lang w:eastAsia="ja-JP"/>
        </w:rPr>
        <w:t>Please refer to the section of this report tha</w:t>
      </w:r>
      <w:r w:rsidR="006E7AB6">
        <w:rPr>
          <w:lang w:eastAsia="ja-JP"/>
        </w:rPr>
        <w:t>t describes the PopPK analysis below</w:t>
      </w:r>
      <w:r>
        <w:rPr>
          <w:lang w:eastAsia="ja-JP"/>
        </w:rPr>
        <w:t>.</w:t>
      </w:r>
    </w:p>
    <w:p w:rsidR="002E5CF1" w:rsidRPr="00150A99" w:rsidRDefault="002E5CF1" w:rsidP="005E54ED">
      <w:pPr>
        <w:pStyle w:val="Heading3"/>
      </w:pPr>
      <w:bookmarkStart w:id="147" w:name="_Toc416353677"/>
      <w:bookmarkStart w:id="148" w:name="_Toc421005247"/>
      <w:bookmarkStart w:id="149" w:name="_Toc432079129"/>
      <w:bookmarkStart w:id="150" w:name="_Toc432080702"/>
      <w:bookmarkStart w:id="151" w:name="_Toc461096080"/>
      <w:bookmarkStart w:id="152" w:name="_Toc504038131"/>
      <w:bookmarkStart w:id="153" w:name="_Toc4489195"/>
      <w:r w:rsidRPr="00150A99">
        <w:t xml:space="preserve">Population </w:t>
      </w:r>
      <w:r w:rsidRPr="005E54ED">
        <w:t>pharmacokinetics</w:t>
      </w:r>
      <w:bookmarkEnd w:id="147"/>
      <w:bookmarkEnd w:id="148"/>
      <w:bookmarkEnd w:id="149"/>
      <w:bookmarkEnd w:id="150"/>
      <w:bookmarkEnd w:id="151"/>
      <w:bookmarkEnd w:id="152"/>
      <w:bookmarkEnd w:id="153"/>
    </w:p>
    <w:p w:rsidR="002E5CF1" w:rsidRPr="005B0142" w:rsidRDefault="002E5CF1" w:rsidP="005E54ED">
      <w:pPr>
        <w:pStyle w:val="Heading4"/>
      </w:pPr>
      <w:bookmarkStart w:id="154" w:name="_Ref503348825"/>
      <w:r>
        <w:t>PopPK a</w:t>
      </w:r>
      <w:r w:rsidRPr="005B0142">
        <w:t>nalysis ID</w:t>
      </w:r>
      <w:bookmarkStart w:id="155" w:name="_Toc421005248"/>
      <w:bookmarkEnd w:id="154"/>
    </w:p>
    <w:p w:rsidR="002E5CF1" w:rsidRDefault="002E5CF1" w:rsidP="002E5CF1">
      <w:pPr>
        <w:rPr>
          <w:rFonts w:eastAsiaTheme="minorHAnsi" w:cstheme="minorHAnsi"/>
        </w:rPr>
      </w:pPr>
      <w:r w:rsidRPr="00CA2F4B">
        <w:rPr>
          <w:lang w:eastAsia="ja-JP"/>
        </w:rPr>
        <w:t xml:space="preserve">Study </w:t>
      </w:r>
      <w:r w:rsidRPr="00CA2F4B">
        <w:rPr>
          <w:rFonts w:eastAsiaTheme="minorHAnsi" w:cstheme="minorHAnsi"/>
        </w:rPr>
        <w:t>PMAR-EQDD-B152a-DP4-403</w:t>
      </w:r>
      <w:r>
        <w:rPr>
          <w:rFonts w:eastAsiaTheme="minorHAnsi" w:cstheme="minorHAnsi"/>
        </w:rPr>
        <w:t xml:space="preserve"> represented a PopPK analysis, which was based on the results of </w:t>
      </w:r>
      <w:r w:rsidRPr="00212752">
        <w:rPr>
          <w:rFonts w:eastAsiaTheme="minorHAnsi" w:cstheme="minorHAnsi"/>
        </w:rPr>
        <w:t>13691 PK observations from 2276 subjects</w:t>
      </w:r>
      <w:r w:rsidRPr="00C256F3">
        <w:rPr>
          <w:rFonts w:eastAsiaTheme="minorHAnsi" w:cstheme="minorHAnsi"/>
        </w:rPr>
        <w:t xml:space="preserve"> who were enrolled in </w:t>
      </w:r>
      <w:r w:rsidRPr="00212752">
        <w:rPr>
          <w:rFonts w:eastAsiaTheme="minorHAnsi" w:cstheme="minorHAnsi"/>
        </w:rPr>
        <w:t xml:space="preserve">15 clinical studies (nine </w:t>
      </w:r>
      <w:r>
        <w:rPr>
          <w:rFonts w:eastAsiaTheme="minorHAnsi" w:cstheme="minorHAnsi"/>
        </w:rPr>
        <w:t>Phase I</w:t>
      </w:r>
      <w:r w:rsidRPr="00212752">
        <w:rPr>
          <w:rFonts w:eastAsiaTheme="minorHAnsi" w:cstheme="minorHAnsi"/>
        </w:rPr>
        <w:t xml:space="preserve">, two </w:t>
      </w:r>
      <w:r>
        <w:rPr>
          <w:rFonts w:eastAsiaTheme="minorHAnsi" w:cstheme="minorHAnsi"/>
        </w:rPr>
        <w:t>Phase II</w:t>
      </w:r>
      <w:r w:rsidRPr="00212752">
        <w:rPr>
          <w:rFonts w:eastAsiaTheme="minorHAnsi" w:cstheme="minorHAnsi"/>
        </w:rPr>
        <w:t xml:space="preserve">, and four </w:t>
      </w:r>
      <w:r>
        <w:rPr>
          <w:rFonts w:eastAsiaTheme="minorHAnsi" w:cstheme="minorHAnsi"/>
        </w:rPr>
        <w:t>Phase III</w:t>
      </w:r>
      <w:r w:rsidRPr="00212752">
        <w:rPr>
          <w:rFonts w:eastAsiaTheme="minorHAnsi" w:cstheme="minorHAnsi"/>
        </w:rPr>
        <w:t xml:space="preserve"> studies)</w:t>
      </w:r>
      <w:r>
        <w:rPr>
          <w:rFonts w:eastAsiaTheme="minorHAnsi" w:cstheme="minorHAnsi"/>
        </w:rPr>
        <w:t xml:space="preserve">. As initial analysis suggested that ertugliflozin was </w:t>
      </w:r>
      <w:r w:rsidRPr="00212752">
        <w:rPr>
          <w:rFonts w:eastAsiaTheme="minorHAnsi" w:cstheme="minorHAnsi"/>
        </w:rPr>
        <w:t>rapid</w:t>
      </w:r>
      <w:r>
        <w:rPr>
          <w:rFonts w:eastAsiaTheme="minorHAnsi" w:cstheme="minorHAnsi"/>
        </w:rPr>
        <w:t>ly</w:t>
      </w:r>
      <w:r w:rsidRPr="00212752">
        <w:rPr>
          <w:rFonts w:eastAsiaTheme="minorHAnsi" w:cstheme="minorHAnsi"/>
        </w:rPr>
        <w:t xml:space="preserve"> absor</w:t>
      </w:r>
      <w:r>
        <w:rPr>
          <w:rFonts w:eastAsiaTheme="minorHAnsi" w:cstheme="minorHAnsi"/>
        </w:rPr>
        <w:t>bed</w:t>
      </w:r>
      <w:r w:rsidRPr="00212752">
        <w:rPr>
          <w:rFonts w:eastAsiaTheme="minorHAnsi" w:cstheme="minorHAnsi"/>
        </w:rPr>
        <w:t xml:space="preserve"> and </w:t>
      </w:r>
      <w:r>
        <w:rPr>
          <w:rFonts w:eastAsiaTheme="minorHAnsi" w:cstheme="minorHAnsi"/>
        </w:rPr>
        <w:t>concentration levels in plasma were characterised by a biphasic decline, a</w:t>
      </w:r>
      <w:r w:rsidR="00803C18">
        <w:rPr>
          <w:rFonts w:eastAsiaTheme="minorHAnsi" w:cstheme="minorHAnsi"/>
        </w:rPr>
        <w:t xml:space="preserve"> 2 </w:t>
      </w:r>
      <w:r w:rsidRPr="00212752">
        <w:rPr>
          <w:rFonts w:eastAsiaTheme="minorHAnsi" w:cstheme="minorHAnsi"/>
        </w:rPr>
        <w:t>compartment model with lag time, first-order absorption, and first-order elimination was used to fit the observed data in terms of the following parameters: CL/F, Q/F, Vc/F, Vp/F, ka, and ALAG1. Inter</w:t>
      </w:r>
      <w:r>
        <w:rPr>
          <w:rFonts w:eastAsiaTheme="minorHAnsi" w:cstheme="minorHAnsi"/>
        </w:rPr>
        <w:t>-</w:t>
      </w:r>
      <w:r w:rsidRPr="00212752">
        <w:rPr>
          <w:rFonts w:eastAsiaTheme="minorHAnsi" w:cstheme="minorHAnsi"/>
        </w:rPr>
        <w:t>individual variance was included on CL/F. The effect of baseline body weight was included on CL/F, Vc/F, Vp/F, and Q/F as an allometric relationship, with the exponent fixed to 0.75 and 1.0 for apparent clearances and volumes, respectively. The effect of food (fed and without regard to food) was included on the ka and on F1.</w:t>
      </w:r>
    </w:p>
    <w:p w:rsidR="002E5CF1" w:rsidRDefault="002E5CF1" w:rsidP="002E5CF1">
      <w:pPr>
        <w:rPr>
          <w:rFonts w:eastAsiaTheme="minorHAnsi" w:cstheme="minorHAnsi"/>
        </w:rPr>
      </w:pPr>
      <w:r>
        <w:rPr>
          <w:rFonts w:eastAsiaTheme="minorHAnsi" w:cstheme="minorHAnsi"/>
        </w:rPr>
        <w:t xml:space="preserve">Based </w:t>
      </w:r>
      <w:r w:rsidRPr="00212752">
        <w:rPr>
          <w:rFonts w:eastAsiaTheme="minorHAnsi" w:cstheme="minorHAnsi"/>
        </w:rPr>
        <w:t xml:space="preserve">upon the </w:t>
      </w:r>
      <w:r>
        <w:rPr>
          <w:rFonts w:eastAsiaTheme="minorHAnsi" w:cstheme="minorHAnsi"/>
        </w:rPr>
        <w:t>Phase II</w:t>
      </w:r>
      <w:r w:rsidRPr="00212752">
        <w:rPr>
          <w:rFonts w:eastAsiaTheme="minorHAnsi" w:cstheme="minorHAnsi"/>
        </w:rPr>
        <w:t xml:space="preserve"> and </w:t>
      </w:r>
      <w:r w:rsidR="00D66779">
        <w:rPr>
          <w:rFonts w:eastAsiaTheme="minorHAnsi" w:cstheme="minorHAnsi"/>
        </w:rPr>
        <w:t>III</w:t>
      </w:r>
      <w:r w:rsidRPr="00212752">
        <w:rPr>
          <w:rFonts w:eastAsiaTheme="minorHAnsi" w:cstheme="minorHAnsi"/>
        </w:rPr>
        <w:t xml:space="preserve"> demographics for this </w:t>
      </w:r>
      <w:r>
        <w:rPr>
          <w:rFonts w:eastAsiaTheme="minorHAnsi" w:cstheme="minorHAnsi"/>
        </w:rPr>
        <w:t>dataset</w:t>
      </w:r>
      <w:r w:rsidRPr="00212752">
        <w:rPr>
          <w:rFonts w:eastAsiaTheme="minorHAnsi" w:cstheme="minorHAnsi"/>
        </w:rPr>
        <w:t>, the typical T2DM patient was defined as a 58-year old, white male with a baseline body weight of 85.3 kg, an eGFR of 85.0 mL/min/1.73 m</w:t>
      </w:r>
      <w:r w:rsidRPr="002B30F1">
        <w:rPr>
          <w:rFonts w:eastAsiaTheme="minorHAnsi" w:cstheme="minorHAnsi"/>
          <w:vertAlign w:val="superscript"/>
        </w:rPr>
        <w:t>2</w:t>
      </w:r>
      <w:r w:rsidRPr="00212752">
        <w:rPr>
          <w:rFonts w:eastAsiaTheme="minorHAnsi" w:cstheme="minorHAnsi"/>
        </w:rPr>
        <w:t xml:space="preserve">, </w:t>
      </w:r>
      <w:r>
        <w:rPr>
          <w:rFonts w:eastAsiaTheme="minorHAnsi" w:cstheme="minorHAnsi"/>
        </w:rPr>
        <w:t>who was</w:t>
      </w:r>
      <w:r w:rsidRPr="00212752">
        <w:rPr>
          <w:rFonts w:eastAsiaTheme="minorHAnsi" w:cstheme="minorHAnsi"/>
        </w:rPr>
        <w:t xml:space="preserve"> taking ertugliflozin without regard to food</w:t>
      </w:r>
      <w:r>
        <w:rPr>
          <w:rFonts w:eastAsiaTheme="minorHAnsi" w:cstheme="minorHAnsi"/>
        </w:rPr>
        <w:t xml:space="preserve">. </w:t>
      </w:r>
      <w:r>
        <w:rPr>
          <w:lang w:eastAsia="ja-JP"/>
        </w:rPr>
        <w:t xml:space="preserve">For a reference subject the </w:t>
      </w:r>
      <w:r w:rsidRPr="00212752">
        <w:rPr>
          <w:rFonts w:eastAsiaTheme="minorHAnsi" w:cstheme="minorHAnsi"/>
        </w:rPr>
        <w:t>population estimate</w:t>
      </w:r>
      <w:r>
        <w:rPr>
          <w:rFonts w:eastAsiaTheme="minorHAnsi" w:cstheme="minorHAnsi"/>
        </w:rPr>
        <w:t>s</w:t>
      </w:r>
      <w:r w:rsidRPr="00212752">
        <w:rPr>
          <w:rFonts w:eastAsiaTheme="minorHAnsi" w:cstheme="minorHAnsi"/>
        </w:rPr>
        <w:t xml:space="preserve"> (95% CI) of </w:t>
      </w:r>
      <w:r>
        <w:rPr>
          <w:rFonts w:eastAsiaTheme="minorHAnsi" w:cstheme="minorHAnsi"/>
        </w:rPr>
        <w:t xml:space="preserve">the </w:t>
      </w:r>
      <w:r w:rsidRPr="00212752">
        <w:rPr>
          <w:rFonts w:eastAsiaTheme="minorHAnsi" w:cstheme="minorHAnsi"/>
        </w:rPr>
        <w:t>CL/F</w:t>
      </w:r>
      <w:r>
        <w:rPr>
          <w:rFonts w:eastAsiaTheme="minorHAnsi" w:cstheme="minorHAnsi"/>
        </w:rPr>
        <w:t xml:space="preserve">, Vc/F, Vp/F, Q/F and ka </w:t>
      </w:r>
      <w:r w:rsidRPr="00212752">
        <w:rPr>
          <w:rFonts w:eastAsiaTheme="minorHAnsi" w:cstheme="minorHAnsi"/>
        </w:rPr>
        <w:t>for ertugliflozin</w:t>
      </w:r>
      <w:r>
        <w:rPr>
          <w:rFonts w:eastAsiaTheme="minorHAnsi" w:cstheme="minorHAnsi"/>
        </w:rPr>
        <w:t xml:space="preserve"> w</w:t>
      </w:r>
      <w:r>
        <w:rPr>
          <w:lang w:eastAsia="ja-JP"/>
        </w:rPr>
        <w:t xml:space="preserve">ere </w:t>
      </w:r>
      <w:r w:rsidRPr="00212752">
        <w:rPr>
          <w:rFonts w:eastAsiaTheme="minorHAnsi" w:cstheme="minorHAnsi"/>
        </w:rPr>
        <w:t>12.0 L/h (11.5,12.5)</w:t>
      </w:r>
      <w:r>
        <w:rPr>
          <w:rFonts w:eastAsiaTheme="minorHAnsi" w:cstheme="minorHAnsi"/>
        </w:rPr>
        <w:t xml:space="preserve">, </w:t>
      </w:r>
      <w:r w:rsidRPr="00212752">
        <w:rPr>
          <w:rFonts w:eastAsiaTheme="minorHAnsi" w:cstheme="minorHAnsi"/>
        </w:rPr>
        <w:t>6.54 L (5.17,8.48)</w:t>
      </w:r>
      <w:r>
        <w:rPr>
          <w:rFonts w:eastAsiaTheme="minorHAnsi" w:cstheme="minorHAnsi"/>
        </w:rPr>
        <w:t>, 107 L (102, 113), 7.77 L/h (7.00, 8.67) and 0.329 h</w:t>
      </w:r>
      <w:r>
        <w:rPr>
          <w:rFonts w:eastAsiaTheme="minorHAnsi" w:cstheme="minorHAnsi"/>
          <w:vertAlign w:val="superscript"/>
        </w:rPr>
        <w:t>-1</w:t>
      </w:r>
      <w:r>
        <w:rPr>
          <w:rFonts w:eastAsiaTheme="minorHAnsi" w:cstheme="minorHAnsi"/>
        </w:rPr>
        <w:t xml:space="preserve"> (0.303, 0.364), respectively.</w:t>
      </w:r>
    </w:p>
    <w:p w:rsidR="00803C18" w:rsidRDefault="002E5CF1" w:rsidP="002E5CF1">
      <w:pPr>
        <w:rPr>
          <w:rFonts w:eastAsiaTheme="minorHAnsi" w:cstheme="minorHAnsi"/>
        </w:rPr>
      </w:pPr>
      <w:r>
        <w:rPr>
          <w:rFonts w:eastAsiaTheme="minorHAnsi" w:cstheme="minorHAnsi"/>
        </w:rPr>
        <w:t>A number of significant covariates were identified for CL/F, including baseline bodyweight, eGFR, T2DM status, gender</w:t>
      </w:r>
      <w:r w:rsidRPr="00212752">
        <w:rPr>
          <w:rFonts w:eastAsiaTheme="minorHAnsi" w:cstheme="minorHAnsi"/>
        </w:rPr>
        <w:t xml:space="preserve"> and Asian race</w:t>
      </w:r>
      <w:r>
        <w:rPr>
          <w:rFonts w:eastAsiaTheme="minorHAnsi" w:cstheme="minorHAnsi"/>
        </w:rPr>
        <w:t xml:space="preserve">. However, as the maximum % change in CL/F attained at the </w:t>
      </w:r>
      <w:r w:rsidR="007C10EB">
        <w:rPr>
          <w:rFonts w:eastAsiaTheme="minorHAnsi" w:cstheme="minorHAnsi"/>
        </w:rPr>
        <w:t xml:space="preserve">fifth </w:t>
      </w:r>
      <w:r>
        <w:rPr>
          <w:rFonts w:eastAsiaTheme="minorHAnsi" w:cstheme="minorHAnsi"/>
        </w:rPr>
        <w:t xml:space="preserve">and </w:t>
      </w:r>
      <w:r w:rsidR="007C10EB">
        <w:rPr>
          <w:rFonts w:eastAsiaTheme="minorHAnsi" w:cstheme="minorHAnsi"/>
        </w:rPr>
        <w:t xml:space="preserve">ninth </w:t>
      </w:r>
      <w:r>
        <w:rPr>
          <w:rFonts w:eastAsiaTheme="minorHAnsi" w:cstheme="minorHAnsi"/>
        </w:rPr>
        <w:t>percentiles of the population estimates for any one of these parameters was 56%, the effects of any one of these parameters were not considered to be clinically relevant. Similarly, a number of significant covariates,</w:t>
      </w:r>
      <w:r w:rsidRPr="004E108E">
        <w:rPr>
          <w:rFonts w:eastAsiaTheme="minorHAnsi" w:cstheme="minorHAnsi"/>
        </w:rPr>
        <w:t xml:space="preserve"> </w:t>
      </w:r>
      <w:r>
        <w:rPr>
          <w:rFonts w:eastAsiaTheme="minorHAnsi" w:cstheme="minorHAnsi"/>
        </w:rPr>
        <w:t>including body weight, eGFR, T2DM status, gender</w:t>
      </w:r>
      <w:r w:rsidRPr="00212752">
        <w:rPr>
          <w:rFonts w:eastAsiaTheme="minorHAnsi" w:cstheme="minorHAnsi"/>
        </w:rPr>
        <w:t xml:space="preserve"> and Asian </w:t>
      </w:r>
      <w:r>
        <w:rPr>
          <w:rFonts w:eastAsiaTheme="minorHAnsi" w:cstheme="minorHAnsi"/>
        </w:rPr>
        <w:t xml:space="preserve">race, were identified for </w:t>
      </w:r>
      <w:r w:rsidR="00D66779">
        <w:rPr>
          <w:rFonts w:eastAsiaTheme="minorHAnsi" w:cstheme="minorHAnsi"/>
        </w:rPr>
        <w:t>AUC</w:t>
      </w:r>
      <w:r w:rsidR="00D66779" w:rsidRPr="00D66779">
        <w:rPr>
          <w:rFonts w:eastAsiaTheme="minorHAnsi" w:cstheme="minorHAnsi"/>
          <w:vertAlign w:val="subscript"/>
        </w:rPr>
        <w:t>t</w:t>
      </w:r>
      <w:r>
        <w:rPr>
          <w:rFonts w:eastAsiaTheme="minorHAnsi" w:cstheme="minorHAnsi"/>
        </w:rPr>
        <w:t>; however, as for CL/F, the magnitude of the changes induced by any one of the covariates were not considered to be clinically relevant, as were the changes induced by the significant covariates of ka and relative bioavailability. For the a</w:t>
      </w:r>
      <w:r w:rsidRPr="00212752">
        <w:rPr>
          <w:rFonts w:eastAsiaTheme="minorHAnsi" w:cstheme="minorHAnsi"/>
        </w:rPr>
        <w:t>pparent central volume of distribution</w:t>
      </w:r>
      <w:r>
        <w:rPr>
          <w:rFonts w:eastAsiaTheme="minorHAnsi" w:cstheme="minorHAnsi"/>
        </w:rPr>
        <w:t>, significant covariates included body weight, gender and Asian race; however, only the effects of Asian race can be considered clinically significant as Vc/F was increased by 112% in Asian subjects relative to White subjects</w:t>
      </w:r>
      <w:r w:rsidR="00803C18">
        <w:rPr>
          <w:rFonts w:eastAsiaTheme="minorHAnsi" w:cstheme="minorHAnsi"/>
        </w:rPr>
        <w:t>.</w:t>
      </w:r>
    </w:p>
    <w:p w:rsidR="002E5CF1" w:rsidRDefault="002E5CF1" w:rsidP="005E54ED">
      <w:pPr>
        <w:pStyle w:val="Heading3"/>
      </w:pPr>
      <w:bookmarkStart w:id="156" w:name="_Toc241374294"/>
      <w:bookmarkStart w:id="157" w:name="_Toc272414632"/>
      <w:bookmarkStart w:id="158" w:name="_Toc290888481"/>
      <w:bookmarkStart w:id="159" w:name="_Toc416353678"/>
      <w:bookmarkStart w:id="160" w:name="_Toc421005249"/>
      <w:bookmarkStart w:id="161" w:name="_Toc432079130"/>
      <w:bookmarkStart w:id="162" w:name="_Toc432080703"/>
      <w:bookmarkStart w:id="163" w:name="_Toc461096081"/>
      <w:bookmarkStart w:id="164" w:name="_Toc504038132"/>
      <w:bookmarkStart w:id="165" w:name="_Toc4489196"/>
      <w:bookmarkEnd w:id="155"/>
      <w:r w:rsidRPr="00545B14">
        <w:t>Pharmacokinetic interactions</w:t>
      </w:r>
      <w:bookmarkEnd w:id="156"/>
      <w:bookmarkEnd w:id="157"/>
      <w:bookmarkEnd w:id="158"/>
      <w:bookmarkEnd w:id="159"/>
      <w:bookmarkEnd w:id="160"/>
      <w:bookmarkEnd w:id="161"/>
      <w:bookmarkEnd w:id="162"/>
      <w:bookmarkEnd w:id="163"/>
      <w:bookmarkEnd w:id="164"/>
      <w:bookmarkEnd w:id="165"/>
    </w:p>
    <w:p w:rsidR="002E5CF1" w:rsidRDefault="002E5CF1" w:rsidP="00D66779">
      <w:pPr>
        <w:pStyle w:val="Heading4"/>
      </w:pPr>
      <w:r w:rsidRPr="009B57EA">
        <w:t>DDI between ertugliflozin and metformin</w:t>
      </w:r>
    </w:p>
    <w:p w:rsidR="002E5CF1" w:rsidRPr="00580B77" w:rsidRDefault="002E5CF1" w:rsidP="002E5CF1">
      <w:pPr>
        <w:autoSpaceDE w:val="0"/>
        <w:autoSpaceDN w:val="0"/>
        <w:adjustRightInd w:val="0"/>
        <w:rPr>
          <w:rFonts w:eastAsia="TimesNewRoman" w:cstheme="minorHAnsi"/>
          <w:color w:val="000000"/>
        </w:rPr>
      </w:pPr>
      <w:r w:rsidRPr="00580B77">
        <w:rPr>
          <w:rFonts w:cstheme="minorHAnsi"/>
        </w:rPr>
        <w:t xml:space="preserve">Study </w:t>
      </w:r>
      <w:r w:rsidRPr="00580B77">
        <w:rPr>
          <w:rFonts w:cstheme="minorHAnsi"/>
          <w:bCs/>
          <w:color w:val="000000"/>
        </w:rPr>
        <w:t>P019/1032</w:t>
      </w:r>
      <w:r w:rsidRPr="009B57EA">
        <w:rPr>
          <w:rFonts w:cstheme="minorHAnsi"/>
        </w:rPr>
        <w:t xml:space="preserve"> </w:t>
      </w:r>
      <w:r>
        <w:rPr>
          <w:rFonts w:cstheme="minorHAnsi"/>
        </w:rPr>
        <w:t xml:space="preserve">examined the potential for a DDI between a single dose of </w:t>
      </w:r>
      <w:r w:rsidRPr="009B57EA">
        <w:rPr>
          <w:rFonts w:eastAsia="TimesNewRoman" w:cstheme="minorHAnsi"/>
        </w:rPr>
        <w:t>15 mg ertugliflozin and 1000 mg metformin in healthy volunteers</w:t>
      </w:r>
      <w:r>
        <w:rPr>
          <w:rFonts w:eastAsia="TimesNewRoman" w:cstheme="minorHAnsi"/>
        </w:rPr>
        <w:t xml:space="preserve">. Metformin is a </w:t>
      </w:r>
      <w:r>
        <w:t>first line therapy used in the treatment of T2DM, which, p</w:t>
      </w:r>
      <w:r>
        <w:rPr>
          <w:lang w:eastAsia="ja-JP"/>
        </w:rPr>
        <w:t xml:space="preserve">rimarily acts by decreasing hepatic gluconeogenesis. It </w:t>
      </w:r>
      <w:r>
        <w:t>is not metabolised and therefore it is cleared via tubular secretion and excreted unchanged in urine.</w:t>
      </w:r>
      <w:r>
        <w:rPr>
          <w:lang w:eastAsia="ja-JP"/>
        </w:rPr>
        <w:t xml:space="preserve"> </w:t>
      </w:r>
      <w:r w:rsidRPr="009B57EA">
        <w:rPr>
          <w:rFonts w:eastAsia="TimesNewRoman" w:cstheme="minorHAnsi"/>
          <w:color w:val="000000"/>
        </w:rPr>
        <w:t xml:space="preserve">Co-administration of ertugliflozin with a single dose of metformin </w:t>
      </w:r>
      <w:r>
        <w:rPr>
          <w:rFonts w:eastAsia="TimesNewRoman" w:cstheme="minorHAnsi"/>
          <w:color w:val="000000"/>
        </w:rPr>
        <w:t>had no effect on</w:t>
      </w:r>
      <w:r w:rsidRPr="009B57EA">
        <w:rPr>
          <w:rFonts w:eastAsia="TimesNewRoman" w:cstheme="minorHAnsi"/>
          <w:color w:val="000000"/>
        </w:rPr>
        <w:t xml:space="preserve"> ertugliflozin exposure, as </w:t>
      </w:r>
      <w:r w:rsidRPr="00580B77">
        <w:rPr>
          <w:rFonts w:eastAsia="TimesNewRoman" w:cstheme="minorHAnsi"/>
          <w:color w:val="000000"/>
        </w:rPr>
        <w:t>reflected by the GMRs (test/reference) of 100.34% and 97.14% for AUC</w:t>
      </w:r>
      <w:r w:rsidRPr="00580B77">
        <w:rPr>
          <w:rFonts w:eastAsia="TimesNewRoman" w:cstheme="minorHAnsi"/>
          <w:color w:val="000000"/>
          <w:vertAlign w:val="subscript"/>
        </w:rPr>
        <w:t>inf</w:t>
      </w:r>
      <w:r w:rsidRPr="00580B77">
        <w:rPr>
          <w:rFonts w:eastAsia="TimesNewRoman" w:cstheme="minorHAnsi"/>
          <w:color w:val="000000"/>
        </w:rPr>
        <w:t xml:space="preserve"> and </w:t>
      </w:r>
      <w:r w:rsidR="006F000B" w:rsidRPr="00580B77">
        <w:rPr>
          <w:rFonts w:eastAsia="TimesNewRoman" w:cstheme="minorHAnsi"/>
        </w:rPr>
        <w:t>T</w:t>
      </w:r>
      <w:r w:rsidR="006F000B" w:rsidRPr="00580B77">
        <w:rPr>
          <w:rFonts w:eastAsia="TimesNewRoman" w:cstheme="minorHAnsi"/>
          <w:vertAlign w:val="subscript"/>
        </w:rPr>
        <w:t>max</w:t>
      </w:r>
      <w:r w:rsidRPr="00580B77">
        <w:rPr>
          <w:rFonts w:eastAsia="TimesNewRoman" w:cstheme="minorHAnsi"/>
          <w:color w:val="000000"/>
        </w:rPr>
        <w:t xml:space="preserve">, respectively (Table </w:t>
      </w:r>
      <w:r w:rsidR="00580B77" w:rsidRPr="00580B77">
        <w:rPr>
          <w:rFonts w:eastAsia="TimesNewRoman" w:cstheme="minorHAnsi"/>
          <w:color w:val="000000"/>
        </w:rPr>
        <w:t>13</w:t>
      </w:r>
      <w:r w:rsidRPr="00580B77">
        <w:rPr>
          <w:rFonts w:eastAsia="TimesNewRoman" w:cstheme="minorHAnsi"/>
          <w:color w:val="000000"/>
        </w:rPr>
        <w:t>). The corresponding 90% CIs for the ratios were (97.43%, 103.34%) for AUC</w:t>
      </w:r>
      <w:r w:rsidRPr="00580B77">
        <w:rPr>
          <w:rFonts w:eastAsia="TimesNewRoman" w:cstheme="minorHAnsi"/>
          <w:color w:val="000000"/>
          <w:vertAlign w:val="subscript"/>
        </w:rPr>
        <w:t>inf</w:t>
      </w:r>
      <w:r w:rsidRPr="00580B77">
        <w:rPr>
          <w:rFonts w:eastAsia="TimesNewRoman" w:cstheme="minorHAnsi"/>
          <w:color w:val="000000"/>
        </w:rPr>
        <w:t xml:space="preserve"> and (88.77%, 106.30%) for </w:t>
      </w:r>
      <w:r w:rsidR="006F000B" w:rsidRPr="00580B77">
        <w:rPr>
          <w:rFonts w:eastAsia="TimesNewRoman" w:cstheme="minorHAnsi"/>
        </w:rPr>
        <w:t>T</w:t>
      </w:r>
      <w:r w:rsidR="006F000B" w:rsidRPr="00580B77">
        <w:rPr>
          <w:rFonts w:eastAsia="TimesNewRoman" w:cstheme="minorHAnsi"/>
          <w:vertAlign w:val="subscript"/>
        </w:rPr>
        <w:t>max</w:t>
      </w:r>
      <w:r w:rsidRPr="00580B77">
        <w:rPr>
          <w:rFonts w:eastAsia="TimesNewRoman" w:cstheme="minorHAnsi"/>
          <w:color w:val="000000"/>
        </w:rPr>
        <w:t xml:space="preserve">, and both fell wholly within the (80%, 125%) equivalence bounds. Similarly for metformin, co-administration with ertugliflozin had little to no effect on metformin </w:t>
      </w:r>
      <w:r w:rsidR="006F000B" w:rsidRPr="00580B77">
        <w:rPr>
          <w:rFonts w:eastAsia="TimesNewRoman" w:cstheme="minorHAnsi"/>
        </w:rPr>
        <w:t>T</w:t>
      </w:r>
      <w:r w:rsidR="006F000B" w:rsidRPr="00580B77">
        <w:rPr>
          <w:rFonts w:eastAsia="TimesNewRoman" w:cstheme="minorHAnsi"/>
          <w:vertAlign w:val="subscript"/>
        </w:rPr>
        <w:t>max</w:t>
      </w:r>
      <w:r w:rsidRPr="00580B77">
        <w:rPr>
          <w:rFonts w:eastAsia="TimesNewRoman" w:cstheme="minorHAnsi"/>
          <w:color w:val="000000"/>
        </w:rPr>
        <w:t xml:space="preserve"> and AUC values and the corresponding GMRs and 90%CIs fell entirely within in the equivalence bounds (Table </w:t>
      </w:r>
      <w:r w:rsidR="00580B77" w:rsidRPr="00580B77">
        <w:rPr>
          <w:rFonts w:eastAsia="TimesNewRoman" w:cstheme="minorHAnsi"/>
          <w:color w:val="000000"/>
        </w:rPr>
        <w:t>14).</w:t>
      </w:r>
    </w:p>
    <w:p w:rsidR="00580B77" w:rsidRPr="00250D80" w:rsidRDefault="00580B77" w:rsidP="00580B77">
      <w:pPr>
        <w:pStyle w:val="Tabletitle"/>
        <w:rPr>
          <w:rFonts w:eastAsia="TimesNewRoman"/>
          <w:color w:val="000000"/>
        </w:rPr>
      </w:pPr>
      <w:bookmarkStart w:id="166" w:name="_Ref492027221"/>
      <w:bookmarkStart w:id="167" w:name="_Ref492027384"/>
      <w:bookmarkStart w:id="168" w:name="_Toc504038315"/>
      <w:r w:rsidRPr="00250D80">
        <w:lastRenderedPageBreak/>
        <w:t xml:space="preserve">Table </w:t>
      </w:r>
      <w:r>
        <w:t>13: S</w:t>
      </w:r>
      <w:r w:rsidRPr="00250D80">
        <w:t xml:space="preserve">tudy </w:t>
      </w:r>
      <w:r w:rsidRPr="00250D80">
        <w:rPr>
          <w:bCs/>
          <w:color w:val="000000"/>
        </w:rPr>
        <w:t>P019/1032</w:t>
      </w:r>
      <w:r w:rsidR="00803C18">
        <w:rPr>
          <w:bCs/>
          <w:color w:val="000000"/>
        </w:rPr>
        <w:t>:</w:t>
      </w:r>
      <w:r w:rsidRPr="00250D80">
        <w:rPr>
          <w:bCs/>
          <w:color w:val="000000"/>
        </w:rPr>
        <w:t xml:space="preserve"> </w:t>
      </w:r>
      <w:r w:rsidRPr="00250D80">
        <w:t xml:space="preserve">Statistical </w:t>
      </w:r>
      <w:r w:rsidR="00803C18" w:rsidRPr="00250D80">
        <w:t>summary of treatment comparisons for plasma e</w:t>
      </w:r>
      <w:r w:rsidRPr="00250D80">
        <w:t>rtugliflozin</w:t>
      </w:r>
      <w:bookmarkEnd w:id="166"/>
      <w:bookmarkEnd w:id="167"/>
      <w:bookmarkEnd w:id="168"/>
    </w:p>
    <w:p w:rsidR="00580B77" w:rsidRPr="00250D80" w:rsidRDefault="00580B77" w:rsidP="000C6FC8">
      <w:r w:rsidRPr="00250D80">
        <w:rPr>
          <w:noProof/>
          <w:lang w:eastAsia="en-AU"/>
        </w:rPr>
        <w:drawing>
          <wp:inline distT="0" distB="0" distL="0" distR="0" wp14:anchorId="1D3E11DD" wp14:editId="71400EF1">
            <wp:extent cx="5332780" cy="2124031"/>
            <wp:effectExtent l="0" t="0" r="1270" b="0"/>
            <wp:docPr id="48" name="Picture 48" descr="Study P019/1032 Statistical Summary of Treatment Comparisons for Plasma Ertuglifloz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32935" cy="2124093"/>
                    </a:xfrm>
                    <a:prstGeom prst="rect">
                      <a:avLst/>
                    </a:prstGeom>
                    <a:noFill/>
                    <a:ln>
                      <a:noFill/>
                    </a:ln>
                  </pic:spPr>
                </pic:pic>
              </a:graphicData>
            </a:graphic>
          </wp:inline>
        </w:drawing>
      </w:r>
    </w:p>
    <w:p w:rsidR="00580B77" w:rsidRPr="00250D80" w:rsidRDefault="00580B77" w:rsidP="00580B77">
      <w:pPr>
        <w:pStyle w:val="Tabletitle"/>
      </w:pPr>
      <w:bookmarkStart w:id="169" w:name="_Ref492027227"/>
      <w:bookmarkStart w:id="170" w:name="_Ref492027389"/>
      <w:bookmarkStart w:id="171" w:name="_Toc504038317"/>
      <w:r w:rsidRPr="00250D80">
        <w:t xml:space="preserve">Table </w:t>
      </w:r>
      <w:r>
        <w:t xml:space="preserve">14: </w:t>
      </w:r>
      <w:r w:rsidRPr="00250D80">
        <w:t xml:space="preserve">Study </w:t>
      </w:r>
      <w:r w:rsidRPr="00250D80">
        <w:rPr>
          <w:bCs/>
          <w:color w:val="000000"/>
        </w:rPr>
        <w:t>P019/1032</w:t>
      </w:r>
      <w:r w:rsidR="00803C18">
        <w:rPr>
          <w:bCs/>
          <w:color w:val="000000"/>
        </w:rPr>
        <w:t>:</w:t>
      </w:r>
      <w:r w:rsidRPr="00250D80">
        <w:rPr>
          <w:bCs/>
          <w:color w:val="000000"/>
        </w:rPr>
        <w:t xml:space="preserve"> </w:t>
      </w:r>
      <w:r w:rsidRPr="00250D80">
        <w:t xml:space="preserve">Statistical </w:t>
      </w:r>
      <w:r w:rsidR="00803C18" w:rsidRPr="00250D80">
        <w:t>summary of treatment comparisons for plasma metformin</w:t>
      </w:r>
      <w:bookmarkEnd w:id="169"/>
      <w:bookmarkEnd w:id="170"/>
      <w:bookmarkEnd w:id="171"/>
    </w:p>
    <w:p w:rsidR="00580B77" w:rsidRPr="00250D80" w:rsidRDefault="00580B77" w:rsidP="000C6FC8">
      <w:r w:rsidRPr="00250D80">
        <w:rPr>
          <w:noProof/>
          <w:lang w:eastAsia="en-AU"/>
        </w:rPr>
        <w:drawing>
          <wp:inline distT="0" distB="0" distL="0" distR="0" wp14:anchorId="72923934" wp14:editId="6EA97899">
            <wp:extent cx="5069433" cy="2689397"/>
            <wp:effectExtent l="0" t="0" r="0" b="0"/>
            <wp:docPr id="49" name="Picture 49" descr="Study P019/1032 Statistical Summary of Treatment Comparisons for Plasma Metfor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80619" cy="2695331"/>
                    </a:xfrm>
                    <a:prstGeom prst="rect">
                      <a:avLst/>
                    </a:prstGeom>
                    <a:noFill/>
                    <a:ln>
                      <a:noFill/>
                    </a:ln>
                  </pic:spPr>
                </pic:pic>
              </a:graphicData>
            </a:graphic>
          </wp:inline>
        </w:drawing>
      </w:r>
    </w:p>
    <w:p w:rsidR="002E5CF1" w:rsidRDefault="002E5CF1" w:rsidP="00580B77">
      <w:pPr>
        <w:pStyle w:val="Heading4"/>
      </w:pPr>
      <w:r w:rsidRPr="009B57EA">
        <w:t xml:space="preserve">DDI between a single </w:t>
      </w:r>
      <w:r w:rsidRPr="00580B77">
        <w:t>dose</w:t>
      </w:r>
      <w:r w:rsidRPr="009B57EA">
        <w:t xml:space="preserve"> of ertugliflozin and </w:t>
      </w:r>
      <w:r w:rsidRPr="009B57EA">
        <w:rPr>
          <w:rFonts w:eastAsia="TimesNewRoman"/>
          <w:lang w:eastAsia="en-US"/>
        </w:rPr>
        <w:t>sitagliptin</w:t>
      </w:r>
    </w:p>
    <w:p w:rsidR="002E5CF1" w:rsidRDefault="002E5CF1" w:rsidP="002E5CF1">
      <w:r w:rsidRPr="00580B77">
        <w:rPr>
          <w:rFonts w:cstheme="minorHAnsi"/>
        </w:rPr>
        <w:t>Study P022/1033</w:t>
      </w:r>
      <w:r>
        <w:rPr>
          <w:rFonts w:cstheme="minorHAnsi"/>
        </w:rPr>
        <w:t xml:space="preserve"> examined the PK interaction</w:t>
      </w:r>
      <w:r w:rsidRPr="009B57EA">
        <w:rPr>
          <w:rFonts w:eastAsia="TimesNewRoman" w:cstheme="minorHAnsi"/>
        </w:rPr>
        <w:t xml:space="preserve"> </w:t>
      </w:r>
      <w:r>
        <w:rPr>
          <w:rFonts w:eastAsia="TimesNewRoman" w:cstheme="minorHAnsi"/>
        </w:rPr>
        <w:t xml:space="preserve">following co-administration of a single dose of 100 mg </w:t>
      </w:r>
      <w:r w:rsidRPr="009B57EA">
        <w:rPr>
          <w:rFonts w:eastAsia="TimesNewRoman" w:cstheme="minorHAnsi"/>
        </w:rPr>
        <w:t xml:space="preserve">sitagliptin </w:t>
      </w:r>
      <w:r>
        <w:rPr>
          <w:rFonts w:eastAsia="TimesNewRoman" w:cstheme="minorHAnsi"/>
        </w:rPr>
        <w:t>and</w:t>
      </w:r>
      <w:r w:rsidRPr="009B57EA">
        <w:rPr>
          <w:rFonts w:eastAsia="TimesNewRoman" w:cstheme="minorHAnsi"/>
        </w:rPr>
        <w:t xml:space="preserve"> 15 mg ertugliflozin in healthy volunteers.</w:t>
      </w:r>
      <w:r>
        <w:rPr>
          <w:rFonts w:eastAsia="TimesNewRoman" w:cstheme="minorHAnsi"/>
        </w:rPr>
        <w:t xml:space="preserve"> Sitagliptin is </w:t>
      </w:r>
      <w:r>
        <w:t xml:space="preserve">an oral anti-hyperglycaemic of the dipeptidyl peptidase 4 (DPP-4) inhibitor </w:t>
      </w:r>
      <w:proofErr w:type="gramStart"/>
      <w:r>
        <w:t>class</w:t>
      </w:r>
      <w:proofErr w:type="gramEnd"/>
      <w:r>
        <w:t xml:space="preserve">, which is a substrate of CYP3A4- and CYP2C8. The results indicated that following co-administration there was no adverse DDI between the two drugs as the </w:t>
      </w:r>
      <w:r w:rsidRPr="009B57EA">
        <w:rPr>
          <w:rFonts w:eastAsia="TimesNewRoman" w:cstheme="minorHAnsi"/>
          <w:color w:val="000000"/>
        </w:rPr>
        <w:t>GMRs (90% CI) for ertugliflozin AUC</w:t>
      </w:r>
      <w:r w:rsidRPr="00127B63">
        <w:rPr>
          <w:rFonts w:eastAsia="TimesNewRoman" w:cstheme="minorHAnsi"/>
          <w:color w:val="000000"/>
          <w:vertAlign w:val="subscript"/>
        </w:rPr>
        <w:t>inf</w:t>
      </w:r>
      <w:r w:rsidRPr="009B57EA">
        <w:rPr>
          <w:rFonts w:eastAsia="TimesNewRoman" w:cstheme="minorHAnsi"/>
          <w:color w:val="000000"/>
        </w:rPr>
        <w:t xml:space="preserve"> and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color w:val="000000"/>
        </w:rPr>
        <w:t xml:space="preserve"> were 102.27% (99.72%, 104.89%) and 98.18% (91.20%, 105.70%), respectively</w:t>
      </w:r>
      <w:r>
        <w:rPr>
          <w:rFonts w:eastAsia="TimesNewRoman" w:cstheme="minorHAnsi"/>
          <w:color w:val="000000"/>
        </w:rPr>
        <w:t xml:space="preserve"> and the GMRs (90% CIs) for sitagliptin </w:t>
      </w:r>
      <w:r w:rsidRPr="009B57EA">
        <w:rPr>
          <w:rFonts w:eastAsia="TimesNewRoman" w:cstheme="minorHAnsi"/>
          <w:color w:val="000000"/>
        </w:rPr>
        <w:t>AUC</w:t>
      </w:r>
      <w:r w:rsidRPr="00127B63">
        <w:rPr>
          <w:rFonts w:eastAsia="TimesNewRoman" w:cstheme="minorHAnsi"/>
          <w:color w:val="000000"/>
          <w:vertAlign w:val="subscript"/>
        </w:rPr>
        <w:t>inf</w:t>
      </w:r>
      <w:r w:rsidRPr="009B57EA">
        <w:rPr>
          <w:rFonts w:eastAsia="TimesNewRoman" w:cstheme="minorHAnsi"/>
          <w:color w:val="000000"/>
        </w:rPr>
        <w:t xml:space="preserve"> and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color w:val="000000"/>
        </w:rPr>
        <w:t xml:space="preserve"> were 101.67% (98.40%, 105.04%) and 101.68% (91.65%, 112.80%)</w:t>
      </w:r>
      <w:r>
        <w:rPr>
          <w:rFonts w:eastAsia="TimesNewRoman" w:cstheme="minorHAnsi"/>
          <w:color w:val="000000"/>
        </w:rPr>
        <w:t>,</w:t>
      </w:r>
      <w:r w:rsidRPr="009B57EA">
        <w:rPr>
          <w:rFonts w:eastAsia="TimesNewRoman" w:cstheme="minorHAnsi"/>
          <w:color w:val="000000"/>
        </w:rPr>
        <w:t xml:space="preserve"> respectively.</w:t>
      </w:r>
    </w:p>
    <w:p w:rsidR="002E5CF1" w:rsidRPr="00C82CFE" w:rsidRDefault="002E5CF1" w:rsidP="00580B77">
      <w:pPr>
        <w:pStyle w:val="Heading4"/>
      </w:pPr>
      <w:r>
        <w:t>DDI between ertugliflozin and simvastatin</w:t>
      </w:r>
    </w:p>
    <w:p w:rsidR="002E5CF1" w:rsidRPr="009B57EA" w:rsidRDefault="002E5CF1" w:rsidP="002E5CF1">
      <w:pPr>
        <w:rPr>
          <w:rFonts w:eastAsia="TimesNewRoman" w:cstheme="minorHAnsi"/>
          <w:color w:val="000000"/>
        </w:rPr>
      </w:pPr>
      <w:r w:rsidRPr="00580B77">
        <w:rPr>
          <w:rFonts w:cstheme="minorHAnsi"/>
        </w:rPr>
        <w:t xml:space="preserve">Study P030/1036 </w:t>
      </w:r>
      <w:r w:rsidRPr="004502C1">
        <w:rPr>
          <w:rFonts w:cstheme="minorHAnsi"/>
        </w:rPr>
        <w:t>examined the potential for a DDI</w:t>
      </w:r>
      <w:r>
        <w:rPr>
          <w:rFonts w:cstheme="minorHAnsi"/>
          <w:b/>
        </w:rPr>
        <w:t xml:space="preserve"> </w:t>
      </w:r>
      <w:r w:rsidRPr="004502C1">
        <w:rPr>
          <w:rFonts w:cstheme="minorHAnsi"/>
        </w:rPr>
        <w:t xml:space="preserve">between a </w:t>
      </w:r>
      <w:r w:rsidRPr="004502C1">
        <w:rPr>
          <w:rFonts w:eastAsia="TimesNewRoman" w:cstheme="minorHAnsi"/>
        </w:rPr>
        <w:t xml:space="preserve">single dose of ertugliflozin 15 mg and </w:t>
      </w:r>
      <w:r w:rsidR="00803C18">
        <w:t xml:space="preserve">CYP3A4 and OATP1B1 </w:t>
      </w:r>
      <w:r>
        <w:t>substrate</w:t>
      </w:r>
      <w:r w:rsidRPr="004502C1">
        <w:rPr>
          <w:rFonts w:eastAsia="TimesNewRoman" w:cstheme="minorHAnsi"/>
        </w:rPr>
        <w:t xml:space="preserve"> simvastatin 40 mg in healthy subjects</w:t>
      </w:r>
      <w:r>
        <w:rPr>
          <w:rFonts w:eastAsia="TimesNewRoman" w:cstheme="minorHAnsi"/>
        </w:rPr>
        <w:t xml:space="preserve">. </w:t>
      </w:r>
      <w:r w:rsidRPr="009B57EA">
        <w:rPr>
          <w:rFonts w:eastAsia="TimesNewRoman" w:cstheme="minorHAnsi"/>
          <w:color w:val="000000"/>
        </w:rPr>
        <w:t xml:space="preserve">Co-administration of ertugliflozin with a single dose of simvastatin </w:t>
      </w:r>
      <w:r>
        <w:rPr>
          <w:rFonts w:eastAsia="TimesNewRoman" w:cstheme="minorHAnsi"/>
          <w:color w:val="000000"/>
        </w:rPr>
        <w:t>had no effect on</w:t>
      </w:r>
      <w:r w:rsidRPr="009B57EA">
        <w:rPr>
          <w:rFonts w:eastAsia="TimesNewRoman" w:cstheme="minorHAnsi"/>
          <w:color w:val="000000"/>
        </w:rPr>
        <w:t xml:space="preserve"> ertugliflozin exposure, as reflected by the </w:t>
      </w:r>
      <w:r>
        <w:rPr>
          <w:rFonts w:eastAsia="TimesNewRoman" w:cstheme="minorHAnsi"/>
          <w:color w:val="000000"/>
        </w:rPr>
        <w:t>GMRs</w:t>
      </w:r>
      <w:r w:rsidRPr="009B57EA">
        <w:rPr>
          <w:rFonts w:eastAsia="TimesNewRoman" w:cstheme="minorHAnsi"/>
          <w:color w:val="000000"/>
        </w:rPr>
        <w:t xml:space="preserve"> </w:t>
      </w:r>
      <w:r>
        <w:rPr>
          <w:rFonts w:eastAsia="TimesNewRoman" w:cstheme="minorHAnsi"/>
          <w:color w:val="000000"/>
        </w:rPr>
        <w:t xml:space="preserve">(90%CIs) </w:t>
      </w:r>
      <w:r w:rsidRPr="009B57EA">
        <w:rPr>
          <w:rFonts w:eastAsia="TimesNewRoman" w:cstheme="minorHAnsi"/>
          <w:color w:val="000000"/>
        </w:rPr>
        <w:t>(Test/Reference) of 102.40%</w:t>
      </w:r>
      <w:r>
        <w:rPr>
          <w:rFonts w:eastAsia="TimesNewRoman" w:cstheme="minorHAnsi"/>
          <w:color w:val="000000"/>
        </w:rPr>
        <w:t xml:space="preserve"> </w:t>
      </w:r>
      <w:r w:rsidRPr="009B57EA">
        <w:rPr>
          <w:rFonts w:eastAsia="TimesNewRoman" w:cstheme="minorHAnsi"/>
          <w:color w:val="000000"/>
        </w:rPr>
        <w:t>(99.57%, 105.31%) and 105.16% (98.26%, 112.54%)</w:t>
      </w:r>
      <w:r>
        <w:rPr>
          <w:rFonts w:eastAsia="TimesNewRoman" w:cstheme="minorHAnsi"/>
          <w:color w:val="000000"/>
        </w:rPr>
        <w:t xml:space="preserve"> </w:t>
      </w:r>
      <w:r w:rsidRPr="009B57EA">
        <w:rPr>
          <w:rFonts w:eastAsia="TimesNewRoman" w:cstheme="minorHAnsi"/>
          <w:color w:val="000000"/>
        </w:rPr>
        <w:t>for AUC</w:t>
      </w:r>
      <w:r w:rsidRPr="00127B63">
        <w:rPr>
          <w:rFonts w:eastAsia="TimesNewRoman" w:cstheme="minorHAnsi"/>
          <w:color w:val="000000"/>
          <w:vertAlign w:val="subscript"/>
        </w:rPr>
        <w:t>inf</w:t>
      </w:r>
      <w:r w:rsidRPr="009B57EA">
        <w:rPr>
          <w:rFonts w:eastAsia="TimesNewRoman" w:cstheme="minorHAnsi"/>
          <w:color w:val="000000"/>
        </w:rPr>
        <w:t xml:space="preserve"> and </w:t>
      </w:r>
      <w:r w:rsidR="006F000B">
        <w:rPr>
          <w:rFonts w:eastAsia="TimesNewRoman" w:cstheme="minorHAnsi"/>
        </w:rPr>
        <w:t>T</w:t>
      </w:r>
      <w:r w:rsidR="006F000B" w:rsidRPr="006F000B">
        <w:rPr>
          <w:rFonts w:eastAsia="TimesNewRoman" w:cstheme="minorHAnsi"/>
          <w:vertAlign w:val="subscript"/>
        </w:rPr>
        <w:t>max</w:t>
      </w:r>
      <w:r w:rsidRPr="009B57EA">
        <w:rPr>
          <w:rFonts w:eastAsia="TimesNewRoman" w:cstheme="minorHAnsi"/>
          <w:color w:val="000000"/>
        </w:rPr>
        <w:t xml:space="preserve">, respectively. </w:t>
      </w:r>
      <w:r>
        <w:rPr>
          <w:rFonts w:eastAsia="TimesNewRoman" w:cstheme="minorHAnsi"/>
          <w:color w:val="000000"/>
        </w:rPr>
        <w:t xml:space="preserve">By contrast, co-administration with ertugliflozin resulted in a small but significant increase in </w:t>
      </w:r>
      <w:r w:rsidRPr="009B57EA">
        <w:rPr>
          <w:rFonts w:eastAsia="TimesNewRoman" w:cstheme="minorHAnsi"/>
          <w:color w:val="000000"/>
        </w:rPr>
        <w:t>simvastatin AUC</w:t>
      </w:r>
      <w:r w:rsidRPr="00127B63">
        <w:rPr>
          <w:rFonts w:eastAsia="TimesNewRoman" w:cstheme="minorHAnsi"/>
          <w:color w:val="000000"/>
          <w:vertAlign w:val="subscript"/>
        </w:rPr>
        <w:t>inf</w:t>
      </w:r>
      <w:r w:rsidRPr="009B57EA">
        <w:rPr>
          <w:rFonts w:eastAsia="TimesNewRoman" w:cstheme="minorHAnsi"/>
          <w:color w:val="000000"/>
        </w:rPr>
        <w:t xml:space="preserve"> </w:t>
      </w:r>
      <w:r>
        <w:rPr>
          <w:rFonts w:eastAsia="TimesNewRoman" w:cstheme="minorHAnsi"/>
          <w:color w:val="000000"/>
        </w:rPr>
        <w:t xml:space="preserve">and </w:t>
      </w:r>
      <w:r w:rsidR="006F000B">
        <w:rPr>
          <w:rFonts w:eastAsia="TimesNewRoman" w:cstheme="minorHAnsi"/>
        </w:rPr>
        <w:t>T</w:t>
      </w:r>
      <w:r w:rsidR="006F000B" w:rsidRPr="006F000B">
        <w:rPr>
          <w:rFonts w:eastAsia="TimesNewRoman" w:cstheme="minorHAnsi"/>
          <w:vertAlign w:val="subscript"/>
        </w:rPr>
        <w:t>max</w:t>
      </w:r>
      <w:r>
        <w:rPr>
          <w:rFonts w:eastAsia="TimesNewRoman" w:cstheme="minorHAnsi"/>
          <w:color w:val="000000"/>
        </w:rPr>
        <w:t xml:space="preserve"> values </w:t>
      </w:r>
      <w:r>
        <w:rPr>
          <w:rFonts w:eastAsia="TimesNewRoman" w:cstheme="minorHAnsi"/>
          <w:color w:val="000000"/>
        </w:rPr>
        <w:lastRenderedPageBreak/>
        <w:t xml:space="preserve">with GMRs (90%CIs) of 123.83 </w:t>
      </w:r>
      <w:r w:rsidRPr="009B57EA">
        <w:rPr>
          <w:rFonts w:eastAsia="TimesNewRoman" w:cstheme="minorHAnsi"/>
          <w:color w:val="000000"/>
        </w:rPr>
        <w:t>(90.92%, 168.66%)</w:t>
      </w:r>
      <w:r>
        <w:rPr>
          <w:rFonts w:eastAsia="TimesNewRoman" w:cstheme="minorHAnsi"/>
          <w:color w:val="000000"/>
        </w:rPr>
        <w:t xml:space="preserve"> and </w:t>
      </w:r>
      <w:r w:rsidRPr="009B57EA">
        <w:rPr>
          <w:rFonts w:eastAsia="TimesNewRoman" w:cstheme="minorHAnsi"/>
          <w:color w:val="000000"/>
        </w:rPr>
        <w:t>119.05%</w:t>
      </w:r>
      <w:r>
        <w:rPr>
          <w:rFonts w:eastAsia="TimesNewRoman" w:cstheme="minorHAnsi"/>
          <w:color w:val="000000"/>
        </w:rPr>
        <w:t xml:space="preserve"> </w:t>
      </w:r>
      <w:r w:rsidRPr="009B57EA">
        <w:rPr>
          <w:rFonts w:eastAsia="TimesNewRoman" w:cstheme="minorHAnsi"/>
          <w:color w:val="000000"/>
        </w:rPr>
        <w:t>(97.22%, 145.77%)</w:t>
      </w:r>
      <w:r>
        <w:rPr>
          <w:rFonts w:eastAsia="TimesNewRoman" w:cstheme="minorHAnsi"/>
          <w:color w:val="000000"/>
        </w:rPr>
        <w:t>, respectively</w:t>
      </w:r>
      <w:r w:rsidRPr="009B57EA">
        <w:rPr>
          <w:rFonts w:eastAsia="TimesNewRoman" w:cstheme="minorHAnsi"/>
          <w:color w:val="000000"/>
        </w:rPr>
        <w:t>. Th</w:t>
      </w:r>
      <w:r>
        <w:rPr>
          <w:rFonts w:eastAsia="TimesNewRoman" w:cstheme="minorHAnsi"/>
          <w:color w:val="000000"/>
        </w:rPr>
        <w:t>is small</w:t>
      </w:r>
      <w:r w:rsidRPr="009B57EA">
        <w:rPr>
          <w:rFonts w:eastAsia="TimesNewRoman" w:cstheme="minorHAnsi"/>
          <w:color w:val="000000"/>
        </w:rPr>
        <w:t xml:space="preserve"> increase in simvastatin </w:t>
      </w:r>
      <w:r>
        <w:rPr>
          <w:rFonts w:eastAsia="TimesNewRoman" w:cstheme="minorHAnsi"/>
          <w:color w:val="000000"/>
        </w:rPr>
        <w:t xml:space="preserve">following co-administration with ertugliflozin is unlikely to be </w:t>
      </w:r>
      <w:r w:rsidRPr="009B57EA">
        <w:rPr>
          <w:rFonts w:eastAsia="TimesNewRoman" w:cstheme="minorHAnsi"/>
          <w:color w:val="000000"/>
        </w:rPr>
        <w:t>clinically relevant.</w:t>
      </w:r>
    </w:p>
    <w:p w:rsidR="002E5CF1" w:rsidRDefault="002E5CF1" w:rsidP="00580B77">
      <w:pPr>
        <w:pStyle w:val="Heading4"/>
      </w:pPr>
      <w:r>
        <w:t>DDI between ertugliflozin and steady-state rifampin</w:t>
      </w:r>
    </w:p>
    <w:p w:rsidR="002E5CF1" w:rsidRDefault="002E5CF1" w:rsidP="002E5CF1">
      <w:pPr>
        <w:rPr>
          <w:rFonts w:eastAsiaTheme="minorHAnsi"/>
        </w:rPr>
      </w:pPr>
      <w:r w:rsidRPr="00580B77">
        <w:rPr>
          <w:rFonts w:cstheme="minorHAnsi"/>
        </w:rPr>
        <w:t xml:space="preserve">Study </w:t>
      </w:r>
      <w:r w:rsidRPr="00580B77">
        <w:rPr>
          <w:rFonts w:cstheme="minorHAnsi"/>
          <w:bCs/>
          <w:color w:val="000000"/>
        </w:rPr>
        <w:t>P021/1040</w:t>
      </w:r>
      <w:r>
        <w:rPr>
          <w:rFonts w:cstheme="minorHAnsi"/>
        </w:rPr>
        <w:t xml:space="preserve"> examined the effects of </w:t>
      </w:r>
      <w:r w:rsidRPr="009B57EA">
        <w:t xml:space="preserve">steady-state rifampin </w:t>
      </w:r>
      <w:r>
        <w:t>600 mg QD,</w:t>
      </w:r>
      <w:r w:rsidRPr="00671762">
        <w:t xml:space="preserve"> </w:t>
      </w:r>
      <w:r>
        <w:t>(</w:t>
      </w:r>
      <w:r w:rsidRPr="009B57EA">
        <w:t xml:space="preserve">which acts as an inducer of CYPs and </w:t>
      </w:r>
      <w:r w:rsidRPr="009B57EA">
        <w:rPr>
          <w:rFonts w:eastAsiaTheme="minorHAnsi"/>
        </w:rPr>
        <w:t>P-gp</w:t>
      </w:r>
      <w:r>
        <w:rPr>
          <w:rFonts w:cstheme="minorHAnsi"/>
        </w:rPr>
        <w:t xml:space="preserve"> </w:t>
      </w:r>
      <w:r w:rsidRPr="009B57EA">
        <w:t>following multiple doses</w:t>
      </w:r>
      <w:r>
        <w:t>)</w:t>
      </w:r>
      <w:r w:rsidRPr="009B57EA">
        <w:t xml:space="preserve"> </w:t>
      </w:r>
      <w:r>
        <w:rPr>
          <w:rFonts w:cstheme="minorHAnsi"/>
        </w:rPr>
        <w:t xml:space="preserve">on the PKs of a </w:t>
      </w:r>
      <w:r w:rsidRPr="009B57EA">
        <w:t xml:space="preserve">single dose of </w:t>
      </w:r>
      <w:r>
        <w:t>15 mg ertugliflozin</w:t>
      </w:r>
      <w:r>
        <w:rPr>
          <w:rFonts w:eastAsiaTheme="minorHAnsi"/>
        </w:rPr>
        <w:t xml:space="preserve">. </w:t>
      </w:r>
      <w:r w:rsidR="00803C18">
        <w:rPr>
          <w:rFonts w:eastAsia="TimesNewRoman" w:cstheme="minorHAnsi"/>
        </w:rPr>
        <w:t xml:space="preserve">The presence of steady </w:t>
      </w:r>
      <w:r>
        <w:rPr>
          <w:rFonts w:eastAsia="TimesNewRoman" w:cstheme="minorHAnsi"/>
        </w:rPr>
        <w:t>state rifampin reduced exposure to single dose of ertugliflozin as the GMRs (90%CIs) for ertugliflozin AUC</w:t>
      </w:r>
      <w:r>
        <w:rPr>
          <w:rFonts w:eastAsia="TimesNewRoman" w:cstheme="minorHAnsi"/>
          <w:vertAlign w:val="subscript"/>
        </w:rPr>
        <w:t>inf</w:t>
      </w:r>
      <w:r>
        <w:rPr>
          <w:rFonts w:eastAsia="TimesNewRoman" w:cstheme="minorHAnsi"/>
        </w:rPr>
        <w:t xml:space="preserve"> and </w:t>
      </w:r>
      <w:r w:rsidR="006F000B">
        <w:rPr>
          <w:rFonts w:eastAsia="TimesNewRoman" w:cstheme="minorHAnsi"/>
        </w:rPr>
        <w:t>T</w:t>
      </w:r>
      <w:r w:rsidR="006F000B" w:rsidRPr="006F000B">
        <w:rPr>
          <w:rFonts w:eastAsia="TimesNewRoman" w:cstheme="minorHAnsi"/>
          <w:vertAlign w:val="subscript"/>
        </w:rPr>
        <w:t>max</w:t>
      </w:r>
      <w:r>
        <w:rPr>
          <w:rFonts w:eastAsia="TimesNewRoman" w:cstheme="minorHAnsi"/>
        </w:rPr>
        <w:t xml:space="preserve"> were</w:t>
      </w:r>
      <w:r w:rsidRPr="009B57EA">
        <w:rPr>
          <w:rFonts w:eastAsia="TimesNewRoman" w:cstheme="minorHAnsi"/>
        </w:rPr>
        <w:t xml:space="preserve"> 61.16% (57.22%, 65.37%) and 84.62% (74.17%, 96.53%), respectively.</w:t>
      </w:r>
    </w:p>
    <w:p w:rsidR="002E5CF1" w:rsidRDefault="002E5CF1" w:rsidP="00580B77">
      <w:pPr>
        <w:pStyle w:val="Heading4"/>
        <w:rPr>
          <w:rFonts w:eastAsiaTheme="minorHAnsi"/>
        </w:rPr>
      </w:pPr>
      <w:r w:rsidRPr="009B57EA">
        <w:t xml:space="preserve">DDI between single dose ertugliflozin and </w:t>
      </w:r>
      <w:r w:rsidRPr="009B57EA">
        <w:rPr>
          <w:rFonts w:eastAsia="TimesNewRoman"/>
          <w:lang w:eastAsia="en-US"/>
        </w:rPr>
        <w:t>glimepiride</w:t>
      </w:r>
    </w:p>
    <w:p w:rsidR="002E5CF1" w:rsidRPr="00466236" w:rsidRDefault="002E5CF1" w:rsidP="00803C18">
      <w:pPr>
        <w:rPr>
          <w:lang w:eastAsia="ja-JP"/>
        </w:rPr>
      </w:pPr>
      <w:r w:rsidRPr="007C5FC9">
        <w:t xml:space="preserve">Study </w:t>
      </w:r>
      <w:r w:rsidRPr="007C5FC9">
        <w:rPr>
          <w:bCs/>
          <w:color w:val="000000"/>
        </w:rPr>
        <w:t>P032/1044</w:t>
      </w:r>
      <w:r>
        <w:rPr>
          <w:bCs/>
          <w:color w:val="000000"/>
        </w:rPr>
        <w:t xml:space="preserve"> examined the potential for a DDI between a </w:t>
      </w:r>
      <w:r w:rsidRPr="009B57EA">
        <w:rPr>
          <w:rFonts w:eastAsia="TimesNewRoman"/>
        </w:rPr>
        <w:t>single dose of ertugliflozin 15 mg and glimepiride 1 mg in healthy subjects</w:t>
      </w:r>
      <w:r>
        <w:rPr>
          <w:rFonts w:eastAsia="TimesNewRoman"/>
        </w:rPr>
        <w:t>. Glimepiride is a m</w:t>
      </w:r>
      <w:r>
        <w:rPr>
          <w:lang w:eastAsia="ja-JP"/>
        </w:rPr>
        <w:t xml:space="preserve">edium to long-acting sulfonylurea, which acts by increasing pancreatic insulin production and is a substrate for CYP2C9. </w:t>
      </w:r>
      <w:r w:rsidRPr="009B57EA">
        <w:rPr>
          <w:rFonts w:eastAsia="TimesNewRoman"/>
        </w:rPr>
        <w:t>Co-administration of ertugliflozin with single doses of glimepiride did not alter ertugliflozin AUC</w:t>
      </w:r>
      <w:r w:rsidRPr="00127B63">
        <w:rPr>
          <w:rFonts w:eastAsia="TimesNewRoman"/>
          <w:vertAlign w:val="subscript"/>
        </w:rPr>
        <w:t>inf</w:t>
      </w:r>
      <w:r w:rsidRPr="009B57EA">
        <w:rPr>
          <w:rFonts w:eastAsia="TimesNewRoman"/>
        </w:rPr>
        <w:t xml:space="preserve"> and </w:t>
      </w:r>
      <w:r w:rsidR="006F000B">
        <w:rPr>
          <w:rFonts w:eastAsia="TimesNewRoman"/>
        </w:rPr>
        <w:t>T</w:t>
      </w:r>
      <w:r w:rsidR="006F000B" w:rsidRPr="006F000B">
        <w:rPr>
          <w:rFonts w:eastAsia="TimesNewRoman"/>
          <w:vertAlign w:val="subscript"/>
        </w:rPr>
        <w:t>max</w:t>
      </w:r>
      <w:r w:rsidRPr="009B57EA">
        <w:rPr>
          <w:rFonts w:eastAsia="TimesNewRoman"/>
        </w:rPr>
        <w:t xml:space="preserve">, as reflected by the </w:t>
      </w:r>
      <w:r>
        <w:rPr>
          <w:rFonts w:eastAsia="TimesNewRoman"/>
        </w:rPr>
        <w:t>GMRs (90%CIs)</w:t>
      </w:r>
      <w:r w:rsidRPr="009B57EA">
        <w:rPr>
          <w:rFonts w:eastAsia="TimesNewRoman"/>
        </w:rPr>
        <w:t xml:space="preserve"> of 102.11% (97.19%, 107.27%) and 98.20%</w:t>
      </w:r>
      <w:r>
        <w:rPr>
          <w:rFonts w:eastAsia="TimesNewRoman"/>
        </w:rPr>
        <w:t xml:space="preserve"> </w:t>
      </w:r>
      <w:r w:rsidRPr="009B57EA">
        <w:rPr>
          <w:rFonts w:eastAsia="TimesNewRoman"/>
        </w:rPr>
        <w:t>(92.17%, 104.63%), respectively.</w:t>
      </w:r>
      <w:r>
        <w:rPr>
          <w:rFonts w:eastAsia="TimesNewRoman"/>
        </w:rPr>
        <w:t xml:space="preserve"> For </w:t>
      </w:r>
      <w:r w:rsidRPr="009B57EA">
        <w:rPr>
          <w:rFonts w:eastAsia="TimesNewRoman"/>
          <w:color w:val="000000"/>
        </w:rPr>
        <w:t>glimepiride</w:t>
      </w:r>
      <w:r>
        <w:rPr>
          <w:rFonts w:eastAsia="TimesNewRoman"/>
          <w:color w:val="000000"/>
        </w:rPr>
        <w:t>, co-administration with ertugliflozin had little to no effect on the AUC</w:t>
      </w:r>
      <w:r>
        <w:rPr>
          <w:rFonts w:eastAsia="TimesNewRoman"/>
          <w:color w:val="000000"/>
          <w:vertAlign w:val="subscript"/>
        </w:rPr>
        <w:t xml:space="preserve">inf </w:t>
      </w:r>
      <w:r>
        <w:rPr>
          <w:rFonts w:eastAsia="TimesNewRoman"/>
          <w:color w:val="000000"/>
        </w:rPr>
        <w:t xml:space="preserve">and </w:t>
      </w:r>
      <w:r w:rsidR="006F000B">
        <w:rPr>
          <w:rFonts w:eastAsia="TimesNewRoman"/>
        </w:rPr>
        <w:t>T</w:t>
      </w:r>
      <w:r w:rsidR="006F000B" w:rsidRPr="006F000B">
        <w:rPr>
          <w:rFonts w:eastAsia="TimesNewRoman"/>
          <w:vertAlign w:val="subscript"/>
        </w:rPr>
        <w:t>max</w:t>
      </w:r>
      <w:r>
        <w:rPr>
          <w:rFonts w:eastAsia="TimesNewRoman"/>
          <w:color w:val="000000"/>
        </w:rPr>
        <w:t xml:space="preserve"> of glimepiride as reflected in the GMRs (90%CIs) of</w:t>
      </w:r>
      <w:r w:rsidRPr="009B57EA">
        <w:rPr>
          <w:rFonts w:eastAsia="TimesNewRoman"/>
          <w:color w:val="000000"/>
        </w:rPr>
        <w:t xml:space="preserve"> 109.80% (98.14%, 122.86%) and 97.39% (71.07%, 133.46%), respectively.</w:t>
      </w:r>
    </w:p>
    <w:p w:rsidR="002E5CF1" w:rsidRDefault="002E5CF1" w:rsidP="007C5FC9">
      <w:pPr>
        <w:pStyle w:val="Heading4"/>
      </w:pPr>
      <w:bookmarkStart w:id="172" w:name="_Toc272414634"/>
      <w:bookmarkStart w:id="173" w:name="_Toc290888483"/>
      <w:bookmarkStart w:id="174" w:name="_Toc416353680"/>
      <w:bookmarkStart w:id="175" w:name="_Toc432079131"/>
      <w:bookmarkStart w:id="176" w:name="_Toc432080704"/>
      <w:bookmarkStart w:id="177" w:name="_Toc461096082"/>
      <w:bookmarkStart w:id="178" w:name="_Toc504038133"/>
      <w:r w:rsidRPr="00545B14">
        <w:t>Clinical implications of in vitro findings</w:t>
      </w:r>
      <w:bookmarkEnd w:id="172"/>
      <w:bookmarkEnd w:id="173"/>
      <w:bookmarkEnd w:id="174"/>
      <w:bookmarkEnd w:id="175"/>
      <w:bookmarkEnd w:id="176"/>
      <w:bookmarkEnd w:id="177"/>
      <w:bookmarkEnd w:id="178"/>
    </w:p>
    <w:p w:rsidR="002E5CF1" w:rsidRDefault="002E5CF1" w:rsidP="007C5FC9">
      <w:r w:rsidRPr="00B0442B">
        <w:t>As it is estimated that glucuronidation is responsible for 86% of the metabolism of ertugliflozin in humans and oxidative metabolism accounts for a further 12</w:t>
      </w:r>
      <w:r w:rsidRPr="007C10EB">
        <w:t xml:space="preserve">%, </w:t>
      </w:r>
      <w:r w:rsidRPr="00E7616B">
        <w:rPr>
          <w:i/>
        </w:rPr>
        <w:t>in vitro</w:t>
      </w:r>
      <w:r w:rsidRPr="00B0442B">
        <w:rPr>
          <w:i/>
        </w:rPr>
        <w:t xml:space="preserve"> </w:t>
      </w:r>
      <w:r w:rsidRPr="00B0442B">
        <w:t xml:space="preserve">studies were undertaken using recombinant UGT and CYP enzymes to determine which isoforms were responsible for the various components of ertugliflozin metabolism. The results indicated that UGT1A9 and UGT2B7 </w:t>
      </w:r>
      <w:r>
        <w:t xml:space="preserve">were responsible for the </w:t>
      </w:r>
      <w:r w:rsidRPr="00B0442B">
        <w:t>glucuronidat</w:t>
      </w:r>
      <w:r>
        <w:t xml:space="preserve">ion of </w:t>
      </w:r>
      <w:r w:rsidRPr="00B0442B">
        <w:t>ertugliflozin to M5c and M5a and that CYP3A4 and CYP3A5 were involved in the formation of the primary oxidative metabolites M1 and M2.</w:t>
      </w:r>
    </w:p>
    <w:p w:rsidR="002E5CF1" w:rsidRDefault="002E5CF1" w:rsidP="007C5FC9">
      <w:r w:rsidRPr="007242ED">
        <w:t xml:space="preserve">Ertugliflozin demonstrated little or no inhibition </w:t>
      </w:r>
      <w:r>
        <w:t>at</w:t>
      </w:r>
      <w:r w:rsidRPr="007242ED">
        <w:t xml:space="preserve"> 7 CYP enzymes (CYP1A2, CYP2B6, CYP2C8, CYP2C9, CYP2C19, CYP2D6, and CYP3A4/5), nor did it induce CYP3A4, CYP2B6, or CYP1A2 activity. In addition, ertugliflozin demonstrated little or no reversible inhibition of UGT1A6, UGT1A9, and UGT2B7 (IC50 &gt;100 μM). By contrast, ertugliflozin inhibited UGT1A1 and UGT1A4 activities in the presence of 0.1% bovine serum albumin with u</w:t>
      </w:r>
      <w:r w:rsidR="00803C18">
        <w:t>nbound IC50 values of 39 and 45 </w:t>
      </w:r>
      <w:r w:rsidRPr="007242ED">
        <w:t xml:space="preserve">µM, respectively, and P-gp and BCRP with estimated Ki values of 176 μM and ~100 μM, respectively. Ertugliflozin also inhibited the OATP1B1-, OATP1B3-, and OCT1-mediated transport with IC50 values of 35.4, 141, and 53 μM, respectively (Ki of 17.7, 141, and 53 μM, respectively). Further </w:t>
      </w:r>
      <w:r w:rsidRPr="007242ED">
        <w:rPr>
          <w:i/>
        </w:rPr>
        <w:t>in vitro</w:t>
      </w:r>
      <w:r w:rsidRPr="007242ED">
        <w:t xml:space="preserve"> studies indicated that ertugliflozin was a substrate for both P-gp and BCRP efflux transporters, whereas, it was not a substrate for the hepatic uptake transporters OATP1B1, OATP1B3, OATP2B1, OCT1, OAT1, OAT3 or OCT2.</w:t>
      </w:r>
    </w:p>
    <w:p w:rsidR="002E5CF1" w:rsidRPr="00E36878" w:rsidRDefault="002E5CF1" w:rsidP="007C5FC9">
      <w:pPr>
        <w:pStyle w:val="Comment"/>
      </w:pPr>
      <w:r w:rsidRPr="007C5FC9">
        <w:rPr>
          <w:b/>
        </w:rPr>
        <w:t>Comment</w:t>
      </w:r>
      <w:r w:rsidRPr="00E36878">
        <w:t>:</w:t>
      </w:r>
      <w:r w:rsidR="00803C18">
        <w:t xml:space="preserve"> </w:t>
      </w:r>
      <w:r w:rsidRPr="00E36878">
        <w:t>Although ertugliflozin did not induce or inhibit a range of CYP enzymes, it is in part a substrate for both CYP3A4 and CYP3A5; however, no studies have examined the effects of a strong CYP3A inhibitor, such as clarithromycin or itraconazole, on the PKs of ertugliflozin.</w:t>
      </w:r>
      <w:r>
        <w:t xml:space="preserve"> Furthermore, pharmacokinetic interactions between ertugliflozin and other commonly administered drugs in this patient population such as diuretics, warfarin, </w:t>
      </w:r>
      <w:r w:rsidR="00AE3765">
        <w:t>and digoxin</w:t>
      </w:r>
      <w:r>
        <w:t xml:space="preserve"> </w:t>
      </w:r>
      <w:r w:rsidR="007C5FC9">
        <w:t>and so on</w:t>
      </w:r>
      <w:r>
        <w:t xml:space="preserve"> w</w:t>
      </w:r>
      <w:r w:rsidR="007C5FC9">
        <w:t>as</w:t>
      </w:r>
      <w:r>
        <w:t xml:space="preserve"> not evaluated. The effect of smoking and alcohol use on ertugliflozin PKs was also not specifically studied.</w:t>
      </w:r>
    </w:p>
    <w:p w:rsidR="002E5CF1" w:rsidRDefault="002E5CF1" w:rsidP="007C5FC9">
      <w:pPr>
        <w:pStyle w:val="Heading3"/>
      </w:pPr>
      <w:bookmarkStart w:id="179" w:name="_Toc241374296"/>
      <w:bookmarkStart w:id="180" w:name="_Ref269982040"/>
      <w:bookmarkStart w:id="181" w:name="_Ref271018704"/>
      <w:bookmarkStart w:id="182" w:name="_Ref271018755"/>
      <w:bookmarkStart w:id="183" w:name="_Toc272414635"/>
      <w:bookmarkStart w:id="184" w:name="_Toc290888484"/>
      <w:bookmarkStart w:id="185" w:name="_Toc416353681"/>
      <w:bookmarkStart w:id="186" w:name="_Toc421005250"/>
      <w:bookmarkStart w:id="187" w:name="_Toc432079132"/>
      <w:bookmarkStart w:id="188" w:name="_Toc432080705"/>
      <w:bookmarkStart w:id="189" w:name="_Toc461096083"/>
      <w:bookmarkStart w:id="190" w:name="_Ref492026993"/>
      <w:bookmarkStart w:id="191" w:name="_Toc504038134"/>
      <w:bookmarkStart w:id="192" w:name="_Toc4489197"/>
      <w:r w:rsidRPr="00545B14">
        <w:lastRenderedPageBreak/>
        <w:t>Evaluator’s overall conclusions on pharmacokinetics</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rsidR="002E5CF1" w:rsidRPr="00803C18" w:rsidRDefault="002E5CF1" w:rsidP="002E5CF1">
      <w:r w:rsidRPr="00865345">
        <w:t xml:space="preserve">Overall, the conduct of the </w:t>
      </w:r>
      <w:r>
        <w:t>PK studies</w:t>
      </w:r>
      <w:r w:rsidRPr="00865345">
        <w:t xml:space="preserve"> of ertugliflozin was satisfactory</w:t>
      </w:r>
      <w:r>
        <w:t xml:space="preserve"> and was compliant with existing TGA guidelines, validated analytical methods were employed</w:t>
      </w:r>
      <w:r w:rsidRPr="00865345">
        <w:t xml:space="preserve"> and the data analyses undertaken were appropriate</w:t>
      </w:r>
      <w:r>
        <w:t>.</w:t>
      </w:r>
    </w:p>
    <w:p w:rsidR="002E5CF1" w:rsidRPr="00BC2BC4" w:rsidRDefault="002E5CF1" w:rsidP="007C5FC9">
      <w:pPr>
        <w:pStyle w:val="Heading4"/>
      </w:pPr>
      <w:r w:rsidRPr="00BC2BC4">
        <w:t>A</w:t>
      </w:r>
      <w:r w:rsidR="007C10EB">
        <w:t>bsorption, distribution, metabolism and excretion</w:t>
      </w:r>
    </w:p>
    <w:p w:rsidR="00803C18" w:rsidRDefault="002E5CF1" w:rsidP="00803C18">
      <w:r w:rsidRPr="00F76566">
        <w:t xml:space="preserve">The proposed commercial formulation of MSD-ertugliflozin is an </w:t>
      </w:r>
      <w:r>
        <w:t xml:space="preserve">orally administered, IR, </w:t>
      </w:r>
      <w:r w:rsidR="00803C18">
        <w:t>film coated</w:t>
      </w:r>
      <w:r>
        <w:t xml:space="preserve"> tablet</w:t>
      </w:r>
      <w:r w:rsidRPr="00F76566">
        <w:t>, which is provided in 5 mg and 15 mg tablet strengths</w:t>
      </w:r>
      <w:r w:rsidR="00803C18">
        <w:t>.</w:t>
      </w:r>
    </w:p>
    <w:p w:rsidR="002E5CF1" w:rsidRPr="00465570" w:rsidRDefault="002E5CF1" w:rsidP="00803C18">
      <w:r w:rsidRPr="00F76566">
        <w:t xml:space="preserve">The absolute oral bioavailability of </w:t>
      </w:r>
      <w:r w:rsidRPr="00F76566">
        <w:rPr>
          <w:rFonts w:eastAsia="TimesNewRoman" w:cstheme="minorHAnsi"/>
        </w:rPr>
        <w:t>a single 15 mg dose of amorphous ertugliflozin was 104.7%</w:t>
      </w:r>
      <w:r>
        <w:rPr>
          <w:rFonts w:eastAsia="TimesNewRoman" w:cstheme="minorHAnsi"/>
        </w:rPr>
        <w:t>. F</w:t>
      </w:r>
      <w:r w:rsidRPr="00F76566">
        <w:rPr>
          <w:rFonts w:eastAsia="TimesNewRoman" w:cstheme="minorHAnsi"/>
        </w:rPr>
        <w:t xml:space="preserve">ollowing administration of a single oral 15 mg dose of the commercial image tablet the median </w:t>
      </w:r>
      <w:r w:rsidR="006F000B">
        <w:rPr>
          <w:rFonts w:eastAsia="TimesNewRoman" w:cstheme="minorHAnsi"/>
        </w:rPr>
        <w:t>T</w:t>
      </w:r>
      <w:r w:rsidR="006F000B" w:rsidRPr="006F000B">
        <w:rPr>
          <w:rFonts w:eastAsia="TimesNewRoman" w:cstheme="minorHAnsi"/>
          <w:vertAlign w:val="subscript"/>
        </w:rPr>
        <w:t>max</w:t>
      </w:r>
      <w:r w:rsidRPr="00F76566">
        <w:rPr>
          <w:rFonts w:eastAsia="TimesNewRoman" w:cstheme="minorHAnsi"/>
        </w:rPr>
        <w:t xml:space="preserve"> occurred 1 h after dosing and the mean t</w:t>
      </w:r>
      <w:r w:rsidRPr="00F76566">
        <w:rPr>
          <w:rFonts w:eastAsia="TimesNewRoman" w:cstheme="minorHAnsi"/>
          <w:vertAlign w:val="subscript"/>
        </w:rPr>
        <w:t>1/2</w:t>
      </w:r>
      <w:r w:rsidRPr="00F76566">
        <w:rPr>
          <w:rFonts w:eastAsia="TimesNewRoman" w:cstheme="minorHAnsi"/>
        </w:rPr>
        <w:t xml:space="preserve"> was 12.6 h.</w:t>
      </w:r>
      <w:r>
        <w:rPr>
          <w:rFonts w:eastAsia="TimesNewRoman" w:cstheme="minorHAnsi"/>
        </w:rPr>
        <w:t xml:space="preserve"> </w:t>
      </w:r>
      <w:r w:rsidRPr="00F76566">
        <w:rPr>
          <w:rFonts w:eastAsia="TimesNewRoman" w:cstheme="minorHAnsi"/>
        </w:rPr>
        <w:t xml:space="preserve">A </w:t>
      </w:r>
      <w:r w:rsidR="00803C18">
        <w:rPr>
          <w:rFonts w:eastAsia="TimesNewRoman" w:cstheme="minorHAnsi"/>
        </w:rPr>
        <w:t>high fat</w:t>
      </w:r>
      <w:r w:rsidRPr="00F76566">
        <w:rPr>
          <w:rFonts w:eastAsia="TimesNewRoman" w:cstheme="minorHAnsi"/>
        </w:rPr>
        <w:t>/</w:t>
      </w:r>
      <w:r w:rsidR="00803C18">
        <w:rPr>
          <w:rFonts w:eastAsia="TimesNewRoman" w:cstheme="minorHAnsi"/>
        </w:rPr>
        <w:t>high calorie</w:t>
      </w:r>
      <w:r w:rsidRPr="00F76566">
        <w:rPr>
          <w:rFonts w:eastAsia="TimesNewRoman" w:cstheme="minorHAnsi"/>
        </w:rPr>
        <w:t xml:space="preserve"> breakfast had no effect on the AUC</w:t>
      </w:r>
      <w:r w:rsidRPr="00F76566">
        <w:rPr>
          <w:rFonts w:eastAsia="TimesNewRoman" w:cstheme="minorHAnsi"/>
          <w:vertAlign w:val="subscript"/>
        </w:rPr>
        <w:t>inf</w:t>
      </w:r>
      <w:r w:rsidRPr="00F76566">
        <w:rPr>
          <w:rFonts w:eastAsia="TimesNewRoman" w:cstheme="minorHAnsi"/>
        </w:rPr>
        <w:t xml:space="preserve"> </w:t>
      </w:r>
      <w:r>
        <w:rPr>
          <w:rFonts w:eastAsia="TimesNewRoman" w:cstheme="minorHAnsi"/>
        </w:rPr>
        <w:t xml:space="preserve">of a </w:t>
      </w:r>
      <w:r w:rsidRPr="00F76566">
        <w:rPr>
          <w:rFonts w:eastAsia="TimesNewRoman" w:cstheme="minorHAnsi"/>
        </w:rPr>
        <w:t>15 mg</w:t>
      </w:r>
      <w:r>
        <w:rPr>
          <w:rFonts w:eastAsia="TimesNewRoman" w:cstheme="minorHAnsi"/>
        </w:rPr>
        <w:t xml:space="preserve"> dose</w:t>
      </w:r>
      <w:r w:rsidRPr="00F76566">
        <w:rPr>
          <w:rFonts w:eastAsia="TimesNewRoman" w:cstheme="minorHAnsi"/>
        </w:rPr>
        <w:t xml:space="preserve"> and reduced </w:t>
      </w:r>
      <w:r w:rsidR="006F000B">
        <w:rPr>
          <w:rFonts w:eastAsia="TimesNewRoman" w:cstheme="minorHAnsi"/>
        </w:rPr>
        <w:t>T</w:t>
      </w:r>
      <w:r w:rsidR="006F000B" w:rsidRPr="006F000B">
        <w:rPr>
          <w:rFonts w:eastAsia="TimesNewRoman" w:cstheme="minorHAnsi"/>
          <w:vertAlign w:val="subscript"/>
        </w:rPr>
        <w:t>max</w:t>
      </w:r>
      <w:r w:rsidRPr="00F76566">
        <w:rPr>
          <w:rFonts w:eastAsia="TimesNewRoman" w:cstheme="minorHAnsi"/>
        </w:rPr>
        <w:t xml:space="preserve"> by 29%, which is unlikely to be clinically relevant</w:t>
      </w:r>
      <w:r w:rsidRPr="00465570">
        <w:rPr>
          <w:rFonts w:eastAsia="TimesNewRoman" w:cs="Calibri"/>
        </w:rPr>
        <w:t>. Hence</w:t>
      </w:r>
      <w:r>
        <w:rPr>
          <w:rFonts w:eastAsia="TimesNewRoman" w:cs="Calibri"/>
        </w:rPr>
        <w:t>,</w:t>
      </w:r>
      <w:r w:rsidRPr="00465570">
        <w:rPr>
          <w:rFonts w:eastAsia="TimesNewRoman" w:cs="Calibri"/>
        </w:rPr>
        <w:t xml:space="preserve"> the proposed dosing with or without food is justified; however, dosing should be undertaken at the same time of day as indicated by the </w:t>
      </w:r>
      <w:r>
        <w:rPr>
          <w:rFonts w:eastAsia="TimesNewRoman" w:cs="Calibri"/>
        </w:rPr>
        <w:t>Phase III</w:t>
      </w:r>
      <w:r w:rsidRPr="00465570">
        <w:rPr>
          <w:rFonts w:eastAsia="TimesNewRoman" w:cs="Calibri"/>
        </w:rPr>
        <w:t xml:space="preserve"> studies.</w:t>
      </w:r>
      <w:r>
        <w:rPr>
          <w:rFonts w:eastAsia="TimesNewRoman" w:cs="Calibri"/>
        </w:rPr>
        <w:t xml:space="preserve"> </w:t>
      </w:r>
      <w:r w:rsidRPr="00F76566">
        <w:rPr>
          <w:rFonts w:eastAsia="TimesNewRoman" w:cstheme="minorHAnsi"/>
        </w:rPr>
        <w:t xml:space="preserve">The commercial image tablet (1 x 15 mg) and </w:t>
      </w:r>
      <w:r>
        <w:rPr>
          <w:rFonts w:eastAsia="TimesNewRoman" w:cstheme="minorHAnsi"/>
        </w:rPr>
        <w:t>Phase III</w:t>
      </w:r>
      <w:r w:rsidRPr="00F76566">
        <w:rPr>
          <w:rFonts w:eastAsia="TimesNewRoman" w:cstheme="minorHAnsi"/>
        </w:rPr>
        <w:t xml:space="preserve"> tablets (administered as a 10 mg tablet + a 5 mg tablet) were bioequivalent, as were the tablets that contained the </w:t>
      </w:r>
      <w:r>
        <w:rPr>
          <w:rFonts w:eastAsia="TimesNewRoman" w:cstheme="minorHAnsi"/>
        </w:rPr>
        <w:t>Phase III</w:t>
      </w:r>
      <w:r w:rsidRPr="00F76566">
        <w:rPr>
          <w:rFonts w:eastAsia="TimesNewRoman" w:cstheme="minorHAnsi"/>
        </w:rPr>
        <w:t xml:space="preserve"> and amorphous formulations.</w:t>
      </w:r>
    </w:p>
    <w:p w:rsidR="00803C18" w:rsidRDefault="002E5CF1" w:rsidP="00803C18">
      <w:r w:rsidRPr="00F76566">
        <w:t xml:space="preserve">Following administration of single 0.5- to 300-mg doses, ertugliflozin </w:t>
      </w:r>
      <w:r w:rsidR="006F000B">
        <w:t>T</w:t>
      </w:r>
      <w:r w:rsidR="006F000B" w:rsidRPr="006F000B">
        <w:rPr>
          <w:vertAlign w:val="subscript"/>
        </w:rPr>
        <w:t>max</w:t>
      </w:r>
      <w:r w:rsidRPr="00F76566">
        <w:t xml:space="preserve"> and AUC</w:t>
      </w:r>
      <w:r w:rsidRPr="00F76566">
        <w:rPr>
          <w:vertAlign w:val="subscript"/>
        </w:rPr>
        <w:t>inf</w:t>
      </w:r>
      <w:r w:rsidRPr="00F76566">
        <w:t xml:space="preserve"> increased </w:t>
      </w:r>
      <w:r>
        <w:t xml:space="preserve">linearly </w:t>
      </w:r>
      <w:r w:rsidRPr="00F76566">
        <w:t xml:space="preserve">with increasing dose. </w:t>
      </w:r>
      <w:r>
        <w:t>Similarly, f</w:t>
      </w:r>
      <w:r w:rsidRPr="00F76566">
        <w:t>ollowing 14 days of treatment with QD doses ranging from 1mg to 100 mg</w:t>
      </w:r>
      <w:r>
        <w:t>, m</w:t>
      </w:r>
      <w:r w:rsidRPr="00F76566">
        <w:t xml:space="preserve">ean </w:t>
      </w:r>
      <w:r w:rsidR="006F000B">
        <w:t>T</w:t>
      </w:r>
      <w:r w:rsidR="006F000B" w:rsidRPr="006F000B">
        <w:rPr>
          <w:vertAlign w:val="subscript"/>
        </w:rPr>
        <w:t>max</w:t>
      </w:r>
      <w:r w:rsidRPr="00F76566">
        <w:t xml:space="preserve"> and </w:t>
      </w:r>
      <w:r w:rsidR="007C5FC9" w:rsidRPr="00F76566">
        <w:t>AUC</w:t>
      </w:r>
      <w:r w:rsidR="007C5FC9" w:rsidRPr="007C5FC9">
        <w:rPr>
          <w:vertAlign w:val="subscript"/>
        </w:rPr>
        <w:t>τ</w:t>
      </w:r>
      <w:r w:rsidRPr="007C5FC9">
        <w:rPr>
          <w:vertAlign w:val="subscript"/>
        </w:rPr>
        <w:t xml:space="preserve"> </w:t>
      </w:r>
      <w:r w:rsidRPr="00F76566">
        <w:t xml:space="preserve">values increased proportionally </w:t>
      </w:r>
      <w:r>
        <w:t xml:space="preserve">with dose </w:t>
      </w:r>
      <w:r w:rsidRPr="00F76566">
        <w:t>and the relative accumulation ratios for the 1 mg, 5 mg, 25 mg and 100 mg doses were, 1.36, 1.25, 1.22 and 1.38, respectively</w:t>
      </w:r>
      <w:r w:rsidR="00803C18">
        <w:t>.</w:t>
      </w:r>
    </w:p>
    <w:p w:rsidR="002E5CF1" w:rsidRPr="00F76566" w:rsidRDefault="002E5CF1" w:rsidP="00803C18">
      <w:r w:rsidRPr="00F76566">
        <w:t xml:space="preserve">A study that compared the PKs of ertugliflozin following 6 days of dosing with either 7.5 mg </w:t>
      </w:r>
      <w:r w:rsidR="00803C18">
        <w:t>BD or 15 mg QD</w:t>
      </w:r>
      <w:r w:rsidRPr="00F76566">
        <w:t xml:space="preserve"> identified that the AUC</w:t>
      </w:r>
      <w:r w:rsidRPr="00F76566">
        <w:rPr>
          <w:vertAlign w:val="subscript"/>
        </w:rPr>
        <w:t xml:space="preserve">24 </w:t>
      </w:r>
      <w:r w:rsidRPr="00F76566">
        <w:t>was similar following both treatments, whereas,</w:t>
      </w:r>
      <w:r w:rsidRPr="00F76566">
        <w:rPr>
          <w:color w:val="000000"/>
        </w:rPr>
        <w:t xml:space="preserve"> </w:t>
      </w:r>
      <w:r w:rsidR="006F000B">
        <w:t>T</w:t>
      </w:r>
      <w:r w:rsidR="006F000B" w:rsidRPr="006F000B">
        <w:rPr>
          <w:vertAlign w:val="subscript"/>
        </w:rPr>
        <w:t>max</w:t>
      </w:r>
      <w:r w:rsidRPr="00F76566">
        <w:rPr>
          <w:color w:val="000000"/>
        </w:rPr>
        <w:t xml:space="preserve"> after the morning dose was higher following QD rather than </w:t>
      </w:r>
      <w:r w:rsidR="00803C18">
        <w:rPr>
          <w:color w:val="000000"/>
        </w:rPr>
        <w:t>BD</w:t>
      </w:r>
      <w:r w:rsidRPr="00F76566">
        <w:rPr>
          <w:color w:val="000000"/>
        </w:rPr>
        <w:t xml:space="preserve"> dosing.</w:t>
      </w:r>
    </w:p>
    <w:p w:rsidR="002E5CF1" w:rsidRPr="00F76566" w:rsidRDefault="002E5CF1" w:rsidP="00803C18">
      <w:pPr>
        <w:rPr>
          <w:lang w:eastAsia="ja-JP"/>
        </w:rPr>
      </w:pPr>
      <w:r w:rsidRPr="00F76566">
        <w:rPr>
          <w:rFonts w:cstheme="minorHAnsi"/>
        </w:rPr>
        <w:t xml:space="preserve">The Vz/F for a </w:t>
      </w:r>
      <w:r w:rsidRPr="00F76566">
        <w:t xml:space="preserve">15 mg dose of unlabelled ertugliflozin was 215.3 L. Plasma protein binding was high with </w:t>
      </w:r>
      <w:r w:rsidRPr="007C5FC9">
        <w:t>in vitro</w:t>
      </w:r>
      <w:r w:rsidRPr="00F76566">
        <w:rPr>
          <w:i/>
        </w:rPr>
        <w:t xml:space="preserve"> </w:t>
      </w:r>
      <w:r w:rsidRPr="00F76566">
        <w:t xml:space="preserve">studies indicating that 93.6% of a 2.3 </w:t>
      </w:r>
      <w:r w:rsidRPr="00F76566">
        <w:rPr>
          <w:rFonts w:cs="Symbol"/>
        </w:rPr>
        <w:t>µ</w:t>
      </w:r>
      <w:r w:rsidRPr="00F76566">
        <w:t>M concentration being protein bound. In human whole blood, ertugliflozin distributed preferentially into plasma relative to red blood cells with a blood-to-plasma concentration ratio of 0.66.</w:t>
      </w:r>
    </w:p>
    <w:p w:rsidR="002E5CF1" w:rsidRPr="00F76566" w:rsidRDefault="002E5CF1" w:rsidP="00803C18">
      <w:pPr>
        <w:rPr>
          <w:rFonts w:eastAsiaTheme="minorHAnsi" w:cs="NimbusRomNo9L-Regu"/>
        </w:rPr>
      </w:pPr>
      <w:r w:rsidRPr="00F76566">
        <w:rPr>
          <w:lang w:eastAsia="ja-JP"/>
        </w:rPr>
        <w:t xml:space="preserve">HPLC analysis identified </w:t>
      </w:r>
      <w:r w:rsidRPr="00F76566">
        <w:rPr>
          <w:rFonts w:cstheme="minorHAnsi"/>
        </w:rPr>
        <w:t>8 metabolites following dosing with ertugliflozin in humans. Glucuronidation, which</w:t>
      </w:r>
      <w:r w:rsidRPr="00F76566">
        <w:t xml:space="preserve"> accounts for approximately 86% of ertugliflozin metabolism, was identified as the major metabolic pathway and</w:t>
      </w:r>
      <w:r w:rsidRPr="00F76566">
        <w:rPr>
          <w:rFonts w:cstheme="minorHAnsi"/>
        </w:rPr>
        <w:t xml:space="preserve"> the glucuronides, M5a, M5b, M5c, and M6a, were identified as the major circulating metabolites. They were responsible for 12.2%, 4.1%, 24.1%, and 6.0% of total radioactivity in plasma, respectively. Following multiple QD doses of 1 to 100 mg of ertugliflozin, M2 exposure repr</w:t>
      </w:r>
      <w:r>
        <w:rPr>
          <w:rFonts w:cstheme="minorHAnsi"/>
        </w:rPr>
        <w:t>esented less than 2% of that of</w:t>
      </w:r>
      <w:r w:rsidRPr="00F76566">
        <w:rPr>
          <w:rFonts w:cstheme="minorHAnsi"/>
        </w:rPr>
        <w:t xml:space="preserve"> the parent compound</w:t>
      </w:r>
      <w:r w:rsidRPr="00F76566">
        <w:rPr>
          <w:lang w:eastAsia="ja-JP"/>
        </w:rPr>
        <w:t>.</w:t>
      </w:r>
      <w:r w:rsidRPr="00F76566">
        <w:rPr>
          <w:rFonts w:cstheme="minorHAnsi"/>
        </w:rPr>
        <w:t xml:space="preserve"> Following an oral dose of radioactive ertugliflozin, 50.2% of the radioactivity was recovered in the urine and 40.9% was recovered in the faeces. Ertugliflozin accounted for approximately 50% of the circulating radioactivity.</w:t>
      </w:r>
    </w:p>
    <w:p w:rsidR="002E5CF1" w:rsidRPr="00F76566" w:rsidRDefault="002E5CF1" w:rsidP="00803C18">
      <w:pPr>
        <w:rPr>
          <w:lang w:eastAsia="ja-JP"/>
        </w:rPr>
      </w:pPr>
      <w:r w:rsidRPr="00F76566">
        <w:rPr>
          <w:rFonts w:eastAsiaTheme="minorHAnsi" w:cs="NimbusRomNo9L-Regu"/>
        </w:rPr>
        <w:t xml:space="preserve">The inter-individual variance on CL/F expressed as %CV was 32%, whereas, the residual error estimates were 38.7% for the </w:t>
      </w:r>
      <w:r>
        <w:rPr>
          <w:rFonts w:eastAsiaTheme="minorHAnsi" w:cs="NimbusRomNo9L-Regu"/>
        </w:rPr>
        <w:t>Phase I</w:t>
      </w:r>
      <w:r w:rsidRPr="00F76566">
        <w:rPr>
          <w:rFonts w:eastAsiaTheme="minorHAnsi" w:cs="NimbusRomNo9L-Regu"/>
        </w:rPr>
        <w:t xml:space="preserve"> studies and 83.6% for the Phase</w:t>
      </w:r>
      <w:r w:rsidR="007C5FC9">
        <w:rPr>
          <w:rFonts w:eastAsiaTheme="minorHAnsi" w:cs="NimbusRomNo9L-Regu"/>
        </w:rPr>
        <w:t xml:space="preserve"> II</w:t>
      </w:r>
      <w:r w:rsidRPr="00F76566">
        <w:rPr>
          <w:rFonts w:eastAsiaTheme="minorHAnsi" w:cs="NimbusRomNo9L-Regu"/>
        </w:rPr>
        <w:t xml:space="preserve"> and </w:t>
      </w:r>
      <w:r w:rsidR="007C5FC9">
        <w:rPr>
          <w:rFonts w:eastAsiaTheme="minorHAnsi" w:cs="NimbusRomNo9L-Regu"/>
        </w:rPr>
        <w:t>III</w:t>
      </w:r>
      <w:r w:rsidRPr="00F76566">
        <w:rPr>
          <w:rFonts w:eastAsiaTheme="minorHAnsi" w:cs="NimbusRomNo9L-Regu"/>
        </w:rPr>
        <w:t xml:space="preserve"> studies.</w:t>
      </w:r>
    </w:p>
    <w:p w:rsidR="002E5CF1" w:rsidRPr="00BC2BC4" w:rsidRDefault="002E5CF1" w:rsidP="007C5FC9">
      <w:pPr>
        <w:pStyle w:val="Heading5"/>
        <w:rPr>
          <w:rFonts w:eastAsia="TimesNewRoman"/>
        </w:rPr>
      </w:pPr>
      <w:r w:rsidRPr="00BC2BC4">
        <w:rPr>
          <w:rFonts w:eastAsia="TimesNewRoman"/>
        </w:rPr>
        <w:t>Target population</w:t>
      </w:r>
    </w:p>
    <w:p w:rsidR="002E5CF1" w:rsidRDefault="002E5CF1" w:rsidP="00803C18">
      <w:r>
        <w:t>PopPK analysis predicted that ertugliflozin CL/F was reduced by approximately 10% in patients with T2DM compared to healthy subjects; however; this difference is unlikely to be clinically relevant.</w:t>
      </w:r>
    </w:p>
    <w:p w:rsidR="00803C18" w:rsidRDefault="002E5CF1" w:rsidP="00803C18">
      <w:r>
        <w:t xml:space="preserve">Following QD administration of a range of ertugliflozin doses to subjects with T2DM manifesting </w:t>
      </w:r>
      <w:r w:rsidRPr="000B66C9">
        <w:rPr>
          <w:rFonts w:asciiTheme="minorHAnsi" w:hAnsiTheme="minorHAnsi"/>
        </w:rPr>
        <w:t>i</w:t>
      </w:r>
      <w:r w:rsidRPr="000B66C9">
        <w:rPr>
          <w:rFonts w:asciiTheme="minorHAnsi" w:hAnsiTheme="minorHAnsi" w:cs="TimesNewRoman"/>
        </w:rPr>
        <w:t>nadequate glycaemic and blood pressure control</w:t>
      </w:r>
      <w:r>
        <w:rPr>
          <w:rFonts w:asciiTheme="minorHAnsi" w:hAnsiTheme="minorHAnsi" w:cs="TimesNewRoman"/>
        </w:rPr>
        <w:t xml:space="preserve"> </w:t>
      </w:r>
      <w:r w:rsidRPr="000B66C9">
        <w:rPr>
          <w:rFonts w:asciiTheme="minorHAnsi" w:hAnsiTheme="minorHAnsi" w:cs="TimesNewRoman"/>
        </w:rPr>
        <w:t>e</w:t>
      </w:r>
      <w:r w:rsidRPr="000B66C9">
        <w:rPr>
          <w:rFonts w:asciiTheme="minorHAnsi" w:hAnsiTheme="minorHAnsi"/>
        </w:rPr>
        <w:t>rtugliflozin</w:t>
      </w:r>
      <w:r w:rsidRPr="00FE4C12">
        <w:t xml:space="preserve"> trough concentrations increased proportionally with increasing dose and appeared to be stable over </w:t>
      </w:r>
      <w:r>
        <w:t xml:space="preserve">time. </w:t>
      </w:r>
      <w:r w:rsidRPr="00491485">
        <w:t>Similarly, following</w:t>
      </w:r>
      <w:r>
        <w:t xml:space="preserve"> QD doses to subjects with inadequately controlled T2DM who were receiving stable doses of metformin, e</w:t>
      </w:r>
      <w:r w:rsidRPr="00FE4C12">
        <w:t xml:space="preserve">rtugliflozin </w:t>
      </w:r>
      <w:r>
        <w:t>trough</w:t>
      </w:r>
      <w:r w:rsidRPr="00FE4C12">
        <w:t xml:space="preserve"> </w:t>
      </w:r>
      <w:r>
        <w:t xml:space="preserve">levels </w:t>
      </w:r>
      <w:r w:rsidRPr="00FE4C12">
        <w:t xml:space="preserve">increased proportionally with increasing dose and </w:t>
      </w:r>
      <w:r w:rsidRPr="00FE4C12">
        <w:lastRenderedPageBreak/>
        <w:t>appeare</w:t>
      </w:r>
      <w:r>
        <w:t>d to be stable over time. It is important to note that none of the above Phase II dose-ranging studies evaluated the proposed 15 mg dose of ertugliflozin</w:t>
      </w:r>
      <w:r w:rsidR="00803C18">
        <w:t>.</w:t>
      </w:r>
    </w:p>
    <w:p w:rsidR="002E5CF1" w:rsidRPr="00BC2BC4" w:rsidRDefault="002E5CF1" w:rsidP="007C5FC9">
      <w:pPr>
        <w:pStyle w:val="Heading5"/>
        <w:rPr>
          <w:rFonts w:eastAsia="TimesNewRoman"/>
        </w:rPr>
      </w:pPr>
      <w:r w:rsidRPr="00BC2BC4">
        <w:rPr>
          <w:rFonts w:eastAsia="TimesNewRoman"/>
        </w:rPr>
        <w:t>Special populations</w:t>
      </w:r>
    </w:p>
    <w:p w:rsidR="002E5CF1" w:rsidRPr="00F76566" w:rsidRDefault="002E5CF1" w:rsidP="00803C18">
      <w:r w:rsidRPr="00F76566">
        <w:t>The GMRs for AUC</w:t>
      </w:r>
      <w:r w:rsidRPr="00F76566">
        <w:rPr>
          <w:vertAlign w:val="subscript"/>
        </w:rPr>
        <w:t>inf</w:t>
      </w:r>
      <w:r w:rsidRPr="00F76566">
        <w:t xml:space="preserve"> and </w:t>
      </w:r>
      <w:r w:rsidR="006F000B">
        <w:t>T</w:t>
      </w:r>
      <w:r w:rsidR="006F000B" w:rsidRPr="006F000B">
        <w:rPr>
          <w:vertAlign w:val="subscript"/>
        </w:rPr>
        <w:t>max</w:t>
      </w:r>
      <w:r w:rsidRPr="00F76566">
        <w:t xml:space="preserve"> in subjects with moder</w:t>
      </w:r>
      <w:r>
        <w:t xml:space="preserve">ate hepatic impairment </w:t>
      </w:r>
      <w:r w:rsidRPr="00F76566">
        <w:t xml:space="preserve">compared to subjects with normal hepatic function were </w:t>
      </w:r>
      <w:r>
        <w:t>approximately 12 and 22% lower</w:t>
      </w:r>
      <w:r w:rsidRPr="00F76566">
        <w:t>, respectively.</w:t>
      </w:r>
    </w:p>
    <w:p w:rsidR="002E5CF1" w:rsidRPr="00F76566" w:rsidRDefault="002E5CF1" w:rsidP="00803C18">
      <w:r w:rsidRPr="00F76566">
        <w:rPr>
          <w:rFonts w:eastAsia="TimesNewRoman,Bold" w:cs="TimesNewRoman,Bold"/>
          <w:bCs/>
        </w:rPr>
        <w:t>In subjects with normal renal function, either healthy or with T2D</w:t>
      </w:r>
      <w:r>
        <w:rPr>
          <w:rFonts w:eastAsia="TimesNewRoman,Bold" w:cs="TimesNewRoman,Bold"/>
          <w:bCs/>
        </w:rPr>
        <w:t>M</w:t>
      </w:r>
      <w:r w:rsidRPr="00F76566">
        <w:rPr>
          <w:rFonts w:eastAsia="TimesNewRoman,Bold" w:cs="TimesNewRoman,Bold"/>
          <w:bCs/>
        </w:rPr>
        <w:t>, the AUC values for ertugliflozin were similar.</w:t>
      </w:r>
      <w:r>
        <w:rPr>
          <w:rFonts w:eastAsia="TimesNewRoman,Bold" w:cs="TimesNewRoman,Bold"/>
          <w:bCs/>
        </w:rPr>
        <w:t xml:space="preserve"> </w:t>
      </w:r>
      <w:r w:rsidRPr="00F76566">
        <w:rPr>
          <w:rFonts w:eastAsia="TimesNewRoman,Bold" w:cs="TimesNewRoman,Bold"/>
          <w:bCs/>
        </w:rPr>
        <w:t xml:space="preserve">In comparison to subjects with normal renal function, </w:t>
      </w:r>
      <w:r w:rsidRPr="00F76566">
        <w:t>AUC</w:t>
      </w:r>
      <w:r w:rsidRPr="00F76566">
        <w:rPr>
          <w:vertAlign w:val="subscript"/>
        </w:rPr>
        <w:t>inf</w:t>
      </w:r>
      <w:r w:rsidRPr="00F76566">
        <w:t xml:space="preserve"> values for subjects with T2D</w:t>
      </w:r>
      <w:r>
        <w:t>M</w:t>
      </w:r>
      <w:r w:rsidRPr="00F76566">
        <w:t xml:space="preserve"> and mild, moderate and severe renal impairment </w:t>
      </w:r>
      <w:r>
        <w:t xml:space="preserve">were </w:t>
      </w:r>
      <w:r w:rsidRPr="00F76566">
        <w:t>1.2, 1.4</w:t>
      </w:r>
      <w:r w:rsidR="00803C18">
        <w:t xml:space="preserve"> and 1.7 </w:t>
      </w:r>
      <w:r w:rsidRPr="00F76566">
        <w:t>fold higher, respectively.</w:t>
      </w:r>
    </w:p>
    <w:p w:rsidR="002E5CF1" w:rsidRPr="00F76566" w:rsidRDefault="002E5CF1" w:rsidP="00803C18">
      <w:r w:rsidRPr="00F76566">
        <w:t>Following single doses of 1 mg, 5 mg and 25 mg in Japanese and Western males, the GMRs for AUC</w:t>
      </w:r>
      <w:r w:rsidRPr="00F76566">
        <w:rPr>
          <w:vertAlign w:val="subscript"/>
        </w:rPr>
        <w:t>inf</w:t>
      </w:r>
      <w:r w:rsidRPr="00F76566">
        <w:t xml:space="preserve"> ranged from 91.05% to 98.94%.</w:t>
      </w:r>
    </w:p>
    <w:p w:rsidR="002E5CF1" w:rsidRPr="00BC2BC4" w:rsidRDefault="002E5CF1" w:rsidP="007C5FC9">
      <w:pPr>
        <w:pStyle w:val="Heading5"/>
        <w:rPr>
          <w:rFonts w:eastAsia="TimesNewRoman,Bold" w:cs="TimesNewRoman,Bold"/>
        </w:rPr>
      </w:pPr>
      <w:r w:rsidRPr="00BC2BC4">
        <w:rPr>
          <w:rFonts w:eastAsia="TimesNewRoman"/>
        </w:rPr>
        <w:t>PopPK</w:t>
      </w:r>
    </w:p>
    <w:p w:rsidR="002E5CF1" w:rsidRPr="00F76566" w:rsidRDefault="002E5CF1" w:rsidP="00803C18">
      <w:r w:rsidRPr="00F76566">
        <w:t>The popPK analysis identified that ertugliflozin plasma concentration data from patients with T2DM could be characterised by a 2-compartment model with lag time, first-order absorption, and first-order elimination.</w:t>
      </w:r>
      <w:r>
        <w:t xml:space="preserve"> </w:t>
      </w:r>
      <w:r w:rsidRPr="00F76566">
        <w:t xml:space="preserve">A number of significant covariates were identified for CL/F, </w:t>
      </w:r>
      <w:r w:rsidR="00D66779">
        <w:t>AUC</w:t>
      </w:r>
      <w:r w:rsidR="00D66779" w:rsidRPr="00D66779">
        <w:rPr>
          <w:vertAlign w:val="subscript"/>
        </w:rPr>
        <w:t>t</w:t>
      </w:r>
      <w:r w:rsidRPr="00F76566">
        <w:t>, relative bioavailability and ka; however, the magnitude of the changes (</w:t>
      </w:r>
      <w:r w:rsidR="003B751A">
        <w:t xml:space="preserve">≤ </w:t>
      </w:r>
      <w:r w:rsidRPr="00F76566">
        <w:t>56%) induced by any one of the covariates could not be considered clinically relevant. By contrast, the covariate Asian race increased Vc/F by 112%.</w:t>
      </w:r>
    </w:p>
    <w:p w:rsidR="002E5CF1" w:rsidRPr="00BC2BC4" w:rsidRDefault="002E5CF1" w:rsidP="007C5FC9">
      <w:pPr>
        <w:pStyle w:val="Heading5"/>
        <w:rPr>
          <w:rFonts w:eastAsiaTheme="minorHAnsi"/>
        </w:rPr>
      </w:pPr>
      <w:r w:rsidRPr="00BC2BC4">
        <w:rPr>
          <w:rFonts w:eastAsiaTheme="minorHAnsi"/>
        </w:rPr>
        <w:t>DDIs</w:t>
      </w:r>
    </w:p>
    <w:p w:rsidR="002E5CF1" w:rsidRPr="00F76566" w:rsidRDefault="002E5CF1" w:rsidP="00803C18">
      <w:pPr>
        <w:rPr>
          <w:rFonts w:eastAsia="TimesNewRoman"/>
        </w:rPr>
      </w:pPr>
      <w:r w:rsidRPr="00F76566">
        <w:t xml:space="preserve">There was no DDI between ertugliflozin and metformin, </w:t>
      </w:r>
      <w:r w:rsidRPr="00F76566">
        <w:rPr>
          <w:rFonts w:eastAsia="TimesNewRoman"/>
          <w:color w:val="000000"/>
        </w:rPr>
        <w:t xml:space="preserve">sitagliptin or </w:t>
      </w:r>
      <w:r w:rsidRPr="00F76566">
        <w:rPr>
          <w:rFonts w:eastAsia="TimesNewRoman"/>
        </w:rPr>
        <w:t>glimepiride.</w:t>
      </w:r>
    </w:p>
    <w:p w:rsidR="002E5CF1" w:rsidRPr="00F76566" w:rsidRDefault="002E5CF1" w:rsidP="00803C18">
      <w:r w:rsidRPr="00F76566">
        <w:rPr>
          <w:rFonts w:eastAsia="TimesNewRoman"/>
          <w:color w:val="000000"/>
        </w:rPr>
        <w:t>Although a single dose of s</w:t>
      </w:r>
      <w:r w:rsidRPr="00F76566">
        <w:rPr>
          <w:rFonts w:eastAsia="TimesNewRoman"/>
        </w:rPr>
        <w:t xml:space="preserve">imvastatin had no effect on ertugliflozin exposure, co-administration </w:t>
      </w:r>
      <w:r w:rsidRPr="00F76566">
        <w:rPr>
          <w:rFonts w:eastAsia="TimesNewRoman"/>
          <w:color w:val="000000"/>
        </w:rPr>
        <w:t>increase</w:t>
      </w:r>
      <w:r>
        <w:rPr>
          <w:rFonts w:eastAsia="TimesNewRoman"/>
          <w:color w:val="000000"/>
        </w:rPr>
        <w:t>d</w:t>
      </w:r>
      <w:r w:rsidRPr="00F76566">
        <w:rPr>
          <w:rFonts w:eastAsia="TimesNewRoman"/>
          <w:color w:val="000000"/>
        </w:rPr>
        <w:t xml:space="preserve"> simvastatin AUC</w:t>
      </w:r>
      <w:r w:rsidRPr="00F76566">
        <w:rPr>
          <w:rFonts w:eastAsia="TimesNewRoman"/>
          <w:color w:val="000000"/>
          <w:vertAlign w:val="subscript"/>
        </w:rPr>
        <w:t>inf</w:t>
      </w:r>
      <w:r w:rsidRPr="00F76566">
        <w:rPr>
          <w:rFonts w:eastAsia="TimesNewRoman"/>
          <w:color w:val="000000"/>
        </w:rPr>
        <w:t xml:space="preserve"> </w:t>
      </w:r>
      <w:r>
        <w:rPr>
          <w:rFonts w:eastAsia="TimesNewRoman"/>
          <w:color w:val="000000"/>
        </w:rPr>
        <w:t>by approximately 24%</w:t>
      </w:r>
      <w:r w:rsidRPr="00F76566">
        <w:rPr>
          <w:rFonts w:eastAsia="TimesNewRoman"/>
          <w:color w:val="000000"/>
        </w:rPr>
        <w:t>.</w:t>
      </w:r>
    </w:p>
    <w:p w:rsidR="002E5CF1" w:rsidRPr="00F76566" w:rsidRDefault="002E5CF1" w:rsidP="00803C18">
      <w:pPr>
        <w:rPr>
          <w:rFonts w:eastAsiaTheme="minorHAnsi"/>
        </w:rPr>
      </w:pPr>
      <w:r w:rsidRPr="00F76566">
        <w:t>Steady-state rifampin 600 mg QD</w:t>
      </w:r>
      <w:r w:rsidRPr="00F76566">
        <w:rPr>
          <w:rFonts w:eastAsia="TimesNewRoman"/>
        </w:rPr>
        <w:t xml:space="preserve"> reduced ertugliflozin AUC</w:t>
      </w:r>
      <w:r w:rsidRPr="00F76566">
        <w:rPr>
          <w:rFonts w:eastAsia="TimesNewRoman"/>
          <w:vertAlign w:val="subscript"/>
        </w:rPr>
        <w:t>inf</w:t>
      </w:r>
      <w:r w:rsidRPr="00F76566">
        <w:rPr>
          <w:rFonts w:eastAsia="TimesNewRoman"/>
        </w:rPr>
        <w:t xml:space="preserve"> and </w:t>
      </w:r>
      <w:r w:rsidR="006F000B">
        <w:rPr>
          <w:rFonts w:eastAsia="TimesNewRoman"/>
        </w:rPr>
        <w:t>T</w:t>
      </w:r>
      <w:r w:rsidR="006F000B" w:rsidRPr="006F000B">
        <w:rPr>
          <w:rFonts w:eastAsia="TimesNewRoman"/>
          <w:vertAlign w:val="subscript"/>
        </w:rPr>
        <w:t>max</w:t>
      </w:r>
      <w:r>
        <w:rPr>
          <w:rFonts w:eastAsia="TimesNewRoman"/>
        </w:rPr>
        <w:t xml:space="preserve"> following</w:t>
      </w:r>
      <w:r w:rsidRPr="00F76566">
        <w:rPr>
          <w:rFonts w:eastAsia="TimesNewRoman"/>
        </w:rPr>
        <w:t xml:space="preserve"> a single dose </w:t>
      </w:r>
      <w:r>
        <w:rPr>
          <w:rFonts w:eastAsia="TimesNewRoman"/>
        </w:rPr>
        <w:t>by approximately</w:t>
      </w:r>
      <w:r w:rsidRPr="00F76566">
        <w:rPr>
          <w:rFonts w:eastAsia="TimesNewRoman"/>
        </w:rPr>
        <w:t xml:space="preserve"> </w:t>
      </w:r>
      <w:r>
        <w:rPr>
          <w:rFonts w:eastAsia="TimesNewRoman"/>
        </w:rPr>
        <w:t>39</w:t>
      </w:r>
      <w:r w:rsidRPr="00F76566">
        <w:rPr>
          <w:rFonts w:eastAsia="TimesNewRoman"/>
        </w:rPr>
        <w:t xml:space="preserve">% and </w:t>
      </w:r>
      <w:r>
        <w:rPr>
          <w:rFonts w:eastAsia="TimesNewRoman"/>
        </w:rPr>
        <w:t>15%</w:t>
      </w:r>
      <w:r w:rsidRPr="00F76566">
        <w:rPr>
          <w:rFonts w:eastAsia="TimesNewRoman"/>
        </w:rPr>
        <w:t>, respectively.</w:t>
      </w:r>
    </w:p>
    <w:p w:rsidR="002E5CF1" w:rsidRDefault="002E5CF1" w:rsidP="00803C18">
      <w:r w:rsidRPr="00865345">
        <w:t xml:space="preserve">Overall, the </w:t>
      </w:r>
      <w:r>
        <w:t>PK sections of the proposed PI accurately reflect the submitted data.</w:t>
      </w:r>
    </w:p>
    <w:p w:rsidR="002E5CF1" w:rsidRDefault="002E5CF1" w:rsidP="00803C18">
      <w:r>
        <w:t>The following limitations have been i</w:t>
      </w:r>
      <w:r w:rsidRPr="00865345">
        <w:t>dentified</w:t>
      </w:r>
      <w:r>
        <w:t xml:space="preserve"> in the PK data:</w:t>
      </w:r>
    </w:p>
    <w:p w:rsidR="00BD7303" w:rsidRPr="00BD7303" w:rsidRDefault="0030125A" w:rsidP="00BD7303">
      <w:pPr>
        <w:pStyle w:val="ListBullet"/>
        <w:rPr>
          <w:rFonts w:eastAsia="TimesNewRoman" w:cs="TimesNewRoman"/>
        </w:rPr>
      </w:pPr>
      <w:r>
        <w:t>T</w:t>
      </w:r>
      <w:r w:rsidR="002E5CF1" w:rsidRPr="00865345">
        <w:t xml:space="preserve">he bioequivalence of the 5 mg commercial image tablet and 5 mg </w:t>
      </w:r>
      <w:r w:rsidR="002E5CF1">
        <w:t>Phase III</w:t>
      </w:r>
      <w:r w:rsidR="00803C18">
        <w:t xml:space="preserve"> tablet has not been assessed.</w:t>
      </w:r>
    </w:p>
    <w:p w:rsidR="00BD7303" w:rsidRPr="00BD7303" w:rsidRDefault="0030125A" w:rsidP="00BD7303">
      <w:pPr>
        <w:pStyle w:val="ListBullet"/>
        <w:rPr>
          <w:rFonts w:eastAsia="TimesNewRoman" w:cs="TimesNewRoman"/>
        </w:rPr>
      </w:pPr>
      <w:r>
        <w:t>A</w:t>
      </w:r>
      <w:r w:rsidR="002E5CF1" w:rsidRPr="00865345">
        <w:t xml:space="preserve"> limited number of DDI studies were undertaken with drugs that are known to interact with the pathways via which ertugliflozin is metabolised (</w:t>
      </w:r>
      <w:r>
        <w:t>for example,</w:t>
      </w:r>
      <w:r w:rsidR="002E5CF1" w:rsidRPr="00865345">
        <w:t xml:space="preserve"> CYP3A4-inhibitors). </w:t>
      </w:r>
      <w:r w:rsidR="002E5CF1" w:rsidRPr="00865345">
        <w:rPr>
          <w:rFonts w:asciiTheme="minorHAnsi" w:eastAsia="TimesNewRoman" w:hAnsiTheme="minorHAnsi" w:cs="TimesNewRoman"/>
        </w:rPr>
        <w:t>Although ertugliflozin is in part metabolised by CYP3A4, no studies have examined the effects of a strong CYP3A-inhibitor on ertugliflozin PKs.</w:t>
      </w:r>
    </w:p>
    <w:p w:rsidR="002E5CF1" w:rsidRPr="00BC2BC4" w:rsidRDefault="0030125A" w:rsidP="00BD7303">
      <w:pPr>
        <w:pStyle w:val="ListBullet"/>
        <w:rPr>
          <w:rFonts w:eastAsia="TimesNewRoman" w:cs="TimesNewRoman"/>
        </w:rPr>
      </w:pPr>
      <w:r>
        <w:rPr>
          <w:rFonts w:eastAsia="TimesNewRoman" w:cs="Calibri"/>
        </w:rPr>
        <w:t>P</w:t>
      </w:r>
      <w:r w:rsidR="002E5CF1" w:rsidRPr="00BC2BC4">
        <w:rPr>
          <w:rFonts w:eastAsia="TimesNewRoman" w:cs="Calibri"/>
        </w:rPr>
        <w:t>harmacokinetic interactions between ertugliflozin and othe</w:t>
      </w:r>
      <w:r w:rsidR="002E5CF1">
        <w:rPr>
          <w:rFonts w:eastAsia="TimesNewRoman" w:cs="Calibri"/>
        </w:rPr>
        <w:t>r</w:t>
      </w:r>
      <w:r w:rsidR="002E5CF1" w:rsidRPr="00BC2BC4">
        <w:rPr>
          <w:rFonts w:eastAsia="TimesNewRoman" w:cs="Calibri"/>
        </w:rPr>
        <w:t xml:space="preserve"> commonly administered drugs in this patient population such as diuretics, war</w:t>
      </w:r>
      <w:r w:rsidR="002E5CF1">
        <w:rPr>
          <w:rFonts w:eastAsia="TimesNewRoman" w:cs="Calibri"/>
        </w:rPr>
        <w:t>f</w:t>
      </w:r>
      <w:r w:rsidR="002E5CF1" w:rsidRPr="00BC2BC4">
        <w:rPr>
          <w:rFonts w:eastAsia="TimesNewRoman" w:cs="Calibri"/>
        </w:rPr>
        <w:t>arin, digoxin</w:t>
      </w:r>
      <w:r w:rsidR="002E5CF1">
        <w:rPr>
          <w:rFonts w:eastAsia="TimesNewRoman" w:cs="Calibri"/>
        </w:rPr>
        <w:t>,</w:t>
      </w:r>
      <w:r w:rsidR="002E5CF1" w:rsidRPr="00BC2BC4">
        <w:rPr>
          <w:rFonts w:eastAsia="TimesNewRoman" w:cs="Calibri"/>
        </w:rPr>
        <w:t xml:space="preserve"> etc were not evaluated.</w:t>
      </w:r>
    </w:p>
    <w:p w:rsidR="002E5CF1" w:rsidRDefault="002E5CF1" w:rsidP="00BD7303">
      <w:pPr>
        <w:pStyle w:val="Heading2"/>
      </w:pPr>
      <w:bookmarkStart w:id="193" w:name="_Toc461096084"/>
      <w:bookmarkStart w:id="194" w:name="_Toc504038135"/>
      <w:bookmarkStart w:id="195" w:name="_Toc4489198"/>
      <w:r>
        <w:t>Pharmacodynamics</w:t>
      </w:r>
      <w:bookmarkEnd w:id="193"/>
      <w:bookmarkEnd w:id="194"/>
      <w:bookmarkEnd w:id="195"/>
    </w:p>
    <w:p w:rsidR="002E5CF1" w:rsidRPr="009A141C" w:rsidRDefault="002E5CF1" w:rsidP="0030125A">
      <w:pPr>
        <w:pStyle w:val="Heading3"/>
      </w:pPr>
      <w:bookmarkStart w:id="196" w:name="_Toc461096085"/>
      <w:bookmarkStart w:id="197" w:name="_Toc504038136"/>
      <w:bookmarkStart w:id="198" w:name="_Toc4489199"/>
      <w:r>
        <w:t xml:space="preserve">Studies </w:t>
      </w:r>
      <w:r w:rsidRPr="0030125A">
        <w:t>providing</w:t>
      </w:r>
      <w:r>
        <w:t xml:space="preserve"> pharmacodynamic information</w:t>
      </w:r>
      <w:bookmarkEnd w:id="196"/>
      <w:bookmarkEnd w:id="197"/>
      <w:bookmarkEnd w:id="198"/>
    </w:p>
    <w:p w:rsidR="002E5CF1" w:rsidRPr="0030125A" w:rsidRDefault="002E5CF1" w:rsidP="0030125A">
      <w:pPr>
        <w:pStyle w:val="Comment"/>
      </w:pPr>
      <w:r w:rsidRPr="0030125A">
        <w:rPr>
          <w:b/>
          <w:lang w:eastAsia="ja-JP"/>
        </w:rPr>
        <w:t>Comment</w:t>
      </w:r>
      <w:r w:rsidR="00803C18">
        <w:rPr>
          <w:lang w:eastAsia="ja-JP"/>
        </w:rPr>
        <w:t xml:space="preserve">: </w:t>
      </w:r>
      <w:r w:rsidR="007C10EB">
        <w:rPr>
          <w:lang w:eastAsia="ja-JP"/>
        </w:rPr>
        <w:t xml:space="preserve"> </w:t>
      </w:r>
      <w:r w:rsidRPr="00865345">
        <w:rPr>
          <w:lang w:eastAsia="ja-JP"/>
        </w:rPr>
        <w:t xml:space="preserve">A number of PD studies reported in this section of the CER also contain PK data and have </w:t>
      </w:r>
      <w:r w:rsidRPr="0030125A">
        <w:rPr>
          <w:lang w:eastAsia="ja-JP"/>
        </w:rPr>
        <w:t>been previously summarised in Table 2; therefore</w:t>
      </w:r>
      <w:r w:rsidRPr="0030125A">
        <w:t xml:space="preserve">, they are not included in Table </w:t>
      </w:r>
      <w:r w:rsidR="0030125A" w:rsidRPr="0030125A">
        <w:t>15</w:t>
      </w:r>
      <w:r w:rsidRPr="0030125A">
        <w:t>.</w:t>
      </w:r>
    </w:p>
    <w:p w:rsidR="002E5CF1" w:rsidRDefault="002E5CF1" w:rsidP="0030125A">
      <w:pPr>
        <w:pStyle w:val="Tabletitle"/>
      </w:pPr>
      <w:bookmarkStart w:id="199" w:name="_Ref492027439"/>
      <w:bookmarkStart w:id="200" w:name="_Toc504038246"/>
      <w:r>
        <w:lastRenderedPageBreak/>
        <w:t xml:space="preserve">Table </w:t>
      </w:r>
      <w:r w:rsidR="0030125A">
        <w:t xml:space="preserve">15: </w:t>
      </w:r>
      <w:r w:rsidRPr="008C40FD">
        <w:t>Submitted pharmacodynamic studies</w:t>
      </w:r>
      <w:bookmarkEnd w:id="199"/>
      <w:bookmarkEnd w:id="200"/>
    </w:p>
    <w:tbl>
      <w:tblPr>
        <w:tblStyle w:val="TableTGAblue"/>
        <w:tblW w:w="9180" w:type="dxa"/>
        <w:tblLayout w:type="fixed"/>
        <w:tblLook w:val="04A0" w:firstRow="1" w:lastRow="0" w:firstColumn="1" w:lastColumn="0" w:noHBand="0" w:noVBand="1"/>
      </w:tblPr>
      <w:tblGrid>
        <w:gridCol w:w="1951"/>
        <w:gridCol w:w="1418"/>
        <w:gridCol w:w="1984"/>
        <w:gridCol w:w="3827"/>
      </w:tblGrid>
      <w:tr w:rsidR="0030125A" w:rsidRPr="00C37A1D" w:rsidTr="003012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30125A" w:rsidRPr="0030125A" w:rsidRDefault="0030125A" w:rsidP="00803C18">
            <w:pPr>
              <w:ind w:left="0" w:right="0"/>
              <w:rPr>
                <w:b w:val="0"/>
                <w:sz w:val="20"/>
                <w:szCs w:val="20"/>
              </w:rPr>
            </w:pPr>
            <w:r w:rsidRPr="0030125A">
              <w:rPr>
                <w:sz w:val="20"/>
                <w:szCs w:val="20"/>
              </w:rPr>
              <w:t>PD Topic</w:t>
            </w:r>
          </w:p>
        </w:tc>
        <w:tc>
          <w:tcPr>
            <w:tcW w:w="1418" w:type="dxa"/>
          </w:tcPr>
          <w:p w:rsidR="0030125A" w:rsidRPr="0030125A" w:rsidRDefault="0030125A" w:rsidP="00803C18">
            <w:pPr>
              <w:ind w:left="0" w:right="0"/>
              <w:cnfStyle w:val="100000000000" w:firstRow="1" w:lastRow="0" w:firstColumn="0" w:lastColumn="0" w:oddVBand="0" w:evenVBand="0" w:oddHBand="0" w:evenHBand="0" w:firstRowFirstColumn="0" w:firstRowLastColumn="0" w:lastRowFirstColumn="0" w:lastRowLastColumn="0"/>
              <w:rPr>
                <w:b w:val="0"/>
                <w:sz w:val="20"/>
                <w:szCs w:val="20"/>
              </w:rPr>
            </w:pPr>
            <w:r w:rsidRPr="0030125A">
              <w:rPr>
                <w:sz w:val="20"/>
                <w:szCs w:val="20"/>
              </w:rPr>
              <w:t>Subtopic</w:t>
            </w:r>
          </w:p>
        </w:tc>
        <w:tc>
          <w:tcPr>
            <w:tcW w:w="1984" w:type="dxa"/>
          </w:tcPr>
          <w:p w:rsidR="0030125A" w:rsidRPr="0030125A" w:rsidRDefault="0030125A" w:rsidP="00803C18">
            <w:pPr>
              <w:ind w:left="0" w:right="0"/>
              <w:cnfStyle w:val="100000000000" w:firstRow="1" w:lastRow="0" w:firstColumn="0" w:lastColumn="0" w:oddVBand="0" w:evenVBand="0" w:oddHBand="0" w:evenHBand="0" w:firstRowFirstColumn="0" w:firstRowLastColumn="0" w:lastRowFirstColumn="0" w:lastRowLastColumn="0"/>
              <w:rPr>
                <w:b w:val="0"/>
                <w:sz w:val="20"/>
                <w:szCs w:val="20"/>
              </w:rPr>
            </w:pPr>
            <w:r w:rsidRPr="0030125A">
              <w:rPr>
                <w:sz w:val="20"/>
                <w:szCs w:val="20"/>
              </w:rPr>
              <w:t>Study ID</w:t>
            </w:r>
          </w:p>
        </w:tc>
        <w:tc>
          <w:tcPr>
            <w:tcW w:w="3827" w:type="dxa"/>
          </w:tcPr>
          <w:p w:rsidR="0030125A" w:rsidRPr="0030125A" w:rsidRDefault="0030125A" w:rsidP="00803C18">
            <w:pPr>
              <w:ind w:left="0" w:right="0"/>
              <w:cnfStyle w:val="100000000000" w:firstRow="1" w:lastRow="0" w:firstColumn="0" w:lastColumn="0" w:oddVBand="0" w:evenVBand="0" w:oddHBand="0" w:evenHBand="0" w:firstRowFirstColumn="0" w:firstRowLastColumn="0" w:lastRowFirstColumn="0" w:lastRowLastColumn="0"/>
              <w:rPr>
                <w:b w:val="0"/>
                <w:sz w:val="20"/>
                <w:szCs w:val="20"/>
              </w:rPr>
            </w:pPr>
            <w:r w:rsidRPr="0030125A">
              <w:rPr>
                <w:sz w:val="20"/>
                <w:szCs w:val="20"/>
              </w:rPr>
              <w:t>*</w:t>
            </w:r>
          </w:p>
        </w:tc>
      </w:tr>
      <w:tr w:rsidR="0030125A" w:rsidRPr="00C37A1D" w:rsidTr="0030125A">
        <w:tc>
          <w:tcPr>
            <w:cnfStyle w:val="001000000000" w:firstRow="0" w:lastRow="0" w:firstColumn="1" w:lastColumn="0" w:oddVBand="0" w:evenVBand="0" w:oddHBand="0" w:evenHBand="0" w:firstRowFirstColumn="0" w:firstRowLastColumn="0" w:lastRowFirstColumn="0" w:lastRowLastColumn="0"/>
            <w:tcW w:w="1951" w:type="dxa"/>
          </w:tcPr>
          <w:p w:rsidR="0030125A" w:rsidRPr="0030125A" w:rsidRDefault="0030125A" w:rsidP="00803C18">
            <w:pPr>
              <w:ind w:left="0" w:right="0"/>
              <w:rPr>
                <w:sz w:val="20"/>
                <w:szCs w:val="20"/>
              </w:rPr>
            </w:pPr>
            <w:r w:rsidRPr="0030125A">
              <w:rPr>
                <w:sz w:val="20"/>
                <w:szCs w:val="20"/>
              </w:rPr>
              <w:t>Secondary Pharmacology</w:t>
            </w:r>
          </w:p>
        </w:tc>
        <w:tc>
          <w:tcPr>
            <w:tcW w:w="1418"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sz w:val="20"/>
                <w:szCs w:val="20"/>
              </w:rPr>
              <w:t>Healthy subjects</w:t>
            </w:r>
          </w:p>
        </w:tc>
        <w:tc>
          <w:tcPr>
            <w:tcW w:w="1984"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bCs/>
                <w:color w:val="000000"/>
                <w:sz w:val="20"/>
                <w:szCs w:val="20"/>
              </w:rPr>
              <w:t>P010/1025</w:t>
            </w:r>
          </w:p>
        </w:tc>
        <w:tc>
          <w:tcPr>
            <w:tcW w:w="3827"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sz w:val="20"/>
                <w:szCs w:val="20"/>
              </w:rPr>
              <w:t>Effect of 100 mg ertugliflozin on QTc</w:t>
            </w:r>
          </w:p>
        </w:tc>
      </w:tr>
      <w:tr w:rsidR="0030125A" w:rsidRPr="00C37A1D" w:rsidTr="0030125A">
        <w:tc>
          <w:tcPr>
            <w:cnfStyle w:val="001000000000" w:firstRow="0" w:lastRow="0" w:firstColumn="1" w:lastColumn="0" w:oddVBand="0" w:evenVBand="0" w:oddHBand="0" w:evenHBand="0" w:firstRowFirstColumn="0" w:firstRowLastColumn="0" w:lastRowFirstColumn="0" w:lastRowLastColumn="0"/>
            <w:tcW w:w="1951" w:type="dxa"/>
            <w:vMerge w:val="restart"/>
          </w:tcPr>
          <w:p w:rsidR="0030125A" w:rsidRPr="0030125A" w:rsidRDefault="0030125A" w:rsidP="00803C18">
            <w:pPr>
              <w:ind w:left="0" w:right="0"/>
              <w:rPr>
                <w:sz w:val="20"/>
                <w:szCs w:val="20"/>
              </w:rPr>
            </w:pPr>
            <w:r w:rsidRPr="0030125A">
              <w:rPr>
                <w:sz w:val="20"/>
                <w:szCs w:val="20"/>
              </w:rPr>
              <w:t>Dose/response in target population</w:t>
            </w:r>
          </w:p>
        </w:tc>
        <w:tc>
          <w:tcPr>
            <w:tcW w:w="1418" w:type="dxa"/>
            <w:vMerge w:val="restart"/>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sz w:val="20"/>
                <w:szCs w:val="20"/>
              </w:rPr>
              <w:t>Patients with T2DM</w:t>
            </w:r>
          </w:p>
        </w:tc>
        <w:tc>
          <w:tcPr>
            <w:tcW w:w="1984"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sz w:val="20"/>
                <w:szCs w:val="20"/>
              </w:rPr>
              <w:t>P042/1004</w:t>
            </w:r>
          </w:p>
        </w:tc>
        <w:tc>
          <w:tcPr>
            <w:tcW w:w="3827"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sz w:val="20"/>
                <w:szCs w:val="20"/>
              </w:rPr>
              <w:t>Ertugliflozin dose/response in patients with T2DM</w:t>
            </w:r>
          </w:p>
        </w:tc>
      </w:tr>
      <w:tr w:rsidR="0030125A" w:rsidRPr="00C37A1D" w:rsidTr="0030125A">
        <w:trPr>
          <w:trHeight w:val="894"/>
        </w:trPr>
        <w:tc>
          <w:tcPr>
            <w:cnfStyle w:val="001000000000" w:firstRow="0" w:lastRow="0" w:firstColumn="1" w:lastColumn="0" w:oddVBand="0" w:evenVBand="0" w:oddHBand="0" w:evenHBand="0" w:firstRowFirstColumn="0" w:firstRowLastColumn="0" w:lastRowFirstColumn="0" w:lastRowLastColumn="0"/>
            <w:tcW w:w="1951" w:type="dxa"/>
            <w:vMerge/>
          </w:tcPr>
          <w:p w:rsidR="0030125A" w:rsidRPr="0030125A" w:rsidRDefault="0030125A" w:rsidP="00803C18">
            <w:pPr>
              <w:ind w:left="0" w:right="0"/>
              <w:rPr>
                <w:sz w:val="20"/>
                <w:szCs w:val="20"/>
              </w:rPr>
            </w:pPr>
          </w:p>
        </w:tc>
        <w:tc>
          <w:tcPr>
            <w:tcW w:w="1418" w:type="dxa"/>
            <w:vMerge/>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p>
        </w:tc>
        <w:tc>
          <w:tcPr>
            <w:tcW w:w="1984"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bCs/>
                <w:color w:val="000000"/>
                <w:sz w:val="20"/>
                <w:szCs w:val="20"/>
              </w:rPr>
              <w:t>P016/1006</w:t>
            </w:r>
          </w:p>
        </w:tc>
        <w:tc>
          <w:tcPr>
            <w:tcW w:w="3827"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rFonts w:eastAsia="TimesNewRoman"/>
                <w:sz w:val="20"/>
                <w:szCs w:val="20"/>
                <w:lang w:eastAsia="en-US"/>
              </w:rPr>
              <w:t>Dose-response of ertugliflozin QD in patients with T2DM on stable doses of metformin</w:t>
            </w:r>
          </w:p>
        </w:tc>
      </w:tr>
      <w:tr w:rsidR="0030125A" w:rsidRPr="00C37A1D" w:rsidTr="0030125A">
        <w:tc>
          <w:tcPr>
            <w:cnfStyle w:val="001000000000" w:firstRow="0" w:lastRow="0" w:firstColumn="1" w:lastColumn="0" w:oddVBand="0" w:evenVBand="0" w:oddHBand="0" w:evenHBand="0" w:firstRowFirstColumn="0" w:firstRowLastColumn="0" w:lastRowFirstColumn="0" w:lastRowLastColumn="0"/>
            <w:tcW w:w="1951" w:type="dxa"/>
            <w:vMerge w:val="restart"/>
          </w:tcPr>
          <w:p w:rsidR="0030125A" w:rsidRPr="0030125A" w:rsidRDefault="0030125A" w:rsidP="00803C18">
            <w:pPr>
              <w:ind w:left="0" w:right="0"/>
              <w:rPr>
                <w:sz w:val="20"/>
                <w:szCs w:val="20"/>
              </w:rPr>
            </w:pPr>
            <w:r w:rsidRPr="0030125A">
              <w:rPr>
                <w:sz w:val="20"/>
                <w:szCs w:val="20"/>
              </w:rPr>
              <w:t>Population PD and dose-response analyses</w:t>
            </w:r>
          </w:p>
        </w:tc>
        <w:tc>
          <w:tcPr>
            <w:tcW w:w="1418" w:type="dxa"/>
            <w:vMerge w:val="restart"/>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sz w:val="20"/>
                <w:szCs w:val="20"/>
              </w:rPr>
              <w:t>Patients with T2DM</w:t>
            </w:r>
          </w:p>
        </w:tc>
        <w:tc>
          <w:tcPr>
            <w:tcW w:w="1984"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rFonts w:eastAsiaTheme="minorHAnsi"/>
                <w:sz w:val="20"/>
                <w:szCs w:val="20"/>
                <w:lang w:eastAsia="en-US"/>
              </w:rPr>
              <w:t>PMAR-EQDD-B152c-DP4-444</w:t>
            </w:r>
          </w:p>
        </w:tc>
        <w:tc>
          <w:tcPr>
            <w:tcW w:w="3827" w:type="dxa"/>
          </w:tcPr>
          <w:p w:rsidR="0030125A" w:rsidRPr="0030125A" w:rsidRDefault="00FB1E32"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Pr>
                <w:rFonts w:eastAsiaTheme="minorHAnsi"/>
                <w:sz w:val="20"/>
                <w:szCs w:val="20"/>
                <w:lang w:eastAsia="en-US"/>
              </w:rPr>
              <w:t>Model based</w:t>
            </w:r>
            <w:r w:rsidR="0030125A" w:rsidRPr="0030125A">
              <w:rPr>
                <w:rFonts w:eastAsiaTheme="minorHAnsi"/>
                <w:sz w:val="20"/>
                <w:szCs w:val="20"/>
                <w:lang w:eastAsia="en-US"/>
              </w:rPr>
              <w:t xml:space="preserve"> meta-analysis that attempts to quantify the relationship between urinary glucose excretion and HbA1c</w:t>
            </w:r>
          </w:p>
        </w:tc>
      </w:tr>
      <w:tr w:rsidR="0030125A" w:rsidRPr="00C37A1D" w:rsidTr="0030125A">
        <w:tc>
          <w:tcPr>
            <w:cnfStyle w:val="001000000000" w:firstRow="0" w:lastRow="0" w:firstColumn="1" w:lastColumn="0" w:oddVBand="0" w:evenVBand="0" w:oddHBand="0" w:evenHBand="0" w:firstRowFirstColumn="0" w:firstRowLastColumn="0" w:lastRowFirstColumn="0" w:lastRowLastColumn="0"/>
            <w:tcW w:w="1951" w:type="dxa"/>
            <w:vMerge/>
          </w:tcPr>
          <w:p w:rsidR="0030125A" w:rsidRPr="0030125A" w:rsidRDefault="0030125A" w:rsidP="00803C18">
            <w:pPr>
              <w:ind w:left="0" w:right="0"/>
              <w:rPr>
                <w:sz w:val="20"/>
                <w:szCs w:val="20"/>
              </w:rPr>
            </w:pPr>
          </w:p>
        </w:tc>
        <w:tc>
          <w:tcPr>
            <w:tcW w:w="1418" w:type="dxa"/>
            <w:vMerge/>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p>
        </w:tc>
        <w:tc>
          <w:tcPr>
            <w:tcW w:w="1984"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rFonts w:eastAsiaTheme="minorHAnsi"/>
                <w:sz w:val="20"/>
                <w:szCs w:val="20"/>
                <w:lang w:eastAsia="en-US"/>
              </w:rPr>
              <w:t>PMAR-EQDD-B152a-DP4-407</w:t>
            </w:r>
          </w:p>
        </w:tc>
        <w:tc>
          <w:tcPr>
            <w:tcW w:w="3827"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rFonts w:eastAsiaTheme="minorHAnsi"/>
                <w:sz w:val="20"/>
                <w:szCs w:val="20"/>
                <w:lang w:eastAsia="en-US"/>
              </w:rPr>
              <w:t>Ertugliflozin population dose-response analysis in subjects with T2DM</w:t>
            </w:r>
          </w:p>
        </w:tc>
      </w:tr>
      <w:tr w:rsidR="0030125A" w:rsidRPr="00C37A1D" w:rsidTr="0030125A">
        <w:tc>
          <w:tcPr>
            <w:cnfStyle w:val="001000000000" w:firstRow="0" w:lastRow="0" w:firstColumn="1" w:lastColumn="0" w:oddVBand="0" w:evenVBand="0" w:oddHBand="0" w:evenHBand="0" w:firstRowFirstColumn="0" w:firstRowLastColumn="0" w:lastRowFirstColumn="0" w:lastRowLastColumn="0"/>
            <w:tcW w:w="1951" w:type="dxa"/>
            <w:vMerge/>
          </w:tcPr>
          <w:p w:rsidR="0030125A" w:rsidRPr="0030125A" w:rsidRDefault="0030125A" w:rsidP="00803C18">
            <w:pPr>
              <w:ind w:left="0" w:right="0"/>
              <w:rPr>
                <w:sz w:val="20"/>
                <w:szCs w:val="20"/>
              </w:rPr>
            </w:pPr>
          </w:p>
        </w:tc>
        <w:tc>
          <w:tcPr>
            <w:tcW w:w="1418" w:type="dxa"/>
            <w:vMerge/>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p>
        </w:tc>
        <w:tc>
          <w:tcPr>
            <w:tcW w:w="1984"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30125A">
              <w:rPr>
                <w:rFonts w:eastAsiaTheme="minorHAnsi"/>
                <w:sz w:val="20"/>
                <w:szCs w:val="20"/>
                <w:lang w:eastAsia="en-US"/>
              </w:rPr>
              <w:t>ASR-EQDD-B152a-DP3-253</w:t>
            </w:r>
          </w:p>
        </w:tc>
        <w:tc>
          <w:tcPr>
            <w:tcW w:w="3827" w:type="dxa"/>
          </w:tcPr>
          <w:p w:rsidR="0030125A" w:rsidRPr="0030125A" w:rsidRDefault="0030125A" w:rsidP="00803C18">
            <w:pPr>
              <w:ind w:left="0" w:right="0"/>
              <w:cnfStyle w:val="000000000000" w:firstRow="0" w:lastRow="0" w:firstColumn="0" w:lastColumn="0" w:oddVBand="0" w:evenVBand="0" w:oddHBand="0" w:evenHBand="0" w:firstRowFirstColumn="0" w:firstRowLastColumn="0" w:lastRowFirstColumn="0" w:lastRowLastColumn="0"/>
              <w:rPr>
                <w:sz w:val="20"/>
                <w:szCs w:val="20"/>
                <w:u w:val="single"/>
              </w:rPr>
            </w:pPr>
            <w:r w:rsidRPr="0030125A">
              <w:rPr>
                <w:sz w:val="20"/>
                <w:szCs w:val="20"/>
                <w:lang w:eastAsia="en-US"/>
              </w:rPr>
              <w:t>Characterisation of the relationship between UGE and ertugliflozin dose in subjects with T2DM</w:t>
            </w:r>
          </w:p>
        </w:tc>
      </w:tr>
    </w:tbl>
    <w:p w:rsidR="002E5CF1" w:rsidRPr="002E2E9A" w:rsidRDefault="002E5CF1" w:rsidP="0030125A">
      <w:pPr>
        <w:pStyle w:val="TableDescription"/>
      </w:pPr>
      <w:r w:rsidRPr="002E2E9A">
        <w:t>* Indicates the primary PD aim of the study.</w:t>
      </w:r>
      <w:r w:rsidR="0030125A">
        <w:t xml:space="preserve"> </w:t>
      </w:r>
      <w:r w:rsidRPr="002E2E9A">
        <w:t>§ Subjects who would be eligible to receive the drug if approv</w:t>
      </w:r>
      <w:r>
        <w:t>ed for the proposed indication.</w:t>
      </w:r>
    </w:p>
    <w:p w:rsidR="002E5CF1" w:rsidRPr="00545B14" w:rsidRDefault="002E5CF1" w:rsidP="0030125A">
      <w:pPr>
        <w:pStyle w:val="Heading3"/>
      </w:pPr>
      <w:bookmarkStart w:id="201" w:name="_Ref269119989"/>
      <w:bookmarkStart w:id="202" w:name="_Toc272414639"/>
      <w:bookmarkStart w:id="203" w:name="_Toc290888487"/>
      <w:bookmarkStart w:id="204" w:name="_Toc416353684"/>
      <w:bookmarkStart w:id="205" w:name="_Toc421005253"/>
      <w:bookmarkStart w:id="206" w:name="_Toc432079135"/>
      <w:bookmarkStart w:id="207" w:name="_Toc432080708"/>
      <w:bookmarkStart w:id="208" w:name="_Toc461096086"/>
      <w:bookmarkStart w:id="209" w:name="_Toc504038137"/>
      <w:bookmarkStart w:id="210" w:name="_Toc4489200"/>
      <w:r w:rsidRPr="00545B14">
        <w:t>Summary of pharmacodynamics</w:t>
      </w:r>
      <w:bookmarkEnd w:id="201"/>
      <w:bookmarkEnd w:id="202"/>
      <w:bookmarkEnd w:id="203"/>
      <w:bookmarkEnd w:id="204"/>
      <w:bookmarkEnd w:id="205"/>
      <w:bookmarkEnd w:id="206"/>
      <w:bookmarkEnd w:id="207"/>
      <w:bookmarkEnd w:id="208"/>
      <w:bookmarkEnd w:id="209"/>
      <w:bookmarkEnd w:id="210"/>
    </w:p>
    <w:p w:rsidR="002E5CF1" w:rsidRPr="00545B14" w:rsidRDefault="002E5CF1" w:rsidP="0030125A">
      <w:pPr>
        <w:pStyle w:val="Heading4"/>
      </w:pPr>
      <w:bookmarkStart w:id="211" w:name="_Toc241374299"/>
      <w:bookmarkStart w:id="212" w:name="_Toc272414640"/>
      <w:bookmarkStart w:id="213" w:name="_Toc290888488"/>
      <w:bookmarkStart w:id="214" w:name="_Toc416353685"/>
      <w:bookmarkStart w:id="215" w:name="_Toc421005254"/>
      <w:bookmarkStart w:id="216" w:name="_Toc432079136"/>
      <w:bookmarkStart w:id="217" w:name="_Toc432080709"/>
      <w:bookmarkStart w:id="218" w:name="_Toc461096087"/>
      <w:bookmarkStart w:id="219" w:name="_Toc504038138"/>
      <w:r w:rsidRPr="00545B14">
        <w:t>Mechanism of action</w:t>
      </w:r>
      <w:bookmarkEnd w:id="211"/>
      <w:bookmarkEnd w:id="212"/>
      <w:bookmarkEnd w:id="213"/>
      <w:bookmarkEnd w:id="214"/>
      <w:bookmarkEnd w:id="215"/>
      <w:bookmarkEnd w:id="216"/>
      <w:bookmarkEnd w:id="217"/>
      <w:bookmarkEnd w:id="218"/>
      <w:bookmarkEnd w:id="219"/>
    </w:p>
    <w:p w:rsidR="00803C18" w:rsidRDefault="002E5CF1" w:rsidP="00803C18">
      <w:r w:rsidRPr="00A6462A">
        <w:t>Patients with diabetes have been shown to have</w:t>
      </w:r>
      <w:r>
        <w:t xml:space="preserve"> </w:t>
      </w:r>
      <w:r w:rsidRPr="00A6462A">
        <w:t>elevated reabsorption of glucose which may result in persistence of hyperglycaemia</w:t>
      </w:r>
      <w:r>
        <w:t xml:space="preserve">. </w:t>
      </w:r>
      <w:r w:rsidRPr="00A6462A">
        <w:t>Ertugliflozin is an ora</w:t>
      </w:r>
      <w:r>
        <w:t>l</w:t>
      </w:r>
      <w:r w:rsidRPr="00A6462A">
        <w:t>ly administered selective inhibitor of SGLT2</w:t>
      </w:r>
      <w:r>
        <w:t xml:space="preserve"> and it</w:t>
      </w:r>
      <w:r w:rsidRPr="00A6462A">
        <w:t xml:space="preserve"> possesses a high selectivity for SGLT2 versus SGLT1 and other glucose transporters (</w:t>
      </w:r>
      <w:r>
        <w:t>GLUT1-4</w:t>
      </w:r>
      <w:r w:rsidRPr="00A6462A">
        <w:t>). By inhibiting SGLT2, ertugliflozin</w:t>
      </w:r>
      <w:r>
        <w:t xml:space="preserve"> </w:t>
      </w:r>
      <w:r w:rsidRPr="00A6462A">
        <w:t>reduces renal reabsorption of filtered glucose and lowers the renal threshold for glucose,</w:t>
      </w:r>
      <w:r>
        <w:t xml:space="preserve"> </w:t>
      </w:r>
      <w:r w:rsidRPr="00A6462A">
        <w:t>and thereby increases urinary glucose excretion (UGE), which lowers fasting plasma</w:t>
      </w:r>
      <w:r>
        <w:t xml:space="preserve"> </w:t>
      </w:r>
      <w:r w:rsidRPr="00A6462A">
        <w:t xml:space="preserve">glucose (FPG) and haemoglobin </w:t>
      </w:r>
      <w:r>
        <w:t>HbA1c</w:t>
      </w:r>
      <w:r w:rsidRPr="00A6462A">
        <w:t xml:space="preserve"> levels </w:t>
      </w:r>
      <w:r>
        <w:t xml:space="preserve">(HbHbA1c) </w:t>
      </w:r>
      <w:r w:rsidRPr="00A6462A">
        <w:t>in an insulin-independent manner</w:t>
      </w:r>
      <w:r>
        <w:t>.</w:t>
      </w:r>
      <w:r w:rsidRPr="00DF010E">
        <w:t xml:space="preserve"> Additionally, UGE results in caloric loss and an associated weight loss. Ertugliflozin also causes osmotic diuresis, which may result in a reduction of blood pressure</w:t>
      </w:r>
      <w:r w:rsidR="00803C18">
        <w:t>.</w:t>
      </w:r>
    </w:p>
    <w:p w:rsidR="002E5CF1" w:rsidRDefault="002E5CF1" w:rsidP="0030125A">
      <w:pPr>
        <w:pStyle w:val="Heading3"/>
      </w:pPr>
      <w:bookmarkStart w:id="220" w:name="_Toc241374300"/>
      <w:bookmarkStart w:id="221" w:name="_Toc272414641"/>
      <w:bookmarkStart w:id="222" w:name="_Toc290888489"/>
      <w:bookmarkStart w:id="223" w:name="_Toc416353686"/>
      <w:bookmarkStart w:id="224" w:name="_Toc421005255"/>
      <w:bookmarkStart w:id="225" w:name="_Toc432079137"/>
      <w:bookmarkStart w:id="226" w:name="_Toc432080710"/>
      <w:bookmarkStart w:id="227" w:name="_Toc461096088"/>
      <w:bookmarkStart w:id="228" w:name="_Toc504038139"/>
      <w:bookmarkStart w:id="229" w:name="_Toc4489201"/>
      <w:r w:rsidRPr="00545B14">
        <w:t>Pharmacodynamic effects</w:t>
      </w:r>
      <w:bookmarkEnd w:id="220"/>
      <w:bookmarkEnd w:id="221"/>
      <w:bookmarkEnd w:id="222"/>
      <w:bookmarkEnd w:id="223"/>
      <w:bookmarkEnd w:id="224"/>
      <w:bookmarkEnd w:id="225"/>
      <w:bookmarkEnd w:id="226"/>
      <w:bookmarkEnd w:id="227"/>
      <w:bookmarkEnd w:id="228"/>
      <w:bookmarkEnd w:id="229"/>
    </w:p>
    <w:p w:rsidR="002E5CF1" w:rsidRPr="0030125A" w:rsidRDefault="002E5CF1" w:rsidP="0030125A">
      <w:pPr>
        <w:pStyle w:val="Heading4"/>
      </w:pPr>
      <w:bookmarkStart w:id="230" w:name="_Toc272414642"/>
      <w:bookmarkStart w:id="231" w:name="_Toc290888490"/>
      <w:bookmarkStart w:id="232" w:name="_Toc416353687"/>
      <w:r w:rsidRPr="005B0142">
        <w:t xml:space="preserve">Primary pharmacodynamic </w:t>
      </w:r>
      <w:r w:rsidRPr="0030125A">
        <w:t>effects</w:t>
      </w:r>
      <w:bookmarkEnd w:id="230"/>
      <w:bookmarkEnd w:id="231"/>
      <w:bookmarkEnd w:id="232"/>
    </w:p>
    <w:p w:rsidR="002E5CF1" w:rsidRPr="00BC2BC4" w:rsidRDefault="002E5CF1" w:rsidP="0030125A">
      <w:pPr>
        <w:pStyle w:val="Heading5"/>
      </w:pPr>
      <w:bookmarkStart w:id="233" w:name="_Toc272414643"/>
      <w:bookmarkStart w:id="234" w:name="_Toc290888491"/>
      <w:bookmarkStart w:id="235" w:name="_Toc416353688"/>
      <w:r w:rsidRPr="00BC2BC4">
        <w:t>UGE healthy subjects</w:t>
      </w:r>
    </w:p>
    <w:p w:rsidR="002E5CF1" w:rsidRPr="00235DC8" w:rsidRDefault="002E5CF1" w:rsidP="00803C18">
      <w:pPr>
        <w:rPr>
          <w:rFonts w:eastAsia="TimesNewRoman" w:cstheme="minorHAnsi"/>
        </w:rPr>
      </w:pPr>
      <w:r w:rsidRPr="0030125A">
        <w:t xml:space="preserve">Study </w:t>
      </w:r>
      <w:r w:rsidRPr="0030125A">
        <w:rPr>
          <w:bCs/>
          <w:color w:val="000000"/>
        </w:rPr>
        <w:t>P036/1001</w:t>
      </w:r>
      <w:r w:rsidRPr="009B57EA">
        <w:t xml:space="preserve"> </w:t>
      </w:r>
      <w:r>
        <w:t xml:space="preserve">examined UGE following </w:t>
      </w:r>
      <w:r w:rsidRPr="009B57EA">
        <w:t xml:space="preserve">escalating </w:t>
      </w:r>
      <w:r>
        <w:t xml:space="preserve">(0.5 to 300 mg) </w:t>
      </w:r>
      <w:r w:rsidRPr="009B57EA">
        <w:t xml:space="preserve">single oral doses of ertugliflozin </w:t>
      </w:r>
      <w:r>
        <w:t xml:space="preserve">in the fasted state or 100 mg ertugliflozin in the fed or fasted state </w:t>
      </w:r>
      <w:r w:rsidRPr="009B57EA">
        <w:t>in healthy subjects</w:t>
      </w:r>
      <w:r>
        <w:t>. Overall, the results indicated that there was a</w:t>
      </w:r>
      <w:r w:rsidRPr="009B57EA">
        <w:rPr>
          <w:rFonts w:eastAsia="TimesNewRoman" w:cstheme="minorHAnsi"/>
        </w:rPr>
        <w:t xml:space="preserve"> dose-dependent e</w:t>
      </w:r>
      <w:r>
        <w:rPr>
          <w:rFonts w:eastAsia="TimesNewRoman" w:cstheme="minorHAnsi"/>
        </w:rPr>
        <w:t xml:space="preserve">ffect on UGE; however, for mean </w:t>
      </w:r>
      <w:r w:rsidR="000F7316">
        <w:rPr>
          <w:rFonts w:eastAsia="TimesNewRoman" w:cstheme="minorHAnsi"/>
        </w:rPr>
        <w:t xml:space="preserve">UGE </w:t>
      </w:r>
      <w:r w:rsidR="000F7316" w:rsidRPr="000F7316">
        <w:rPr>
          <w:rFonts w:eastAsia="TimesNewRoman" w:cstheme="minorHAnsi"/>
          <w:vertAlign w:val="subscript"/>
        </w:rPr>
        <w:t>(0-24 h)</w:t>
      </w:r>
      <w:r w:rsidRPr="009B57EA">
        <w:rPr>
          <w:rFonts w:eastAsia="TimesNewRoman" w:cstheme="minorHAnsi"/>
        </w:rPr>
        <w:t xml:space="preserve">, a plateau was reached between 58 and 65 grams/day with doses </w:t>
      </w:r>
      <w:r w:rsidR="002E1032">
        <w:rPr>
          <w:rFonts w:asciiTheme="minorHAnsi" w:eastAsiaTheme="minorHAnsi" w:hAnsiTheme="minorHAnsi"/>
          <w:color w:val="000000"/>
        </w:rPr>
        <w:t xml:space="preserve">≥ </w:t>
      </w:r>
      <w:r w:rsidRPr="009B57EA">
        <w:rPr>
          <w:rFonts w:eastAsia="TimesNewRoman" w:cstheme="minorHAnsi"/>
        </w:rPr>
        <w:t>30 mg (fasted state).</w:t>
      </w:r>
      <w:r>
        <w:rPr>
          <w:rFonts w:eastAsia="TimesNewRoman" w:cstheme="minorHAnsi"/>
        </w:rPr>
        <w:t xml:space="preserve"> Following a </w:t>
      </w:r>
      <w:r w:rsidR="00803C18">
        <w:rPr>
          <w:rFonts w:eastAsia="TimesNewRoman" w:cstheme="minorHAnsi"/>
        </w:rPr>
        <w:t>high fat</w:t>
      </w:r>
      <w:r w:rsidRPr="009B57EA">
        <w:rPr>
          <w:rFonts w:eastAsia="TimesNewRoman" w:cstheme="minorHAnsi"/>
        </w:rPr>
        <w:t xml:space="preserve"> meal</w:t>
      </w:r>
      <w:r>
        <w:rPr>
          <w:rFonts w:eastAsia="TimesNewRoman" w:cstheme="minorHAnsi"/>
        </w:rPr>
        <w:t xml:space="preserve"> the </w:t>
      </w:r>
      <w:r w:rsidR="0012056D">
        <w:rPr>
          <w:rFonts w:eastAsia="TimesNewRoman" w:cstheme="minorHAnsi"/>
        </w:rPr>
        <w:t>UGE</w:t>
      </w:r>
      <w:r w:rsidR="0012056D" w:rsidRPr="0012056D">
        <w:rPr>
          <w:rFonts w:eastAsia="TimesNewRoman" w:cstheme="minorHAnsi"/>
          <w:vertAlign w:val="subscript"/>
        </w:rPr>
        <w:t>0-24</w:t>
      </w:r>
      <w:r>
        <w:rPr>
          <w:rFonts w:eastAsia="TimesNewRoman" w:cstheme="minorHAnsi"/>
        </w:rPr>
        <w:t xml:space="preserve"> for a 100 mg dose of ertugliflozin was </w:t>
      </w:r>
      <w:r w:rsidRPr="009B57EA">
        <w:rPr>
          <w:rFonts w:eastAsia="TimesNewRoman" w:cstheme="minorHAnsi"/>
        </w:rPr>
        <w:t>71</w:t>
      </w:r>
      <w:r>
        <w:rPr>
          <w:rFonts w:eastAsia="TimesNewRoman" w:cstheme="minorHAnsi"/>
        </w:rPr>
        <w:t>.2</w:t>
      </w:r>
      <w:r w:rsidR="00803C18">
        <w:rPr>
          <w:rFonts w:eastAsia="TimesNewRoman" w:cstheme="minorHAnsi"/>
        </w:rPr>
        <w:t> </w:t>
      </w:r>
      <w:r w:rsidRPr="009B57EA">
        <w:rPr>
          <w:rFonts w:eastAsia="TimesNewRoman" w:cstheme="minorHAnsi"/>
        </w:rPr>
        <w:t>grams/day</w:t>
      </w:r>
      <w:r>
        <w:rPr>
          <w:rFonts w:eastAsia="TimesNewRoman" w:cstheme="minorHAnsi"/>
        </w:rPr>
        <w:t xml:space="preserve">, whereas, in the fasted state this value was 58.4 grams/day. Given that a high </w:t>
      </w:r>
      <w:r>
        <w:rPr>
          <w:rFonts w:eastAsia="TimesNewRoman" w:cstheme="minorHAnsi"/>
        </w:rPr>
        <w:lastRenderedPageBreak/>
        <w:t>fat meal reduces ertugliflozin exposure by approximately 18% for AUC</w:t>
      </w:r>
      <w:r>
        <w:rPr>
          <w:rFonts w:eastAsia="TimesNewRoman" w:cstheme="minorHAnsi"/>
          <w:vertAlign w:val="subscript"/>
        </w:rPr>
        <w:t>inf</w:t>
      </w:r>
      <w:r>
        <w:rPr>
          <w:rFonts w:eastAsia="TimesNewRoman" w:cstheme="minorHAnsi"/>
        </w:rPr>
        <w:t xml:space="preserve"> these results are </w:t>
      </w:r>
      <w:r w:rsidRPr="009B57EA">
        <w:rPr>
          <w:rFonts w:eastAsia="TimesNewRoman" w:cstheme="minorHAnsi"/>
        </w:rPr>
        <w:t>consistent with the higher caloric intake in this dose group.</w:t>
      </w:r>
    </w:p>
    <w:p w:rsidR="002E5CF1" w:rsidRPr="009B57EA" w:rsidRDefault="002E5CF1" w:rsidP="00803C18">
      <w:pPr>
        <w:rPr>
          <w:rFonts w:eastAsia="TimesNewRoman" w:cstheme="minorHAnsi"/>
        </w:rPr>
      </w:pPr>
      <w:r>
        <w:rPr>
          <w:lang w:eastAsia="ja-JP"/>
        </w:rPr>
        <w:t xml:space="preserve">A second study, </w:t>
      </w:r>
      <w:r w:rsidRPr="00A400E1">
        <w:rPr>
          <w:bCs/>
          <w:color w:val="000000"/>
        </w:rPr>
        <w:t>P037/1002</w:t>
      </w:r>
      <w:r>
        <w:rPr>
          <w:lang w:eastAsia="ja-JP"/>
        </w:rPr>
        <w:t xml:space="preserve"> examined UGE and renal glucose reabsorption following multiple QD doses of 1 mg to 100 mg ertugliflozin in </w:t>
      </w:r>
      <w:r w:rsidRPr="009B57EA">
        <w:t>otherwise healthy overweight or obese subjects</w:t>
      </w:r>
      <w:r>
        <w:t>. In this study, e</w:t>
      </w:r>
      <w:r>
        <w:rPr>
          <w:rFonts w:eastAsia="TimesNewRoman" w:cstheme="minorHAnsi"/>
        </w:rPr>
        <w:t>rtugliflozin</w:t>
      </w:r>
      <w:r w:rsidR="00803C18">
        <w:rPr>
          <w:rFonts w:eastAsia="TimesNewRoman" w:cstheme="minorHAnsi"/>
        </w:rPr>
        <w:t xml:space="preserve"> demonstrated a dose </w:t>
      </w:r>
      <w:r w:rsidRPr="009B57EA">
        <w:rPr>
          <w:rFonts w:eastAsia="TimesNewRoman" w:cstheme="minorHAnsi"/>
        </w:rPr>
        <w:t xml:space="preserve">dependent effect on UGE as well as inhibition of renal glucose reabsorption on Day 1 which persisted </w:t>
      </w:r>
      <w:r>
        <w:rPr>
          <w:rFonts w:eastAsia="TimesNewRoman" w:cstheme="minorHAnsi"/>
        </w:rPr>
        <w:t>for the</w:t>
      </w:r>
      <w:r w:rsidRPr="009B57EA">
        <w:rPr>
          <w:rFonts w:eastAsia="TimesNewRoman" w:cstheme="minorHAnsi"/>
        </w:rPr>
        <w:t xml:space="preserve"> 14 days </w:t>
      </w:r>
      <w:r>
        <w:rPr>
          <w:rFonts w:eastAsia="TimesNewRoman" w:cstheme="minorHAnsi"/>
        </w:rPr>
        <w:t>of</w:t>
      </w:r>
      <w:r w:rsidRPr="009B57EA">
        <w:rPr>
          <w:rFonts w:eastAsia="TimesNewRoman" w:cstheme="minorHAnsi"/>
        </w:rPr>
        <w:t xml:space="preserve"> QD dosing. This effect occurred without changes in serum glucose and plasma C-peptide levels. Of note, there were no episodes of hypoglycaemia reported in this study despite the sustained UGE observed highlighting the inherently low hypoglycaemia risk </w:t>
      </w:r>
      <w:r>
        <w:rPr>
          <w:rFonts w:eastAsia="TimesNewRoman" w:cstheme="minorHAnsi"/>
        </w:rPr>
        <w:t>associated</w:t>
      </w:r>
      <w:r w:rsidR="00803C18">
        <w:rPr>
          <w:rFonts w:eastAsia="TimesNewRoman" w:cstheme="minorHAnsi"/>
        </w:rPr>
        <w:t xml:space="preserve"> with this glucose </w:t>
      </w:r>
      <w:r w:rsidRPr="009B57EA">
        <w:rPr>
          <w:rFonts w:eastAsia="TimesNewRoman" w:cstheme="minorHAnsi"/>
        </w:rPr>
        <w:t>dependent mechanism. There was no significant trend in body weight observed during the study.</w:t>
      </w:r>
    </w:p>
    <w:p w:rsidR="002E5CF1" w:rsidRPr="00BC2BC4" w:rsidRDefault="002E5CF1" w:rsidP="00B10986">
      <w:pPr>
        <w:pStyle w:val="Heading5"/>
        <w:rPr>
          <w:rFonts w:eastAsia="TimesNewRoman"/>
        </w:rPr>
      </w:pPr>
      <w:r w:rsidRPr="00BC2BC4">
        <w:rPr>
          <w:rFonts w:eastAsia="TimesNewRoman"/>
        </w:rPr>
        <w:t xml:space="preserve">UGE and plasma glucose </w:t>
      </w:r>
      <w:r w:rsidR="00B10986">
        <w:rPr>
          <w:rFonts w:eastAsia="TimesNewRoman"/>
        </w:rPr>
        <w:t xml:space="preserve">in </w:t>
      </w:r>
      <w:r w:rsidRPr="00BC2BC4">
        <w:rPr>
          <w:rFonts w:eastAsia="TimesNewRoman"/>
        </w:rPr>
        <w:t>patients with T2DM</w:t>
      </w:r>
    </w:p>
    <w:p w:rsidR="002E5CF1" w:rsidRPr="00ED7253" w:rsidRDefault="002E5CF1" w:rsidP="002E5CF1">
      <w:pPr>
        <w:spacing w:line="240" w:lineRule="auto"/>
        <w:rPr>
          <w:rFonts w:cstheme="minorHAnsi"/>
          <w:bCs/>
          <w:color w:val="000000"/>
        </w:rPr>
      </w:pPr>
      <w:r w:rsidRPr="00ED7253">
        <w:rPr>
          <w:rFonts w:eastAsia="TimesNewRoman" w:cstheme="minorHAnsi"/>
        </w:rPr>
        <w:t xml:space="preserve">Two </w:t>
      </w:r>
      <w:r>
        <w:rPr>
          <w:rFonts w:eastAsia="TimesNewRoman" w:cstheme="minorHAnsi"/>
        </w:rPr>
        <w:t>Phase II</w:t>
      </w:r>
      <w:r w:rsidRPr="00ED7253">
        <w:rPr>
          <w:rFonts w:eastAsia="TimesNewRoman" w:cstheme="minorHAnsi"/>
        </w:rPr>
        <w:t xml:space="preserve"> studies (P016/1006 and P042/1004) involving over 500 T2DM patients </w:t>
      </w:r>
      <w:r w:rsidRPr="00ED7253">
        <w:rPr>
          <w:rFonts w:cstheme="minorHAnsi"/>
          <w:bCs/>
          <w:color w:val="000000"/>
        </w:rPr>
        <w:t xml:space="preserve">provided the main data to enable the dose-response modelling which was used to determine the doses to be evaluated in the </w:t>
      </w:r>
      <w:r>
        <w:rPr>
          <w:rFonts w:cstheme="minorHAnsi"/>
          <w:bCs/>
          <w:color w:val="000000"/>
        </w:rPr>
        <w:t>Phase III</w:t>
      </w:r>
      <w:r w:rsidRPr="00ED7253">
        <w:rPr>
          <w:rFonts w:cstheme="minorHAnsi"/>
          <w:bCs/>
          <w:color w:val="000000"/>
        </w:rPr>
        <w:t xml:space="preserve"> studies (discussed </w:t>
      </w:r>
      <w:r w:rsidR="00A400E1">
        <w:rPr>
          <w:rFonts w:cstheme="minorHAnsi"/>
          <w:bCs/>
          <w:color w:val="000000"/>
        </w:rPr>
        <w:t>below</w:t>
      </w:r>
      <w:r w:rsidRPr="00ED7253">
        <w:rPr>
          <w:rFonts w:cstheme="minorHAnsi"/>
          <w:bCs/>
          <w:color w:val="000000"/>
        </w:rPr>
        <w:t>). However, the proposed ertugliflozin dose of 1</w:t>
      </w:r>
      <w:r>
        <w:rPr>
          <w:rFonts w:cstheme="minorHAnsi"/>
          <w:bCs/>
          <w:color w:val="000000"/>
        </w:rPr>
        <w:t xml:space="preserve">5 </w:t>
      </w:r>
      <w:r w:rsidR="00730F18">
        <w:rPr>
          <w:rFonts w:cstheme="minorHAnsi"/>
          <w:bCs/>
          <w:color w:val="000000"/>
        </w:rPr>
        <w:t>mg QD</w:t>
      </w:r>
      <w:r w:rsidRPr="00ED7253">
        <w:rPr>
          <w:rFonts w:cstheme="minorHAnsi"/>
          <w:bCs/>
          <w:color w:val="000000"/>
        </w:rPr>
        <w:t xml:space="preserve"> was not evaluated in either of these studies and the choice of the </w:t>
      </w:r>
      <w:r w:rsidRPr="00BC2BC4">
        <w:rPr>
          <w:rFonts w:cs="Calibri"/>
        </w:rPr>
        <w:t>15 mg dose appears to be arbitrary in the materials provided regarding the modelling studies.</w:t>
      </w:r>
      <w:r>
        <w:rPr>
          <w:rFonts w:cs="Calibri"/>
        </w:rPr>
        <w:t xml:space="preserve"> </w:t>
      </w:r>
      <w:r w:rsidRPr="00BC2BC4">
        <w:rPr>
          <w:rFonts w:cs="Calibri"/>
        </w:rPr>
        <w:t>The sponsors have been asked to provide further justification regarding the choice of the 1</w:t>
      </w:r>
      <w:r>
        <w:rPr>
          <w:rFonts w:cs="Calibri"/>
        </w:rPr>
        <w:t>5 mg</w:t>
      </w:r>
      <w:r w:rsidRPr="00BC2BC4">
        <w:rPr>
          <w:rFonts w:cs="Calibri"/>
        </w:rPr>
        <w:t xml:space="preserve"> dose for the pivotal studies.</w:t>
      </w:r>
    </w:p>
    <w:p w:rsidR="002E5CF1" w:rsidRDefault="002E5CF1" w:rsidP="002E5CF1">
      <w:pPr>
        <w:autoSpaceDE w:val="0"/>
        <w:autoSpaceDN w:val="0"/>
        <w:adjustRightInd w:val="0"/>
        <w:rPr>
          <w:rFonts w:eastAsia="TimesNewRoman" w:cstheme="minorHAnsi"/>
        </w:rPr>
      </w:pPr>
      <w:r w:rsidRPr="00B10986">
        <w:t>Study P040/1007</w:t>
      </w:r>
      <w:r>
        <w:t xml:space="preserve"> examined UGE and plasma glucose following a single 2 mg or 4 mg dose of ertugliflozin in patients with T2DM. </w:t>
      </w:r>
      <w:r w:rsidRPr="009B57EA">
        <w:rPr>
          <w:rFonts w:eastAsia="TimesNewRoman" w:cstheme="minorHAnsi"/>
        </w:rPr>
        <w:t xml:space="preserve">Cumulative </w:t>
      </w:r>
      <w:r w:rsidR="0012056D">
        <w:rPr>
          <w:rFonts w:eastAsia="TimesNewRoman" w:cstheme="minorHAnsi"/>
        </w:rPr>
        <w:t>UGE</w:t>
      </w:r>
      <w:r w:rsidR="0012056D" w:rsidRPr="0012056D">
        <w:rPr>
          <w:rFonts w:eastAsia="TimesNewRoman" w:cstheme="minorHAnsi"/>
          <w:vertAlign w:val="subscript"/>
        </w:rPr>
        <w:t>0-24</w:t>
      </w:r>
      <w:r w:rsidRPr="009B57EA">
        <w:rPr>
          <w:rFonts w:eastAsia="TimesNewRoman" w:cstheme="minorHAnsi"/>
        </w:rPr>
        <w:t xml:space="preserve"> was </w:t>
      </w:r>
      <w:r>
        <w:rPr>
          <w:rFonts w:eastAsia="TimesNewRoman" w:cstheme="minorHAnsi"/>
        </w:rPr>
        <w:t xml:space="preserve">dose dependent with 70.4 g secreted following the 2 mg dose and 80.5 g following the 4 mg dose. By contrast, </w:t>
      </w:r>
      <w:r w:rsidRPr="00FE4C12">
        <w:rPr>
          <w:rFonts w:eastAsia="TimesNewRoman" w:cstheme="minorHAnsi"/>
        </w:rPr>
        <w:t xml:space="preserve">weighted mean plasma glucose over 24 h </w:t>
      </w:r>
      <w:r>
        <w:rPr>
          <w:rFonts w:eastAsia="TimesNewRoman" w:cstheme="minorHAnsi"/>
        </w:rPr>
        <w:t>was similar following both the 2 mg (175.6 mg/dL) and 4 mg (170.4 mg/dL) doses.</w:t>
      </w:r>
    </w:p>
    <w:p w:rsidR="002E5CF1" w:rsidRPr="005B0142" w:rsidRDefault="002E5CF1" w:rsidP="00B10986">
      <w:pPr>
        <w:pStyle w:val="Heading4"/>
      </w:pPr>
      <w:r w:rsidRPr="005B0142">
        <w:t>Secondary pharmacodynamic effects</w:t>
      </w:r>
      <w:bookmarkEnd w:id="233"/>
      <w:bookmarkEnd w:id="234"/>
      <w:bookmarkEnd w:id="235"/>
    </w:p>
    <w:p w:rsidR="002E5CF1" w:rsidRPr="00BC2BC4" w:rsidRDefault="002E5CF1" w:rsidP="00A400E1">
      <w:pPr>
        <w:pStyle w:val="Heading5"/>
        <w:rPr>
          <w:rFonts w:eastAsia="TimesNewRoman,Bold"/>
        </w:rPr>
      </w:pPr>
      <w:bookmarkStart w:id="236" w:name="_Toc272414644"/>
      <w:bookmarkStart w:id="237" w:name="_Toc290888492"/>
      <w:bookmarkStart w:id="238" w:name="_Toc416353689"/>
      <w:bookmarkStart w:id="239" w:name="_Toc421005256"/>
      <w:bookmarkStart w:id="240" w:name="_Toc432079138"/>
      <w:bookmarkStart w:id="241" w:name="_Toc432080711"/>
      <w:r w:rsidRPr="00BC2BC4">
        <w:rPr>
          <w:rFonts w:eastAsia="TimesNewRoman,Bold"/>
        </w:rPr>
        <w:t>QTc Effects</w:t>
      </w:r>
    </w:p>
    <w:p w:rsidR="002E5CF1" w:rsidRPr="00A400E1" w:rsidRDefault="002E5CF1" w:rsidP="002E5CF1">
      <w:pPr>
        <w:autoSpaceDE w:val="0"/>
        <w:autoSpaceDN w:val="0"/>
        <w:adjustRightInd w:val="0"/>
        <w:rPr>
          <w:rFonts w:eastAsia="TimesNewRoman" w:cstheme="minorHAnsi"/>
          <w:color w:val="000000"/>
        </w:rPr>
      </w:pPr>
      <w:r w:rsidRPr="00A400E1">
        <w:rPr>
          <w:rFonts w:cstheme="minorHAnsi"/>
        </w:rPr>
        <w:t xml:space="preserve">Study </w:t>
      </w:r>
      <w:r w:rsidRPr="00A400E1">
        <w:rPr>
          <w:rFonts w:cstheme="minorHAnsi"/>
          <w:bCs/>
          <w:color w:val="000000"/>
        </w:rPr>
        <w:t xml:space="preserve">P010/1025 examined the </w:t>
      </w:r>
      <w:r w:rsidRPr="00A400E1">
        <w:rPr>
          <w:rFonts w:eastAsia="TimesNewRoman" w:cstheme="minorHAnsi"/>
        </w:rPr>
        <w:t xml:space="preserve">QTc intervals following administration of ertugliflozin 100 mg, </w:t>
      </w:r>
      <w:r w:rsidR="00AE3765">
        <w:rPr>
          <w:rFonts w:eastAsia="TimesNewRoman" w:cstheme="minorHAnsi"/>
        </w:rPr>
        <w:t xml:space="preserve">or </w:t>
      </w:r>
      <w:r w:rsidRPr="00A400E1">
        <w:rPr>
          <w:rFonts w:eastAsia="TimesNewRoman" w:cstheme="minorHAnsi"/>
        </w:rPr>
        <w:t>matching placebo or moxifloxacin 400 mg in healthy subjects. The results indicated that, unlike moxifloxacin, a</w:t>
      </w:r>
      <w:r w:rsidRPr="00A400E1">
        <w:rPr>
          <w:rFonts w:eastAsia="TimesNewRoman" w:cstheme="minorHAnsi"/>
          <w:color w:val="000000"/>
        </w:rPr>
        <w:t xml:space="preserve">t each of the 10 pre-specified time points up to 48 h post-dose, the upper bounds of the 2-sided 90% CIs (equivalent to 1-sided 95% CI) for all of the time-matched mean differences between ertugliflozin 100 mg and placebo were less than the pre-defined cut-off of 10 msec (highest value of the upper bound was 4.30 msec) (Table </w:t>
      </w:r>
      <w:r w:rsidR="00A400E1" w:rsidRPr="00A400E1">
        <w:rPr>
          <w:rFonts w:eastAsia="TimesNewRoman" w:cstheme="minorHAnsi"/>
          <w:color w:val="000000"/>
        </w:rPr>
        <w:t>16</w:t>
      </w:r>
      <w:r w:rsidRPr="00A400E1">
        <w:rPr>
          <w:rFonts w:eastAsia="TimesNewRoman" w:cstheme="minorHAnsi"/>
          <w:color w:val="000000"/>
        </w:rPr>
        <w:t>).</w:t>
      </w:r>
    </w:p>
    <w:p w:rsidR="00A400E1" w:rsidRPr="00250D80" w:rsidRDefault="00A400E1" w:rsidP="00A400E1">
      <w:pPr>
        <w:pStyle w:val="Tabletitle"/>
        <w:rPr>
          <w:rFonts w:eastAsia="TimesNewRoman"/>
          <w:color w:val="000000"/>
        </w:rPr>
      </w:pPr>
      <w:bookmarkStart w:id="242" w:name="_Ref492026977"/>
      <w:bookmarkStart w:id="243" w:name="_Ref492027512"/>
      <w:bookmarkStart w:id="244" w:name="_Toc504038342"/>
      <w:r w:rsidRPr="00250D80">
        <w:t xml:space="preserve">Table </w:t>
      </w:r>
      <w:r>
        <w:t xml:space="preserve">16: </w:t>
      </w:r>
      <w:r w:rsidRPr="00250D80">
        <w:t xml:space="preserve">Study </w:t>
      </w:r>
      <w:r w:rsidRPr="00250D80">
        <w:rPr>
          <w:color w:val="000000"/>
        </w:rPr>
        <w:t>P010/1025</w:t>
      </w:r>
      <w:r w:rsidR="00803C18">
        <w:rPr>
          <w:color w:val="000000"/>
        </w:rPr>
        <w:t>:</w:t>
      </w:r>
      <w:r w:rsidRPr="00250D80">
        <w:rPr>
          <w:color w:val="000000"/>
        </w:rPr>
        <w:t xml:space="preserve"> </w:t>
      </w:r>
      <w:r w:rsidRPr="00250D80">
        <w:t xml:space="preserve">Summary of </w:t>
      </w:r>
      <w:r w:rsidR="00803C18" w:rsidRPr="00250D80">
        <w:t xml:space="preserve">statistical comparisons </w:t>
      </w:r>
      <w:r w:rsidRPr="00250D80">
        <w:t xml:space="preserve">of QTcF </w:t>
      </w:r>
      <w:r w:rsidR="007704B5">
        <w:t>b</w:t>
      </w:r>
      <w:r w:rsidRPr="00250D80">
        <w:t xml:space="preserve">etween </w:t>
      </w:r>
      <w:r w:rsidR="007704B5">
        <w:t>e</w:t>
      </w:r>
      <w:r w:rsidRPr="00250D80">
        <w:t xml:space="preserve">rtugliflozin 100 mg and Placebo at </w:t>
      </w:r>
      <w:r w:rsidR="00803C18" w:rsidRPr="00250D80">
        <w:t>each time point post dose by mixed effect model</w:t>
      </w:r>
      <w:bookmarkEnd w:id="242"/>
      <w:bookmarkEnd w:id="243"/>
      <w:bookmarkEnd w:id="244"/>
    </w:p>
    <w:p w:rsidR="00A400E1" w:rsidRPr="00250D80" w:rsidRDefault="00A400E1" w:rsidP="000C6FC8">
      <w:r w:rsidRPr="00250D80">
        <w:rPr>
          <w:noProof/>
          <w:lang w:eastAsia="en-AU"/>
        </w:rPr>
        <w:drawing>
          <wp:inline distT="0" distB="0" distL="0" distR="0" wp14:anchorId="14C95FEE" wp14:editId="0C71EBCE">
            <wp:extent cx="5318150" cy="2194407"/>
            <wp:effectExtent l="0" t="0" r="0" b="0"/>
            <wp:docPr id="72" name="Picture 72" descr="Study P010/1025 Summary of Statistical Comparisons of QTcF Between Ertugliflozin 100 mg and Placebo at Each Time Point Post Dose by Mixed Effect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18305" cy="2194471"/>
                    </a:xfrm>
                    <a:prstGeom prst="rect">
                      <a:avLst/>
                    </a:prstGeom>
                    <a:noFill/>
                    <a:ln>
                      <a:noFill/>
                    </a:ln>
                  </pic:spPr>
                </pic:pic>
              </a:graphicData>
            </a:graphic>
          </wp:inline>
        </w:drawing>
      </w:r>
    </w:p>
    <w:p w:rsidR="002E5CF1" w:rsidRPr="00BC2BC4" w:rsidRDefault="002E5CF1" w:rsidP="00A400E1">
      <w:pPr>
        <w:pStyle w:val="Heading5"/>
        <w:rPr>
          <w:rFonts w:eastAsia="TimesNewRoman,Bold"/>
        </w:rPr>
      </w:pPr>
      <w:r w:rsidRPr="00BC2BC4">
        <w:rPr>
          <w:rFonts w:eastAsia="TimesNewRoman,Bold"/>
        </w:rPr>
        <w:lastRenderedPageBreak/>
        <w:t xml:space="preserve">Markers of RAAS </w:t>
      </w:r>
      <w:r w:rsidR="003436E7">
        <w:rPr>
          <w:rFonts w:eastAsia="TimesNewRoman,Bold"/>
        </w:rPr>
        <w:t>a</w:t>
      </w:r>
      <w:r w:rsidRPr="00BC2BC4">
        <w:rPr>
          <w:rFonts w:eastAsia="TimesNewRoman,Bold"/>
        </w:rPr>
        <w:t>ctivation</w:t>
      </w:r>
    </w:p>
    <w:p w:rsidR="002E5CF1" w:rsidRPr="009B57EA" w:rsidRDefault="002E5CF1" w:rsidP="002E5CF1">
      <w:pPr>
        <w:autoSpaceDE w:val="0"/>
        <w:autoSpaceDN w:val="0"/>
        <w:adjustRightInd w:val="0"/>
        <w:rPr>
          <w:rFonts w:eastAsia="TimesNewRoman" w:cstheme="minorHAnsi"/>
        </w:rPr>
      </w:pPr>
      <w:r w:rsidRPr="00635616">
        <w:rPr>
          <w:rFonts w:cstheme="minorHAnsi"/>
        </w:rPr>
        <w:t xml:space="preserve">The </w:t>
      </w:r>
      <w:r>
        <w:rPr>
          <w:rFonts w:cstheme="minorHAnsi"/>
        </w:rPr>
        <w:t>Phase II</w:t>
      </w:r>
      <w:r w:rsidRPr="00635616">
        <w:rPr>
          <w:rFonts w:cstheme="minorHAnsi"/>
        </w:rPr>
        <w:t xml:space="preserve"> study,</w:t>
      </w:r>
      <w:r w:rsidRPr="00635616">
        <w:rPr>
          <w:rFonts w:cstheme="minorHAnsi"/>
          <w:b/>
        </w:rPr>
        <w:t xml:space="preserve"> </w:t>
      </w:r>
      <w:r w:rsidRPr="00A400E1">
        <w:rPr>
          <w:rFonts w:cstheme="minorHAnsi"/>
        </w:rPr>
        <w:t>P042/1004</w:t>
      </w:r>
      <w:r>
        <w:rPr>
          <w:rFonts w:cstheme="minorHAnsi"/>
          <w:b/>
        </w:rPr>
        <w:t xml:space="preserve"> </w:t>
      </w:r>
      <w:r w:rsidRPr="00FE4C12">
        <w:rPr>
          <w:rFonts w:eastAsia="TimesNewRoman" w:cstheme="minorHAnsi"/>
        </w:rPr>
        <w:t>evaluate</w:t>
      </w:r>
      <w:r>
        <w:rPr>
          <w:rFonts w:eastAsia="TimesNewRoman" w:cstheme="minorHAnsi"/>
        </w:rPr>
        <w:t>d</w:t>
      </w:r>
      <w:r w:rsidRPr="00FE4C12">
        <w:rPr>
          <w:rFonts w:eastAsia="TimesNewRoman" w:cstheme="minorHAnsi"/>
        </w:rPr>
        <w:t xml:space="preserve"> the effect on exploratory biomarkers of RAAS activation</w:t>
      </w:r>
      <w:r>
        <w:rPr>
          <w:rFonts w:eastAsia="TimesNewRoman" w:cstheme="minorHAnsi"/>
        </w:rPr>
        <w:t xml:space="preserve"> following 4 weeks of administration </w:t>
      </w:r>
      <w:r w:rsidRPr="00FE4C12">
        <w:rPr>
          <w:rFonts w:eastAsia="TimesNewRoman" w:cstheme="minorHAnsi"/>
        </w:rPr>
        <w:t xml:space="preserve">of a range of oral doses of ertugliflozin </w:t>
      </w:r>
      <w:r>
        <w:rPr>
          <w:rFonts w:eastAsia="TimesNewRoman" w:cstheme="minorHAnsi"/>
        </w:rPr>
        <w:t>plus</w:t>
      </w:r>
      <w:r w:rsidR="00803C18">
        <w:rPr>
          <w:rFonts w:eastAsia="TimesNewRoman" w:cstheme="minorHAnsi"/>
        </w:rPr>
        <w:t xml:space="preserve"> 12.5 </w:t>
      </w:r>
      <w:r w:rsidRPr="00FE4C12">
        <w:rPr>
          <w:rFonts w:eastAsia="TimesNewRoman" w:cstheme="minorHAnsi"/>
        </w:rPr>
        <w:t>mg QD HCTZ in adults with T2DM.</w:t>
      </w:r>
      <w:r>
        <w:rPr>
          <w:rFonts w:eastAsia="TimesNewRoman" w:cstheme="minorHAnsi"/>
        </w:rPr>
        <w:t xml:space="preserve"> The results indicated that </w:t>
      </w:r>
      <w:r w:rsidRPr="009B57EA">
        <w:rPr>
          <w:rFonts w:eastAsia="TimesNewRoman" w:cstheme="minorHAnsi"/>
        </w:rPr>
        <w:t xml:space="preserve">all doses of </w:t>
      </w:r>
      <w:r>
        <w:rPr>
          <w:rFonts w:eastAsia="TimesNewRoman" w:cstheme="minorHAnsi"/>
        </w:rPr>
        <w:t>ertugliflozin</w:t>
      </w:r>
      <w:r w:rsidRPr="009B57EA">
        <w:rPr>
          <w:rFonts w:eastAsia="TimesNewRoman" w:cstheme="minorHAnsi"/>
        </w:rPr>
        <w:t xml:space="preserve"> </w:t>
      </w:r>
      <w:r>
        <w:rPr>
          <w:rFonts w:eastAsia="TimesNewRoman" w:cstheme="minorHAnsi"/>
        </w:rPr>
        <w:t xml:space="preserve">induced a </w:t>
      </w:r>
      <w:r w:rsidRPr="009B57EA">
        <w:rPr>
          <w:rFonts w:eastAsia="TimesNewRoman" w:cstheme="minorHAnsi"/>
        </w:rPr>
        <w:t>mi</w:t>
      </w:r>
      <w:r>
        <w:rPr>
          <w:rFonts w:eastAsia="TimesNewRoman" w:cstheme="minorHAnsi"/>
        </w:rPr>
        <w:t>ld diuretic effect</w:t>
      </w:r>
      <w:r w:rsidRPr="009B57EA">
        <w:rPr>
          <w:rFonts w:eastAsia="TimesNewRoman" w:cstheme="minorHAnsi"/>
        </w:rPr>
        <w:t xml:space="preserve">. </w:t>
      </w:r>
      <w:r>
        <w:rPr>
          <w:rFonts w:eastAsia="TimesNewRoman" w:cstheme="minorHAnsi"/>
        </w:rPr>
        <w:t>However, t</w:t>
      </w:r>
      <w:r w:rsidRPr="009B57EA">
        <w:rPr>
          <w:rFonts w:eastAsia="TimesNewRoman" w:cstheme="minorHAnsi"/>
        </w:rPr>
        <w:t xml:space="preserve">here were no significant changes in </w:t>
      </w:r>
      <w:r w:rsidR="00133580">
        <w:rPr>
          <w:rFonts w:eastAsia="TimesNewRoman" w:cstheme="minorHAnsi"/>
        </w:rPr>
        <w:t>24 h</w:t>
      </w:r>
      <w:r w:rsidRPr="009B57EA">
        <w:rPr>
          <w:rFonts w:eastAsia="TimesNewRoman" w:cstheme="minorHAnsi"/>
        </w:rPr>
        <w:t xml:space="preserve"> urinary aldosterone, urinary sodium, or urinary potassium </w:t>
      </w:r>
      <w:r>
        <w:rPr>
          <w:rFonts w:eastAsia="TimesNewRoman" w:cstheme="minorHAnsi"/>
        </w:rPr>
        <w:t>levels</w:t>
      </w:r>
      <w:r w:rsidRPr="009B57EA">
        <w:rPr>
          <w:rFonts w:eastAsia="TimesNewRoman" w:cstheme="minorHAnsi"/>
        </w:rPr>
        <w:t>.</w:t>
      </w:r>
      <w:r>
        <w:rPr>
          <w:rFonts w:eastAsia="TimesNewRoman" w:cstheme="minorHAnsi"/>
        </w:rPr>
        <w:t xml:space="preserve"> In addition, b</w:t>
      </w:r>
      <w:r w:rsidRPr="009B57EA">
        <w:rPr>
          <w:rFonts w:eastAsia="TimesNewRoman" w:cstheme="minorHAnsi"/>
        </w:rPr>
        <w:t xml:space="preserve">oth </w:t>
      </w:r>
      <w:r>
        <w:rPr>
          <w:rFonts w:eastAsia="TimesNewRoman" w:cstheme="minorHAnsi"/>
        </w:rPr>
        <w:t>ertugliflozin</w:t>
      </w:r>
      <w:r w:rsidRPr="009B57EA">
        <w:rPr>
          <w:rFonts w:eastAsia="TimesNewRoman" w:cstheme="minorHAnsi"/>
        </w:rPr>
        <w:t xml:space="preserve"> (5 mg and 25 mg) and HCTZ </w:t>
      </w:r>
      <w:r>
        <w:rPr>
          <w:rFonts w:eastAsia="TimesNewRoman" w:cstheme="minorHAnsi"/>
        </w:rPr>
        <w:t>induced</w:t>
      </w:r>
      <w:r w:rsidRPr="009B57EA">
        <w:rPr>
          <w:rFonts w:eastAsia="TimesNewRoman" w:cstheme="minorHAnsi"/>
        </w:rPr>
        <w:t xml:space="preserve"> a </w:t>
      </w:r>
      <w:r>
        <w:rPr>
          <w:rFonts w:eastAsia="TimesNewRoman" w:cstheme="minorHAnsi"/>
        </w:rPr>
        <w:t xml:space="preserve">small </w:t>
      </w:r>
      <w:r w:rsidRPr="009B57EA">
        <w:rPr>
          <w:rFonts w:eastAsia="TimesNewRoman" w:cstheme="minorHAnsi"/>
        </w:rPr>
        <w:t>increase in trough plasma renin activity compared to baseline from baseline to Week 4</w:t>
      </w:r>
      <w:r>
        <w:rPr>
          <w:rFonts w:eastAsia="TimesNewRoman" w:cstheme="minorHAnsi"/>
        </w:rPr>
        <w:t>, which is unlikely to be clinically relevant.</w:t>
      </w:r>
    </w:p>
    <w:p w:rsidR="002E5CF1" w:rsidRPr="00BC2BC4" w:rsidRDefault="002E5CF1" w:rsidP="00A400E1">
      <w:pPr>
        <w:pStyle w:val="Heading5"/>
        <w:rPr>
          <w:rFonts w:eastAsia="TimesNewRoman,Bold" w:cstheme="minorHAnsi"/>
        </w:rPr>
      </w:pPr>
      <w:r w:rsidRPr="00BC2BC4">
        <w:t xml:space="preserve">Serum and </w:t>
      </w:r>
      <w:r w:rsidR="003436E7" w:rsidRPr="00BC2BC4">
        <w:t>urinary biomarkers</w:t>
      </w:r>
    </w:p>
    <w:p w:rsidR="00803C18" w:rsidRDefault="002E5CF1" w:rsidP="002E5CF1">
      <w:pPr>
        <w:rPr>
          <w:rFonts w:eastAsia="TimesNewRoman" w:cstheme="minorHAnsi"/>
        </w:rPr>
      </w:pPr>
      <w:r w:rsidRPr="00A400E1">
        <w:rPr>
          <w:bCs/>
          <w:color w:val="000000"/>
        </w:rPr>
        <w:t>Study P037/1002</w:t>
      </w:r>
      <w:r>
        <w:rPr>
          <w:bCs/>
          <w:color w:val="000000"/>
        </w:rPr>
        <w:t xml:space="preserve"> also examined the effects of </w:t>
      </w:r>
      <w:r>
        <w:rPr>
          <w:lang w:eastAsia="ja-JP"/>
        </w:rPr>
        <w:t>multiple QD doses of 1 mg to 100 mg ertugliflozin</w:t>
      </w:r>
      <w:r>
        <w:rPr>
          <w:bCs/>
          <w:color w:val="000000"/>
        </w:rPr>
        <w:t xml:space="preserve"> on a range of exploratory serum and urinary biomarkers. For all dose groups examined, ertugliflozin had </w:t>
      </w:r>
      <w:r w:rsidRPr="009B57EA">
        <w:rPr>
          <w:rFonts w:eastAsia="TimesNewRoman" w:cstheme="minorHAnsi"/>
        </w:rPr>
        <w:t xml:space="preserve">no effect on serum sodium, potassium and calcium levels on Day 1 and Day 14 post-dose compared with baseline and no clear dose-related effect </w:t>
      </w:r>
      <w:r>
        <w:rPr>
          <w:rFonts w:eastAsia="TimesNewRoman" w:cstheme="minorHAnsi"/>
        </w:rPr>
        <w:t xml:space="preserve">was identified for </w:t>
      </w:r>
      <w:r w:rsidRPr="009B57EA">
        <w:rPr>
          <w:rFonts w:eastAsia="TimesNewRoman" w:cstheme="minorHAnsi"/>
        </w:rPr>
        <w:t xml:space="preserve">serum magnesium </w:t>
      </w:r>
      <w:r>
        <w:rPr>
          <w:rFonts w:eastAsia="TimesNewRoman" w:cstheme="minorHAnsi"/>
        </w:rPr>
        <w:t>levels.</w:t>
      </w:r>
      <w:r w:rsidRPr="009B57EA">
        <w:rPr>
          <w:rFonts w:eastAsia="TimesNewRoman" w:cstheme="minorHAnsi"/>
        </w:rPr>
        <w:t xml:space="preserve"> For serum phosphate</w:t>
      </w:r>
      <w:r>
        <w:rPr>
          <w:rFonts w:eastAsia="TimesNewRoman" w:cstheme="minorHAnsi"/>
        </w:rPr>
        <w:t xml:space="preserve"> and </w:t>
      </w:r>
      <w:r w:rsidRPr="009B57EA">
        <w:rPr>
          <w:rFonts w:eastAsia="TimesNewRoman" w:cstheme="minorHAnsi"/>
        </w:rPr>
        <w:t>urinary sodium excretion</w:t>
      </w:r>
      <w:r>
        <w:rPr>
          <w:rFonts w:eastAsia="TimesNewRoman" w:cstheme="minorHAnsi"/>
        </w:rPr>
        <w:t>,</w:t>
      </w:r>
      <w:r w:rsidRPr="009B57EA">
        <w:rPr>
          <w:rFonts w:eastAsia="TimesNewRoman" w:cstheme="minorHAnsi"/>
        </w:rPr>
        <w:t xml:space="preserve"> dose-related effect</w:t>
      </w:r>
      <w:r>
        <w:rPr>
          <w:rFonts w:eastAsia="TimesNewRoman" w:cstheme="minorHAnsi"/>
        </w:rPr>
        <w:t xml:space="preserve">s of ertugliflozin were only transitory and appeared on Day 1 but not Day 14. For </w:t>
      </w:r>
      <w:r w:rsidRPr="009B57EA">
        <w:rPr>
          <w:rFonts w:eastAsia="TimesNewRoman" w:cstheme="minorHAnsi"/>
        </w:rPr>
        <w:t>urinary phosphate excretion</w:t>
      </w:r>
      <w:r>
        <w:rPr>
          <w:rFonts w:eastAsia="TimesNewRoman" w:cstheme="minorHAnsi"/>
        </w:rPr>
        <w:t>,</w:t>
      </w:r>
      <w:r w:rsidRPr="009B57EA">
        <w:rPr>
          <w:rFonts w:eastAsia="TimesNewRoman" w:cstheme="minorHAnsi"/>
        </w:rPr>
        <w:t xml:space="preserve"> </w:t>
      </w:r>
      <w:r>
        <w:rPr>
          <w:rFonts w:eastAsia="TimesNewRoman" w:cstheme="minorHAnsi"/>
        </w:rPr>
        <w:t>a</w:t>
      </w:r>
      <w:r w:rsidRPr="009B57EA">
        <w:rPr>
          <w:rFonts w:eastAsia="TimesNewRoman" w:cstheme="minorHAnsi"/>
        </w:rPr>
        <w:t xml:space="preserve"> visual trend for a transient decrease was </w:t>
      </w:r>
      <w:r>
        <w:rPr>
          <w:rFonts w:eastAsia="TimesNewRoman" w:cstheme="minorHAnsi"/>
        </w:rPr>
        <w:t xml:space="preserve">also </w:t>
      </w:r>
      <w:r w:rsidRPr="009B57EA">
        <w:rPr>
          <w:rFonts w:eastAsia="TimesNewRoman" w:cstheme="minorHAnsi"/>
        </w:rPr>
        <w:t xml:space="preserve">noted </w:t>
      </w:r>
      <w:r>
        <w:rPr>
          <w:rFonts w:eastAsia="TimesNewRoman" w:cstheme="minorHAnsi"/>
        </w:rPr>
        <w:t xml:space="preserve">only </w:t>
      </w:r>
      <w:r w:rsidRPr="009B57EA">
        <w:rPr>
          <w:rFonts w:eastAsia="TimesNewRoman" w:cstheme="minorHAnsi"/>
        </w:rPr>
        <w:t>on Day 1</w:t>
      </w:r>
      <w:r>
        <w:rPr>
          <w:rFonts w:eastAsia="TimesNewRoman" w:cstheme="minorHAnsi"/>
        </w:rPr>
        <w:t>.</w:t>
      </w:r>
      <w:r w:rsidRPr="009B57EA">
        <w:rPr>
          <w:rFonts w:eastAsia="TimesNewRoman" w:cstheme="minorHAnsi"/>
        </w:rPr>
        <w:t xml:space="preserve"> </w:t>
      </w:r>
      <w:r>
        <w:rPr>
          <w:rFonts w:eastAsia="TimesNewRoman" w:cstheme="minorHAnsi"/>
        </w:rPr>
        <w:t xml:space="preserve">In addition, ertugliflozin had no effect </w:t>
      </w:r>
      <w:r w:rsidR="00133580">
        <w:rPr>
          <w:rFonts w:eastAsia="TimesNewRoman" w:cstheme="minorHAnsi"/>
        </w:rPr>
        <w:t>24 h</w:t>
      </w:r>
      <w:r w:rsidRPr="009B57EA">
        <w:rPr>
          <w:rFonts w:eastAsia="TimesNewRoman" w:cstheme="minorHAnsi"/>
        </w:rPr>
        <w:t xml:space="preserve"> urinary potassium, magnesium and calcium excretion</w:t>
      </w:r>
      <w:r>
        <w:rPr>
          <w:rFonts w:eastAsia="TimesNewRoman" w:cstheme="minorHAnsi"/>
        </w:rPr>
        <w:t xml:space="preserve"> on either Days 1 or 14 and there was</w:t>
      </w:r>
      <w:r w:rsidRPr="009B57EA">
        <w:rPr>
          <w:rFonts w:eastAsia="TimesNewRoman" w:cstheme="minorHAnsi"/>
        </w:rPr>
        <w:t xml:space="preserve"> no clear dose-related effect present on Day 14 for iPTH area under the curve from 0 to 8 </w:t>
      </w:r>
      <w:r>
        <w:rPr>
          <w:rFonts w:eastAsia="TimesNewRoman" w:cstheme="minorHAnsi"/>
        </w:rPr>
        <w:t>h</w:t>
      </w:r>
      <w:r w:rsidRPr="009B57EA">
        <w:rPr>
          <w:rFonts w:eastAsia="TimesNewRoman" w:cstheme="minorHAnsi"/>
        </w:rPr>
        <w:t xml:space="preserve"> post-dose or from 0 to 24 </w:t>
      </w:r>
      <w:r>
        <w:rPr>
          <w:rFonts w:eastAsia="TimesNewRoman" w:cstheme="minorHAnsi"/>
        </w:rPr>
        <w:t>h</w:t>
      </w:r>
      <w:r w:rsidRPr="009B57EA">
        <w:rPr>
          <w:rFonts w:eastAsia="TimesNewRoman" w:cstheme="minorHAnsi"/>
        </w:rPr>
        <w:t xml:space="preserve"> post-dose</w:t>
      </w:r>
      <w:r w:rsidR="00803C18">
        <w:rPr>
          <w:rFonts w:eastAsia="TimesNewRoman" w:cstheme="minorHAnsi"/>
        </w:rPr>
        <w:t>.</w:t>
      </w:r>
    </w:p>
    <w:p w:rsidR="002E5CF1" w:rsidRPr="00BC2BC4" w:rsidRDefault="002E5CF1" w:rsidP="00A400E1">
      <w:pPr>
        <w:pStyle w:val="Heading5"/>
      </w:pPr>
      <w:r w:rsidRPr="00BC2BC4">
        <w:t xml:space="preserve">Bone </w:t>
      </w:r>
      <w:r w:rsidR="003436E7">
        <w:t>b</w:t>
      </w:r>
      <w:r w:rsidRPr="00BC2BC4">
        <w:t>iomarkers</w:t>
      </w:r>
    </w:p>
    <w:p w:rsidR="002E5CF1" w:rsidRDefault="002E5CF1" w:rsidP="002E5CF1">
      <w:pPr>
        <w:rPr>
          <w:rFonts w:eastAsia="TimesNewRoman" w:cstheme="minorHAnsi"/>
        </w:rPr>
      </w:pPr>
      <w:r w:rsidRPr="00C853BE">
        <w:rPr>
          <w:rFonts w:cstheme="minorHAnsi"/>
        </w:rPr>
        <w:t xml:space="preserve">The </w:t>
      </w:r>
      <w:r>
        <w:rPr>
          <w:rFonts w:cstheme="minorHAnsi"/>
        </w:rPr>
        <w:t>Phase II</w:t>
      </w:r>
      <w:r w:rsidRPr="00C853BE">
        <w:rPr>
          <w:rFonts w:cstheme="minorHAnsi"/>
        </w:rPr>
        <w:t xml:space="preserve"> study,</w:t>
      </w:r>
      <w:r w:rsidRPr="00EA3DEA">
        <w:rPr>
          <w:rFonts w:cstheme="minorHAnsi"/>
          <w:b/>
        </w:rPr>
        <w:t xml:space="preserve"> </w:t>
      </w:r>
      <w:r w:rsidRPr="00A400E1">
        <w:rPr>
          <w:rFonts w:cstheme="minorHAnsi"/>
          <w:bCs/>
          <w:color w:val="000000"/>
        </w:rPr>
        <w:t>P016/1006 exami</w:t>
      </w:r>
      <w:r>
        <w:rPr>
          <w:rFonts w:cstheme="minorHAnsi"/>
          <w:bCs/>
          <w:color w:val="000000"/>
        </w:rPr>
        <w:t xml:space="preserve">ned the effects of </w:t>
      </w:r>
      <w:r w:rsidRPr="00FE4C12">
        <w:rPr>
          <w:rFonts w:eastAsia="TimesNewRoman" w:cstheme="minorHAnsi"/>
        </w:rPr>
        <w:t>ertugliflozin and sitagliptin</w:t>
      </w:r>
      <w:r>
        <w:rPr>
          <w:rFonts w:eastAsia="TimesNewRoman" w:cstheme="minorHAnsi"/>
        </w:rPr>
        <w:t xml:space="preserve"> </w:t>
      </w:r>
      <w:r w:rsidRPr="008737B3">
        <w:rPr>
          <w:rFonts w:eastAsia="TimesNewRoman" w:cstheme="minorHAnsi"/>
        </w:rPr>
        <w:t xml:space="preserve">on </w:t>
      </w:r>
      <w:r>
        <w:rPr>
          <w:rFonts w:eastAsia="TimesNewRoman" w:cstheme="minorHAnsi"/>
        </w:rPr>
        <w:t xml:space="preserve">a range of </w:t>
      </w:r>
      <w:r w:rsidRPr="008737B3">
        <w:rPr>
          <w:rFonts w:eastAsia="TimesNewRoman" w:cstheme="minorHAnsi"/>
        </w:rPr>
        <w:t>exploratory</w:t>
      </w:r>
      <w:r w:rsidRPr="00FE4C12">
        <w:rPr>
          <w:rFonts w:eastAsia="TimesNewRoman" w:cstheme="minorHAnsi"/>
        </w:rPr>
        <w:t xml:space="preserve"> bone biomarkers</w:t>
      </w:r>
      <w:r>
        <w:rPr>
          <w:rFonts w:eastAsia="TimesNewRoman" w:cstheme="minorHAnsi"/>
        </w:rPr>
        <w:t>. The results indicated that following administration of ertugliflozin there were sm</w:t>
      </w:r>
      <w:r w:rsidRPr="009B57EA">
        <w:rPr>
          <w:rFonts w:eastAsia="TimesNewRoman" w:cstheme="minorHAnsi"/>
        </w:rPr>
        <w:t xml:space="preserve">all shifts in serum electrolytes, though within the laboratory reference ranges, </w:t>
      </w:r>
      <w:r>
        <w:rPr>
          <w:rFonts w:eastAsia="TimesNewRoman" w:cstheme="minorHAnsi"/>
        </w:rPr>
        <w:t>and</w:t>
      </w:r>
      <w:r w:rsidRPr="009B57EA">
        <w:rPr>
          <w:rFonts w:eastAsia="TimesNewRoman" w:cstheme="minorHAnsi"/>
        </w:rPr>
        <w:t xml:space="preserve"> consistent with these changes was a numerical increase in iPTH. </w:t>
      </w:r>
      <w:r>
        <w:rPr>
          <w:rFonts w:eastAsia="TimesNewRoman" w:cstheme="minorHAnsi"/>
        </w:rPr>
        <w:t>In contrast to sitagliptin, some b</w:t>
      </w:r>
      <w:r w:rsidRPr="009B57EA">
        <w:rPr>
          <w:rFonts w:eastAsia="TimesNewRoman" w:cstheme="minorHAnsi"/>
        </w:rPr>
        <w:t xml:space="preserve">one resorption </w:t>
      </w:r>
      <w:r>
        <w:rPr>
          <w:rFonts w:eastAsia="TimesNewRoman" w:cstheme="minorHAnsi"/>
        </w:rPr>
        <w:t>was identified,</w:t>
      </w:r>
      <w:r w:rsidRPr="009B57EA">
        <w:rPr>
          <w:rFonts w:eastAsia="TimesNewRoman" w:cstheme="minorHAnsi"/>
        </w:rPr>
        <w:t xml:space="preserve"> </w:t>
      </w:r>
      <w:r>
        <w:rPr>
          <w:rFonts w:eastAsia="TimesNewRoman" w:cstheme="minorHAnsi"/>
        </w:rPr>
        <w:t xml:space="preserve">as levels of </w:t>
      </w:r>
      <w:r w:rsidRPr="009B57EA">
        <w:rPr>
          <w:rFonts w:eastAsia="TimesNewRoman" w:cstheme="minorHAnsi"/>
        </w:rPr>
        <w:t>serum CTX1 and urinary NTX-1</w:t>
      </w:r>
      <w:r>
        <w:rPr>
          <w:rFonts w:eastAsia="TimesNewRoman" w:cstheme="minorHAnsi"/>
        </w:rPr>
        <w:t xml:space="preserve"> were increased, </w:t>
      </w:r>
      <w:r w:rsidRPr="007704B5">
        <w:rPr>
          <w:rFonts w:eastAsia="TimesNewRoman" w:cstheme="minorHAnsi"/>
        </w:rPr>
        <w:t xml:space="preserve">following treatment with ertugliflozin; however, these effects did not appear to be dose-dependent (Table </w:t>
      </w:r>
      <w:r w:rsidR="007704B5" w:rsidRPr="007704B5">
        <w:rPr>
          <w:rFonts w:eastAsia="TimesNewRoman" w:cstheme="minorHAnsi"/>
        </w:rPr>
        <w:t>17</w:t>
      </w:r>
      <w:r w:rsidRPr="007704B5">
        <w:rPr>
          <w:rFonts w:eastAsia="TimesNewRoman" w:cstheme="minorHAnsi"/>
        </w:rPr>
        <w:t>).</w:t>
      </w:r>
      <w:r w:rsidRPr="009B57EA">
        <w:rPr>
          <w:rFonts w:eastAsia="TimesNewRoman" w:cstheme="minorHAnsi"/>
        </w:rPr>
        <w:t xml:space="preserve"> </w:t>
      </w:r>
      <w:r>
        <w:rPr>
          <w:rFonts w:eastAsia="TimesNewRoman" w:cstheme="minorHAnsi"/>
        </w:rPr>
        <w:t>By contrast, n</w:t>
      </w:r>
      <w:r w:rsidRPr="009B57EA">
        <w:rPr>
          <w:rFonts w:eastAsia="TimesNewRoman" w:cstheme="minorHAnsi"/>
        </w:rPr>
        <w:t>o effect</w:t>
      </w:r>
      <w:r>
        <w:rPr>
          <w:rFonts w:eastAsia="TimesNewRoman" w:cstheme="minorHAnsi"/>
        </w:rPr>
        <w:t>s</w:t>
      </w:r>
      <w:r w:rsidRPr="009B57EA">
        <w:rPr>
          <w:rFonts w:eastAsia="TimesNewRoman" w:cstheme="minorHAnsi"/>
        </w:rPr>
        <w:t xml:space="preserve"> on markers of bone formation (</w:t>
      </w:r>
      <w:r w:rsidR="006F000B">
        <w:rPr>
          <w:rFonts w:eastAsia="TimesNewRoman" w:cstheme="minorHAnsi"/>
        </w:rPr>
        <w:t>that is,</w:t>
      </w:r>
      <w:r w:rsidRPr="009B57EA">
        <w:rPr>
          <w:rFonts w:eastAsia="TimesNewRoman" w:cstheme="minorHAnsi"/>
        </w:rPr>
        <w:t xml:space="preserve"> OC, BSAP, and P1NP)</w:t>
      </w:r>
      <w:r>
        <w:rPr>
          <w:rFonts w:eastAsia="TimesNewRoman" w:cstheme="minorHAnsi"/>
        </w:rPr>
        <w:t xml:space="preserve"> were identified</w:t>
      </w:r>
      <w:r w:rsidRPr="009B57EA">
        <w:rPr>
          <w:rFonts w:eastAsia="TimesNewRoman" w:cstheme="minorHAnsi"/>
        </w:rPr>
        <w:t>.</w:t>
      </w:r>
    </w:p>
    <w:p w:rsidR="00A400E1" w:rsidRPr="00250D80" w:rsidRDefault="00A400E1" w:rsidP="00A400E1">
      <w:pPr>
        <w:pStyle w:val="Tabletitle"/>
        <w:rPr>
          <w:rFonts w:eastAsia="TimesNewRoman"/>
        </w:rPr>
      </w:pPr>
      <w:bookmarkStart w:id="245" w:name="_Ref492026985"/>
      <w:bookmarkStart w:id="246" w:name="_Ref492027537"/>
      <w:bookmarkStart w:id="247" w:name="_Toc504038352"/>
      <w:r w:rsidRPr="00250D80">
        <w:lastRenderedPageBreak/>
        <w:t xml:space="preserve">Table </w:t>
      </w:r>
      <w:r>
        <w:t xml:space="preserve">17: </w:t>
      </w:r>
      <w:r w:rsidRPr="00250D80">
        <w:t xml:space="preserve">Study </w:t>
      </w:r>
      <w:r w:rsidRPr="00250D80">
        <w:rPr>
          <w:color w:val="000000"/>
        </w:rPr>
        <w:t>P016/1006</w:t>
      </w:r>
      <w:r w:rsidR="00803C18">
        <w:rPr>
          <w:color w:val="000000"/>
        </w:rPr>
        <w:t>:</w:t>
      </w:r>
      <w:r w:rsidRPr="00250D80">
        <w:rPr>
          <w:color w:val="000000"/>
        </w:rPr>
        <w:t xml:space="preserve"> </w:t>
      </w:r>
      <w:r w:rsidRPr="00250D80">
        <w:t xml:space="preserve">Summary of Baseline and </w:t>
      </w:r>
      <w:r w:rsidR="00803C18" w:rsidRPr="00250D80">
        <w:t>ch</w:t>
      </w:r>
      <w:r w:rsidRPr="00250D80">
        <w:t xml:space="preserve">ange </w:t>
      </w:r>
      <w:r>
        <w:t>f</w:t>
      </w:r>
      <w:r w:rsidRPr="00250D80">
        <w:t xml:space="preserve">rom Baseline to Week 12 in </w:t>
      </w:r>
      <w:r w:rsidR="00803C18" w:rsidRPr="00250D80">
        <w:t xml:space="preserve">markers of bone homeostasis </w:t>
      </w:r>
      <w:r w:rsidRPr="00250D80">
        <w:t>(Observed Cases)</w:t>
      </w:r>
      <w:bookmarkEnd w:id="245"/>
      <w:bookmarkEnd w:id="246"/>
      <w:bookmarkEnd w:id="247"/>
    </w:p>
    <w:p w:rsidR="00A400E1" w:rsidRPr="009B57EA" w:rsidRDefault="00A400E1" w:rsidP="000C6FC8">
      <w:pPr>
        <w:rPr>
          <w:rFonts w:eastAsia="TimesNewRoman" w:cstheme="minorHAnsi"/>
        </w:rPr>
      </w:pPr>
      <w:r w:rsidRPr="00250D80">
        <w:rPr>
          <w:noProof/>
          <w:lang w:eastAsia="en-AU"/>
        </w:rPr>
        <w:drawing>
          <wp:inline distT="0" distB="0" distL="0" distR="0" wp14:anchorId="096FF61C" wp14:editId="27415376">
            <wp:extent cx="4164478" cy="4975605"/>
            <wp:effectExtent l="0" t="0" r="7620" b="0"/>
            <wp:docPr id="84" name="Picture 84" descr="Study P016/1006 Summary of Baseline and Change From Baseline to Week 12 in Markers of Bone Homeostasis (Observed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65028" cy="4976262"/>
                    </a:xfrm>
                    <a:prstGeom prst="rect">
                      <a:avLst/>
                    </a:prstGeom>
                    <a:noFill/>
                    <a:ln>
                      <a:noFill/>
                    </a:ln>
                  </pic:spPr>
                </pic:pic>
              </a:graphicData>
            </a:graphic>
          </wp:inline>
        </w:drawing>
      </w:r>
    </w:p>
    <w:p w:rsidR="002E5CF1" w:rsidRPr="00545B14" w:rsidRDefault="002E5CF1" w:rsidP="007704B5">
      <w:pPr>
        <w:pStyle w:val="Heading4"/>
      </w:pPr>
      <w:bookmarkStart w:id="248" w:name="_Toc461096089"/>
      <w:bookmarkStart w:id="249" w:name="_Ref492027723"/>
      <w:bookmarkStart w:id="250" w:name="_Toc504038140"/>
      <w:r w:rsidRPr="00545B14">
        <w:t>Time course of pharmacodynamic effects</w:t>
      </w:r>
      <w:bookmarkEnd w:id="236"/>
      <w:bookmarkEnd w:id="237"/>
      <w:bookmarkEnd w:id="238"/>
      <w:bookmarkEnd w:id="239"/>
      <w:bookmarkEnd w:id="240"/>
      <w:bookmarkEnd w:id="241"/>
      <w:bookmarkEnd w:id="248"/>
      <w:bookmarkEnd w:id="249"/>
      <w:bookmarkEnd w:id="250"/>
    </w:p>
    <w:p w:rsidR="002E5CF1" w:rsidRPr="00BC2BC4" w:rsidRDefault="002E5CF1" w:rsidP="007704B5">
      <w:pPr>
        <w:pStyle w:val="Heading5"/>
      </w:pPr>
      <w:r w:rsidRPr="00BC2BC4">
        <w:t>Healthy subjects</w:t>
      </w:r>
    </w:p>
    <w:p w:rsidR="00803C18" w:rsidRDefault="00803C18" w:rsidP="00803C18">
      <w:pPr>
        <w:pStyle w:val="Heading6"/>
      </w:pPr>
      <w:r w:rsidRPr="00AA4CDB">
        <w:t>Study P035/1051</w:t>
      </w:r>
    </w:p>
    <w:p w:rsidR="002E5CF1" w:rsidRPr="00AA4CDB" w:rsidRDefault="002E5CF1" w:rsidP="002E5CF1">
      <w:pPr>
        <w:autoSpaceDE w:val="0"/>
        <w:autoSpaceDN w:val="0"/>
        <w:adjustRightInd w:val="0"/>
        <w:rPr>
          <w:rFonts w:eastAsia="TimesNewRoman" w:cstheme="minorHAnsi"/>
        </w:rPr>
      </w:pPr>
      <w:r w:rsidRPr="00803C18">
        <w:t>Study P035/1051 examined</w:t>
      </w:r>
      <w:r>
        <w:rPr>
          <w:bCs/>
          <w:color w:val="000000"/>
        </w:rPr>
        <w:t xml:space="preserve"> </w:t>
      </w:r>
      <w:r w:rsidR="0012056D">
        <w:rPr>
          <w:rFonts w:eastAsia="TimesNewRoman" w:cstheme="minorHAnsi"/>
        </w:rPr>
        <w:t>UGE</w:t>
      </w:r>
      <w:r w:rsidR="0012056D" w:rsidRPr="0012056D">
        <w:rPr>
          <w:rFonts w:eastAsia="TimesNewRoman" w:cstheme="minorHAnsi"/>
          <w:vertAlign w:val="subscript"/>
        </w:rPr>
        <w:t>0-24</w:t>
      </w:r>
      <w:r>
        <w:rPr>
          <w:bCs/>
          <w:color w:val="000000"/>
        </w:rPr>
        <w:t xml:space="preserve"> at steady state following ertugliflozin doses of 2.5 mg </w:t>
      </w:r>
      <w:r w:rsidR="00803C18">
        <w:rPr>
          <w:bCs/>
          <w:color w:val="000000"/>
        </w:rPr>
        <w:t>BD</w:t>
      </w:r>
      <w:r>
        <w:rPr>
          <w:bCs/>
          <w:color w:val="000000"/>
        </w:rPr>
        <w:t xml:space="preserve"> and 7.5 mg </w:t>
      </w:r>
      <w:r w:rsidR="00803C18">
        <w:rPr>
          <w:bCs/>
          <w:color w:val="000000"/>
        </w:rPr>
        <w:t>BD</w:t>
      </w:r>
      <w:r>
        <w:rPr>
          <w:bCs/>
          <w:color w:val="000000"/>
        </w:rPr>
        <w:t xml:space="preserve"> or 5 mg QD and 15 mg QD in healthy subjects.</w:t>
      </w:r>
      <w:r>
        <w:rPr>
          <w:rFonts w:eastAsia="TimesNewRoman" w:cstheme="minorHAnsi"/>
        </w:rPr>
        <w:t xml:space="preserve"> The results identified that the </w:t>
      </w:r>
      <w:r w:rsidRPr="009B57EA">
        <w:rPr>
          <w:rFonts w:eastAsia="TimesNewRoman" w:cstheme="minorHAnsi"/>
        </w:rPr>
        <w:t>GMRs (</w:t>
      </w:r>
      <w:r w:rsidR="00803C18">
        <w:rPr>
          <w:rFonts w:eastAsia="TimesNewRoman" w:cstheme="minorHAnsi"/>
        </w:rPr>
        <w:t>BD</w:t>
      </w:r>
      <w:r w:rsidRPr="009B57EA">
        <w:rPr>
          <w:rFonts w:eastAsia="TimesNewRoman" w:cstheme="minorHAnsi"/>
        </w:rPr>
        <w:t xml:space="preserve">/QD) of </w:t>
      </w:r>
      <w:r w:rsidR="0012056D">
        <w:rPr>
          <w:rFonts w:eastAsia="TimesNewRoman" w:cstheme="minorHAnsi"/>
        </w:rPr>
        <w:t>UGE</w:t>
      </w:r>
      <w:r w:rsidR="0012056D" w:rsidRPr="0012056D">
        <w:rPr>
          <w:rFonts w:eastAsia="TimesNewRoman" w:cstheme="minorHAnsi"/>
          <w:vertAlign w:val="subscript"/>
        </w:rPr>
        <w:t>0-24</w:t>
      </w:r>
      <w:r w:rsidRPr="009B57EA">
        <w:rPr>
          <w:rFonts w:eastAsia="TimesNewRoman" w:cstheme="minorHAnsi"/>
        </w:rPr>
        <w:t xml:space="preserve"> for comparisons between 2.5 mg </w:t>
      </w:r>
      <w:r w:rsidR="00803C18">
        <w:rPr>
          <w:rFonts w:eastAsia="TimesNewRoman" w:cstheme="minorHAnsi"/>
        </w:rPr>
        <w:t>BD</w:t>
      </w:r>
      <w:r w:rsidR="00CA2F4B">
        <w:rPr>
          <w:rFonts w:eastAsia="TimesNewRoman" w:cstheme="minorHAnsi"/>
        </w:rPr>
        <w:t xml:space="preserve"> versus</w:t>
      </w:r>
      <w:r w:rsidRPr="009B57EA">
        <w:rPr>
          <w:rFonts w:eastAsia="TimesNewRoman" w:cstheme="minorHAnsi"/>
        </w:rPr>
        <w:t xml:space="preserve"> 5 mg QD and 7.5 mg </w:t>
      </w:r>
      <w:r w:rsidR="00803C18">
        <w:rPr>
          <w:rFonts w:eastAsia="TimesNewRoman" w:cstheme="minorHAnsi"/>
        </w:rPr>
        <w:t>BD</w:t>
      </w:r>
      <w:r w:rsidR="00CA2F4B">
        <w:rPr>
          <w:rFonts w:eastAsia="TimesNewRoman" w:cstheme="minorHAnsi"/>
        </w:rPr>
        <w:t xml:space="preserve"> versus</w:t>
      </w:r>
      <w:r w:rsidRPr="009B57EA">
        <w:rPr>
          <w:rFonts w:eastAsia="TimesNewRoman" w:cstheme="minorHAnsi"/>
        </w:rPr>
        <w:t xml:space="preserve"> 15 mg QD were 110.16% (102.96%, 117.87%), and 102.77% (97.69%, 108.12%), respectively</w:t>
      </w:r>
      <w:r>
        <w:rPr>
          <w:rFonts w:eastAsia="TimesNewRoman" w:cstheme="minorHAnsi"/>
        </w:rPr>
        <w:t>,</w:t>
      </w:r>
      <w:r>
        <w:rPr>
          <w:rFonts w:eastAsia="TimesNewRoman" w:cstheme="minorHAnsi"/>
          <w:color w:val="000000"/>
        </w:rPr>
        <w:t xml:space="preserve"> and the GMR 90%CIs fell within the </w:t>
      </w:r>
      <w:r w:rsidRPr="009B57EA">
        <w:rPr>
          <w:rFonts w:eastAsia="TimesNewRoman" w:cstheme="minorHAnsi"/>
        </w:rPr>
        <w:t>pre-specified similarity boundaries (70%, 143%).</w:t>
      </w:r>
      <w:r>
        <w:rPr>
          <w:rFonts w:eastAsia="TimesNewRoman" w:cstheme="minorHAnsi"/>
        </w:rPr>
        <w:t xml:space="preserve"> Therefore, </w:t>
      </w:r>
      <w:r w:rsidR="0012056D">
        <w:rPr>
          <w:rFonts w:eastAsia="TimesNewRoman" w:cstheme="minorHAnsi"/>
        </w:rPr>
        <w:t>UGE</w:t>
      </w:r>
      <w:r w:rsidR="0012056D" w:rsidRPr="0012056D">
        <w:rPr>
          <w:rFonts w:eastAsia="TimesNewRoman" w:cstheme="minorHAnsi"/>
          <w:vertAlign w:val="subscript"/>
        </w:rPr>
        <w:t>0-24</w:t>
      </w:r>
      <w:r w:rsidRPr="009B57EA">
        <w:rPr>
          <w:rFonts w:eastAsia="TimesNewRoman" w:cstheme="minorHAnsi"/>
        </w:rPr>
        <w:t xml:space="preserve"> at steady state </w:t>
      </w:r>
      <w:r>
        <w:rPr>
          <w:rFonts w:eastAsia="TimesNewRoman" w:cstheme="minorHAnsi"/>
        </w:rPr>
        <w:t>is</w:t>
      </w:r>
      <w:r w:rsidRPr="009B57EA">
        <w:rPr>
          <w:rFonts w:eastAsia="TimesNewRoman" w:cstheme="minorHAnsi"/>
        </w:rPr>
        <w:t xml:space="preserve"> similar </w:t>
      </w:r>
      <w:r>
        <w:rPr>
          <w:rFonts w:eastAsia="TimesNewRoman" w:cstheme="minorHAnsi"/>
        </w:rPr>
        <w:t>following</w:t>
      </w:r>
      <w:r w:rsidRPr="009B57EA">
        <w:rPr>
          <w:rFonts w:eastAsia="TimesNewRoman" w:cstheme="minorHAnsi"/>
        </w:rPr>
        <w:t xml:space="preserve"> ertugliflozin </w:t>
      </w:r>
      <w:r w:rsidR="00803C18">
        <w:rPr>
          <w:rFonts w:eastAsia="TimesNewRoman" w:cstheme="minorHAnsi"/>
        </w:rPr>
        <w:t>BD</w:t>
      </w:r>
      <w:r w:rsidRPr="009B57EA">
        <w:rPr>
          <w:rFonts w:eastAsia="TimesNewRoman" w:cstheme="minorHAnsi"/>
        </w:rPr>
        <w:t xml:space="preserve"> and QD administration of </w:t>
      </w:r>
      <w:r>
        <w:rPr>
          <w:rFonts w:eastAsia="TimesNewRoman" w:cstheme="minorHAnsi"/>
        </w:rPr>
        <w:t xml:space="preserve">a </w:t>
      </w:r>
      <w:r w:rsidRPr="009B57EA">
        <w:rPr>
          <w:rFonts w:eastAsia="TimesNewRoman" w:cstheme="minorHAnsi"/>
        </w:rPr>
        <w:t>total daily dos</w:t>
      </w:r>
      <w:r>
        <w:rPr>
          <w:rFonts w:eastAsia="TimesNewRoman" w:cstheme="minorHAnsi"/>
        </w:rPr>
        <w:t>e</w:t>
      </w:r>
      <w:r w:rsidRPr="009B57EA">
        <w:rPr>
          <w:rFonts w:eastAsia="TimesNewRoman" w:cstheme="minorHAnsi"/>
        </w:rPr>
        <w:t xml:space="preserve"> of 5 mg (5 mg QD and 2.5 mg </w:t>
      </w:r>
      <w:r w:rsidR="00803C18">
        <w:rPr>
          <w:rFonts w:eastAsia="TimesNewRoman" w:cstheme="minorHAnsi"/>
        </w:rPr>
        <w:t>BD</w:t>
      </w:r>
      <w:r w:rsidRPr="009B57EA">
        <w:rPr>
          <w:rFonts w:eastAsia="TimesNewRoman" w:cstheme="minorHAnsi"/>
        </w:rPr>
        <w:t xml:space="preserve">) </w:t>
      </w:r>
      <w:r>
        <w:rPr>
          <w:rFonts w:eastAsia="TimesNewRoman" w:cstheme="minorHAnsi"/>
        </w:rPr>
        <w:t>or</w:t>
      </w:r>
      <w:r w:rsidRPr="009B57EA">
        <w:rPr>
          <w:rFonts w:eastAsia="TimesNewRoman" w:cstheme="minorHAnsi"/>
        </w:rPr>
        <w:t xml:space="preserve"> 15 mg (15 mg QD and 7.5 mg </w:t>
      </w:r>
      <w:r w:rsidR="00803C18">
        <w:rPr>
          <w:rFonts w:eastAsia="TimesNewRoman" w:cstheme="minorHAnsi"/>
        </w:rPr>
        <w:t>BD</w:t>
      </w:r>
      <w:r w:rsidRPr="009B57EA">
        <w:rPr>
          <w:rFonts w:eastAsia="TimesNewRoman" w:cstheme="minorHAnsi"/>
        </w:rPr>
        <w:t>)</w:t>
      </w:r>
      <w:r>
        <w:rPr>
          <w:rFonts w:eastAsia="TimesNewRoman" w:cstheme="minorHAnsi"/>
        </w:rPr>
        <w:t>.</w:t>
      </w:r>
    </w:p>
    <w:p w:rsidR="002E5CF1" w:rsidRPr="00BC2BC4" w:rsidRDefault="002E5CF1" w:rsidP="007704B5">
      <w:pPr>
        <w:pStyle w:val="Heading5"/>
      </w:pPr>
      <w:r w:rsidRPr="00BC2BC4">
        <w:t>Patients with T2DM</w:t>
      </w:r>
    </w:p>
    <w:p w:rsidR="002E5CF1" w:rsidRDefault="002E5CF1" w:rsidP="002E5CF1">
      <w:pPr>
        <w:rPr>
          <w:rFonts w:eastAsia="TimesNewRoman" w:cstheme="minorHAnsi"/>
        </w:rPr>
      </w:pPr>
      <w:r w:rsidRPr="007704B5">
        <w:t>Study P040/1007</w:t>
      </w:r>
      <w:r>
        <w:t xml:space="preserve"> also compared the effects of ertugliflozin on </w:t>
      </w:r>
      <w:r w:rsidR="0012056D">
        <w:rPr>
          <w:rFonts w:eastAsia="TimesNewRoman" w:cstheme="minorHAnsi"/>
        </w:rPr>
        <w:t>UGE</w:t>
      </w:r>
      <w:r w:rsidR="0012056D" w:rsidRPr="0012056D">
        <w:rPr>
          <w:rFonts w:eastAsia="TimesNewRoman" w:cstheme="minorHAnsi"/>
          <w:vertAlign w:val="subscript"/>
        </w:rPr>
        <w:t>0-24</w:t>
      </w:r>
      <w:r>
        <w:t xml:space="preserve"> and </w:t>
      </w:r>
      <w:proofErr w:type="gramStart"/>
      <w:r>
        <w:t>mean</w:t>
      </w:r>
      <w:proofErr w:type="gramEnd"/>
      <w:r>
        <w:t xml:space="preserve"> plasma glucose following administration of 1 mg or 2 mg </w:t>
      </w:r>
      <w:r w:rsidR="00803C18">
        <w:t>BD</w:t>
      </w:r>
      <w:r>
        <w:t xml:space="preserve"> (</w:t>
      </w:r>
      <w:r w:rsidR="006F000B">
        <w:t>that is,</w:t>
      </w:r>
      <w:r>
        <w:t xml:space="preserve"> total daily doses of 2mg and 4 mg respectively) and QD doses of 2 mg or 4 mg. The results indicated that there was n</w:t>
      </w:r>
      <w:r w:rsidRPr="00FE4C12">
        <w:rPr>
          <w:rFonts w:eastAsia="TimesNewRoman" w:cstheme="minorHAnsi"/>
        </w:rPr>
        <w:t xml:space="preserve">o marked difference in </w:t>
      </w:r>
      <w:r w:rsidR="0012056D">
        <w:rPr>
          <w:rFonts w:eastAsia="TimesNewRoman" w:cstheme="minorHAnsi"/>
        </w:rPr>
        <w:t>UGE</w:t>
      </w:r>
      <w:r w:rsidR="0012056D" w:rsidRPr="0012056D">
        <w:rPr>
          <w:rFonts w:eastAsia="TimesNewRoman" w:cstheme="minorHAnsi"/>
          <w:vertAlign w:val="subscript"/>
        </w:rPr>
        <w:t>0-24</w:t>
      </w:r>
      <w:r w:rsidRPr="00FE4C12">
        <w:rPr>
          <w:rFonts w:eastAsia="TimesNewRoman" w:cstheme="minorHAnsi"/>
        </w:rPr>
        <w:t xml:space="preserve"> across the 4 treatment arms studied, althoug</w:t>
      </w:r>
      <w:r>
        <w:rPr>
          <w:rFonts w:eastAsia="TimesNewRoman" w:cstheme="minorHAnsi"/>
        </w:rPr>
        <w:t>h UGE was numerically greater following</w:t>
      </w:r>
      <w:r w:rsidRPr="00FE4C12">
        <w:rPr>
          <w:rFonts w:eastAsia="TimesNewRoman" w:cstheme="minorHAnsi"/>
        </w:rPr>
        <w:t xml:space="preserve"> the higher dose regimens (4 mg</w:t>
      </w:r>
      <w:r w:rsidR="00CA2F4B">
        <w:rPr>
          <w:rFonts w:eastAsia="TimesNewRoman" w:cstheme="minorHAnsi"/>
        </w:rPr>
        <w:t xml:space="preserve"> versus</w:t>
      </w:r>
      <w:r w:rsidRPr="00FE4C12">
        <w:rPr>
          <w:rFonts w:eastAsia="TimesNewRoman" w:cstheme="minorHAnsi"/>
        </w:rPr>
        <w:t xml:space="preserve"> 2 mg total daily dose) </w:t>
      </w:r>
      <w:r>
        <w:rPr>
          <w:rFonts w:eastAsia="TimesNewRoman" w:cstheme="minorHAnsi"/>
        </w:rPr>
        <w:t>whereas, t</w:t>
      </w:r>
      <w:r w:rsidRPr="00FE4C12">
        <w:rPr>
          <w:rFonts w:eastAsia="TimesNewRoman" w:cstheme="minorHAnsi"/>
        </w:rPr>
        <w:t xml:space="preserve">he </w:t>
      </w:r>
      <w:r w:rsidRPr="00FE4C12">
        <w:rPr>
          <w:rFonts w:eastAsia="TimesNewRoman" w:cstheme="minorHAnsi"/>
        </w:rPr>
        <w:lastRenderedPageBreak/>
        <w:t>weighted mean plasma glucose over 24 h was similar for all treatment groups, and the mean values ranged from 169 mg/dL to 176 mg/dL</w:t>
      </w:r>
      <w:r>
        <w:rPr>
          <w:rFonts w:eastAsia="TimesNewRoman" w:cstheme="minorHAnsi"/>
        </w:rPr>
        <w:t>.</w:t>
      </w:r>
    </w:p>
    <w:p w:rsidR="002E5CF1" w:rsidRPr="00D51EB3" w:rsidRDefault="002E5CF1" w:rsidP="007704B5">
      <w:pPr>
        <w:pStyle w:val="Comment"/>
        <w:rPr>
          <w:i/>
        </w:rPr>
      </w:pPr>
      <w:r w:rsidRPr="007704B5">
        <w:rPr>
          <w:b/>
        </w:rPr>
        <w:t>Comment</w:t>
      </w:r>
      <w:r w:rsidRPr="00D51EB3">
        <w:t>:</w:t>
      </w:r>
      <w:r w:rsidR="00803C18">
        <w:t xml:space="preserve"> </w:t>
      </w:r>
      <w:r w:rsidRPr="00D51EB3">
        <w:t>These result</w:t>
      </w:r>
      <w:r>
        <w:t>s</w:t>
      </w:r>
      <w:r w:rsidRPr="00D51EB3">
        <w:t xml:space="preserve"> indicate that there is no noticeable benefit in moving from a QD to </w:t>
      </w:r>
      <w:r>
        <w:t xml:space="preserve">a </w:t>
      </w:r>
      <w:r w:rsidR="00803C18">
        <w:t>BD</w:t>
      </w:r>
      <w:r w:rsidRPr="00D51EB3">
        <w:t xml:space="preserve"> dosing regimen.</w:t>
      </w:r>
    </w:p>
    <w:p w:rsidR="002E5CF1" w:rsidRPr="001F708E" w:rsidRDefault="002E5CF1" w:rsidP="002E5CF1">
      <w:pPr>
        <w:rPr>
          <w:rFonts w:cstheme="minorHAnsi"/>
        </w:rPr>
      </w:pPr>
      <w:r w:rsidRPr="007704B5">
        <w:rPr>
          <w:rFonts w:cstheme="minorHAnsi"/>
        </w:rPr>
        <w:t xml:space="preserve">Study PMAR-EQDD-B152c-DP4-444 was a </w:t>
      </w:r>
      <w:r w:rsidR="00FB1E32">
        <w:rPr>
          <w:rFonts w:cstheme="minorHAnsi"/>
        </w:rPr>
        <w:t>model based</w:t>
      </w:r>
      <w:r w:rsidRPr="007704B5">
        <w:t xml:space="preserve"> meta-analysis (MBMA) that was </w:t>
      </w:r>
      <w:r w:rsidRPr="007704B5">
        <w:rPr>
          <w:rFonts w:cstheme="minorHAnsi"/>
        </w:rPr>
        <w:t xml:space="preserve">undertaken in an attempt to </w:t>
      </w:r>
      <w:r w:rsidRPr="007704B5">
        <w:t xml:space="preserve">quantify the relationship between UGE and HbA1c for 4 SGLT2 inhibitors, including ertugliflozin. </w:t>
      </w:r>
      <w:r w:rsidRPr="007704B5">
        <w:rPr>
          <w:rFonts w:eastAsiaTheme="minorHAnsi" w:cstheme="minorHAnsi"/>
        </w:rPr>
        <w:t xml:space="preserve">In this study, the relationship between dose and UGE and HbA1c treatment effect was characterised by an </w:t>
      </w:r>
      <w:r w:rsidR="007704B5" w:rsidRPr="007704B5">
        <w:rPr>
          <w:rFonts w:eastAsiaTheme="minorHAnsi" w:cstheme="minorHAnsi"/>
          <w:color w:val="000000"/>
        </w:rPr>
        <w:t>E</w:t>
      </w:r>
      <w:r w:rsidR="007704B5" w:rsidRPr="007704B5">
        <w:rPr>
          <w:rFonts w:eastAsiaTheme="minorHAnsi" w:cstheme="minorHAnsi"/>
          <w:color w:val="000000"/>
          <w:vertAlign w:val="subscript"/>
        </w:rPr>
        <w:t>max</w:t>
      </w:r>
      <w:r w:rsidRPr="007704B5">
        <w:rPr>
          <w:rFonts w:eastAsiaTheme="minorHAnsi" w:cstheme="minorHAnsi"/>
        </w:rPr>
        <w:t xml:space="preserve"> or sigmoid </w:t>
      </w:r>
      <w:r w:rsidR="007704B5" w:rsidRPr="007704B5">
        <w:rPr>
          <w:rFonts w:eastAsiaTheme="minorHAnsi" w:cstheme="minorHAnsi"/>
          <w:color w:val="000000"/>
        </w:rPr>
        <w:t>E</w:t>
      </w:r>
      <w:r w:rsidR="007704B5" w:rsidRPr="007704B5">
        <w:rPr>
          <w:rFonts w:eastAsiaTheme="minorHAnsi" w:cstheme="minorHAnsi"/>
          <w:color w:val="000000"/>
          <w:vertAlign w:val="subscript"/>
        </w:rPr>
        <w:t>max</w:t>
      </w:r>
      <w:r w:rsidRPr="007704B5">
        <w:rPr>
          <w:rFonts w:eastAsiaTheme="minorHAnsi" w:cstheme="minorHAnsi"/>
        </w:rPr>
        <w:t xml:space="preserve"> dose response relationship and the impact of between-trial differences in time of response measurement, baseline HbA1c, baseline fasting glucose, eGFR, background anti-diabetic treatment, Asian</w:t>
      </w:r>
      <w:r w:rsidR="00CA2F4B" w:rsidRPr="007704B5">
        <w:rPr>
          <w:rFonts w:eastAsiaTheme="minorHAnsi" w:cstheme="minorHAnsi"/>
        </w:rPr>
        <w:t xml:space="preserve"> versus</w:t>
      </w:r>
      <w:r w:rsidRPr="007704B5">
        <w:rPr>
          <w:rFonts w:eastAsiaTheme="minorHAnsi" w:cstheme="minorHAnsi"/>
        </w:rPr>
        <w:t xml:space="preserve"> non-Asian studies, SGLT2 selectivity and SGLT2 inhibitor on the treatment effect was evaluated. The MBMA model was then used together with the individual subject level UGE data from Study P035/1051 to predict t</w:t>
      </w:r>
      <w:r w:rsidRPr="00FE4C12">
        <w:rPr>
          <w:rFonts w:eastAsiaTheme="minorHAnsi" w:cstheme="minorHAnsi"/>
        </w:rPr>
        <w:t xml:space="preserve">he potential difference in steady-state </w:t>
      </w:r>
      <w:r>
        <w:rPr>
          <w:rFonts w:eastAsiaTheme="minorHAnsi" w:cstheme="minorHAnsi"/>
        </w:rPr>
        <w:t xml:space="preserve">HbA1c </w:t>
      </w:r>
      <w:r w:rsidRPr="00FE4C12">
        <w:rPr>
          <w:rFonts w:eastAsiaTheme="minorHAnsi" w:cstheme="minorHAnsi"/>
        </w:rPr>
        <w:t>response fo</w:t>
      </w:r>
      <w:r>
        <w:rPr>
          <w:rFonts w:eastAsiaTheme="minorHAnsi" w:cstheme="minorHAnsi"/>
        </w:rPr>
        <w:t>llowing</w:t>
      </w:r>
      <w:r w:rsidRPr="00FE4C12">
        <w:rPr>
          <w:rFonts w:eastAsiaTheme="minorHAnsi" w:cstheme="minorHAnsi"/>
        </w:rPr>
        <w:t xml:space="preserve"> </w:t>
      </w:r>
      <w:r>
        <w:rPr>
          <w:rFonts w:eastAsiaTheme="minorHAnsi" w:cstheme="minorHAnsi"/>
        </w:rPr>
        <w:t xml:space="preserve">either </w:t>
      </w:r>
      <w:r w:rsidR="00803C18">
        <w:rPr>
          <w:rFonts w:eastAsiaTheme="minorHAnsi" w:cstheme="minorHAnsi"/>
        </w:rPr>
        <w:t>BD</w:t>
      </w:r>
      <w:r w:rsidRPr="00FE4C12">
        <w:rPr>
          <w:rFonts w:eastAsiaTheme="minorHAnsi" w:cstheme="minorHAnsi"/>
        </w:rPr>
        <w:t xml:space="preserve"> </w:t>
      </w:r>
      <w:r>
        <w:rPr>
          <w:rFonts w:eastAsiaTheme="minorHAnsi" w:cstheme="minorHAnsi"/>
        </w:rPr>
        <w:t>or</w:t>
      </w:r>
      <w:r w:rsidRPr="00FE4C12">
        <w:rPr>
          <w:rFonts w:eastAsiaTheme="minorHAnsi" w:cstheme="minorHAnsi"/>
        </w:rPr>
        <w:t xml:space="preserve"> QD </w:t>
      </w:r>
      <w:r>
        <w:rPr>
          <w:rFonts w:eastAsiaTheme="minorHAnsi" w:cstheme="minorHAnsi"/>
        </w:rPr>
        <w:t>dosing</w:t>
      </w:r>
      <w:r w:rsidRPr="00FE4C12">
        <w:rPr>
          <w:rFonts w:eastAsiaTheme="minorHAnsi" w:cstheme="minorHAnsi"/>
        </w:rPr>
        <w:t xml:space="preserve"> in </w:t>
      </w:r>
      <w:r>
        <w:rPr>
          <w:rFonts w:eastAsiaTheme="minorHAnsi" w:cstheme="minorHAnsi"/>
        </w:rPr>
        <w:t xml:space="preserve">subjects with </w:t>
      </w:r>
      <w:r w:rsidRPr="00FE4C12">
        <w:rPr>
          <w:rFonts w:eastAsiaTheme="minorHAnsi" w:cstheme="minorHAnsi"/>
        </w:rPr>
        <w:t>T2DM.</w:t>
      </w:r>
      <w:r>
        <w:rPr>
          <w:rFonts w:eastAsiaTheme="minorHAnsi" w:cstheme="minorHAnsi"/>
        </w:rPr>
        <w:t xml:space="preserve"> For a </w:t>
      </w:r>
      <w:r w:rsidRPr="00FE4C12">
        <w:rPr>
          <w:rFonts w:eastAsiaTheme="minorHAnsi" w:cstheme="minorHAnsi"/>
        </w:rPr>
        <w:t>typical patient population with OAD</w:t>
      </w:r>
      <w:r>
        <w:rPr>
          <w:rFonts w:eastAsiaTheme="minorHAnsi" w:cstheme="minorHAnsi"/>
        </w:rPr>
        <w:t xml:space="preserve"> </w:t>
      </w:r>
      <w:r w:rsidRPr="00FE4C12">
        <w:rPr>
          <w:rFonts w:eastAsiaTheme="minorHAnsi" w:cstheme="minorHAnsi"/>
        </w:rPr>
        <w:t xml:space="preserve">background treatment, baseline </w:t>
      </w:r>
      <w:r>
        <w:rPr>
          <w:rFonts w:eastAsiaTheme="minorHAnsi" w:cstheme="minorHAnsi"/>
        </w:rPr>
        <w:t>HbA1c</w:t>
      </w:r>
      <w:r w:rsidRPr="00FE4C12">
        <w:rPr>
          <w:rFonts w:eastAsiaTheme="minorHAnsi" w:cstheme="minorHAnsi"/>
        </w:rPr>
        <w:t xml:space="preserve"> of 8%, and baseline eGFR of 90 ml/min/1.73m</w:t>
      </w:r>
      <w:r w:rsidRPr="001C7CC2">
        <w:rPr>
          <w:rFonts w:eastAsiaTheme="minorHAnsi" w:cstheme="minorHAnsi"/>
          <w:vertAlign w:val="superscript"/>
        </w:rPr>
        <w:t>2</w:t>
      </w:r>
      <w:r>
        <w:rPr>
          <w:rFonts w:eastAsiaTheme="minorHAnsi" w:cstheme="minorHAnsi"/>
        </w:rPr>
        <w:t>, t</w:t>
      </w:r>
      <w:r w:rsidRPr="00FE4C12">
        <w:rPr>
          <w:rFonts w:eastAsiaTheme="minorHAnsi" w:cstheme="minorHAnsi"/>
        </w:rPr>
        <w:t xml:space="preserve">he predicted potential difference in </w:t>
      </w:r>
      <w:r>
        <w:rPr>
          <w:rFonts w:eastAsiaTheme="minorHAnsi" w:cstheme="minorHAnsi"/>
        </w:rPr>
        <w:t>HbA1c</w:t>
      </w:r>
      <w:r w:rsidRPr="00FE4C12">
        <w:rPr>
          <w:rFonts w:eastAsiaTheme="minorHAnsi" w:cstheme="minorHAnsi"/>
        </w:rPr>
        <w:t xml:space="preserve"> effect </w:t>
      </w:r>
      <w:r>
        <w:rPr>
          <w:rFonts w:eastAsiaTheme="minorHAnsi" w:cstheme="minorHAnsi"/>
        </w:rPr>
        <w:t>following</w:t>
      </w:r>
      <w:r w:rsidRPr="00FE4C12">
        <w:rPr>
          <w:rFonts w:eastAsiaTheme="minorHAnsi" w:cstheme="minorHAnsi"/>
        </w:rPr>
        <w:t xml:space="preserve"> </w:t>
      </w:r>
      <w:r w:rsidR="00803C18">
        <w:rPr>
          <w:rFonts w:eastAsiaTheme="minorHAnsi" w:cstheme="minorHAnsi"/>
        </w:rPr>
        <w:t>BD</w:t>
      </w:r>
      <w:r w:rsidRPr="00FE4C12">
        <w:rPr>
          <w:rFonts w:eastAsiaTheme="minorHAnsi" w:cstheme="minorHAnsi"/>
        </w:rPr>
        <w:t xml:space="preserve"> and QD ertugliflozin </w:t>
      </w:r>
      <w:r>
        <w:rPr>
          <w:rFonts w:eastAsiaTheme="minorHAnsi" w:cstheme="minorHAnsi"/>
        </w:rPr>
        <w:t xml:space="preserve">was </w:t>
      </w:r>
      <w:r w:rsidRPr="00FE4C12">
        <w:rPr>
          <w:rFonts w:eastAsiaTheme="minorHAnsi" w:cstheme="minorHAnsi"/>
        </w:rPr>
        <w:t xml:space="preserve">-0.025% </w:t>
      </w:r>
      <w:r w:rsidR="00424310">
        <w:rPr>
          <w:rFonts w:eastAsiaTheme="minorHAnsi" w:cstheme="minorHAnsi"/>
        </w:rPr>
        <w:t xml:space="preserve">(-0.045 to </w:t>
      </w:r>
      <w:r w:rsidR="00424310">
        <w:rPr>
          <w:rFonts w:eastAsiaTheme="minorHAnsi" w:cstheme="minorHAnsi"/>
        </w:rPr>
        <w:noBreakHyphen/>
      </w:r>
      <w:r w:rsidRPr="00FE4C12">
        <w:rPr>
          <w:rFonts w:eastAsiaTheme="minorHAnsi" w:cstheme="minorHAnsi"/>
        </w:rPr>
        <w:t>0.008; 95% CI</w:t>
      </w:r>
      <w:r w:rsidR="00424310">
        <w:rPr>
          <w:rFonts w:eastAsiaTheme="minorHAnsi" w:cstheme="minorHAnsi"/>
        </w:rPr>
        <w:t>)</w:t>
      </w:r>
      <w:r w:rsidRPr="00FE4C12">
        <w:rPr>
          <w:rFonts w:eastAsiaTheme="minorHAnsi" w:cstheme="minorHAnsi"/>
        </w:rPr>
        <w:t xml:space="preserve"> for 2.5 mg </w:t>
      </w:r>
      <w:r w:rsidR="00803C18">
        <w:rPr>
          <w:rFonts w:eastAsiaTheme="minorHAnsi" w:cstheme="minorHAnsi"/>
        </w:rPr>
        <w:t>BD</w:t>
      </w:r>
      <w:r w:rsidRPr="00FE4C12">
        <w:rPr>
          <w:rFonts w:eastAsiaTheme="minorHAnsi" w:cstheme="minorHAnsi"/>
        </w:rPr>
        <w:t xml:space="preserve"> and 5 mg QD</w:t>
      </w:r>
      <w:r>
        <w:rPr>
          <w:rFonts w:eastAsiaTheme="minorHAnsi" w:cstheme="minorHAnsi"/>
        </w:rPr>
        <w:t xml:space="preserve"> </w:t>
      </w:r>
      <w:r w:rsidRPr="00FE4C12">
        <w:rPr>
          <w:rFonts w:eastAsiaTheme="minorHAnsi" w:cstheme="minorHAnsi"/>
        </w:rPr>
        <w:t xml:space="preserve">and -0.010% </w:t>
      </w:r>
      <w:r w:rsidR="00424310">
        <w:rPr>
          <w:rFonts w:eastAsiaTheme="minorHAnsi" w:cstheme="minorHAnsi"/>
        </w:rPr>
        <w:t>(</w:t>
      </w:r>
      <w:r w:rsidRPr="00FE4C12">
        <w:rPr>
          <w:rFonts w:eastAsiaTheme="minorHAnsi" w:cstheme="minorHAnsi"/>
        </w:rPr>
        <w:t>-0.019 to -0.003; 95% CI</w:t>
      </w:r>
      <w:r w:rsidR="00424310">
        <w:rPr>
          <w:rFonts w:eastAsiaTheme="minorHAnsi" w:cstheme="minorHAnsi"/>
        </w:rPr>
        <w:t>)</w:t>
      </w:r>
      <w:r w:rsidRPr="00FE4C12">
        <w:rPr>
          <w:rFonts w:eastAsiaTheme="minorHAnsi" w:cstheme="minorHAnsi"/>
        </w:rPr>
        <w:t xml:space="preserve"> for 7.5 mg </w:t>
      </w:r>
      <w:r w:rsidR="00803C18">
        <w:rPr>
          <w:rFonts w:eastAsiaTheme="minorHAnsi" w:cstheme="minorHAnsi"/>
        </w:rPr>
        <w:t>BD</w:t>
      </w:r>
      <w:r w:rsidRPr="00FE4C12">
        <w:rPr>
          <w:rFonts w:eastAsiaTheme="minorHAnsi" w:cstheme="minorHAnsi"/>
        </w:rPr>
        <w:t xml:space="preserve"> and 15 mg QD. </w:t>
      </w:r>
      <w:r>
        <w:rPr>
          <w:rFonts w:eastAsiaTheme="minorHAnsi" w:cstheme="minorHAnsi"/>
        </w:rPr>
        <w:t>Moreover, t</w:t>
      </w:r>
      <w:r w:rsidRPr="00FE4C12">
        <w:rPr>
          <w:rFonts w:eastAsiaTheme="minorHAnsi" w:cstheme="minorHAnsi"/>
        </w:rPr>
        <w:t>he ratio of the predicted</w:t>
      </w:r>
      <w:r>
        <w:rPr>
          <w:rFonts w:eastAsiaTheme="minorHAnsi" w:cstheme="minorHAnsi"/>
        </w:rPr>
        <w:t xml:space="preserve"> HbA1c</w:t>
      </w:r>
      <w:r w:rsidRPr="00FE4C12">
        <w:rPr>
          <w:rFonts w:eastAsiaTheme="minorHAnsi" w:cstheme="minorHAnsi"/>
        </w:rPr>
        <w:t xml:space="preserve"> effect was 1.043 </w:t>
      </w:r>
      <w:r w:rsidR="00424310">
        <w:rPr>
          <w:rFonts w:eastAsiaTheme="minorHAnsi" w:cstheme="minorHAnsi"/>
        </w:rPr>
        <w:t>(</w:t>
      </w:r>
      <w:r w:rsidRPr="00FE4C12">
        <w:rPr>
          <w:rFonts w:eastAsiaTheme="minorHAnsi" w:cstheme="minorHAnsi"/>
        </w:rPr>
        <w:t>1.018 to 1.072; 90% CI</w:t>
      </w:r>
      <w:r w:rsidR="00424310">
        <w:rPr>
          <w:rFonts w:eastAsiaTheme="minorHAnsi" w:cstheme="minorHAnsi"/>
        </w:rPr>
        <w:t>)</w:t>
      </w:r>
      <w:r w:rsidRPr="00FE4C12">
        <w:rPr>
          <w:rFonts w:eastAsiaTheme="minorHAnsi" w:cstheme="minorHAnsi"/>
        </w:rPr>
        <w:t xml:space="preserve"> for 2.5 mg </w:t>
      </w:r>
      <w:r w:rsidR="00803C18">
        <w:rPr>
          <w:rFonts w:eastAsiaTheme="minorHAnsi" w:cstheme="minorHAnsi"/>
        </w:rPr>
        <w:t>BD</w:t>
      </w:r>
      <w:r w:rsidRPr="00FE4C12">
        <w:rPr>
          <w:rFonts w:eastAsiaTheme="minorHAnsi" w:cstheme="minorHAnsi"/>
        </w:rPr>
        <w:t xml:space="preserve"> and 5 mg QD and was 1.016 </w:t>
      </w:r>
      <w:r w:rsidR="00424310">
        <w:rPr>
          <w:rFonts w:eastAsiaTheme="minorHAnsi" w:cstheme="minorHAnsi"/>
        </w:rPr>
        <w:t>(</w:t>
      </w:r>
      <w:r w:rsidRPr="00FE4C12">
        <w:rPr>
          <w:rFonts w:eastAsiaTheme="minorHAnsi" w:cstheme="minorHAnsi"/>
        </w:rPr>
        <w:t>1.007 to 1.026; 90% CI</w:t>
      </w:r>
      <w:r w:rsidR="00424310">
        <w:rPr>
          <w:rFonts w:eastAsiaTheme="minorHAnsi" w:cstheme="minorHAnsi"/>
        </w:rPr>
        <w:t>)</w:t>
      </w:r>
      <w:r>
        <w:rPr>
          <w:rFonts w:eastAsiaTheme="minorHAnsi" w:cstheme="minorHAnsi"/>
        </w:rPr>
        <w:t xml:space="preserve"> </w:t>
      </w:r>
      <w:r w:rsidRPr="00FE4C12">
        <w:rPr>
          <w:rFonts w:eastAsiaTheme="minorHAnsi" w:cstheme="minorHAnsi"/>
        </w:rPr>
        <w:t xml:space="preserve">for 7.5 mg </w:t>
      </w:r>
      <w:r w:rsidR="00803C18">
        <w:rPr>
          <w:rFonts w:eastAsiaTheme="minorHAnsi" w:cstheme="minorHAnsi"/>
        </w:rPr>
        <w:t>BD</w:t>
      </w:r>
      <w:r w:rsidRPr="00FE4C12">
        <w:rPr>
          <w:rFonts w:eastAsiaTheme="minorHAnsi" w:cstheme="minorHAnsi"/>
        </w:rPr>
        <w:t xml:space="preserve"> and 15 mg QD</w:t>
      </w:r>
      <w:r>
        <w:rPr>
          <w:rFonts w:cstheme="minorHAnsi"/>
        </w:rPr>
        <w:t>.</w:t>
      </w:r>
    </w:p>
    <w:p w:rsidR="002E5CF1" w:rsidRPr="00545B14" w:rsidRDefault="002E5CF1" w:rsidP="007704B5">
      <w:pPr>
        <w:pStyle w:val="Heading4"/>
      </w:pPr>
      <w:bookmarkStart w:id="251" w:name="_Toc272414645"/>
      <w:bookmarkStart w:id="252" w:name="_Toc290888493"/>
      <w:bookmarkStart w:id="253" w:name="_Toc416353690"/>
      <w:bookmarkStart w:id="254" w:name="_Toc421005257"/>
      <w:bookmarkStart w:id="255" w:name="_Toc432079139"/>
      <w:bookmarkStart w:id="256" w:name="_Toc432080712"/>
      <w:bookmarkStart w:id="257" w:name="_Toc461096090"/>
      <w:bookmarkStart w:id="258" w:name="_Toc504038141"/>
      <w:r w:rsidRPr="00545B14">
        <w:t>Relationship between drug concentration and pharmacodynamic effects</w:t>
      </w:r>
      <w:bookmarkEnd w:id="251"/>
      <w:bookmarkEnd w:id="252"/>
      <w:bookmarkEnd w:id="253"/>
      <w:bookmarkEnd w:id="254"/>
      <w:bookmarkEnd w:id="255"/>
      <w:bookmarkEnd w:id="256"/>
      <w:bookmarkEnd w:id="257"/>
      <w:bookmarkEnd w:id="258"/>
    </w:p>
    <w:p w:rsidR="002E5CF1" w:rsidRPr="00BC2BC4" w:rsidRDefault="002E5CF1" w:rsidP="007704B5">
      <w:pPr>
        <w:pStyle w:val="Heading5"/>
      </w:pPr>
      <w:r>
        <w:t>HbA1c</w:t>
      </w:r>
    </w:p>
    <w:p w:rsidR="00803C18" w:rsidRDefault="002E5CF1" w:rsidP="002E5CF1">
      <w:pPr>
        <w:rPr>
          <w:rFonts w:eastAsiaTheme="minorHAnsi" w:cstheme="minorHAnsi"/>
        </w:rPr>
      </w:pPr>
      <w:r w:rsidRPr="007704B5">
        <w:rPr>
          <w:rFonts w:cstheme="minorHAnsi"/>
        </w:rPr>
        <w:t xml:space="preserve">Study </w:t>
      </w:r>
      <w:r w:rsidRPr="007704B5">
        <w:rPr>
          <w:rFonts w:eastAsiaTheme="minorHAnsi" w:cstheme="minorHAnsi"/>
        </w:rPr>
        <w:t>PMAR-EQDD-B152a-DP4-407</w:t>
      </w:r>
      <w:r w:rsidR="00424310">
        <w:rPr>
          <w:rFonts w:eastAsiaTheme="minorHAnsi" w:cstheme="minorHAnsi"/>
        </w:rPr>
        <w:t xml:space="preserve"> represented a population dose </w:t>
      </w:r>
      <w:r>
        <w:rPr>
          <w:rFonts w:eastAsiaTheme="minorHAnsi" w:cstheme="minorHAnsi"/>
        </w:rPr>
        <w:t>response analysis, which attempted to identify an</w:t>
      </w:r>
      <w:r w:rsidRPr="00FE4C12">
        <w:rPr>
          <w:rFonts w:eastAsiaTheme="minorHAnsi" w:cstheme="minorHAnsi"/>
        </w:rPr>
        <w:t xml:space="preserve"> appropriate structural exposure-respo</w:t>
      </w:r>
      <w:r>
        <w:rPr>
          <w:rFonts w:eastAsiaTheme="minorHAnsi" w:cstheme="minorHAnsi"/>
        </w:rPr>
        <w:t xml:space="preserve">nse or dose-response model, as well as to </w:t>
      </w:r>
      <w:r w:rsidRPr="00FE4C12">
        <w:rPr>
          <w:rFonts w:eastAsiaTheme="minorHAnsi" w:cstheme="minorHAnsi"/>
        </w:rPr>
        <w:t xml:space="preserve">quantify the population response and variability in </w:t>
      </w:r>
      <w:r>
        <w:rPr>
          <w:rFonts w:eastAsiaTheme="minorHAnsi" w:cstheme="minorHAnsi"/>
        </w:rPr>
        <w:t>ertugliflozin-induced HbA1c reduction</w:t>
      </w:r>
      <w:r w:rsidRPr="00FE4C12">
        <w:rPr>
          <w:rFonts w:eastAsiaTheme="minorHAnsi" w:cstheme="minorHAnsi"/>
        </w:rPr>
        <w:t>.</w:t>
      </w:r>
      <w:r>
        <w:rPr>
          <w:rFonts w:eastAsiaTheme="minorHAnsi" w:cstheme="minorHAnsi"/>
        </w:rPr>
        <w:t xml:space="preserve"> Data from one Phase II</w:t>
      </w:r>
      <w:r w:rsidRPr="00FE4C12">
        <w:rPr>
          <w:rFonts w:eastAsiaTheme="minorHAnsi" w:cstheme="minorHAnsi"/>
        </w:rPr>
        <w:t xml:space="preserve"> (MK-8835-016/B1521006)</w:t>
      </w:r>
      <w:r>
        <w:rPr>
          <w:rFonts w:eastAsiaTheme="minorHAnsi" w:cstheme="minorHAnsi"/>
        </w:rPr>
        <w:t xml:space="preserve"> </w:t>
      </w:r>
      <w:r w:rsidRPr="00FE4C12">
        <w:rPr>
          <w:rFonts w:eastAsiaTheme="minorHAnsi" w:cstheme="minorHAnsi"/>
        </w:rPr>
        <w:t xml:space="preserve">and four </w:t>
      </w:r>
      <w:r>
        <w:rPr>
          <w:rFonts w:eastAsiaTheme="minorHAnsi" w:cstheme="minorHAnsi"/>
        </w:rPr>
        <w:t>Phase III</w:t>
      </w:r>
      <w:r w:rsidRPr="00FE4C12">
        <w:rPr>
          <w:rFonts w:eastAsiaTheme="minorHAnsi" w:cstheme="minorHAnsi"/>
        </w:rPr>
        <w:t xml:space="preserve"> studies (MK-8835-001/B1521016,</w:t>
      </w:r>
      <w:r>
        <w:rPr>
          <w:rFonts w:eastAsiaTheme="minorHAnsi" w:cstheme="minorHAnsi"/>
        </w:rPr>
        <w:t xml:space="preserve"> </w:t>
      </w:r>
      <w:r w:rsidRPr="00FE4C12">
        <w:rPr>
          <w:rFonts w:eastAsiaTheme="minorHAnsi" w:cstheme="minorHAnsi"/>
        </w:rPr>
        <w:t>MK-8835-007/B1521017</w:t>
      </w:r>
      <w:r>
        <w:rPr>
          <w:rFonts w:eastAsiaTheme="minorHAnsi" w:cstheme="minorHAnsi"/>
        </w:rPr>
        <w:t>,</w:t>
      </w:r>
      <w:r w:rsidRPr="00FE4C12">
        <w:rPr>
          <w:rFonts w:eastAsiaTheme="minorHAnsi" w:cstheme="minorHAnsi"/>
        </w:rPr>
        <w:t xml:space="preserve"> MK-883</w:t>
      </w:r>
      <w:r>
        <w:rPr>
          <w:rFonts w:eastAsiaTheme="minorHAnsi" w:cstheme="minorHAnsi"/>
        </w:rPr>
        <w:t xml:space="preserve">5-003/B1521022 and </w:t>
      </w:r>
      <w:r w:rsidRPr="00FE4C12">
        <w:rPr>
          <w:rFonts w:eastAsiaTheme="minorHAnsi" w:cstheme="minorHAnsi"/>
        </w:rPr>
        <w:t>MK-8835-005/B1521019</w:t>
      </w:r>
      <w:r>
        <w:rPr>
          <w:rFonts w:eastAsiaTheme="minorHAnsi" w:cstheme="minorHAnsi"/>
        </w:rPr>
        <w:t xml:space="preserve">) </w:t>
      </w:r>
      <w:r w:rsidRPr="00FE4C12">
        <w:rPr>
          <w:rFonts w:eastAsiaTheme="minorHAnsi" w:cstheme="minorHAnsi"/>
        </w:rPr>
        <w:t>were included in the</w:t>
      </w:r>
      <w:r>
        <w:rPr>
          <w:rFonts w:eastAsiaTheme="minorHAnsi" w:cstheme="minorHAnsi"/>
        </w:rPr>
        <w:t xml:space="preserve"> analysis</w:t>
      </w:r>
      <w:r w:rsidR="00803C18">
        <w:rPr>
          <w:rFonts w:eastAsiaTheme="minorHAnsi" w:cstheme="minorHAnsi"/>
        </w:rPr>
        <w:t>.</w:t>
      </w:r>
    </w:p>
    <w:p w:rsidR="002E5CF1" w:rsidRDefault="002E5CF1" w:rsidP="002E5CF1">
      <w:pPr>
        <w:rPr>
          <w:rFonts w:eastAsiaTheme="minorHAnsi" w:cstheme="minorHAnsi"/>
          <w:color w:val="000000"/>
        </w:rPr>
      </w:pPr>
      <w:r>
        <w:rPr>
          <w:rFonts w:eastAsiaTheme="minorHAnsi" w:cstheme="minorHAnsi"/>
        </w:rPr>
        <w:t xml:space="preserve">The </w:t>
      </w:r>
      <w:r w:rsidRPr="00FE4C12">
        <w:rPr>
          <w:rFonts w:eastAsiaTheme="minorHAnsi" w:cstheme="minorHAnsi"/>
          <w:color w:val="000000"/>
        </w:rPr>
        <w:t xml:space="preserve">final </w:t>
      </w:r>
      <w:r w:rsidRPr="00FE4C12">
        <w:rPr>
          <w:rFonts w:eastAsiaTheme="minorHAnsi" w:cstheme="minorHAnsi"/>
        </w:rPr>
        <w:t>longitudinal</w:t>
      </w:r>
      <w:r>
        <w:rPr>
          <w:rFonts w:eastAsiaTheme="minorHAnsi" w:cstheme="minorHAnsi"/>
        </w:rPr>
        <w:t xml:space="preserve"> </w:t>
      </w:r>
      <w:r w:rsidRPr="00FE4C12">
        <w:rPr>
          <w:rFonts w:eastAsiaTheme="minorHAnsi" w:cstheme="minorHAnsi"/>
        </w:rPr>
        <w:t xml:space="preserve">dose-response </w:t>
      </w:r>
      <w:r w:rsidRPr="00FE4C12">
        <w:rPr>
          <w:rFonts w:eastAsiaTheme="minorHAnsi" w:cstheme="minorHAnsi"/>
          <w:color w:val="000000"/>
        </w:rPr>
        <w:t>model</w:t>
      </w:r>
      <w:r>
        <w:rPr>
          <w:rFonts w:eastAsiaTheme="minorHAnsi" w:cstheme="minorHAnsi"/>
          <w:color w:val="000000"/>
        </w:rPr>
        <w:t>, which</w:t>
      </w:r>
      <w:r w:rsidRPr="00FE4C12">
        <w:rPr>
          <w:rFonts w:eastAsiaTheme="minorHAnsi" w:cstheme="minorHAnsi"/>
          <w:color w:val="000000"/>
        </w:rPr>
        <w:t xml:space="preserve"> included baseline </w:t>
      </w:r>
      <w:r>
        <w:rPr>
          <w:rFonts w:eastAsiaTheme="minorHAnsi" w:cstheme="minorHAnsi"/>
          <w:color w:val="000000"/>
        </w:rPr>
        <w:t>HbA1c</w:t>
      </w:r>
      <w:r w:rsidRPr="00FE4C12">
        <w:rPr>
          <w:rFonts w:eastAsiaTheme="minorHAnsi" w:cstheme="minorHAnsi"/>
          <w:color w:val="000000"/>
        </w:rPr>
        <w:t>, baseline eGFR, duration of diabetes and anti-hyperglycaemic background treatment on</w:t>
      </w:r>
      <w:r>
        <w:rPr>
          <w:rFonts w:eastAsiaTheme="minorHAnsi" w:cstheme="minorHAnsi"/>
          <w:color w:val="000000"/>
        </w:rPr>
        <w:t xml:space="preserve"> </w:t>
      </w:r>
      <w:r w:rsidR="007704B5" w:rsidRPr="007704B5">
        <w:rPr>
          <w:rFonts w:eastAsiaTheme="minorHAnsi" w:cstheme="minorHAnsi"/>
          <w:color w:val="000000"/>
        </w:rPr>
        <w:t>E</w:t>
      </w:r>
      <w:r w:rsidR="007704B5" w:rsidRPr="007704B5">
        <w:rPr>
          <w:rFonts w:eastAsiaTheme="minorHAnsi" w:cstheme="minorHAnsi"/>
          <w:color w:val="000000"/>
          <w:vertAlign w:val="subscript"/>
        </w:rPr>
        <w:t>max</w:t>
      </w:r>
      <w:r w:rsidRPr="007704B5">
        <w:rPr>
          <w:rFonts w:eastAsiaTheme="minorHAnsi" w:cstheme="minorHAnsi"/>
          <w:color w:val="000000"/>
          <w:vertAlign w:val="subscript"/>
        </w:rPr>
        <w:t>,</w:t>
      </w:r>
      <w:r w:rsidRPr="00FE4C12">
        <w:rPr>
          <w:rFonts w:eastAsiaTheme="minorHAnsi" w:cstheme="minorHAnsi"/>
          <w:color w:val="000000"/>
        </w:rPr>
        <w:t xml:space="preserve"> and age an</w:t>
      </w:r>
      <w:r>
        <w:rPr>
          <w:rFonts w:eastAsiaTheme="minorHAnsi" w:cstheme="minorHAnsi"/>
          <w:color w:val="000000"/>
        </w:rPr>
        <w:t xml:space="preserve">d baseline body weight on </w:t>
      </w:r>
      <w:r w:rsidR="007704B5">
        <w:rPr>
          <w:rFonts w:eastAsiaTheme="minorHAnsi" w:cstheme="minorHAnsi"/>
        </w:rPr>
        <w:t>ED</w:t>
      </w:r>
      <w:r w:rsidR="007704B5" w:rsidRPr="007704B5">
        <w:rPr>
          <w:rFonts w:eastAsiaTheme="minorHAnsi" w:cstheme="minorHAnsi"/>
          <w:vertAlign w:val="subscript"/>
        </w:rPr>
        <w:t>50</w:t>
      </w:r>
      <w:r>
        <w:rPr>
          <w:rFonts w:eastAsiaTheme="minorHAnsi" w:cstheme="minorHAnsi"/>
          <w:color w:val="000000"/>
        </w:rPr>
        <w:t xml:space="preserve">, provided estimates for mean </w:t>
      </w:r>
      <w:proofErr w:type="spellStart"/>
      <w:r w:rsidR="007704B5" w:rsidRPr="007704B5">
        <w:rPr>
          <w:rFonts w:eastAsiaTheme="minorHAnsi" w:cstheme="minorHAnsi"/>
          <w:color w:val="000000"/>
        </w:rPr>
        <w:t>E</w:t>
      </w:r>
      <w:r w:rsidR="007704B5" w:rsidRPr="007704B5">
        <w:rPr>
          <w:rFonts w:eastAsiaTheme="minorHAnsi" w:cstheme="minorHAnsi"/>
          <w:color w:val="000000"/>
          <w:vertAlign w:val="subscript"/>
        </w:rPr>
        <w:t>max</w:t>
      </w:r>
      <w:proofErr w:type="spellEnd"/>
      <w:r>
        <w:rPr>
          <w:rFonts w:eastAsiaTheme="minorHAnsi" w:cstheme="minorHAnsi"/>
          <w:color w:val="000000"/>
        </w:rPr>
        <w:t xml:space="preserve"> </w:t>
      </w:r>
      <w:r w:rsidR="00424310">
        <w:rPr>
          <w:rFonts w:eastAsiaTheme="minorHAnsi" w:cstheme="minorHAnsi"/>
        </w:rPr>
        <w:t>(</w:t>
      </w:r>
      <w:r w:rsidRPr="00FE4C12">
        <w:rPr>
          <w:rFonts w:eastAsiaTheme="minorHAnsi" w:cstheme="minorHAnsi"/>
        </w:rPr>
        <w:t>95% CI</w:t>
      </w:r>
      <w:r w:rsidR="00424310">
        <w:rPr>
          <w:rFonts w:eastAsiaTheme="minorHAnsi" w:cstheme="minorHAnsi"/>
        </w:rPr>
        <w:t>)</w:t>
      </w:r>
      <w:r>
        <w:rPr>
          <w:rFonts w:eastAsiaTheme="minorHAnsi" w:cstheme="minorHAnsi"/>
        </w:rPr>
        <w:t xml:space="preserve"> and </w:t>
      </w:r>
      <w:r w:rsidR="007704B5">
        <w:rPr>
          <w:rFonts w:eastAsiaTheme="minorHAnsi" w:cstheme="minorHAnsi"/>
        </w:rPr>
        <w:t>ED</w:t>
      </w:r>
      <w:r w:rsidR="007704B5" w:rsidRPr="007704B5">
        <w:rPr>
          <w:rFonts w:eastAsiaTheme="minorHAnsi" w:cstheme="minorHAnsi"/>
          <w:vertAlign w:val="subscript"/>
        </w:rPr>
        <w:t>50</w:t>
      </w:r>
      <w:r>
        <w:rPr>
          <w:rFonts w:eastAsiaTheme="minorHAnsi" w:cstheme="minorHAnsi"/>
        </w:rPr>
        <w:t xml:space="preserve"> of </w:t>
      </w:r>
      <w:r w:rsidRPr="00FE4C12">
        <w:rPr>
          <w:rFonts w:eastAsiaTheme="minorHAnsi" w:cstheme="minorHAnsi"/>
        </w:rPr>
        <w:t>-0.745%</w:t>
      </w:r>
      <w:r>
        <w:rPr>
          <w:rFonts w:eastAsiaTheme="minorHAnsi" w:cstheme="minorHAnsi"/>
        </w:rPr>
        <w:t xml:space="preserve"> </w:t>
      </w:r>
      <w:r w:rsidR="00424310">
        <w:rPr>
          <w:rFonts w:eastAsiaTheme="minorHAnsi" w:cstheme="minorHAnsi"/>
        </w:rPr>
        <w:t>(</w:t>
      </w:r>
      <w:r w:rsidR="007704B5">
        <w:rPr>
          <w:rFonts w:eastAsiaTheme="minorHAnsi" w:cstheme="minorHAnsi"/>
        </w:rPr>
        <w:noBreakHyphen/>
      </w:r>
      <w:r w:rsidRPr="00FE4C12">
        <w:rPr>
          <w:rFonts w:eastAsiaTheme="minorHAnsi" w:cstheme="minorHAnsi"/>
        </w:rPr>
        <w:t>0.899% to -0.624%</w:t>
      </w:r>
      <w:r w:rsidR="00424310">
        <w:rPr>
          <w:rFonts w:eastAsiaTheme="minorHAnsi" w:cstheme="minorHAnsi"/>
        </w:rPr>
        <w:t>)</w:t>
      </w:r>
      <w:r>
        <w:rPr>
          <w:rFonts w:eastAsiaTheme="minorHAnsi" w:cstheme="minorHAnsi"/>
        </w:rPr>
        <w:t xml:space="preserve"> and</w:t>
      </w:r>
      <w:r w:rsidRPr="00FE4C12">
        <w:rPr>
          <w:rFonts w:eastAsiaTheme="minorHAnsi" w:cstheme="minorHAnsi"/>
        </w:rPr>
        <w:t xml:space="preserve"> 1.30 mg </w:t>
      </w:r>
      <w:r w:rsidR="00424310">
        <w:rPr>
          <w:rFonts w:eastAsiaTheme="minorHAnsi" w:cstheme="minorHAnsi"/>
        </w:rPr>
        <w:t>(</w:t>
      </w:r>
      <w:r w:rsidRPr="00FE4C12">
        <w:rPr>
          <w:rFonts w:eastAsiaTheme="minorHAnsi" w:cstheme="minorHAnsi"/>
        </w:rPr>
        <w:t>0.0699 mg to 2.64 mg</w:t>
      </w:r>
      <w:r w:rsidR="00424310">
        <w:rPr>
          <w:rFonts w:eastAsiaTheme="minorHAnsi" w:cstheme="minorHAnsi"/>
        </w:rPr>
        <w:t>)</w:t>
      </w:r>
      <w:r>
        <w:rPr>
          <w:rFonts w:eastAsiaTheme="minorHAnsi" w:cstheme="minorHAnsi"/>
        </w:rPr>
        <w:t>, respectively</w:t>
      </w:r>
      <w:r w:rsidRPr="00FE4C12">
        <w:rPr>
          <w:rFonts w:eastAsiaTheme="minorHAnsi" w:cstheme="minorHAnsi"/>
        </w:rPr>
        <w:t>.</w:t>
      </w:r>
      <w:r>
        <w:rPr>
          <w:rFonts w:eastAsiaTheme="minorHAnsi" w:cstheme="minorHAnsi"/>
        </w:rPr>
        <w:t xml:space="preserve"> </w:t>
      </w:r>
      <w:r>
        <w:rPr>
          <w:rFonts w:eastAsiaTheme="minorHAnsi" w:cstheme="minorHAnsi"/>
          <w:color w:val="000000"/>
        </w:rPr>
        <w:t xml:space="preserve">The results also indicated that response to placebo was significant </w:t>
      </w:r>
      <w:r w:rsidRPr="00FE4C12">
        <w:rPr>
          <w:rFonts w:eastAsiaTheme="minorHAnsi" w:cstheme="minorHAnsi"/>
        </w:rPr>
        <w:t xml:space="preserve">with a mean </w:t>
      </w:r>
      <w:r w:rsidR="00424310">
        <w:rPr>
          <w:rFonts w:eastAsiaTheme="minorHAnsi" w:cstheme="minorHAnsi"/>
        </w:rPr>
        <w:t>(</w:t>
      </w:r>
      <w:r w:rsidRPr="00FE4C12">
        <w:rPr>
          <w:rFonts w:eastAsiaTheme="minorHAnsi" w:cstheme="minorHAnsi"/>
        </w:rPr>
        <w:t>95% CI</w:t>
      </w:r>
      <w:r w:rsidR="00424310">
        <w:rPr>
          <w:rFonts w:eastAsiaTheme="minorHAnsi" w:cstheme="minorHAnsi"/>
        </w:rPr>
        <w:t>)</w:t>
      </w:r>
      <w:r>
        <w:rPr>
          <w:rFonts w:eastAsiaTheme="minorHAnsi" w:cstheme="minorHAnsi"/>
        </w:rPr>
        <w:t xml:space="preserve"> </w:t>
      </w:r>
      <w:r w:rsidRPr="00FE4C12">
        <w:rPr>
          <w:rFonts w:eastAsiaTheme="minorHAnsi" w:cstheme="minorHAnsi"/>
        </w:rPr>
        <w:t>of</w:t>
      </w:r>
      <w:r>
        <w:rPr>
          <w:rFonts w:eastAsiaTheme="minorHAnsi" w:cstheme="minorHAnsi"/>
        </w:rPr>
        <w:t xml:space="preserve"> </w:t>
      </w:r>
      <w:r>
        <w:rPr>
          <w:rFonts w:eastAsiaTheme="minorHAnsi" w:cstheme="minorHAnsi"/>
        </w:rPr>
        <w:noBreakHyphen/>
      </w:r>
      <w:r w:rsidRPr="00FE4C12">
        <w:rPr>
          <w:rFonts w:eastAsiaTheme="minorHAnsi" w:cstheme="minorHAnsi"/>
        </w:rPr>
        <w:t xml:space="preserve">0.135% </w:t>
      </w:r>
      <w:r w:rsidR="00424310">
        <w:rPr>
          <w:rFonts w:eastAsiaTheme="minorHAnsi" w:cstheme="minorHAnsi"/>
        </w:rPr>
        <w:t>(</w:t>
      </w:r>
      <w:r w:rsidRPr="00FE4C12">
        <w:rPr>
          <w:rFonts w:eastAsiaTheme="minorHAnsi" w:cstheme="minorHAnsi"/>
        </w:rPr>
        <w:t>-0.223% to -0.00412%</w:t>
      </w:r>
      <w:r w:rsidR="00424310">
        <w:rPr>
          <w:rFonts w:eastAsiaTheme="minorHAnsi" w:cstheme="minorHAnsi"/>
        </w:rPr>
        <w:t>)</w:t>
      </w:r>
      <w:r>
        <w:rPr>
          <w:rFonts w:eastAsiaTheme="minorHAnsi" w:cstheme="minorHAnsi"/>
        </w:rPr>
        <w:t>.</w:t>
      </w:r>
    </w:p>
    <w:p w:rsidR="002E5CF1" w:rsidRDefault="002E5CF1" w:rsidP="002E5CF1">
      <w:pPr>
        <w:autoSpaceDE w:val="0"/>
        <w:autoSpaceDN w:val="0"/>
        <w:adjustRightInd w:val="0"/>
        <w:spacing w:before="0"/>
        <w:rPr>
          <w:rFonts w:eastAsiaTheme="minorHAnsi" w:cstheme="minorHAnsi"/>
        </w:rPr>
      </w:pPr>
      <w:r>
        <w:rPr>
          <w:rFonts w:eastAsiaTheme="minorHAnsi" w:cstheme="minorHAnsi"/>
        </w:rPr>
        <w:t>I</w:t>
      </w:r>
      <w:r w:rsidRPr="00FE4C12">
        <w:rPr>
          <w:rFonts w:eastAsiaTheme="minorHAnsi" w:cstheme="minorHAnsi"/>
        </w:rPr>
        <w:t>n a representative T2DM patient, defined as a 57.3 year old patient,</w:t>
      </w:r>
      <w:r>
        <w:rPr>
          <w:rFonts w:eastAsiaTheme="minorHAnsi" w:cstheme="minorHAnsi"/>
        </w:rPr>
        <w:t xml:space="preserve"> </w:t>
      </w:r>
      <w:r w:rsidRPr="00FE4C12">
        <w:rPr>
          <w:rFonts w:eastAsiaTheme="minorHAnsi" w:cstheme="minorHAnsi"/>
        </w:rPr>
        <w:t xml:space="preserve">weighing 85 kg, with a baseline </w:t>
      </w:r>
      <w:r>
        <w:rPr>
          <w:rFonts w:eastAsiaTheme="minorHAnsi" w:cstheme="minorHAnsi"/>
        </w:rPr>
        <w:t>HbA1c</w:t>
      </w:r>
      <w:r w:rsidRPr="00FE4C12">
        <w:rPr>
          <w:rFonts w:eastAsiaTheme="minorHAnsi" w:cstheme="minorHAnsi"/>
        </w:rPr>
        <w:t xml:space="preserve"> of 8.1%, an eGFR of 88.9 mL/min/1.73 m</w:t>
      </w:r>
      <w:r w:rsidRPr="00295958">
        <w:rPr>
          <w:rFonts w:eastAsiaTheme="minorHAnsi" w:cstheme="minorHAnsi"/>
          <w:vertAlign w:val="superscript"/>
        </w:rPr>
        <w:t>2</w:t>
      </w:r>
      <w:r w:rsidRPr="00FE4C12">
        <w:rPr>
          <w:rFonts w:eastAsiaTheme="minorHAnsi" w:cstheme="minorHAnsi"/>
        </w:rPr>
        <w:t>,</w:t>
      </w:r>
      <w:r>
        <w:rPr>
          <w:rFonts w:eastAsiaTheme="minorHAnsi" w:cstheme="minorHAnsi"/>
        </w:rPr>
        <w:t xml:space="preserve"> </w:t>
      </w:r>
      <w:r w:rsidRPr="00FE4C12">
        <w:rPr>
          <w:rFonts w:eastAsiaTheme="minorHAnsi" w:cstheme="minorHAnsi"/>
        </w:rPr>
        <w:t>disease duration of 7.5 years, on a background treatment of metformin</w:t>
      </w:r>
      <w:r>
        <w:rPr>
          <w:rFonts w:eastAsiaTheme="minorHAnsi" w:cstheme="minorHAnsi"/>
        </w:rPr>
        <w:t>, the model</w:t>
      </w:r>
      <w:r w:rsidRPr="00FE4C12">
        <w:rPr>
          <w:rFonts w:eastAsiaTheme="minorHAnsi" w:cstheme="minorHAnsi"/>
        </w:rPr>
        <w:t xml:space="preserve"> </w:t>
      </w:r>
      <w:r>
        <w:rPr>
          <w:rFonts w:eastAsiaTheme="minorHAnsi" w:cstheme="minorHAnsi"/>
        </w:rPr>
        <w:t xml:space="preserve">predicted </w:t>
      </w:r>
      <w:r w:rsidRPr="00FE4C12">
        <w:rPr>
          <w:rFonts w:eastAsiaTheme="minorHAnsi" w:cstheme="minorHAnsi"/>
        </w:rPr>
        <w:t>placebo-adjusted change from baseline (CFB)</w:t>
      </w:r>
      <w:r>
        <w:rPr>
          <w:rFonts w:eastAsiaTheme="minorHAnsi" w:cstheme="minorHAnsi"/>
        </w:rPr>
        <w:t xml:space="preserve"> responses </w:t>
      </w:r>
      <w:r w:rsidRPr="00FE4C12">
        <w:rPr>
          <w:rFonts w:eastAsiaTheme="minorHAnsi" w:cstheme="minorHAnsi"/>
        </w:rPr>
        <w:t xml:space="preserve">(mean </w:t>
      </w:r>
      <w:r w:rsidR="00424310">
        <w:rPr>
          <w:rFonts w:eastAsiaTheme="minorHAnsi" w:cstheme="minorHAnsi"/>
        </w:rPr>
        <w:t>(</w:t>
      </w:r>
      <w:r w:rsidRPr="00FE4C12">
        <w:rPr>
          <w:rFonts w:eastAsiaTheme="minorHAnsi" w:cstheme="minorHAnsi"/>
        </w:rPr>
        <w:t>95% CI</w:t>
      </w:r>
      <w:r w:rsidR="00424310">
        <w:rPr>
          <w:rFonts w:eastAsiaTheme="minorHAnsi" w:cstheme="minorHAnsi"/>
        </w:rPr>
        <w:t>)</w:t>
      </w:r>
      <w:r w:rsidRPr="00FE4C12">
        <w:rPr>
          <w:rFonts w:eastAsiaTheme="minorHAnsi" w:cstheme="minorHAnsi"/>
        </w:rPr>
        <w:t>)</w:t>
      </w:r>
      <w:r>
        <w:rPr>
          <w:rFonts w:eastAsiaTheme="minorHAnsi" w:cstheme="minorHAnsi"/>
        </w:rPr>
        <w:t xml:space="preserve"> following 26 weeks of treatment with either </w:t>
      </w:r>
      <w:r w:rsidRPr="00FE4C12">
        <w:rPr>
          <w:rFonts w:eastAsiaTheme="minorHAnsi" w:cstheme="minorHAnsi"/>
        </w:rPr>
        <w:t xml:space="preserve">5 mg </w:t>
      </w:r>
      <w:r>
        <w:rPr>
          <w:rFonts w:eastAsiaTheme="minorHAnsi" w:cstheme="minorHAnsi"/>
        </w:rPr>
        <w:t>or</w:t>
      </w:r>
      <w:r w:rsidRPr="00FE4C12">
        <w:rPr>
          <w:rFonts w:eastAsiaTheme="minorHAnsi" w:cstheme="minorHAnsi"/>
        </w:rPr>
        <w:t xml:space="preserve"> 15 mg</w:t>
      </w:r>
      <w:r>
        <w:rPr>
          <w:rFonts w:eastAsiaTheme="minorHAnsi" w:cstheme="minorHAnsi"/>
        </w:rPr>
        <w:t xml:space="preserve"> ertugliflozin were </w:t>
      </w:r>
      <w:r w:rsidRPr="00FE4C12">
        <w:rPr>
          <w:rFonts w:eastAsiaTheme="minorHAnsi" w:cstheme="minorHAnsi"/>
        </w:rPr>
        <w:t xml:space="preserve">-0.674% </w:t>
      </w:r>
      <w:r w:rsidR="00424310">
        <w:rPr>
          <w:rFonts w:eastAsiaTheme="minorHAnsi" w:cstheme="minorHAnsi"/>
        </w:rPr>
        <w:t>(</w:t>
      </w:r>
      <w:r w:rsidRPr="00FE4C12">
        <w:rPr>
          <w:rFonts w:eastAsiaTheme="minorHAnsi" w:cstheme="minorHAnsi"/>
        </w:rPr>
        <w:t>-0.805% to -0.565%</w:t>
      </w:r>
      <w:r w:rsidR="00424310">
        <w:rPr>
          <w:rFonts w:eastAsiaTheme="minorHAnsi" w:cstheme="minorHAnsi"/>
        </w:rPr>
        <w:t>)</w:t>
      </w:r>
      <w:r w:rsidRPr="00FE4C12">
        <w:rPr>
          <w:rFonts w:eastAsiaTheme="minorHAnsi" w:cstheme="minorHAnsi"/>
        </w:rPr>
        <w:t xml:space="preserve"> and -0.735% </w:t>
      </w:r>
      <w:r w:rsidR="00424310">
        <w:rPr>
          <w:rFonts w:eastAsiaTheme="minorHAnsi" w:cstheme="minorHAnsi"/>
        </w:rPr>
        <w:t>(</w:t>
      </w:r>
      <w:r w:rsidRPr="00FE4C12">
        <w:rPr>
          <w:rFonts w:eastAsiaTheme="minorHAnsi" w:cstheme="minorHAnsi"/>
        </w:rPr>
        <w:t>-0.869%</w:t>
      </w:r>
      <w:r>
        <w:rPr>
          <w:rFonts w:eastAsiaTheme="minorHAnsi" w:cstheme="minorHAnsi"/>
        </w:rPr>
        <w:t xml:space="preserve"> </w:t>
      </w:r>
      <w:r w:rsidRPr="00FE4C12">
        <w:rPr>
          <w:rFonts w:eastAsiaTheme="minorHAnsi" w:cstheme="minorHAnsi"/>
        </w:rPr>
        <w:t>to -0.626%</w:t>
      </w:r>
      <w:r w:rsidR="00424310">
        <w:rPr>
          <w:rFonts w:eastAsiaTheme="minorHAnsi" w:cstheme="minorHAnsi"/>
        </w:rPr>
        <w:t>)</w:t>
      </w:r>
      <w:r w:rsidRPr="00FE4C12">
        <w:rPr>
          <w:rFonts w:eastAsiaTheme="minorHAnsi" w:cstheme="minorHAnsi"/>
        </w:rPr>
        <w:t>, respectively.</w:t>
      </w:r>
    </w:p>
    <w:p w:rsidR="002E5CF1" w:rsidRPr="00801F96" w:rsidRDefault="002E5CF1" w:rsidP="00424310">
      <w:r w:rsidRPr="00801F96">
        <w:t xml:space="preserve">The impact of significant covariates baseline </w:t>
      </w:r>
      <w:r>
        <w:t>HbA1c</w:t>
      </w:r>
      <w:r w:rsidRPr="00801F96">
        <w:t xml:space="preserve">, eGFR and diabetes duration on </w:t>
      </w:r>
      <w:r w:rsidR="007704B5" w:rsidRPr="007704B5">
        <w:rPr>
          <w:rFonts w:cstheme="minorHAnsi"/>
          <w:color w:val="000000"/>
        </w:rPr>
        <w:t>E</w:t>
      </w:r>
      <w:r w:rsidR="007704B5" w:rsidRPr="007704B5">
        <w:rPr>
          <w:rFonts w:cstheme="minorHAnsi"/>
          <w:color w:val="000000"/>
          <w:vertAlign w:val="subscript"/>
        </w:rPr>
        <w:t>max</w:t>
      </w:r>
      <w:r w:rsidRPr="00801F96">
        <w:t>, based on the 5</w:t>
      </w:r>
      <w:r w:rsidRPr="00801F96">
        <w:rPr>
          <w:rFonts w:cs="NimbusRomNo9L-ReguItal"/>
        </w:rPr>
        <w:t xml:space="preserve">th </w:t>
      </w:r>
      <w:r w:rsidRPr="00801F96">
        <w:t>and 95</w:t>
      </w:r>
      <w:r w:rsidRPr="00801F96">
        <w:rPr>
          <w:rFonts w:cs="NimbusRomNo9L-ReguItal"/>
        </w:rPr>
        <w:t xml:space="preserve">th </w:t>
      </w:r>
      <w:r w:rsidRPr="00801F96">
        <w:t xml:space="preserve">quantiles of observed values and expressed as a percentage of </w:t>
      </w:r>
      <w:r w:rsidR="007704B5" w:rsidRPr="007704B5">
        <w:rPr>
          <w:rFonts w:cstheme="minorHAnsi"/>
          <w:color w:val="000000"/>
        </w:rPr>
        <w:t>E</w:t>
      </w:r>
      <w:r w:rsidR="007704B5" w:rsidRPr="007704B5">
        <w:rPr>
          <w:rFonts w:cstheme="minorHAnsi"/>
          <w:color w:val="000000"/>
          <w:vertAlign w:val="subscript"/>
        </w:rPr>
        <w:t>max</w:t>
      </w:r>
      <w:r w:rsidRPr="00801F96">
        <w:t xml:space="preserve">, was as follows: baseline </w:t>
      </w:r>
      <w:r>
        <w:t>HbA1c</w:t>
      </w:r>
      <w:r w:rsidRPr="00801F96">
        <w:t xml:space="preserve"> from 6.9% to 10.1% resulted in 80.4% and 141% of </w:t>
      </w:r>
      <w:r w:rsidR="007704B5" w:rsidRPr="007704B5">
        <w:rPr>
          <w:rFonts w:cstheme="minorHAnsi"/>
          <w:color w:val="000000"/>
        </w:rPr>
        <w:t>E</w:t>
      </w:r>
      <w:r w:rsidR="007704B5" w:rsidRPr="007704B5">
        <w:rPr>
          <w:rFonts w:cstheme="minorHAnsi"/>
          <w:color w:val="000000"/>
          <w:vertAlign w:val="subscript"/>
        </w:rPr>
        <w:t>max</w:t>
      </w:r>
      <w:r w:rsidRPr="00801F96">
        <w:t xml:space="preserve">, respectively; baseline eGFR of 41 mL/min/1.73 </w:t>
      </w:r>
      <w:r w:rsidRPr="00801F96">
        <w:rPr>
          <w:rFonts w:cs="NimbusRomNo9L-ReguItal"/>
        </w:rPr>
        <w:t>m</w:t>
      </w:r>
      <w:r w:rsidRPr="00801F96">
        <w:t xml:space="preserve">2 to 123 mL/min/1.73 </w:t>
      </w:r>
      <w:r w:rsidRPr="00801F96">
        <w:rPr>
          <w:rFonts w:cs="NimbusRomNo9L-ReguItal"/>
        </w:rPr>
        <w:t>m</w:t>
      </w:r>
      <w:r w:rsidRPr="00801F96">
        <w:rPr>
          <w:vertAlign w:val="superscript"/>
        </w:rPr>
        <w:t>2</w:t>
      </w:r>
      <w:r w:rsidRPr="00801F96">
        <w:t xml:space="preserve"> resulted in 74.9% and 112% of </w:t>
      </w:r>
      <w:r w:rsidR="007704B5" w:rsidRPr="007704B5">
        <w:rPr>
          <w:rFonts w:cstheme="minorHAnsi"/>
          <w:color w:val="000000"/>
        </w:rPr>
        <w:t>E</w:t>
      </w:r>
      <w:r w:rsidR="007704B5" w:rsidRPr="007704B5">
        <w:rPr>
          <w:rFonts w:cstheme="minorHAnsi"/>
          <w:color w:val="000000"/>
          <w:vertAlign w:val="subscript"/>
        </w:rPr>
        <w:t>max</w:t>
      </w:r>
      <w:r w:rsidRPr="00801F96">
        <w:t xml:space="preserve">, respectively; and baseline diabetes duration of 0.417 years to 20.9 years resulted in 120% and 65.8% of </w:t>
      </w:r>
      <w:r w:rsidR="007704B5" w:rsidRPr="007704B5">
        <w:rPr>
          <w:rFonts w:cstheme="minorHAnsi"/>
          <w:color w:val="000000"/>
        </w:rPr>
        <w:t>E</w:t>
      </w:r>
      <w:r w:rsidR="007704B5" w:rsidRPr="007704B5">
        <w:rPr>
          <w:rFonts w:cstheme="minorHAnsi"/>
          <w:color w:val="000000"/>
          <w:vertAlign w:val="subscript"/>
        </w:rPr>
        <w:t>max</w:t>
      </w:r>
      <w:r w:rsidRPr="00801F96">
        <w:t xml:space="preserve">, respectively. While the offset for other background treatment (background treatment different from metformin or diet and exercise alone) on </w:t>
      </w:r>
      <w:r w:rsidR="007704B5" w:rsidRPr="007704B5">
        <w:rPr>
          <w:rFonts w:cstheme="minorHAnsi"/>
          <w:color w:val="000000"/>
        </w:rPr>
        <w:t>E</w:t>
      </w:r>
      <w:r w:rsidR="007704B5" w:rsidRPr="007704B5">
        <w:rPr>
          <w:rFonts w:cstheme="minorHAnsi"/>
          <w:color w:val="000000"/>
          <w:vertAlign w:val="subscript"/>
        </w:rPr>
        <w:t>max</w:t>
      </w:r>
      <w:r w:rsidRPr="00801F96">
        <w:t xml:space="preserve"> was significant, it was confounded by study and interpretation is specific to MK-8835-001/B1521016. The offset background treatment of diet and exercise alone on </w:t>
      </w:r>
      <w:r w:rsidR="007704B5" w:rsidRPr="007704B5">
        <w:rPr>
          <w:rFonts w:cstheme="minorHAnsi"/>
          <w:color w:val="000000"/>
        </w:rPr>
        <w:t>E</w:t>
      </w:r>
      <w:r w:rsidR="007704B5" w:rsidRPr="007704B5">
        <w:rPr>
          <w:rFonts w:cstheme="minorHAnsi"/>
          <w:color w:val="000000"/>
          <w:vertAlign w:val="subscript"/>
        </w:rPr>
        <w:t>max</w:t>
      </w:r>
      <w:r w:rsidRPr="00801F96">
        <w:t xml:space="preserve"> was not significant.</w:t>
      </w:r>
    </w:p>
    <w:p w:rsidR="002E5CF1" w:rsidRPr="00801F96" w:rsidRDefault="002E5CF1" w:rsidP="00424310">
      <w:pPr>
        <w:rPr>
          <w:rFonts w:cstheme="minorHAnsi"/>
        </w:rPr>
      </w:pPr>
      <w:r w:rsidRPr="00801F96">
        <w:lastRenderedPageBreak/>
        <w:t xml:space="preserve">The 1.30 mg estimate of </w:t>
      </w:r>
      <w:r w:rsidR="007704B5">
        <w:rPr>
          <w:rFonts w:cstheme="minorHAnsi"/>
        </w:rPr>
        <w:t>ED</w:t>
      </w:r>
      <w:r w:rsidR="007704B5" w:rsidRPr="007704B5">
        <w:rPr>
          <w:rFonts w:cstheme="minorHAnsi"/>
          <w:vertAlign w:val="subscript"/>
        </w:rPr>
        <w:t>50</w:t>
      </w:r>
      <w:r w:rsidRPr="00801F96">
        <w:t xml:space="preserve"> was not precise, with a RSE and 95% CI of 45.0% and 0.0699 mg to 2.64 mg, respectively, and subsequent covariates introduced on </w:t>
      </w:r>
      <w:r w:rsidR="007704B5">
        <w:rPr>
          <w:rFonts w:cstheme="minorHAnsi"/>
        </w:rPr>
        <w:t>ED</w:t>
      </w:r>
      <w:r w:rsidR="007704B5" w:rsidRPr="007704B5">
        <w:rPr>
          <w:rFonts w:cstheme="minorHAnsi"/>
          <w:vertAlign w:val="subscript"/>
        </w:rPr>
        <w:t>50</w:t>
      </w:r>
      <w:r w:rsidRPr="00801F96">
        <w:t xml:space="preserve"> were also not well estimated. Weight was not a significant predictor of </w:t>
      </w:r>
      <w:r w:rsidR="007704B5">
        <w:rPr>
          <w:rFonts w:cstheme="minorHAnsi"/>
        </w:rPr>
        <w:t>ED</w:t>
      </w:r>
      <w:r w:rsidR="007704B5" w:rsidRPr="007704B5">
        <w:rPr>
          <w:rFonts w:cstheme="minorHAnsi"/>
          <w:vertAlign w:val="subscript"/>
        </w:rPr>
        <w:t>50</w:t>
      </w:r>
      <w:r w:rsidRPr="00801F96">
        <w:t xml:space="preserve"> as evidenced by the associated 95% CI </w:t>
      </w:r>
      <w:r w:rsidR="00424310">
        <w:t>(</w:t>
      </w:r>
      <w:r w:rsidRPr="00801F96">
        <w:t>-11.0 to 6.37</w:t>
      </w:r>
      <w:r w:rsidR="00424310">
        <w:t>)</w:t>
      </w:r>
      <w:r w:rsidRPr="00801F96">
        <w:t xml:space="preserve">, and would not be expected to impact predictions of </w:t>
      </w:r>
      <w:r>
        <w:t>HbA1c</w:t>
      </w:r>
      <w:r w:rsidRPr="00801F96">
        <w:t xml:space="preserve">. Age was a significant predictor of </w:t>
      </w:r>
      <w:r w:rsidR="007704B5">
        <w:rPr>
          <w:rFonts w:cstheme="minorHAnsi"/>
        </w:rPr>
        <w:t>ED</w:t>
      </w:r>
      <w:r w:rsidR="007704B5" w:rsidRPr="007704B5">
        <w:rPr>
          <w:rFonts w:cstheme="minorHAnsi"/>
          <w:vertAlign w:val="subscript"/>
        </w:rPr>
        <w:t>50</w:t>
      </w:r>
      <w:r w:rsidRPr="00801F96">
        <w:t xml:space="preserve">; however, the effect of age on </w:t>
      </w:r>
      <w:r w:rsidR="007704B5">
        <w:rPr>
          <w:rFonts w:cstheme="minorHAnsi"/>
        </w:rPr>
        <w:t>ED</w:t>
      </w:r>
      <w:r w:rsidR="007704B5" w:rsidRPr="007704B5">
        <w:rPr>
          <w:rFonts w:cstheme="minorHAnsi"/>
          <w:vertAlign w:val="subscript"/>
        </w:rPr>
        <w:t>50</w:t>
      </w:r>
      <w:r w:rsidRPr="00801F96">
        <w:t xml:space="preserve"> was not </w:t>
      </w:r>
      <w:r w:rsidR="000C6FC8">
        <w:t>well estimated (mean, 3.25; 95% </w:t>
      </w:r>
      <w:r w:rsidRPr="00801F96">
        <w:t>CI, 0.648 to 16.7). Therefore, any predictions incorporating age should be interpreted with caution.</w:t>
      </w:r>
    </w:p>
    <w:p w:rsidR="002E5CF1" w:rsidRPr="00BC2BC4" w:rsidRDefault="002E5CF1" w:rsidP="007704B5">
      <w:pPr>
        <w:pStyle w:val="Heading5"/>
      </w:pPr>
      <w:r w:rsidRPr="00BC2BC4">
        <w:t>UGE</w:t>
      </w:r>
    </w:p>
    <w:p w:rsidR="002E5CF1" w:rsidRPr="00FE4C12" w:rsidRDefault="002E5CF1" w:rsidP="00424310">
      <w:r w:rsidRPr="007704B5">
        <w:t xml:space="preserve">Study ASR-EQDD-B152a-DP3-253 represented a population PK/PD analysis, which was undertaken using nonlinear mixed-effects modelling in an attempt to characterise the relationship between </w:t>
      </w:r>
      <w:r w:rsidR="0012056D" w:rsidRPr="007704B5">
        <w:rPr>
          <w:rFonts w:eastAsia="TimesNewRoman"/>
        </w:rPr>
        <w:t>UGE</w:t>
      </w:r>
      <w:r w:rsidR="0012056D" w:rsidRPr="007704B5">
        <w:rPr>
          <w:rFonts w:eastAsia="TimesNewRoman"/>
          <w:vertAlign w:val="subscript"/>
        </w:rPr>
        <w:t>0-24</w:t>
      </w:r>
      <w:r w:rsidRPr="007704B5">
        <w:t xml:space="preserve"> and ertugliflozin dose in patients with T2DM using data from the ambulatory blood pressure study B1521004. The</w:t>
      </w:r>
      <w:r w:rsidRPr="00FE4C12">
        <w:t xml:space="preserve"> </w:t>
      </w:r>
      <w:r>
        <w:t xml:space="preserve">final </w:t>
      </w:r>
      <w:r w:rsidRPr="00FE4C12">
        <w:t xml:space="preserve">model </w:t>
      </w:r>
      <w:r>
        <w:t xml:space="preserve">provided an </w:t>
      </w:r>
      <w:r w:rsidRPr="00FE4C12">
        <w:t>estimate</w:t>
      </w:r>
      <w:r>
        <w:t xml:space="preserve"> of</w:t>
      </w:r>
      <w:r w:rsidRPr="00FE4C12">
        <w:t xml:space="preserve"> </w:t>
      </w:r>
      <w:r>
        <w:t>the</w:t>
      </w:r>
      <w:r w:rsidRPr="00FE4C12">
        <w:t xml:space="preserve"> maximal baseline-adjusted </w:t>
      </w:r>
      <w:r w:rsidR="0012056D">
        <w:rPr>
          <w:rFonts w:eastAsia="TimesNewRoman"/>
        </w:rPr>
        <w:t>UGE</w:t>
      </w:r>
      <w:r w:rsidR="0012056D" w:rsidRPr="0012056D">
        <w:rPr>
          <w:rFonts w:eastAsia="TimesNewRoman"/>
          <w:vertAlign w:val="subscript"/>
        </w:rPr>
        <w:t>0-24</w:t>
      </w:r>
      <w:r w:rsidRPr="00FE4C12">
        <w:t xml:space="preserve"> response </w:t>
      </w:r>
      <w:r w:rsidR="00424310">
        <w:t>(</w:t>
      </w:r>
      <w:r w:rsidRPr="00FE4C12">
        <w:t>95% CI</w:t>
      </w:r>
      <w:r w:rsidR="00424310">
        <w:t>)</w:t>
      </w:r>
      <w:r w:rsidRPr="00FE4C12">
        <w:t xml:space="preserve"> of 71.5</w:t>
      </w:r>
      <w:r>
        <w:t xml:space="preserve"> </w:t>
      </w:r>
      <w:r w:rsidR="00424310">
        <w:t>(</w:t>
      </w:r>
      <w:r w:rsidRPr="00FE4C12">
        <w:t>57.9 to 87.3</w:t>
      </w:r>
      <w:r w:rsidR="00424310">
        <w:t>)</w:t>
      </w:r>
      <w:r w:rsidRPr="00FE4C12">
        <w:t xml:space="preserve"> g/day and an </w:t>
      </w:r>
      <w:r w:rsidR="007704B5">
        <w:t>ED</w:t>
      </w:r>
      <w:r w:rsidR="007704B5" w:rsidRPr="007704B5">
        <w:rPr>
          <w:vertAlign w:val="subscript"/>
        </w:rPr>
        <w:t>50</w:t>
      </w:r>
      <w:r w:rsidRPr="00FE4C12">
        <w:t xml:space="preserve"> </w:t>
      </w:r>
      <w:r w:rsidR="00424310">
        <w:t>(</w:t>
      </w:r>
      <w:r w:rsidRPr="00FE4C12">
        <w:t>95% CI</w:t>
      </w:r>
      <w:r w:rsidR="00424310">
        <w:t>)</w:t>
      </w:r>
      <w:r w:rsidRPr="00FE4C12">
        <w:t xml:space="preserve"> of 0.752 </w:t>
      </w:r>
      <w:r w:rsidR="00424310">
        <w:t>(</w:t>
      </w:r>
      <w:r w:rsidRPr="00FE4C12">
        <w:t>0.299, 1.58</w:t>
      </w:r>
      <w:r w:rsidR="00424310">
        <w:t>)</w:t>
      </w:r>
      <w:r w:rsidRPr="00FE4C12">
        <w:t xml:space="preserve"> mg. Baseline UGE (95%</w:t>
      </w:r>
      <w:r>
        <w:t xml:space="preserve"> </w:t>
      </w:r>
      <w:r w:rsidRPr="00FE4C12">
        <w:t xml:space="preserve">CI) was estimated as 2.37 </w:t>
      </w:r>
      <w:r w:rsidR="00424310">
        <w:t>(</w:t>
      </w:r>
      <w:r w:rsidRPr="00FE4C12">
        <w:t>1.69, 3.37</w:t>
      </w:r>
      <w:r w:rsidR="00424310">
        <w:t>)</w:t>
      </w:r>
      <w:r w:rsidRPr="00FE4C12">
        <w:t xml:space="preserve"> g/day and 0.622 </w:t>
      </w:r>
      <w:r w:rsidR="00424310">
        <w:t>(</w:t>
      </w:r>
      <w:r w:rsidRPr="00FE4C12">
        <w:t>0.381, 1.03</w:t>
      </w:r>
      <w:r w:rsidR="00424310">
        <w:t>)</w:t>
      </w:r>
      <w:r w:rsidRPr="00FE4C12">
        <w:t xml:space="preserve"> g/day, respectively, for</w:t>
      </w:r>
      <w:r>
        <w:t xml:space="preserve"> males and females. F</w:t>
      </w:r>
      <w:r w:rsidRPr="00FE4C12">
        <w:t xml:space="preserve">ollowing 28 days of administration </w:t>
      </w:r>
      <w:r>
        <w:t xml:space="preserve">the predicted </w:t>
      </w:r>
      <w:r w:rsidRPr="00FE4C12">
        <w:t xml:space="preserve">UGE </w:t>
      </w:r>
      <w:r w:rsidR="00424310">
        <w:t>(</w:t>
      </w:r>
      <w:r w:rsidRPr="00FE4C12">
        <w:t>90% CI</w:t>
      </w:r>
      <w:r w:rsidR="00424310">
        <w:t>)</w:t>
      </w:r>
      <w:r>
        <w:t xml:space="preserve"> f</w:t>
      </w:r>
      <w:r w:rsidRPr="00FE4C12">
        <w:t xml:space="preserve">or the 5 mg ertugliflozin dose was 62.5 </w:t>
      </w:r>
      <w:r w:rsidR="00424310">
        <w:t>(</w:t>
      </w:r>
      <w:r w:rsidRPr="00FE4C12">
        <w:t>54.9, 69.7</w:t>
      </w:r>
      <w:r w:rsidR="00424310">
        <w:t>)</w:t>
      </w:r>
      <w:r>
        <w:t xml:space="preserve"> </w:t>
      </w:r>
      <w:r w:rsidRPr="00FE4C12">
        <w:t>g/day</w:t>
      </w:r>
      <w:r>
        <w:t xml:space="preserve"> and</w:t>
      </w:r>
      <w:r w:rsidRPr="00FE4C12">
        <w:t xml:space="preserve"> </w:t>
      </w:r>
      <w:r>
        <w:t xml:space="preserve">for </w:t>
      </w:r>
      <w:r w:rsidRPr="00FE4C12">
        <w:t xml:space="preserve">the 15 mg dose was 68.9 </w:t>
      </w:r>
      <w:r w:rsidR="00424310">
        <w:t>(</w:t>
      </w:r>
      <w:r w:rsidRPr="00FE4C12">
        <w:t>58.9, 78.7</w:t>
      </w:r>
      <w:r w:rsidR="00424310">
        <w:t>)</w:t>
      </w:r>
      <w:r>
        <w:t xml:space="preserve"> </w:t>
      </w:r>
      <w:r w:rsidRPr="00FE4C12">
        <w:t>g/day.</w:t>
      </w:r>
    </w:p>
    <w:p w:rsidR="002E5CF1" w:rsidRDefault="002E5CF1" w:rsidP="007704B5">
      <w:pPr>
        <w:pStyle w:val="Heading4"/>
      </w:pPr>
      <w:bookmarkStart w:id="259" w:name="_Toc241374304"/>
      <w:bookmarkStart w:id="260" w:name="_Toc272414646"/>
      <w:bookmarkStart w:id="261" w:name="_Toc290888494"/>
      <w:bookmarkStart w:id="262" w:name="_Toc416353691"/>
      <w:bookmarkStart w:id="263" w:name="_Toc421005258"/>
      <w:bookmarkStart w:id="264" w:name="_Toc432079140"/>
      <w:bookmarkStart w:id="265" w:name="_Toc432080713"/>
      <w:bookmarkStart w:id="266" w:name="_Toc461096091"/>
      <w:bookmarkStart w:id="267" w:name="_Toc504038142"/>
      <w:r>
        <w:t xml:space="preserve">Effect of renal impairment on </w:t>
      </w:r>
      <w:r w:rsidRPr="00545B14">
        <w:t>pharmacodynamic response</w:t>
      </w:r>
      <w:bookmarkEnd w:id="259"/>
      <w:bookmarkEnd w:id="260"/>
      <w:bookmarkEnd w:id="261"/>
      <w:bookmarkEnd w:id="262"/>
      <w:bookmarkEnd w:id="263"/>
      <w:bookmarkEnd w:id="264"/>
      <w:bookmarkEnd w:id="265"/>
      <w:bookmarkEnd w:id="266"/>
      <w:bookmarkEnd w:id="267"/>
    </w:p>
    <w:p w:rsidR="002E5CF1" w:rsidRPr="00424310" w:rsidRDefault="002E5CF1" w:rsidP="00424310">
      <w:pPr>
        <w:rPr>
          <w:rFonts w:eastAsia="TimesNewRoman"/>
        </w:rPr>
      </w:pPr>
      <w:r w:rsidRPr="007704B5">
        <w:t xml:space="preserve">Study </w:t>
      </w:r>
      <w:r w:rsidRPr="007704B5">
        <w:rPr>
          <w:color w:val="000000"/>
        </w:rPr>
        <w:t>P009/1023</w:t>
      </w:r>
      <w:r w:rsidRPr="00FE4C12">
        <w:t xml:space="preserve"> </w:t>
      </w:r>
      <w:r>
        <w:t xml:space="preserve">examined the effects of mild, moderate and severe renal impairment on the PD effects of </w:t>
      </w:r>
      <w:r w:rsidRPr="00FE4C12">
        <w:rPr>
          <w:rFonts w:eastAsia="TimesNewRoman"/>
        </w:rPr>
        <w:t>ertugliflozin following a single oral dose of 15 mg</w:t>
      </w:r>
      <w:r>
        <w:rPr>
          <w:rFonts w:eastAsia="TimesNewRoman"/>
        </w:rPr>
        <w:t xml:space="preserve"> in subjects with T2DM.</w:t>
      </w:r>
    </w:p>
    <w:p w:rsidR="002E5CF1" w:rsidRPr="00A55C76" w:rsidRDefault="007704B5" w:rsidP="007704B5">
      <w:pPr>
        <w:pStyle w:val="Heading5"/>
        <w:rPr>
          <w:rFonts w:eastAsia="TimesNewRoman"/>
        </w:rPr>
      </w:pPr>
      <w:r>
        <w:rPr>
          <w:rFonts w:eastAsia="TimesNewRoman"/>
        </w:rPr>
        <w:t>UGE</w:t>
      </w:r>
    </w:p>
    <w:p w:rsidR="002E5CF1" w:rsidRPr="00FE4C12" w:rsidRDefault="002E5CF1" w:rsidP="002E5CF1">
      <w:pPr>
        <w:autoSpaceDE w:val="0"/>
        <w:autoSpaceDN w:val="0"/>
        <w:adjustRightInd w:val="0"/>
        <w:rPr>
          <w:rFonts w:eastAsia="TimesNewRoman" w:cstheme="minorHAnsi"/>
        </w:rPr>
      </w:pPr>
      <w:r>
        <w:rPr>
          <w:rFonts w:eastAsia="TimesNewRoman" w:cstheme="minorHAnsi"/>
        </w:rPr>
        <w:t xml:space="preserve">The results of the UGE analysis indicated that the </w:t>
      </w:r>
      <w:r w:rsidRPr="00FE4C12">
        <w:rPr>
          <w:rFonts w:eastAsia="TimesNewRoman" w:cstheme="minorHAnsi"/>
        </w:rPr>
        <w:t>adjusted geometric mean values for</w:t>
      </w:r>
      <w:r>
        <w:rPr>
          <w:rFonts w:eastAsia="TimesNewRoman" w:cstheme="minorHAnsi"/>
        </w:rPr>
        <w:t xml:space="preserve"> the change from baseline in </w:t>
      </w:r>
      <w:r w:rsidRPr="00FE4C12">
        <w:rPr>
          <w:rFonts w:eastAsia="TimesNewRoman" w:cstheme="minorHAnsi"/>
        </w:rPr>
        <w:t xml:space="preserve">UGE on Day 1 were lower in the T2DM renal impairment groups </w:t>
      </w:r>
      <w:r>
        <w:rPr>
          <w:rFonts w:eastAsia="TimesNewRoman" w:cstheme="minorHAnsi"/>
        </w:rPr>
        <w:t>than in subjects with</w:t>
      </w:r>
      <w:r w:rsidRPr="00FE4C12">
        <w:rPr>
          <w:rFonts w:eastAsia="TimesNewRoman" w:cstheme="minorHAnsi"/>
        </w:rPr>
        <w:t xml:space="preserve"> T2DM </w:t>
      </w:r>
      <w:r>
        <w:rPr>
          <w:rFonts w:eastAsia="TimesNewRoman" w:cstheme="minorHAnsi"/>
        </w:rPr>
        <w:t xml:space="preserve">but </w:t>
      </w:r>
      <w:r w:rsidRPr="00FE4C12">
        <w:rPr>
          <w:rFonts w:eastAsia="TimesNewRoman" w:cstheme="minorHAnsi"/>
        </w:rPr>
        <w:t xml:space="preserve">normal renal function. </w:t>
      </w:r>
      <w:r>
        <w:rPr>
          <w:rFonts w:eastAsia="TimesNewRoman" w:cstheme="minorHAnsi"/>
        </w:rPr>
        <w:t>For instance, the</w:t>
      </w:r>
      <w:r w:rsidRPr="00FE4C12">
        <w:rPr>
          <w:rFonts w:eastAsia="TimesNewRoman" w:cstheme="minorHAnsi"/>
        </w:rPr>
        <w:t xml:space="preserve"> </w:t>
      </w:r>
      <w:r w:rsidR="0012056D">
        <w:rPr>
          <w:rFonts w:eastAsia="TimesNewRoman" w:cstheme="minorHAnsi"/>
        </w:rPr>
        <w:t>UGE</w:t>
      </w:r>
      <w:r w:rsidR="0012056D" w:rsidRPr="0012056D">
        <w:rPr>
          <w:rFonts w:eastAsia="TimesNewRoman" w:cstheme="minorHAnsi"/>
          <w:vertAlign w:val="subscript"/>
        </w:rPr>
        <w:t>0-24</w:t>
      </w:r>
      <w:r w:rsidRPr="00FE4C12">
        <w:rPr>
          <w:rFonts w:eastAsia="TimesNewRoman" w:cstheme="minorHAnsi"/>
        </w:rPr>
        <w:t xml:space="preserve"> </w:t>
      </w:r>
      <w:r>
        <w:rPr>
          <w:rFonts w:eastAsia="TimesNewRoman" w:cstheme="minorHAnsi"/>
        </w:rPr>
        <w:t xml:space="preserve">values </w:t>
      </w:r>
      <w:r w:rsidRPr="00FE4C12">
        <w:rPr>
          <w:rFonts w:eastAsia="TimesNewRoman" w:cstheme="minorHAnsi"/>
        </w:rPr>
        <w:t xml:space="preserve">on Day 1 in the mild, moderate and severe renal impairment groups were 49.75% (90% CI: 27.22%, 90.93%), 38.10% (90% CI: 20.85%, 69.64%), and 13.95% (90% CI: 7.32%, 26.58%) </w:t>
      </w:r>
      <w:r>
        <w:rPr>
          <w:rFonts w:eastAsia="TimesNewRoman" w:cstheme="minorHAnsi"/>
        </w:rPr>
        <w:t>compared to subjects with T2DM but</w:t>
      </w:r>
      <w:r w:rsidRPr="00FE4C12">
        <w:rPr>
          <w:rFonts w:eastAsia="TimesNewRoman" w:cstheme="minorHAnsi"/>
        </w:rPr>
        <w:t xml:space="preserve"> normal function group (72.31 g).</w:t>
      </w:r>
    </w:p>
    <w:p w:rsidR="002E5CF1" w:rsidRPr="00604ECB" w:rsidRDefault="002E5CF1" w:rsidP="007704B5">
      <w:pPr>
        <w:pStyle w:val="Heading5"/>
        <w:rPr>
          <w:rFonts w:eastAsia="TimesNewRoman"/>
        </w:rPr>
      </w:pPr>
      <w:r w:rsidRPr="00604ECB">
        <w:rPr>
          <w:rFonts w:eastAsia="TimesNewRoman"/>
        </w:rPr>
        <w:t>24</w:t>
      </w:r>
      <w:r w:rsidR="007704B5">
        <w:rPr>
          <w:rFonts w:eastAsia="TimesNewRoman"/>
        </w:rPr>
        <w:t xml:space="preserve"> h</w:t>
      </w:r>
      <w:r w:rsidRPr="00604ECB">
        <w:rPr>
          <w:rFonts w:eastAsia="TimesNewRoman"/>
        </w:rPr>
        <w:t xml:space="preserve"> Inhibition of </w:t>
      </w:r>
      <w:r w:rsidR="003436E7" w:rsidRPr="00604ECB">
        <w:rPr>
          <w:rFonts w:eastAsia="TimesNewRoman"/>
        </w:rPr>
        <w:t>glucose reabsorption</w:t>
      </w:r>
    </w:p>
    <w:p w:rsidR="002E5CF1" w:rsidRDefault="002E5CF1" w:rsidP="002E5CF1">
      <w:pPr>
        <w:autoSpaceDE w:val="0"/>
        <w:autoSpaceDN w:val="0"/>
        <w:adjustRightInd w:val="0"/>
        <w:rPr>
          <w:lang w:eastAsia="ja-JP"/>
        </w:rPr>
      </w:pPr>
      <w:r w:rsidRPr="00FE4C12">
        <w:rPr>
          <w:rFonts w:eastAsia="TimesNewRoman" w:cstheme="minorHAnsi"/>
        </w:rPr>
        <w:t xml:space="preserve">The geometric mean changes from baseline in </w:t>
      </w:r>
      <w:r w:rsidR="00133580">
        <w:rPr>
          <w:rFonts w:eastAsia="TimesNewRoman" w:cstheme="minorHAnsi"/>
        </w:rPr>
        <w:t>24 h</w:t>
      </w:r>
      <w:r w:rsidRPr="00FE4C12">
        <w:rPr>
          <w:rFonts w:eastAsia="TimesNewRoman" w:cstheme="minorHAnsi"/>
        </w:rPr>
        <w:t xml:space="preserve"> inhibition of glucose reabsorption (%) at Day 1 were 29.19% and 33.34% in the healthy and T2DM normal renal function groups, respectively. </w:t>
      </w:r>
      <w:r>
        <w:rPr>
          <w:rFonts w:eastAsia="TimesNewRoman" w:cstheme="minorHAnsi"/>
        </w:rPr>
        <w:t>A one way ANOVA analysis that there was</w:t>
      </w:r>
      <w:r w:rsidRPr="00FE4C12">
        <w:rPr>
          <w:rFonts w:eastAsia="TimesNewRoman" w:cstheme="minorHAnsi"/>
        </w:rPr>
        <w:t xml:space="preserve"> no apparent difference between the T2DM renal impairment groups and the T2DM normal renal function group in change from</w:t>
      </w:r>
      <w:r w:rsidR="00133580">
        <w:rPr>
          <w:rFonts w:eastAsia="TimesNewRoman" w:cstheme="minorHAnsi"/>
        </w:rPr>
        <w:t xml:space="preserve"> </w:t>
      </w:r>
      <w:r w:rsidRPr="00FE4C12">
        <w:rPr>
          <w:rFonts w:eastAsia="TimesNewRoman" w:cstheme="minorHAnsi"/>
        </w:rPr>
        <w:t xml:space="preserve">baseline in </w:t>
      </w:r>
      <w:r w:rsidR="00133580">
        <w:rPr>
          <w:rFonts w:eastAsia="TimesNewRoman" w:cstheme="minorHAnsi"/>
        </w:rPr>
        <w:t>24 h</w:t>
      </w:r>
      <w:r w:rsidRPr="00FE4C12">
        <w:rPr>
          <w:rFonts w:eastAsia="TimesNewRoman" w:cstheme="minorHAnsi"/>
        </w:rPr>
        <w:t xml:space="preserve"> inhibition of glucose reabsorption (%) at Day 1</w:t>
      </w:r>
      <w:r>
        <w:rPr>
          <w:rFonts w:eastAsia="TimesNewRoman" w:cstheme="minorHAnsi"/>
        </w:rPr>
        <w:t xml:space="preserve"> and t</w:t>
      </w:r>
      <w:r w:rsidRPr="00FE4C12">
        <w:rPr>
          <w:rFonts w:eastAsia="TimesNewRoman" w:cstheme="minorHAnsi"/>
        </w:rPr>
        <w:t xml:space="preserve">he Day 1 adjusted geometric mean changes from baseline in </w:t>
      </w:r>
      <w:r w:rsidR="00133580">
        <w:rPr>
          <w:rFonts w:eastAsia="TimesNewRoman" w:cstheme="minorHAnsi"/>
        </w:rPr>
        <w:t>24 h</w:t>
      </w:r>
      <w:r w:rsidRPr="00FE4C12">
        <w:rPr>
          <w:rFonts w:eastAsia="TimesNewRoman" w:cstheme="minorHAnsi"/>
        </w:rPr>
        <w:t xml:space="preserve"> inhibition of glucose reabsorption (%) were 25.58%, 28.84%, and 24.25% for the mild, moderate, and severe renal impairment groups respectively.</w:t>
      </w:r>
    </w:p>
    <w:p w:rsidR="002E5CF1" w:rsidRPr="00545B14" w:rsidRDefault="002E5CF1" w:rsidP="00133580">
      <w:pPr>
        <w:pStyle w:val="Heading4"/>
      </w:pPr>
      <w:bookmarkStart w:id="268" w:name="_Toc241374303"/>
      <w:bookmarkStart w:id="269" w:name="_Toc272414647"/>
      <w:bookmarkStart w:id="270" w:name="_Toc290888495"/>
      <w:bookmarkStart w:id="271" w:name="_Toc416353692"/>
      <w:bookmarkStart w:id="272" w:name="_Toc421005259"/>
      <w:bookmarkStart w:id="273" w:name="_Toc432079141"/>
      <w:bookmarkStart w:id="274" w:name="_Toc432080714"/>
      <w:bookmarkStart w:id="275" w:name="_Toc461096092"/>
      <w:bookmarkStart w:id="276" w:name="_Toc504038143"/>
      <w:r w:rsidRPr="00545B14">
        <w:t>Pharmacodynamic interactions</w:t>
      </w:r>
      <w:bookmarkEnd w:id="268"/>
      <w:bookmarkEnd w:id="269"/>
      <w:bookmarkEnd w:id="270"/>
      <w:bookmarkEnd w:id="271"/>
      <w:bookmarkEnd w:id="272"/>
      <w:bookmarkEnd w:id="273"/>
      <w:bookmarkEnd w:id="274"/>
      <w:bookmarkEnd w:id="275"/>
      <w:bookmarkEnd w:id="276"/>
    </w:p>
    <w:p w:rsidR="002E5CF1" w:rsidRPr="00FE4C12" w:rsidRDefault="002E5CF1" w:rsidP="002E5CF1">
      <w:pPr>
        <w:autoSpaceDE w:val="0"/>
        <w:autoSpaceDN w:val="0"/>
        <w:adjustRightInd w:val="0"/>
        <w:rPr>
          <w:rFonts w:eastAsiaTheme="minorHAnsi" w:cstheme="minorHAnsi"/>
        </w:rPr>
      </w:pPr>
      <w:r>
        <w:rPr>
          <w:rFonts w:eastAsiaTheme="minorHAnsi" w:cstheme="minorHAnsi"/>
        </w:rPr>
        <w:t xml:space="preserve">The population dose-response </w:t>
      </w:r>
      <w:r w:rsidRPr="00133580">
        <w:rPr>
          <w:rFonts w:eastAsiaTheme="minorHAnsi" w:cstheme="minorHAnsi"/>
        </w:rPr>
        <w:t>analysis,</w:t>
      </w:r>
      <w:r w:rsidRPr="00133580">
        <w:rPr>
          <w:rFonts w:cstheme="minorHAnsi"/>
        </w:rPr>
        <w:t xml:space="preserve"> </w:t>
      </w:r>
      <w:r w:rsidRPr="00133580">
        <w:rPr>
          <w:rFonts w:eastAsiaTheme="minorHAnsi" w:cstheme="minorHAnsi"/>
        </w:rPr>
        <w:t>PMAR-EQDD-B152a-DP4-407,</w:t>
      </w:r>
      <w:r>
        <w:rPr>
          <w:rFonts w:eastAsiaTheme="minorHAnsi" w:cstheme="minorHAnsi"/>
        </w:rPr>
        <w:t xml:space="preserve"> also provided predictions of </w:t>
      </w:r>
      <w:r>
        <w:rPr>
          <w:rFonts w:eastAsiaTheme="minorHAnsi"/>
        </w:rPr>
        <w:t>mean p</w:t>
      </w:r>
      <w:r w:rsidRPr="00FE4C12">
        <w:rPr>
          <w:rFonts w:eastAsiaTheme="minorHAnsi"/>
        </w:rPr>
        <w:t>lacebo-</w:t>
      </w:r>
      <w:r>
        <w:rPr>
          <w:rFonts w:eastAsiaTheme="minorHAnsi"/>
        </w:rPr>
        <w:t>a</w:t>
      </w:r>
      <w:r w:rsidRPr="00FE4C12">
        <w:rPr>
          <w:rFonts w:eastAsiaTheme="minorHAnsi"/>
        </w:rPr>
        <w:t>djusted</w:t>
      </w:r>
      <w:r>
        <w:rPr>
          <w:rFonts w:eastAsiaTheme="minorHAnsi"/>
        </w:rPr>
        <w:t xml:space="preserve"> CFB HbA1c</w:t>
      </w:r>
      <w:r w:rsidRPr="00FE4C12">
        <w:rPr>
          <w:rFonts w:eastAsiaTheme="minorHAnsi"/>
        </w:rPr>
        <w:t xml:space="preserve"> </w:t>
      </w:r>
      <w:r>
        <w:rPr>
          <w:rFonts w:eastAsiaTheme="minorHAnsi"/>
        </w:rPr>
        <w:t>r</w:t>
      </w:r>
      <w:r w:rsidRPr="00FE4C12">
        <w:rPr>
          <w:rFonts w:eastAsiaTheme="minorHAnsi"/>
        </w:rPr>
        <w:t>esponse</w:t>
      </w:r>
      <w:r>
        <w:rPr>
          <w:rFonts w:eastAsiaTheme="minorHAnsi" w:cstheme="minorHAnsi"/>
        </w:rPr>
        <w:t xml:space="preserve"> following co-administration of rifampicin with either 5 mg or 15 mg ertugliflozin. The results indicated that in the presence of rifampin the effectiveness of ertugliflozin to lower CFB HbA1c was slightly decreased as the values for the 5 mg and 15 mg doses were approximately 0.05 and 0.02 lower, respectively.</w:t>
      </w:r>
    </w:p>
    <w:p w:rsidR="002E5CF1" w:rsidRPr="00545B14" w:rsidRDefault="002E5CF1" w:rsidP="00133580">
      <w:pPr>
        <w:pStyle w:val="Heading3"/>
      </w:pPr>
      <w:bookmarkStart w:id="277" w:name="_Ref269983272"/>
      <w:bookmarkStart w:id="278" w:name="_Toc272414648"/>
      <w:bookmarkStart w:id="279" w:name="_Toc290888496"/>
      <w:bookmarkStart w:id="280" w:name="_Toc416353693"/>
      <w:bookmarkStart w:id="281" w:name="_Toc421005260"/>
      <w:bookmarkStart w:id="282" w:name="_Toc432079142"/>
      <w:bookmarkStart w:id="283" w:name="_Toc432080715"/>
      <w:bookmarkStart w:id="284" w:name="_Toc461096093"/>
      <w:bookmarkStart w:id="285" w:name="_Toc504038144"/>
      <w:bookmarkStart w:id="286" w:name="_Toc4489202"/>
      <w:r w:rsidRPr="00545B14">
        <w:t>Evaluator’s overall conclusions on pharmacodynamics</w:t>
      </w:r>
      <w:bookmarkEnd w:id="277"/>
      <w:bookmarkEnd w:id="278"/>
      <w:bookmarkEnd w:id="279"/>
      <w:bookmarkEnd w:id="280"/>
      <w:bookmarkEnd w:id="281"/>
      <w:bookmarkEnd w:id="282"/>
      <w:bookmarkEnd w:id="283"/>
      <w:bookmarkEnd w:id="284"/>
      <w:bookmarkEnd w:id="285"/>
      <w:bookmarkEnd w:id="286"/>
    </w:p>
    <w:p w:rsidR="002E5CF1" w:rsidRPr="00424310" w:rsidRDefault="002E5CF1" w:rsidP="00424310">
      <w:r>
        <w:t>Ertugliflozin is an oral, selective inhibitor of SGLT2 that inhibits renal glucose reabsorption and results in increased UGE and reductions in plasma glucose and HbA1c in subjects with T2DM.</w:t>
      </w:r>
    </w:p>
    <w:p w:rsidR="002E5CF1" w:rsidRDefault="002E5CF1" w:rsidP="00133580">
      <w:pPr>
        <w:pStyle w:val="Heading4"/>
      </w:pPr>
      <w:r w:rsidRPr="00E177DF">
        <w:lastRenderedPageBreak/>
        <w:t>Primary PD</w:t>
      </w:r>
      <w:r w:rsidR="00133580">
        <w:t xml:space="preserve"> in h</w:t>
      </w:r>
      <w:r w:rsidRPr="00E177DF">
        <w:t>ealthy subjects</w:t>
      </w:r>
    </w:p>
    <w:p w:rsidR="002E5CF1" w:rsidRDefault="002E5CF1" w:rsidP="002E5CF1">
      <w:pPr>
        <w:rPr>
          <w:lang w:eastAsia="ja-JP"/>
        </w:rPr>
      </w:pPr>
      <w:r>
        <w:t xml:space="preserve">For healthy subjects in the fasted state, increases in </w:t>
      </w:r>
      <w:r w:rsidR="0012056D">
        <w:rPr>
          <w:rFonts w:eastAsia="TimesNewRoman" w:cstheme="minorHAnsi"/>
        </w:rPr>
        <w:t>UGE</w:t>
      </w:r>
      <w:r w:rsidR="0012056D" w:rsidRPr="0012056D">
        <w:rPr>
          <w:rFonts w:eastAsia="TimesNewRoman" w:cstheme="minorHAnsi"/>
          <w:vertAlign w:val="subscript"/>
        </w:rPr>
        <w:t>0-24</w:t>
      </w:r>
      <w:r w:rsidR="00424310">
        <w:t xml:space="preserve"> were dose </w:t>
      </w:r>
      <w:r>
        <w:t xml:space="preserve">dependent over the range of 0.5 mg to 30 mg. At doses </w:t>
      </w:r>
      <w:r w:rsidR="002E1032">
        <w:rPr>
          <w:rFonts w:asciiTheme="minorHAnsi" w:eastAsiaTheme="minorHAnsi" w:hAnsiTheme="minorHAnsi"/>
          <w:color w:val="000000"/>
        </w:rPr>
        <w:t xml:space="preserve">≥ </w:t>
      </w:r>
      <w:r w:rsidRPr="009B57EA">
        <w:rPr>
          <w:rFonts w:eastAsia="TimesNewRoman" w:cstheme="minorHAnsi"/>
        </w:rPr>
        <w:t>30 mg</w:t>
      </w:r>
      <w:r>
        <w:rPr>
          <w:rFonts w:eastAsia="TimesNewRoman" w:cstheme="minorHAnsi"/>
        </w:rPr>
        <w:t xml:space="preserve"> </w:t>
      </w:r>
      <w:r w:rsidR="0012056D">
        <w:rPr>
          <w:rFonts w:eastAsia="TimesNewRoman" w:cstheme="minorHAnsi"/>
        </w:rPr>
        <w:t>UGE</w:t>
      </w:r>
      <w:r w:rsidR="0012056D" w:rsidRPr="0012056D">
        <w:rPr>
          <w:rFonts w:eastAsia="TimesNewRoman" w:cstheme="minorHAnsi"/>
          <w:vertAlign w:val="subscript"/>
        </w:rPr>
        <w:t>0-24</w:t>
      </w:r>
      <w:r>
        <w:rPr>
          <w:rFonts w:eastAsia="TimesNewRoman" w:cstheme="minorHAnsi"/>
        </w:rPr>
        <w:t xml:space="preserve"> plateaued </w:t>
      </w:r>
      <w:r w:rsidRPr="009B57EA">
        <w:rPr>
          <w:rFonts w:eastAsia="TimesNewRoman" w:cstheme="minorHAnsi"/>
        </w:rPr>
        <w:t>between 58 and 65 grams/day</w:t>
      </w:r>
      <w:r>
        <w:rPr>
          <w:rFonts w:eastAsia="TimesNewRoman" w:cstheme="minorHAnsi"/>
        </w:rPr>
        <w:t xml:space="preserve">. </w:t>
      </w:r>
      <w:r>
        <w:rPr>
          <w:lang w:eastAsia="ja-JP"/>
        </w:rPr>
        <w:t xml:space="preserve">Following multiple QD doses of 1 mg to 100 mg ertugliflozin in </w:t>
      </w:r>
      <w:r w:rsidRPr="009B57EA">
        <w:t>otherwise healthy overweight or obese subjects</w:t>
      </w:r>
      <w:r>
        <w:t xml:space="preserve"> UGE increased and </w:t>
      </w:r>
      <w:r w:rsidRPr="009B57EA">
        <w:rPr>
          <w:rFonts w:eastAsia="TimesNewRoman" w:cstheme="minorHAnsi"/>
        </w:rPr>
        <w:t>renal glucose reabsorption</w:t>
      </w:r>
      <w:r>
        <w:rPr>
          <w:rFonts w:eastAsia="TimesNewRoman" w:cstheme="minorHAnsi"/>
        </w:rPr>
        <w:t xml:space="preserve"> decreased dose dependently.</w:t>
      </w:r>
    </w:p>
    <w:p w:rsidR="002E5CF1" w:rsidRPr="00E177DF" w:rsidRDefault="002E5CF1" w:rsidP="00133580">
      <w:pPr>
        <w:pStyle w:val="Heading4"/>
      </w:pPr>
      <w:r w:rsidRPr="00E177DF">
        <w:t>Primary PD in T2DM</w:t>
      </w:r>
    </w:p>
    <w:p w:rsidR="00803C18" w:rsidRDefault="002E5CF1" w:rsidP="002E5CF1">
      <w:pPr>
        <w:spacing w:line="240" w:lineRule="auto"/>
      </w:pPr>
      <w:r>
        <w:rPr>
          <w:rFonts w:eastAsia="TimesNewRoman" w:cstheme="minorHAnsi"/>
        </w:rPr>
        <w:t>Two Phase II studies (</w:t>
      </w:r>
      <w:r w:rsidR="00F97665">
        <w:rPr>
          <w:rFonts w:eastAsia="TimesNewRoman" w:cstheme="minorHAnsi"/>
        </w:rPr>
        <w:t xml:space="preserve">Studies </w:t>
      </w:r>
      <w:r>
        <w:rPr>
          <w:rFonts w:eastAsia="TimesNewRoman" w:cstheme="minorHAnsi"/>
        </w:rPr>
        <w:t xml:space="preserve">P016/1006 and P042/1004) involving over 500 T2DM patients </w:t>
      </w:r>
      <w:r>
        <w:rPr>
          <w:rFonts w:cstheme="minorHAnsi"/>
          <w:bCs/>
          <w:color w:val="000000"/>
        </w:rPr>
        <w:t>provided the main data to enable the dose-response modelling which was used to determine the doses to be eva</w:t>
      </w:r>
      <w:r w:rsidR="00337E5F">
        <w:rPr>
          <w:rFonts w:cstheme="minorHAnsi"/>
          <w:bCs/>
          <w:color w:val="000000"/>
        </w:rPr>
        <w:t>luated in the Phase III studies</w:t>
      </w:r>
      <w:r>
        <w:rPr>
          <w:rFonts w:cstheme="minorHAnsi"/>
          <w:bCs/>
          <w:color w:val="000000"/>
        </w:rPr>
        <w:t>. However, the proposed ertugliflozin dose of 15</w:t>
      </w:r>
      <w:r w:rsidR="00F97665">
        <w:rPr>
          <w:rFonts w:cstheme="minorHAnsi"/>
          <w:bCs/>
          <w:color w:val="000000"/>
        </w:rPr>
        <w:t> </w:t>
      </w:r>
      <w:r w:rsidR="00730F18">
        <w:rPr>
          <w:rFonts w:cstheme="minorHAnsi"/>
          <w:bCs/>
          <w:color w:val="000000"/>
        </w:rPr>
        <w:t>mg QD</w:t>
      </w:r>
      <w:r>
        <w:rPr>
          <w:rFonts w:cstheme="minorHAnsi"/>
          <w:bCs/>
          <w:color w:val="000000"/>
        </w:rPr>
        <w:t xml:space="preserve"> was not evaluated in either of these studies</w:t>
      </w:r>
      <w:r w:rsidRPr="000903D7">
        <w:rPr>
          <w:rFonts w:cstheme="minorHAnsi"/>
          <w:bCs/>
          <w:color w:val="000000"/>
        </w:rPr>
        <w:t xml:space="preserve"> </w:t>
      </w:r>
      <w:r>
        <w:rPr>
          <w:rFonts w:cstheme="minorHAnsi"/>
          <w:bCs/>
          <w:color w:val="000000"/>
        </w:rPr>
        <w:t xml:space="preserve">and the choice of </w:t>
      </w:r>
      <w:r w:rsidRPr="00133580">
        <w:t>the 15 mg dose appears to be arbitrary in the materials provided regarding the modelling studies. The sponsors have been asked to provide further justification regarding the choice of the 15 mg dose for the pivotal studies</w:t>
      </w:r>
      <w:r w:rsidR="00803C18">
        <w:t>.</w:t>
      </w:r>
    </w:p>
    <w:p w:rsidR="002E5CF1" w:rsidRPr="00E177DF" w:rsidRDefault="002E5CF1" w:rsidP="00133580">
      <w:pPr>
        <w:pStyle w:val="Heading4"/>
      </w:pPr>
      <w:r w:rsidRPr="00E177DF">
        <w:t xml:space="preserve">PD </w:t>
      </w:r>
      <w:r w:rsidR="00133580">
        <w:t>m</w:t>
      </w:r>
      <w:r w:rsidRPr="00E177DF">
        <w:t>odelling and analyses</w:t>
      </w:r>
    </w:p>
    <w:p w:rsidR="00133580" w:rsidRDefault="002E5CF1" w:rsidP="002E5CF1">
      <w:pPr>
        <w:rPr>
          <w:rFonts w:cstheme="minorHAnsi"/>
        </w:rPr>
      </w:pPr>
      <w:r>
        <w:rPr>
          <w:rFonts w:cstheme="minorHAnsi"/>
        </w:rPr>
        <w:t xml:space="preserve">For a typical patient with T2DM, MBMA predicted that following ertugliflozin doses of </w:t>
      </w:r>
      <w:r>
        <w:rPr>
          <w:rFonts w:eastAsia="TimesNewRoman" w:cstheme="minorHAnsi"/>
        </w:rPr>
        <w:t xml:space="preserve">2.5 mg </w:t>
      </w:r>
      <w:r w:rsidR="00803C18">
        <w:rPr>
          <w:rFonts w:eastAsia="TimesNewRoman" w:cstheme="minorHAnsi"/>
        </w:rPr>
        <w:t>BD</w:t>
      </w:r>
      <w:r>
        <w:rPr>
          <w:rFonts w:eastAsia="TimesNewRoman" w:cstheme="minorHAnsi"/>
        </w:rPr>
        <w:t xml:space="preserve"> or 5 mg QD and 7.5 mg QID or 15 mg </w:t>
      </w:r>
      <w:r w:rsidR="00803C18">
        <w:rPr>
          <w:rFonts w:eastAsia="TimesNewRoman" w:cstheme="minorHAnsi"/>
        </w:rPr>
        <w:t>BD</w:t>
      </w:r>
      <w:r>
        <w:rPr>
          <w:rFonts w:cstheme="minorHAnsi"/>
        </w:rPr>
        <w:t xml:space="preserve"> there was little difference in effect of ertugliflozin</w:t>
      </w:r>
      <w:r w:rsidR="00133580">
        <w:rPr>
          <w:rFonts w:cstheme="minorHAnsi"/>
        </w:rPr>
        <w:t>.</w:t>
      </w:r>
    </w:p>
    <w:p w:rsidR="002E5CF1" w:rsidRPr="00424310" w:rsidRDefault="002E5CF1" w:rsidP="002E5CF1">
      <w:pPr>
        <w:rPr>
          <w:rFonts w:cstheme="minorHAnsi"/>
        </w:rPr>
      </w:pPr>
      <w:r>
        <w:rPr>
          <w:rFonts w:cstheme="minorHAnsi"/>
        </w:rPr>
        <w:t xml:space="preserve">Population dose-response analysis predicted that in a typical patient with T2DM on a background of metformin, the </w:t>
      </w:r>
      <w:r w:rsidRPr="00FE4C12">
        <w:rPr>
          <w:rFonts w:eastAsiaTheme="minorHAnsi" w:cstheme="minorHAnsi"/>
        </w:rPr>
        <w:t>placebo-adjusted</w:t>
      </w:r>
      <w:r>
        <w:rPr>
          <w:rFonts w:eastAsiaTheme="minorHAnsi" w:cstheme="minorHAnsi"/>
        </w:rPr>
        <w:t xml:space="preserve"> CFB in HbA1c following 26 weeks of treatment with either </w:t>
      </w:r>
      <w:r w:rsidRPr="00FE4C12">
        <w:rPr>
          <w:rFonts w:eastAsiaTheme="minorHAnsi" w:cstheme="minorHAnsi"/>
        </w:rPr>
        <w:t xml:space="preserve">5 mg </w:t>
      </w:r>
      <w:r>
        <w:rPr>
          <w:rFonts w:eastAsiaTheme="minorHAnsi" w:cstheme="minorHAnsi"/>
        </w:rPr>
        <w:t>or</w:t>
      </w:r>
      <w:r w:rsidRPr="00FE4C12">
        <w:rPr>
          <w:rFonts w:eastAsiaTheme="minorHAnsi" w:cstheme="minorHAnsi"/>
        </w:rPr>
        <w:t xml:space="preserve"> 15 mg</w:t>
      </w:r>
      <w:r>
        <w:rPr>
          <w:rFonts w:eastAsiaTheme="minorHAnsi" w:cstheme="minorHAnsi"/>
        </w:rPr>
        <w:t xml:space="preserve"> ertugliflozin were </w:t>
      </w:r>
      <w:r w:rsidRPr="00FE4C12">
        <w:rPr>
          <w:rFonts w:eastAsiaTheme="minorHAnsi" w:cstheme="minorHAnsi"/>
        </w:rPr>
        <w:t xml:space="preserve">-0.674% </w:t>
      </w:r>
      <w:r w:rsidR="00424310">
        <w:rPr>
          <w:rFonts w:eastAsiaTheme="minorHAnsi" w:cstheme="minorHAnsi"/>
        </w:rPr>
        <w:t>(</w:t>
      </w:r>
      <w:r w:rsidRPr="00FE4C12">
        <w:rPr>
          <w:rFonts w:eastAsiaTheme="minorHAnsi" w:cstheme="minorHAnsi"/>
        </w:rPr>
        <w:t>-0.805% to -0.565%</w:t>
      </w:r>
      <w:r w:rsidR="00424310">
        <w:rPr>
          <w:rFonts w:eastAsiaTheme="minorHAnsi" w:cstheme="minorHAnsi"/>
        </w:rPr>
        <w:t>)</w:t>
      </w:r>
      <w:r w:rsidRPr="00FE4C12">
        <w:rPr>
          <w:rFonts w:eastAsiaTheme="minorHAnsi" w:cstheme="minorHAnsi"/>
        </w:rPr>
        <w:t xml:space="preserve"> and -0.735% </w:t>
      </w:r>
      <w:r w:rsidR="00424310">
        <w:rPr>
          <w:rFonts w:eastAsiaTheme="minorHAnsi" w:cstheme="minorHAnsi"/>
        </w:rPr>
        <w:t>(</w:t>
      </w:r>
      <w:r w:rsidR="00424310">
        <w:rPr>
          <w:rFonts w:eastAsiaTheme="minorHAnsi" w:cstheme="minorHAnsi"/>
        </w:rPr>
        <w:noBreakHyphen/>
      </w:r>
      <w:r w:rsidRPr="00FE4C12">
        <w:rPr>
          <w:rFonts w:eastAsiaTheme="minorHAnsi" w:cstheme="minorHAnsi"/>
        </w:rPr>
        <w:t>0.869%</w:t>
      </w:r>
      <w:r>
        <w:rPr>
          <w:rFonts w:eastAsiaTheme="minorHAnsi" w:cstheme="minorHAnsi"/>
        </w:rPr>
        <w:t xml:space="preserve"> </w:t>
      </w:r>
      <w:r w:rsidRPr="00FE4C12">
        <w:rPr>
          <w:rFonts w:eastAsiaTheme="minorHAnsi" w:cstheme="minorHAnsi"/>
        </w:rPr>
        <w:t>to -0.626%</w:t>
      </w:r>
      <w:r w:rsidR="00424310">
        <w:rPr>
          <w:rFonts w:eastAsiaTheme="minorHAnsi" w:cstheme="minorHAnsi"/>
        </w:rPr>
        <w:t>)</w:t>
      </w:r>
      <w:r w:rsidRPr="00FE4C12">
        <w:rPr>
          <w:rFonts w:eastAsiaTheme="minorHAnsi" w:cstheme="minorHAnsi"/>
        </w:rPr>
        <w:t>, respectively</w:t>
      </w:r>
      <w:r>
        <w:rPr>
          <w:rFonts w:eastAsiaTheme="minorHAnsi" w:cstheme="minorHAnsi"/>
        </w:rPr>
        <w:t xml:space="preserve">. Whereas, for a typical patient with </w:t>
      </w:r>
      <w:r w:rsidRPr="00FE4C12">
        <w:rPr>
          <w:rFonts w:eastAsiaTheme="minorHAnsi" w:cstheme="minorHAnsi"/>
        </w:rPr>
        <w:t>Stage 3a CKD</w:t>
      </w:r>
      <w:r>
        <w:rPr>
          <w:rFonts w:eastAsiaTheme="minorHAnsi" w:cstheme="minorHAnsi"/>
        </w:rPr>
        <w:t xml:space="preserve"> the predicted</w:t>
      </w:r>
      <w:r w:rsidRPr="00FE4C12">
        <w:rPr>
          <w:rFonts w:eastAsiaTheme="minorHAnsi" w:cstheme="minorHAnsi"/>
        </w:rPr>
        <w:t xml:space="preserve"> mean placebo-adjusted CFB </w:t>
      </w:r>
      <w:r>
        <w:rPr>
          <w:rFonts w:eastAsiaTheme="minorHAnsi" w:cstheme="minorHAnsi"/>
        </w:rPr>
        <w:t xml:space="preserve">HbA1c </w:t>
      </w:r>
      <w:r w:rsidRPr="00FE4C12">
        <w:rPr>
          <w:rFonts w:eastAsiaTheme="minorHAnsi" w:cstheme="minorHAnsi"/>
        </w:rPr>
        <w:t xml:space="preserve">response for the 5 mg and 15 mg </w:t>
      </w:r>
      <w:r>
        <w:rPr>
          <w:rFonts w:eastAsiaTheme="minorHAnsi" w:cstheme="minorHAnsi"/>
        </w:rPr>
        <w:t xml:space="preserve">ertugliflozin </w:t>
      </w:r>
      <w:r w:rsidRPr="00FE4C12">
        <w:rPr>
          <w:rFonts w:eastAsiaTheme="minorHAnsi" w:cstheme="minorHAnsi"/>
        </w:rPr>
        <w:t xml:space="preserve">doses were -0.458% </w:t>
      </w:r>
      <w:r w:rsidR="00424310">
        <w:rPr>
          <w:rFonts w:eastAsiaTheme="minorHAnsi" w:cstheme="minorHAnsi"/>
        </w:rPr>
        <w:t>(</w:t>
      </w:r>
      <w:r w:rsidRPr="00FE4C12">
        <w:rPr>
          <w:rFonts w:eastAsiaTheme="minorHAnsi" w:cstheme="minorHAnsi"/>
        </w:rPr>
        <w:t>-0.603% to -0.339%</w:t>
      </w:r>
      <w:r w:rsidR="00424310">
        <w:rPr>
          <w:rFonts w:eastAsiaTheme="minorHAnsi" w:cstheme="minorHAnsi"/>
        </w:rPr>
        <w:t>)</w:t>
      </w:r>
      <w:r w:rsidRPr="00FE4C12">
        <w:rPr>
          <w:rFonts w:eastAsiaTheme="minorHAnsi" w:cstheme="minorHAnsi"/>
        </w:rPr>
        <w:t xml:space="preserve"> and</w:t>
      </w:r>
      <w:r>
        <w:rPr>
          <w:rFonts w:eastAsiaTheme="minorHAnsi" w:cstheme="minorHAnsi"/>
        </w:rPr>
        <w:t xml:space="preserve"> </w:t>
      </w:r>
      <w:r w:rsidRPr="00FE4C12">
        <w:rPr>
          <w:rFonts w:eastAsiaTheme="minorHAnsi" w:cstheme="minorHAnsi"/>
        </w:rPr>
        <w:t xml:space="preserve">-0.518% </w:t>
      </w:r>
      <w:r w:rsidR="00424310">
        <w:rPr>
          <w:rFonts w:eastAsiaTheme="minorHAnsi" w:cstheme="minorHAnsi"/>
        </w:rPr>
        <w:t>(</w:t>
      </w:r>
      <w:r w:rsidRPr="00FE4C12">
        <w:rPr>
          <w:rFonts w:eastAsiaTheme="minorHAnsi" w:cstheme="minorHAnsi"/>
        </w:rPr>
        <w:t>-0.681% to -0.393%</w:t>
      </w:r>
      <w:r w:rsidR="00424310">
        <w:rPr>
          <w:rFonts w:eastAsiaTheme="minorHAnsi" w:cstheme="minorHAnsi"/>
        </w:rPr>
        <w:t>)</w:t>
      </w:r>
      <w:r w:rsidRPr="00FE4C12">
        <w:rPr>
          <w:rFonts w:eastAsiaTheme="minorHAnsi" w:cstheme="minorHAnsi"/>
        </w:rPr>
        <w:t>, respectively</w:t>
      </w:r>
      <w:r w:rsidR="00133580">
        <w:rPr>
          <w:rFonts w:eastAsiaTheme="minorHAnsi" w:cstheme="minorHAnsi"/>
        </w:rPr>
        <w:t>.</w:t>
      </w:r>
    </w:p>
    <w:p w:rsidR="002E5CF1" w:rsidRPr="00E9187A" w:rsidRDefault="002E5CF1" w:rsidP="002E5CF1">
      <w:pPr>
        <w:autoSpaceDE w:val="0"/>
        <w:autoSpaceDN w:val="0"/>
        <w:adjustRightInd w:val="0"/>
        <w:rPr>
          <w:rFonts w:eastAsiaTheme="minorHAnsi" w:cstheme="minorHAnsi"/>
        </w:rPr>
      </w:pPr>
      <w:r>
        <w:rPr>
          <w:rFonts w:eastAsiaTheme="minorHAnsi" w:cstheme="minorHAnsi"/>
        </w:rPr>
        <w:t>F</w:t>
      </w:r>
      <w:r w:rsidRPr="00FE4C12">
        <w:rPr>
          <w:rFonts w:eastAsiaTheme="minorHAnsi" w:cstheme="minorHAnsi"/>
        </w:rPr>
        <w:t xml:space="preserve">ollowing 28 days of administration </w:t>
      </w:r>
      <w:r>
        <w:rPr>
          <w:rFonts w:eastAsiaTheme="minorHAnsi" w:cstheme="minorHAnsi"/>
        </w:rPr>
        <w:t xml:space="preserve">the predicted </w:t>
      </w:r>
      <w:r w:rsidRPr="00FE4C12">
        <w:rPr>
          <w:rFonts w:eastAsiaTheme="minorHAnsi" w:cstheme="minorHAnsi"/>
        </w:rPr>
        <w:t xml:space="preserve">UGE </w:t>
      </w:r>
      <w:r w:rsidR="00424310">
        <w:rPr>
          <w:rFonts w:eastAsiaTheme="minorHAnsi" w:cstheme="minorHAnsi"/>
        </w:rPr>
        <w:t>(</w:t>
      </w:r>
      <w:r w:rsidRPr="00FE4C12">
        <w:rPr>
          <w:rFonts w:eastAsiaTheme="minorHAnsi" w:cstheme="minorHAnsi"/>
        </w:rPr>
        <w:t>90% CI</w:t>
      </w:r>
      <w:r w:rsidR="00424310">
        <w:rPr>
          <w:rFonts w:eastAsiaTheme="minorHAnsi" w:cstheme="minorHAnsi"/>
        </w:rPr>
        <w:t>)</w:t>
      </w:r>
      <w:r>
        <w:rPr>
          <w:rFonts w:eastAsiaTheme="minorHAnsi" w:cstheme="minorHAnsi"/>
        </w:rPr>
        <w:t xml:space="preserve"> values f</w:t>
      </w:r>
      <w:r w:rsidRPr="00FE4C12">
        <w:rPr>
          <w:rFonts w:eastAsiaTheme="minorHAnsi" w:cstheme="minorHAnsi"/>
        </w:rPr>
        <w:t xml:space="preserve">or the 5 mg </w:t>
      </w:r>
      <w:r>
        <w:rPr>
          <w:rFonts w:eastAsiaTheme="minorHAnsi" w:cstheme="minorHAnsi"/>
        </w:rPr>
        <w:t xml:space="preserve">and 15 mg doses of </w:t>
      </w:r>
      <w:r w:rsidRPr="00FE4C12">
        <w:rPr>
          <w:rFonts w:eastAsiaTheme="minorHAnsi" w:cstheme="minorHAnsi"/>
        </w:rPr>
        <w:t xml:space="preserve">ertugliflozin </w:t>
      </w:r>
      <w:r>
        <w:rPr>
          <w:rFonts w:eastAsiaTheme="minorHAnsi" w:cstheme="minorHAnsi"/>
        </w:rPr>
        <w:t>were</w:t>
      </w:r>
      <w:r w:rsidRPr="00FE4C12">
        <w:rPr>
          <w:rFonts w:eastAsiaTheme="minorHAnsi" w:cstheme="minorHAnsi"/>
        </w:rPr>
        <w:t xml:space="preserve"> 62.5 </w:t>
      </w:r>
      <w:r w:rsidR="00424310">
        <w:rPr>
          <w:rFonts w:eastAsiaTheme="minorHAnsi" w:cstheme="minorHAnsi"/>
        </w:rPr>
        <w:t>(</w:t>
      </w:r>
      <w:r w:rsidRPr="00FE4C12">
        <w:rPr>
          <w:rFonts w:eastAsiaTheme="minorHAnsi" w:cstheme="minorHAnsi"/>
        </w:rPr>
        <w:t>54.9, 69.7</w:t>
      </w:r>
      <w:r w:rsidR="00424310">
        <w:rPr>
          <w:rFonts w:eastAsiaTheme="minorHAnsi" w:cstheme="minorHAnsi"/>
        </w:rPr>
        <w:t>)</w:t>
      </w:r>
      <w:r>
        <w:rPr>
          <w:rFonts w:eastAsiaTheme="minorHAnsi" w:cstheme="minorHAnsi"/>
        </w:rPr>
        <w:t xml:space="preserve"> </w:t>
      </w:r>
      <w:r w:rsidRPr="00FE4C12">
        <w:rPr>
          <w:rFonts w:eastAsiaTheme="minorHAnsi" w:cstheme="minorHAnsi"/>
        </w:rPr>
        <w:t>g/day</w:t>
      </w:r>
      <w:r>
        <w:rPr>
          <w:rFonts w:eastAsiaTheme="minorHAnsi" w:cstheme="minorHAnsi"/>
        </w:rPr>
        <w:t xml:space="preserve"> and</w:t>
      </w:r>
      <w:r w:rsidRPr="00FE4C12">
        <w:rPr>
          <w:rFonts w:eastAsiaTheme="minorHAnsi" w:cstheme="minorHAnsi"/>
        </w:rPr>
        <w:t xml:space="preserve"> 68.9 </w:t>
      </w:r>
      <w:r w:rsidR="00424310">
        <w:rPr>
          <w:rFonts w:eastAsiaTheme="minorHAnsi" w:cstheme="minorHAnsi"/>
        </w:rPr>
        <w:t>(</w:t>
      </w:r>
      <w:r w:rsidRPr="00FE4C12">
        <w:rPr>
          <w:rFonts w:eastAsiaTheme="minorHAnsi" w:cstheme="minorHAnsi"/>
        </w:rPr>
        <w:t>58.9, 78.7</w:t>
      </w:r>
      <w:r w:rsidR="00424310">
        <w:rPr>
          <w:rFonts w:eastAsiaTheme="minorHAnsi" w:cstheme="minorHAnsi"/>
        </w:rPr>
        <w:t>)</w:t>
      </w:r>
      <w:r>
        <w:rPr>
          <w:rFonts w:eastAsiaTheme="minorHAnsi" w:cstheme="minorHAnsi"/>
        </w:rPr>
        <w:t xml:space="preserve"> </w:t>
      </w:r>
      <w:r w:rsidRPr="00FE4C12">
        <w:rPr>
          <w:rFonts w:eastAsiaTheme="minorHAnsi" w:cstheme="minorHAnsi"/>
        </w:rPr>
        <w:t>g/day</w:t>
      </w:r>
      <w:r>
        <w:rPr>
          <w:rFonts w:eastAsiaTheme="minorHAnsi" w:cstheme="minorHAnsi"/>
        </w:rPr>
        <w:t>, respectively</w:t>
      </w:r>
      <w:r w:rsidRPr="00FE4C12">
        <w:rPr>
          <w:rFonts w:eastAsiaTheme="minorHAnsi" w:cstheme="minorHAnsi"/>
        </w:rPr>
        <w:t>.</w:t>
      </w:r>
    </w:p>
    <w:p w:rsidR="002E5CF1" w:rsidRDefault="002E5CF1" w:rsidP="002E5CF1">
      <w:r>
        <w:t xml:space="preserve">Rifampin co-administration induced a slight decrease in the ability of </w:t>
      </w:r>
      <w:r>
        <w:rPr>
          <w:rFonts w:eastAsiaTheme="minorHAnsi" w:cstheme="minorHAnsi"/>
        </w:rPr>
        <w:t>ertugliflozin to lower CFB HbA1c</w:t>
      </w:r>
      <w:r>
        <w:t>.</w:t>
      </w:r>
    </w:p>
    <w:p w:rsidR="002E5CF1" w:rsidRDefault="002E5CF1" w:rsidP="002E5CF1">
      <w:pPr>
        <w:autoSpaceDE w:val="0"/>
        <w:autoSpaceDN w:val="0"/>
        <w:adjustRightInd w:val="0"/>
        <w:rPr>
          <w:rFonts w:eastAsia="TimesNewRoman" w:cstheme="minorHAnsi"/>
        </w:rPr>
      </w:pPr>
      <w:r>
        <w:t xml:space="preserve">In patients with T2DM, </w:t>
      </w:r>
      <w:r w:rsidR="0012056D">
        <w:rPr>
          <w:rFonts w:eastAsia="TimesNewRoman" w:cstheme="minorHAnsi"/>
        </w:rPr>
        <w:t>UGE</w:t>
      </w:r>
      <w:r w:rsidR="0012056D" w:rsidRPr="0012056D">
        <w:rPr>
          <w:rFonts w:eastAsia="TimesNewRoman" w:cstheme="minorHAnsi"/>
          <w:vertAlign w:val="subscript"/>
        </w:rPr>
        <w:t>0-24</w:t>
      </w:r>
      <w:r w:rsidRPr="009B57EA">
        <w:rPr>
          <w:rFonts w:eastAsia="TimesNewRoman" w:cstheme="minorHAnsi"/>
        </w:rPr>
        <w:t xml:space="preserve"> was </w:t>
      </w:r>
      <w:r>
        <w:rPr>
          <w:rFonts w:eastAsia="TimesNewRoman" w:cstheme="minorHAnsi"/>
        </w:rPr>
        <w:t xml:space="preserve">dose dependent with 70.4 g excreted following the 2 mg dose and 80.5 g following the 4 mg dose. By contrast, </w:t>
      </w:r>
      <w:r w:rsidRPr="00FE4C12">
        <w:rPr>
          <w:rFonts w:eastAsia="TimesNewRoman" w:cstheme="minorHAnsi"/>
        </w:rPr>
        <w:t xml:space="preserve">weighted mean plasma glucose over 24 h </w:t>
      </w:r>
      <w:r>
        <w:rPr>
          <w:rFonts w:eastAsia="TimesNewRoman" w:cstheme="minorHAnsi"/>
        </w:rPr>
        <w:t>was similar following both the 2 mg (175.6 mg/dL) and 4 mg (170.4 mg/dL) doses.</w:t>
      </w:r>
    </w:p>
    <w:p w:rsidR="002E5CF1" w:rsidRPr="00E177DF" w:rsidRDefault="002E5CF1" w:rsidP="00133580">
      <w:pPr>
        <w:pStyle w:val="Heading4"/>
      </w:pPr>
      <w:r w:rsidRPr="00E177DF">
        <w:t xml:space="preserve">Secondary </w:t>
      </w:r>
      <w:proofErr w:type="spellStart"/>
      <w:r w:rsidR="003436E7" w:rsidRPr="00E177DF">
        <w:t>pharmacodynamic</w:t>
      </w:r>
      <w:proofErr w:type="spellEnd"/>
      <w:r w:rsidR="003436E7" w:rsidRPr="00E177DF">
        <w:t xml:space="preserve"> effects</w:t>
      </w:r>
    </w:p>
    <w:p w:rsidR="00133580" w:rsidRDefault="002E5CF1" w:rsidP="00133580">
      <w:pPr>
        <w:pStyle w:val="Heading5"/>
        <w:rPr>
          <w:rFonts w:eastAsia="TimesNewRoman"/>
        </w:rPr>
      </w:pPr>
      <w:r w:rsidRPr="00F73D80">
        <w:rPr>
          <w:rFonts w:eastAsia="TimesNewRoman"/>
        </w:rPr>
        <w:t>Healthy subjects</w:t>
      </w:r>
    </w:p>
    <w:p w:rsidR="00803C18" w:rsidRDefault="002E5CF1" w:rsidP="00424310">
      <w:r w:rsidRPr="0033688A">
        <w:t xml:space="preserve">Unlike 400 mg moxifloxacin, 100 mg ertugliflozin had no effect </w:t>
      </w:r>
      <w:r>
        <w:t xml:space="preserve">on </w:t>
      </w:r>
      <w:r w:rsidRPr="0033688A">
        <w:t>QTc interval</w:t>
      </w:r>
      <w:r>
        <w:t xml:space="preserve"> in healthy subjects. </w:t>
      </w:r>
      <w:r>
        <w:rPr>
          <w:bCs/>
          <w:color w:val="000000"/>
        </w:rPr>
        <w:t xml:space="preserve">Following </w:t>
      </w:r>
      <w:r>
        <w:rPr>
          <w:lang w:eastAsia="ja-JP"/>
        </w:rPr>
        <w:t xml:space="preserve">multiple QD doses ranging from 1 mg to 100 mg to </w:t>
      </w:r>
      <w:r w:rsidRPr="00FE4C12">
        <w:t>otherwise healthy overweight or obese subjects</w:t>
      </w:r>
      <w:r>
        <w:t xml:space="preserve">, </w:t>
      </w:r>
      <w:r>
        <w:rPr>
          <w:bCs/>
          <w:color w:val="000000"/>
        </w:rPr>
        <w:t xml:space="preserve">ertugliflozin had </w:t>
      </w:r>
      <w:r w:rsidRPr="009B57EA">
        <w:t xml:space="preserve">no effect on serum sodium, potassium and calcium levels </w:t>
      </w:r>
      <w:r>
        <w:t xml:space="preserve">or </w:t>
      </w:r>
      <w:r w:rsidRPr="009B57EA">
        <w:t>magnesium and calcium excretion</w:t>
      </w:r>
      <w:r>
        <w:t xml:space="preserve"> </w:t>
      </w:r>
      <w:r w:rsidRPr="009B57EA">
        <w:t xml:space="preserve">on </w:t>
      </w:r>
      <w:r>
        <w:t xml:space="preserve">either </w:t>
      </w:r>
      <w:r w:rsidRPr="009B57EA">
        <w:t xml:space="preserve">Day 1 </w:t>
      </w:r>
      <w:r>
        <w:t xml:space="preserve">or Day 14 of treatment </w:t>
      </w:r>
      <w:r w:rsidRPr="009B57EA">
        <w:t xml:space="preserve">and no clear dose-related effect </w:t>
      </w:r>
      <w:r>
        <w:t xml:space="preserve">was identified for </w:t>
      </w:r>
      <w:r w:rsidRPr="009B57EA">
        <w:t xml:space="preserve">serum magnesium </w:t>
      </w:r>
      <w:r>
        <w:t>levels</w:t>
      </w:r>
      <w:r w:rsidRPr="009B57EA">
        <w:t xml:space="preserve"> </w:t>
      </w:r>
      <w:r>
        <w:t xml:space="preserve">or </w:t>
      </w:r>
      <w:proofErr w:type="spellStart"/>
      <w:r w:rsidRPr="009B57EA">
        <w:t>iPTH</w:t>
      </w:r>
      <w:proofErr w:type="spellEnd"/>
      <w:r w:rsidRPr="009B57EA">
        <w:t xml:space="preserve"> </w:t>
      </w:r>
      <w:r>
        <w:t>AUC</w:t>
      </w:r>
      <w:r w:rsidR="00803C18">
        <w:t>.</w:t>
      </w:r>
    </w:p>
    <w:p w:rsidR="00133580" w:rsidRDefault="002E5CF1" w:rsidP="00133580">
      <w:pPr>
        <w:pStyle w:val="Heading5"/>
        <w:rPr>
          <w:rFonts w:eastAsia="TimesNewRoman"/>
        </w:rPr>
      </w:pPr>
      <w:r w:rsidRPr="00E177DF">
        <w:rPr>
          <w:rFonts w:eastAsia="TimesNewRoman"/>
        </w:rPr>
        <w:t>T2DM</w:t>
      </w:r>
    </w:p>
    <w:p w:rsidR="002E5CF1" w:rsidRPr="00E177DF" w:rsidRDefault="002E5CF1" w:rsidP="002E5CF1">
      <w:pPr>
        <w:autoSpaceDE w:val="0"/>
        <w:autoSpaceDN w:val="0"/>
        <w:adjustRightInd w:val="0"/>
        <w:rPr>
          <w:rFonts w:eastAsia="TimesNewRoman" w:cstheme="minorHAnsi"/>
        </w:rPr>
      </w:pPr>
      <w:r w:rsidRPr="00E177DF">
        <w:rPr>
          <w:rFonts w:eastAsia="TimesNewRoman" w:cstheme="minorHAnsi"/>
        </w:rPr>
        <w:t>Following co-administration of a range of oral doses of ertuglif</w:t>
      </w:r>
      <w:r w:rsidR="00424310">
        <w:rPr>
          <w:rFonts w:eastAsia="TimesNewRoman" w:cstheme="minorHAnsi"/>
        </w:rPr>
        <w:t>lozin and 12.5 mg QD HCTZ for 4 </w:t>
      </w:r>
      <w:r w:rsidRPr="00E177DF">
        <w:rPr>
          <w:rFonts w:eastAsia="TimesNewRoman" w:cstheme="minorHAnsi"/>
        </w:rPr>
        <w:t xml:space="preserve">weeks in patients with T2DM, ertugliflozin had a mild diuretic effect. By contrast it had no effect on </w:t>
      </w:r>
      <w:r w:rsidR="00133580">
        <w:rPr>
          <w:rFonts w:eastAsia="TimesNewRoman" w:cstheme="minorHAnsi"/>
        </w:rPr>
        <w:t>24 h</w:t>
      </w:r>
      <w:r w:rsidRPr="00E177DF">
        <w:rPr>
          <w:rFonts w:eastAsia="TimesNewRoman" w:cstheme="minorHAnsi"/>
        </w:rPr>
        <w:t xml:space="preserve"> urinary aldosterone, urinary sodium or urinary potassium.</w:t>
      </w:r>
      <w:r>
        <w:rPr>
          <w:rFonts w:eastAsia="TimesNewRoman" w:cstheme="minorHAnsi"/>
        </w:rPr>
        <w:t xml:space="preserve"> </w:t>
      </w:r>
      <w:r w:rsidRPr="00E177DF">
        <w:rPr>
          <w:rFonts w:eastAsia="TimesNewRoman" w:cstheme="minorHAnsi"/>
        </w:rPr>
        <w:t>In contrast to sitagliptin, ertugliflozin induced minor bone resorption, as indicated by increased levels of serum CTX1 and urinary NTX-1; however, these effects did not appear to be dose-dependent. By contrast, no effects on markers of bone formation were identified.</w:t>
      </w:r>
    </w:p>
    <w:p w:rsidR="00133580" w:rsidRDefault="002E5CF1" w:rsidP="00133580">
      <w:pPr>
        <w:pStyle w:val="Heading5"/>
      </w:pPr>
      <w:r w:rsidRPr="00E177DF">
        <w:t>Time course of PD effects</w:t>
      </w:r>
    </w:p>
    <w:p w:rsidR="002E5CF1" w:rsidRDefault="0012056D" w:rsidP="002E5CF1">
      <w:pPr>
        <w:rPr>
          <w:rFonts w:eastAsia="TimesNewRoman" w:cstheme="minorHAnsi"/>
        </w:rPr>
      </w:pPr>
      <w:r>
        <w:rPr>
          <w:rFonts w:eastAsia="TimesNewRoman" w:cstheme="minorHAnsi"/>
        </w:rPr>
        <w:t>UGE</w:t>
      </w:r>
      <w:r w:rsidRPr="0012056D">
        <w:rPr>
          <w:rFonts w:eastAsia="TimesNewRoman" w:cstheme="minorHAnsi"/>
          <w:vertAlign w:val="subscript"/>
        </w:rPr>
        <w:t>0-24</w:t>
      </w:r>
      <w:r w:rsidR="002E5CF1">
        <w:rPr>
          <w:rFonts w:eastAsia="TimesNewRoman" w:cstheme="minorHAnsi"/>
        </w:rPr>
        <w:t xml:space="preserve"> was similar following </w:t>
      </w:r>
      <w:r w:rsidR="00803C18">
        <w:rPr>
          <w:rFonts w:eastAsia="TimesNewRoman" w:cstheme="minorHAnsi"/>
        </w:rPr>
        <w:t>BD</w:t>
      </w:r>
      <w:r w:rsidR="002E5CF1">
        <w:rPr>
          <w:rFonts w:eastAsia="TimesNewRoman" w:cstheme="minorHAnsi"/>
        </w:rPr>
        <w:t xml:space="preserve"> and QD doses of ertugliflozin, following the equivalent total daily dose, in healthy subjects and in subjects with T2DM.</w:t>
      </w:r>
    </w:p>
    <w:p w:rsidR="002E5CF1" w:rsidRPr="007A3D42" w:rsidRDefault="002E5CF1" w:rsidP="00133580">
      <w:pPr>
        <w:pStyle w:val="Comment"/>
      </w:pPr>
      <w:r w:rsidRPr="00133580">
        <w:rPr>
          <w:b/>
        </w:rPr>
        <w:lastRenderedPageBreak/>
        <w:t>Comment</w:t>
      </w:r>
      <w:r w:rsidRPr="007A3D42">
        <w:t>:</w:t>
      </w:r>
      <w:r w:rsidR="00424310">
        <w:t xml:space="preserve"> </w:t>
      </w:r>
      <w:r w:rsidRPr="007A3D42">
        <w:t xml:space="preserve">The </w:t>
      </w:r>
      <w:r w:rsidR="00133580">
        <w:t>s</w:t>
      </w:r>
      <w:r w:rsidRPr="007A3D42">
        <w:t xml:space="preserve">ponsor states the following in regards to the selection of doses for the </w:t>
      </w:r>
      <w:r>
        <w:t>Phase III</w:t>
      </w:r>
      <w:r w:rsidRPr="007A3D42">
        <w:t xml:space="preserve"> studies:</w:t>
      </w:r>
    </w:p>
    <w:p w:rsidR="002E5CF1" w:rsidRPr="00133580" w:rsidRDefault="002E5CF1" w:rsidP="00133580">
      <w:pPr>
        <w:ind w:left="1134"/>
        <w:rPr>
          <w:i/>
        </w:rPr>
      </w:pPr>
      <w:r w:rsidRPr="00133580">
        <w:rPr>
          <w:i/>
        </w:rPr>
        <w:t>‘Since single oral doses as high as 300 mg, multiple doses of 100 mg QD up to 14 days and 25 mg QD up to 12 weeks were associated with an acceptable safety profile in the Phase I and Phase II studies, the key drivers for Phase III dose selection were the d</w:t>
      </w:r>
      <w:r w:rsidR="000C6FC8">
        <w:rPr>
          <w:i/>
        </w:rPr>
        <w:t>ose-response</w:t>
      </w:r>
      <w:r w:rsidRPr="00133580">
        <w:rPr>
          <w:i/>
        </w:rPr>
        <w:t xml:space="preserve"> relationships for the change from baseline in HbA1c, FPG, and body weight in T2DM subjects from the 12</w:t>
      </w:r>
      <w:r w:rsidR="00833C92">
        <w:rPr>
          <w:i/>
        </w:rPr>
        <w:t xml:space="preserve"> week</w:t>
      </w:r>
      <w:r w:rsidRPr="00133580">
        <w:rPr>
          <w:i/>
        </w:rPr>
        <w:t xml:space="preserve"> Phase II dose-ranging study (Study P016/1006). The relationship between change from baseline in HbA1c or FPG or body weight at Week 12</w:t>
      </w:r>
      <w:r w:rsidR="00CA2F4B" w:rsidRPr="00133580">
        <w:rPr>
          <w:i/>
        </w:rPr>
        <w:t xml:space="preserve"> versus</w:t>
      </w:r>
      <w:r w:rsidRPr="00133580">
        <w:rPr>
          <w:i/>
        </w:rPr>
        <w:t xml:space="preserve"> dose was described by </w:t>
      </w:r>
      <w:proofErr w:type="gramStart"/>
      <w:r w:rsidRPr="00133580">
        <w:rPr>
          <w:i/>
        </w:rPr>
        <w:t>an</w:t>
      </w:r>
      <w:proofErr w:type="gramEnd"/>
      <w:r w:rsidRPr="00133580">
        <w:rPr>
          <w:i/>
        </w:rPr>
        <w:t xml:space="preserve"> maximum effect (</w:t>
      </w:r>
      <w:r w:rsidR="007704B5" w:rsidRPr="00133580">
        <w:rPr>
          <w:rFonts w:eastAsiaTheme="minorHAnsi" w:cstheme="minorHAnsi"/>
          <w:i/>
          <w:color w:val="000000"/>
        </w:rPr>
        <w:t>E</w:t>
      </w:r>
      <w:r w:rsidR="007704B5" w:rsidRPr="00133580">
        <w:rPr>
          <w:rFonts w:eastAsiaTheme="minorHAnsi" w:cstheme="minorHAnsi"/>
          <w:i/>
          <w:color w:val="000000"/>
          <w:vertAlign w:val="subscript"/>
        </w:rPr>
        <w:t>max</w:t>
      </w:r>
      <w:r w:rsidRPr="00133580">
        <w:rPr>
          <w:i/>
        </w:rPr>
        <w:t xml:space="preserve">) model that included dose as a continuous variable. Phase III dose selection was also supported by dose-response modelling of the PD marker, </w:t>
      </w:r>
      <w:r w:rsidR="00133580" w:rsidRPr="00133580">
        <w:rPr>
          <w:i/>
        </w:rPr>
        <w:t>24 h</w:t>
      </w:r>
      <w:r w:rsidRPr="00133580">
        <w:rPr>
          <w:i/>
        </w:rPr>
        <w:t>our UGE, in subjects with T2DM from the 4</w:t>
      </w:r>
      <w:r w:rsidR="00833C92">
        <w:rPr>
          <w:i/>
        </w:rPr>
        <w:t xml:space="preserve"> week</w:t>
      </w:r>
      <w:r w:rsidRPr="00133580">
        <w:rPr>
          <w:i/>
        </w:rPr>
        <w:t xml:space="preserve"> Phase II Study P042/1004.’</w:t>
      </w:r>
    </w:p>
    <w:p w:rsidR="002E5CF1" w:rsidRDefault="002E5CF1" w:rsidP="00133580">
      <w:pPr>
        <w:ind w:left="1134"/>
      </w:pPr>
      <w:r w:rsidRPr="007A3D42">
        <w:t xml:space="preserve">The two </w:t>
      </w:r>
      <w:r>
        <w:t>Phase II</w:t>
      </w:r>
      <w:r w:rsidRPr="007A3D42">
        <w:t xml:space="preserve"> studies mentioned (</w:t>
      </w:r>
      <w:r w:rsidR="00F97665">
        <w:t xml:space="preserve">Studies </w:t>
      </w:r>
      <w:r w:rsidRPr="007A3D42">
        <w:t xml:space="preserve">P016/1006 and P042/1004) examined the following doses of ertugliflozin: 1 mg, 5 mg, 10 mg and 25 mg. Therefore as neither of the dose ranging/dose response Phase II studies directly examined the 15 mg dose and its choice appears to be arbitrary in the materials provided regarding the modelling studies, it is unclear why the 15 mg dose was chosen for the </w:t>
      </w:r>
      <w:r>
        <w:t>Phase III</w:t>
      </w:r>
      <w:r w:rsidRPr="007A3D42">
        <w:t xml:space="preserve"> and additional </w:t>
      </w:r>
      <w:r>
        <w:t>Phase I</w:t>
      </w:r>
      <w:r w:rsidRPr="007A3D42">
        <w:t xml:space="preserve"> trials.</w:t>
      </w:r>
    </w:p>
    <w:p w:rsidR="002E5CF1" w:rsidRPr="00424310" w:rsidRDefault="002E5CF1" w:rsidP="00424310">
      <w:pPr>
        <w:pStyle w:val="Heading2"/>
      </w:pPr>
      <w:bookmarkStart w:id="287" w:name="_Toc504038145"/>
      <w:bookmarkStart w:id="288" w:name="_Toc4489203"/>
      <w:r w:rsidRPr="00424310">
        <w:t>Dosage selection for the pivotal studies</w:t>
      </w:r>
      <w:bookmarkEnd w:id="287"/>
      <w:bookmarkEnd w:id="288"/>
    </w:p>
    <w:p w:rsidR="002E5CF1" w:rsidRPr="00424310" w:rsidRDefault="002E5CF1" w:rsidP="00424310">
      <w:pPr>
        <w:pStyle w:val="Heading3"/>
      </w:pPr>
      <w:bookmarkStart w:id="289" w:name="_Toc416353695"/>
      <w:bookmarkStart w:id="290" w:name="_Toc421005262"/>
      <w:bookmarkStart w:id="291" w:name="_Toc432079144"/>
      <w:bookmarkStart w:id="292" w:name="_Toc432080717"/>
      <w:bookmarkStart w:id="293" w:name="_Toc504038146"/>
      <w:bookmarkStart w:id="294" w:name="_Toc4489204"/>
      <w:r w:rsidRPr="00424310">
        <w:t>Pharmacokinetics and pharmacodynamics: dose finding studies</w:t>
      </w:r>
      <w:bookmarkEnd w:id="289"/>
      <w:bookmarkEnd w:id="290"/>
      <w:bookmarkEnd w:id="291"/>
      <w:bookmarkEnd w:id="292"/>
      <w:bookmarkEnd w:id="293"/>
      <w:bookmarkEnd w:id="294"/>
    </w:p>
    <w:p w:rsidR="00803C18" w:rsidRDefault="002E5CF1" w:rsidP="002E5CF1">
      <w:pPr>
        <w:autoSpaceDE w:val="0"/>
        <w:autoSpaceDN w:val="0"/>
        <w:adjustRightInd w:val="0"/>
        <w:spacing w:line="240" w:lineRule="auto"/>
      </w:pPr>
      <w:bookmarkStart w:id="295" w:name="_Toc416353696"/>
      <w:bookmarkStart w:id="296" w:name="_Toc421005263"/>
      <w:bookmarkStart w:id="297" w:name="_Toc432079145"/>
      <w:bookmarkStart w:id="298" w:name="_Toc432080718"/>
      <w:r>
        <w:rPr>
          <w:rFonts w:eastAsia="TimesNewRoman" w:cs="TimesNewRoman"/>
        </w:rPr>
        <w:t>O</w:t>
      </w:r>
      <w:r w:rsidRPr="00C64EC6">
        <w:rPr>
          <w:rFonts w:eastAsia="TimesNewRoman" w:cs="TimesNewRoman"/>
        </w:rPr>
        <w:t>ral doses of ertugliflozin as high as 300 mg (single</w:t>
      </w:r>
      <w:r>
        <w:rPr>
          <w:rFonts w:eastAsia="TimesNewRoman" w:cs="TimesNewRoman"/>
        </w:rPr>
        <w:t xml:space="preserve"> </w:t>
      </w:r>
      <w:r w:rsidRPr="00C64EC6">
        <w:rPr>
          <w:rFonts w:eastAsia="TimesNewRoman" w:cs="TimesNewRoman"/>
        </w:rPr>
        <w:t xml:space="preserve">dose), 100 </w:t>
      </w:r>
      <w:r w:rsidR="00730F18">
        <w:rPr>
          <w:rFonts w:eastAsia="TimesNewRoman" w:cs="TimesNewRoman"/>
        </w:rPr>
        <w:t>mg QD</w:t>
      </w:r>
      <w:r w:rsidRPr="00C64EC6">
        <w:rPr>
          <w:rFonts w:eastAsia="TimesNewRoman" w:cs="TimesNewRoman"/>
        </w:rPr>
        <w:t xml:space="preserve"> (up to 14 days), and 25 </w:t>
      </w:r>
      <w:r w:rsidR="00730F18">
        <w:rPr>
          <w:rFonts w:eastAsia="TimesNewRoman" w:cs="TimesNewRoman"/>
        </w:rPr>
        <w:t>mg QD</w:t>
      </w:r>
      <w:r w:rsidRPr="00C64EC6">
        <w:rPr>
          <w:rFonts w:eastAsia="TimesNewRoman" w:cs="TimesNewRoman"/>
        </w:rPr>
        <w:t xml:space="preserve"> (up to 12 weeks) demonstrated appropriate</w:t>
      </w:r>
      <w:r>
        <w:rPr>
          <w:rFonts w:eastAsia="TimesNewRoman" w:cs="TimesNewRoman"/>
        </w:rPr>
        <w:t xml:space="preserve"> </w:t>
      </w:r>
      <w:r w:rsidRPr="00C64EC6">
        <w:rPr>
          <w:rFonts w:eastAsia="TimesNewRoman" w:cs="TimesNewRoman"/>
        </w:rPr>
        <w:t xml:space="preserve">safety and tolerability in the early </w:t>
      </w:r>
      <w:r>
        <w:rPr>
          <w:rFonts w:eastAsia="TimesNewRoman" w:cs="TimesNewRoman"/>
        </w:rPr>
        <w:t>Phase I</w:t>
      </w:r>
      <w:r w:rsidRPr="00C64EC6">
        <w:rPr>
          <w:rFonts w:eastAsia="TimesNewRoman" w:cs="TimesNewRoman"/>
        </w:rPr>
        <w:t xml:space="preserve"> and 2 studies</w:t>
      </w:r>
      <w:r>
        <w:rPr>
          <w:rFonts w:eastAsia="TimesNewRoman" w:cs="TimesNewRoman"/>
        </w:rPr>
        <w:t>.</w:t>
      </w:r>
      <w:r w:rsidRPr="008966F6">
        <w:t xml:space="preserve"> </w:t>
      </w:r>
      <w:r w:rsidRPr="005C27E9">
        <w:t xml:space="preserve">The selection of the 5 mg and 15 mg doses </w:t>
      </w:r>
      <w:r>
        <w:t xml:space="preserve">for the Phase III studies </w:t>
      </w:r>
      <w:r w:rsidRPr="005C27E9">
        <w:t>was also supported by the safety and tolerability</w:t>
      </w:r>
      <w:r>
        <w:t xml:space="preserve"> </w:t>
      </w:r>
      <w:r w:rsidRPr="005C27E9">
        <w:t xml:space="preserve">profile for ertugliflozin in </w:t>
      </w:r>
      <w:r>
        <w:t>Phase</w:t>
      </w:r>
      <w:r w:rsidR="00133580">
        <w:t xml:space="preserve"> I</w:t>
      </w:r>
      <w:r>
        <w:t xml:space="preserve"> and </w:t>
      </w:r>
      <w:r w:rsidR="00133580">
        <w:t>II</w:t>
      </w:r>
      <w:r>
        <w:t xml:space="preserve"> </w:t>
      </w:r>
      <w:r w:rsidRPr="005C27E9">
        <w:t>clinical studies up to 12 weeks in duration. When accounting for</w:t>
      </w:r>
      <w:r>
        <w:t xml:space="preserve"> </w:t>
      </w:r>
      <w:r w:rsidRPr="005C27E9">
        <w:t xml:space="preserve">species differences in protein binding, the highest </w:t>
      </w:r>
      <w:r>
        <w:t>Phase III</w:t>
      </w:r>
      <w:r w:rsidRPr="005C27E9">
        <w:t xml:space="preserve"> dose of 15 mg </w:t>
      </w:r>
      <w:r w:rsidR="00337E5F">
        <w:t>QD</w:t>
      </w:r>
      <w:r w:rsidRPr="005C27E9">
        <w:t xml:space="preserve"> represented an</w:t>
      </w:r>
      <w:r>
        <w:t xml:space="preserve"> </w:t>
      </w:r>
      <w:r w:rsidRPr="005C27E9">
        <w:t>expo</w:t>
      </w:r>
      <w:r w:rsidR="00424310">
        <w:t xml:space="preserve">sure which was approximately 12 </w:t>
      </w:r>
      <w:r w:rsidRPr="005C27E9">
        <w:t xml:space="preserve">fold (for </w:t>
      </w:r>
      <w:r w:rsidR="006F000B">
        <w:rPr>
          <w:rFonts w:eastAsia="TimesNewRoman" w:cstheme="minorHAnsi"/>
        </w:rPr>
        <w:t>T</w:t>
      </w:r>
      <w:r w:rsidR="006F000B" w:rsidRPr="006F000B">
        <w:rPr>
          <w:rFonts w:eastAsia="TimesNewRoman" w:cstheme="minorHAnsi"/>
          <w:vertAlign w:val="subscript"/>
        </w:rPr>
        <w:t>max</w:t>
      </w:r>
      <w:r w:rsidRPr="005C27E9">
        <w:t xml:space="preserve"> </w:t>
      </w:r>
      <w:r w:rsidR="00424310">
        <w:t>(</w:t>
      </w:r>
      <w:r w:rsidRPr="005C27E9">
        <w:t>maximum concentration</w:t>
      </w:r>
      <w:r w:rsidR="00424310">
        <w:t xml:space="preserve">)) and 11 </w:t>
      </w:r>
      <w:r w:rsidRPr="005C27E9">
        <w:t>fold</w:t>
      </w:r>
      <w:r>
        <w:t xml:space="preserve"> </w:t>
      </w:r>
      <w:r w:rsidRPr="005C27E9">
        <w:t xml:space="preserve">(for area under curve over 24 hours </w:t>
      </w:r>
      <w:r w:rsidR="00424310">
        <w:t>(</w:t>
      </w:r>
      <w:r w:rsidR="00337E5F" w:rsidRPr="005C27E9">
        <w:t>AUC</w:t>
      </w:r>
      <w:r w:rsidR="00337E5F" w:rsidRPr="00337E5F">
        <w:rPr>
          <w:vertAlign w:val="subscript"/>
        </w:rPr>
        <w:t>0-24</w:t>
      </w:r>
      <w:r w:rsidR="00424310">
        <w:t>)</w:t>
      </w:r>
      <w:r w:rsidRPr="005C27E9">
        <w:t>) lower than exposure at the no observed</w:t>
      </w:r>
      <w:r>
        <w:t xml:space="preserve"> </w:t>
      </w:r>
      <w:r w:rsidRPr="005C27E9">
        <w:t>adverse effect level (NOAEL) in the 6-month toxicology study in the most sensitive species</w:t>
      </w:r>
      <w:r>
        <w:t xml:space="preserve"> </w:t>
      </w:r>
      <w:r w:rsidRPr="005C27E9">
        <w:t>(rat)</w:t>
      </w:r>
      <w:r w:rsidR="00803C18">
        <w:t>.</w:t>
      </w:r>
    </w:p>
    <w:p w:rsidR="002E5CF1" w:rsidRPr="00545B14" w:rsidRDefault="002E5CF1" w:rsidP="00337E5F">
      <w:pPr>
        <w:pStyle w:val="Heading3"/>
      </w:pPr>
      <w:bookmarkStart w:id="299" w:name="_Toc504038147"/>
      <w:bookmarkStart w:id="300" w:name="_Toc4489205"/>
      <w:r>
        <w:t>Phase II</w:t>
      </w:r>
      <w:r w:rsidRPr="00545B14">
        <w:t xml:space="preserve"> </w:t>
      </w:r>
      <w:r>
        <w:t>d</w:t>
      </w:r>
      <w:r w:rsidRPr="00545B14">
        <w:t xml:space="preserve">ose </w:t>
      </w:r>
      <w:r>
        <w:t>finding</w:t>
      </w:r>
      <w:r w:rsidRPr="00545B14">
        <w:t xml:space="preserve"> </w:t>
      </w:r>
      <w:r>
        <w:t>s</w:t>
      </w:r>
      <w:r w:rsidRPr="00545B14">
        <w:t>tudies</w:t>
      </w:r>
      <w:bookmarkEnd w:id="295"/>
      <w:bookmarkEnd w:id="296"/>
      <w:bookmarkEnd w:id="297"/>
      <w:bookmarkEnd w:id="298"/>
      <w:bookmarkEnd w:id="299"/>
      <w:bookmarkEnd w:id="300"/>
    </w:p>
    <w:p w:rsidR="00803C18" w:rsidRDefault="002E5CF1" w:rsidP="002E5CF1">
      <w:pPr>
        <w:autoSpaceDE w:val="0"/>
        <w:autoSpaceDN w:val="0"/>
        <w:adjustRightInd w:val="0"/>
        <w:spacing w:before="0" w:line="240" w:lineRule="auto"/>
        <w:rPr>
          <w:rFonts w:eastAsia="TimesNewRoman" w:cs="TimesNewRoman"/>
        </w:rPr>
      </w:pPr>
      <w:bookmarkStart w:id="301" w:name="_Toc416353712"/>
      <w:bookmarkStart w:id="302" w:name="_Toc421005265"/>
      <w:bookmarkStart w:id="303" w:name="_Toc432079147"/>
      <w:bookmarkStart w:id="304" w:name="_Toc432080720"/>
      <w:r w:rsidRPr="00DE6973">
        <w:rPr>
          <w:rFonts w:eastAsia="TimesNewRoman"/>
        </w:rPr>
        <w:t xml:space="preserve">The </w:t>
      </w:r>
      <w:r>
        <w:rPr>
          <w:rFonts w:eastAsia="TimesNewRoman"/>
        </w:rPr>
        <w:t>Phase II</w:t>
      </w:r>
      <w:r w:rsidRPr="00DE6973">
        <w:rPr>
          <w:rFonts w:eastAsia="TimesNewRoman"/>
        </w:rPr>
        <w:t xml:space="preserve"> </w:t>
      </w:r>
      <w:r w:rsidR="00F97665">
        <w:rPr>
          <w:rFonts w:eastAsia="TimesNewRoman"/>
        </w:rPr>
        <w:t>S</w:t>
      </w:r>
      <w:r w:rsidR="00F97665" w:rsidRPr="00DE6973">
        <w:rPr>
          <w:rFonts w:eastAsia="TimesNewRoman"/>
        </w:rPr>
        <w:t>tudy</w:t>
      </w:r>
      <w:r w:rsidR="00F97665" w:rsidRPr="00DE6973">
        <w:rPr>
          <w:rFonts w:eastAsia="TimesNewRoman"/>
          <w:b/>
        </w:rPr>
        <w:t xml:space="preserve"> </w:t>
      </w:r>
      <w:r w:rsidRPr="00337E5F">
        <w:t>P016/1006</w:t>
      </w:r>
      <w:r w:rsidRPr="00DE6973">
        <w:t xml:space="preserve"> assessed dose-response following 12 weeks of treatment with ertugliflozin (1 mg, 5 mg, 10 mg and 25 </w:t>
      </w:r>
      <w:r w:rsidR="00730F18">
        <w:t>mg QD</w:t>
      </w:r>
      <w:r w:rsidRPr="00DE6973">
        <w:t>) and sitagliptin 10</w:t>
      </w:r>
      <w:r w:rsidR="0038343A">
        <w:t>0 mg</w:t>
      </w:r>
      <w:r w:rsidR="00730F18">
        <w:t xml:space="preserve"> QD</w:t>
      </w:r>
      <w:r w:rsidRPr="00DE6973">
        <w:t xml:space="preserve"> in 328 subjects with inadequately controlled T2DM who were receiving stable doses of metformin (refer section </w:t>
      </w:r>
      <w:r w:rsidR="00337E5F" w:rsidRPr="00337E5F">
        <w:rPr>
          <w:i/>
        </w:rPr>
        <w:t>Efficacy</w:t>
      </w:r>
      <w:r w:rsidR="00337E5F">
        <w:t xml:space="preserve"> below</w:t>
      </w:r>
      <w:r w:rsidRPr="00DE6973">
        <w:t xml:space="preserve">). Results from this study </w:t>
      </w:r>
      <w:r w:rsidRPr="00DE6973">
        <w:rPr>
          <w:rFonts w:eastAsia="TimesNewRoman" w:cs="TimesNewRoman"/>
        </w:rPr>
        <w:t>confirmed the minimally efficacious dose as 1</w:t>
      </w:r>
      <w:r w:rsidR="00F97665">
        <w:rPr>
          <w:rFonts w:eastAsia="TimesNewRoman" w:cs="TimesNewRoman"/>
        </w:rPr>
        <w:t> </w:t>
      </w:r>
      <w:r w:rsidRPr="00DE6973">
        <w:rPr>
          <w:rFonts w:eastAsia="TimesNewRoman" w:cs="TimesNewRoman"/>
        </w:rPr>
        <w:t>mg with the 2 highest doses (10</w:t>
      </w:r>
      <w:r w:rsidR="00337E5F">
        <w:rPr>
          <w:rFonts w:eastAsia="TimesNewRoman" w:cs="TimesNewRoman"/>
        </w:rPr>
        <w:t xml:space="preserve"> m</w:t>
      </w:r>
      <w:r w:rsidRPr="00DE6973">
        <w:rPr>
          <w:rFonts w:eastAsia="TimesNewRoman" w:cs="TimesNewRoman"/>
        </w:rPr>
        <w:t>g and 2</w:t>
      </w:r>
      <w:r>
        <w:rPr>
          <w:rFonts w:eastAsia="TimesNewRoman" w:cs="TimesNewRoman"/>
        </w:rPr>
        <w:t>5 mg</w:t>
      </w:r>
      <w:r w:rsidRPr="00DE6973">
        <w:rPr>
          <w:rFonts w:eastAsia="TimesNewRoman" w:cs="TimesNewRoman"/>
        </w:rPr>
        <w:t>) offering little incremental increase in efficacy (</w:t>
      </w:r>
      <w:r w:rsidR="006F000B">
        <w:rPr>
          <w:rFonts w:eastAsia="TimesNewRoman" w:cs="TimesNewRoman"/>
        </w:rPr>
        <w:t>that is,</w:t>
      </w:r>
      <w:r w:rsidRPr="00DE6973">
        <w:rPr>
          <w:rFonts w:eastAsia="TimesNewRoman" w:cs="TimesNewRoman"/>
        </w:rPr>
        <w:t xml:space="preserve"> effect on HbA1c, FPG and body we</w:t>
      </w:r>
      <w:r w:rsidR="00424310">
        <w:rPr>
          <w:rFonts w:eastAsia="TimesNewRoman" w:cs="TimesNewRoman"/>
        </w:rPr>
        <w:t xml:space="preserve">ight) relative to the 5 mg once </w:t>
      </w:r>
      <w:r w:rsidRPr="00DE6973">
        <w:rPr>
          <w:rFonts w:eastAsia="TimesNewRoman" w:cs="TimesNewRoman"/>
        </w:rPr>
        <w:t>daily dose. The efficacy observed with the 5 mg QD represents greater than ED80 for the endpoints of Hb</w:t>
      </w:r>
      <w:r>
        <w:rPr>
          <w:rFonts w:eastAsia="TimesNewRoman" w:cs="TimesNewRoman"/>
        </w:rPr>
        <w:t>HbA1c</w:t>
      </w:r>
      <w:r w:rsidRPr="00DE6973">
        <w:rPr>
          <w:rFonts w:eastAsia="TimesNewRoman" w:cs="TimesNewRoman"/>
        </w:rPr>
        <w:t>, FPG and body weight. In addition to effect on glycaemic control and body weight, ertugliflozin was observed to result in a clinically meaningful decline in seated trough blood pressure</w:t>
      </w:r>
      <w:r w:rsidR="00424310">
        <w:rPr>
          <w:rFonts w:eastAsia="TimesNewRoman" w:cs="TimesNewRoman"/>
        </w:rPr>
        <w:t xml:space="preserve">. There was no overall dose </w:t>
      </w:r>
      <w:r w:rsidRPr="00DE6973">
        <w:rPr>
          <w:rFonts w:eastAsia="TimesNewRoman" w:cs="TimesNewRoman"/>
        </w:rPr>
        <w:t>related increase in the</w:t>
      </w:r>
      <w:r w:rsidR="00424310">
        <w:rPr>
          <w:rFonts w:eastAsia="TimesNewRoman" w:cs="TimesNewRoman"/>
        </w:rPr>
        <w:t xml:space="preserve"> frequency of AEs across the 25 </w:t>
      </w:r>
      <w:r w:rsidRPr="00DE6973">
        <w:rPr>
          <w:rFonts w:eastAsia="TimesNewRoman" w:cs="TimesNewRoman"/>
        </w:rPr>
        <w:t>fold range of doses evaluated (1 mg QD to 25 mg QD)</w:t>
      </w:r>
      <w:r w:rsidR="00803C18">
        <w:rPr>
          <w:rFonts w:eastAsia="TimesNewRoman" w:cs="TimesNewRoman"/>
        </w:rPr>
        <w:t>.</w:t>
      </w:r>
    </w:p>
    <w:p w:rsidR="002E5CF1" w:rsidRDefault="002E5CF1" w:rsidP="002E5CF1">
      <w:pPr>
        <w:spacing w:before="0" w:line="240" w:lineRule="auto"/>
        <w:rPr>
          <w:rFonts w:cstheme="minorHAnsi"/>
          <w:bCs/>
          <w:color w:val="000000"/>
        </w:rPr>
      </w:pPr>
      <w:r w:rsidRPr="00DE6973">
        <w:t xml:space="preserve">Another </w:t>
      </w:r>
      <w:r>
        <w:t>Phase II</w:t>
      </w:r>
      <w:r w:rsidR="00337E5F">
        <w:t xml:space="preserve"> S</w:t>
      </w:r>
      <w:r w:rsidRPr="00DE6973">
        <w:rPr>
          <w:rFonts w:cstheme="minorHAnsi"/>
          <w:bCs/>
          <w:color w:val="000000"/>
        </w:rPr>
        <w:t>tudy</w:t>
      </w:r>
      <w:r w:rsidRPr="00DE6973">
        <w:rPr>
          <w:rFonts w:cstheme="minorHAnsi"/>
          <w:b/>
          <w:bCs/>
          <w:color w:val="000000"/>
        </w:rPr>
        <w:t xml:space="preserve"> </w:t>
      </w:r>
      <w:r w:rsidRPr="00337E5F">
        <w:rPr>
          <w:rFonts w:cstheme="minorHAnsi"/>
        </w:rPr>
        <w:t>P042/1004</w:t>
      </w:r>
      <w:r w:rsidRPr="00DE6973">
        <w:rPr>
          <w:rFonts w:cstheme="minorHAnsi"/>
        </w:rPr>
        <w:t xml:space="preserve"> evaluated dose response (in terms of reduction in SBP, UGE and FPG) following 4 weeks treatment with ertugliflozin doses (1 mg, 5 mg or 25 mg) and HCTZ in 193 subjects with T2DM and i</w:t>
      </w:r>
      <w:r w:rsidRPr="00DE6973">
        <w:rPr>
          <w:rFonts w:eastAsia="TimesNewRoman" w:cs="TimesNewRoman"/>
        </w:rPr>
        <w:t xml:space="preserve">nadequate glycaemic and blood pressure control. Consistent with the mechanism of ertugliflozin , there was a statistically significant increase in </w:t>
      </w:r>
      <w:r w:rsidR="00133580">
        <w:rPr>
          <w:rFonts w:eastAsia="TimesNewRoman" w:cs="TimesNewRoman"/>
        </w:rPr>
        <w:t>24 h</w:t>
      </w:r>
      <w:r w:rsidRPr="00DE6973">
        <w:rPr>
          <w:rFonts w:eastAsia="TimesNewRoman" w:cs="TimesNewRoman"/>
        </w:rPr>
        <w:t xml:space="preserve">our UGE </w:t>
      </w:r>
      <w:r w:rsidRPr="00DE6973">
        <w:rPr>
          <w:rFonts w:eastAsia="TimesNewRoman" w:cs="TimesNewRoman"/>
        </w:rPr>
        <w:lastRenderedPageBreak/>
        <w:t>and decrease in FPG at Week 4 fo</w:t>
      </w:r>
      <w:r w:rsidRPr="00DE6973">
        <w:rPr>
          <w:rFonts w:eastAsia="TimesNewRoman" w:cs="TimesNewRoman"/>
          <w:color w:val="000000"/>
        </w:rPr>
        <w:t>r all 3 dose groups of ertugliflozin</w:t>
      </w:r>
      <w:r w:rsidR="00337E5F">
        <w:rPr>
          <w:rFonts w:eastAsia="TimesNewRoman" w:cs="TimesNewRoman"/>
          <w:color w:val="000000"/>
        </w:rPr>
        <w:t xml:space="preserve"> versus </w:t>
      </w:r>
      <w:r w:rsidRPr="00DE6973">
        <w:rPr>
          <w:rFonts w:eastAsia="TimesNewRoman" w:cs="TimesNewRoman"/>
        </w:rPr>
        <w:t>placebo although the 2</w:t>
      </w:r>
      <w:r>
        <w:rPr>
          <w:rFonts w:eastAsia="TimesNewRoman" w:cs="TimesNewRoman"/>
        </w:rPr>
        <w:t>5 mg</w:t>
      </w:r>
      <w:r w:rsidRPr="00DE6973">
        <w:rPr>
          <w:rFonts w:eastAsia="TimesNewRoman" w:cs="TimesNewRoman"/>
        </w:rPr>
        <w:t xml:space="preserve"> dose did not lead to much greater increase in UGE or decrease in FPG compared to the </w:t>
      </w:r>
      <w:r>
        <w:rPr>
          <w:rFonts w:eastAsia="TimesNewRoman" w:cs="TimesNewRoman"/>
        </w:rPr>
        <w:t>5</w:t>
      </w:r>
      <w:r w:rsidR="00F97665">
        <w:rPr>
          <w:rFonts w:eastAsia="TimesNewRoman" w:cs="TimesNewRoman"/>
        </w:rPr>
        <w:t> </w:t>
      </w:r>
      <w:r>
        <w:rPr>
          <w:rFonts w:eastAsia="TimesNewRoman" w:cs="TimesNewRoman"/>
        </w:rPr>
        <w:t>mg</w:t>
      </w:r>
      <w:r w:rsidRPr="00DE6973">
        <w:rPr>
          <w:rFonts w:eastAsia="TimesNewRoman" w:cs="TimesNewRoman"/>
        </w:rPr>
        <w:t xml:space="preserve"> </w:t>
      </w:r>
      <w:r w:rsidRPr="00337E5F">
        <w:rPr>
          <w:rFonts w:eastAsia="TimesNewRoman" w:cs="TimesNewRoman"/>
        </w:rPr>
        <w:t xml:space="preserve">dose (Table </w:t>
      </w:r>
      <w:r w:rsidR="00337E5F" w:rsidRPr="00337E5F">
        <w:rPr>
          <w:rFonts w:eastAsia="TimesNewRoman" w:cs="TimesNewRoman"/>
        </w:rPr>
        <w:t>18</w:t>
      </w:r>
      <w:r w:rsidRPr="00337E5F">
        <w:rPr>
          <w:rFonts w:eastAsia="TimesNewRoman" w:cs="TimesNewRoman"/>
        </w:rPr>
        <w:t>). These P</w:t>
      </w:r>
      <w:r>
        <w:rPr>
          <w:rFonts w:eastAsia="TimesNewRoman" w:cs="TimesNewRoman"/>
        </w:rPr>
        <w:t>hase II</w:t>
      </w:r>
      <w:r w:rsidRPr="00DE6973">
        <w:rPr>
          <w:rFonts w:eastAsia="TimesNewRoman" w:cs="TimesNewRoman"/>
        </w:rPr>
        <w:t xml:space="preserve"> studies </w:t>
      </w:r>
      <w:r w:rsidR="00424310">
        <w:rPr>
          <w:rFonts w:eastAsia="TimesNewRoman" w:cs="TimesNewRoman"/>
        </w:rPr>
        <w:t>were</w:t>
      </w:r>
      <w:r w:rsidRPr="00DE6973">
        <w:rPr>
          <w:rFonts w:eastAsia="TimesNewRoman" w:cs="TimesNewRoman"/>
        </w:rPr>
        <w:t xml:space="preserve"> discussed in detail.</w:t>
      </w:r>
      <w:r w:rsidRPr="00DE6973">
        <w:rPr>
          <w:rFonts w:eastAsia="TimesNewRoman" w:cs="TimesNewRoman"/>
          <w:b/>
        </w:rPr>
        <w:t xml:space="preserve"> </w:t>
      </w:r>
      <w:r w:rsidRPr="00DE6973">
        <w:rPr>
          <w:rFonts w:eastAsia="TimesNewRoman" w:cstheme="minorHAnsi"/>
        </w:rPr>
        <w:t xml:space="preserve">The above two </w:t>
      </w:r>
      <w:r>
        <w:rPr>
          <w:rFonts w:eastAsia="TimesNewRoman" w:cstheme="minorHAnsi"/>
        </w:rPr>
        <w:t>Phase II</w:t>
      </w:r>
      <w:r w:rsidRPr="00DE6973">
        <w:rPr>
          <w:rFonts w:eastAsia="TimesNewRoman" w:cstheme="minorHAnsi"/>
        </w:rPr>
        <w:t xml:space="preserve"> studies </w:t>
      </w:r>
      <w:r w:rsidRPr="00DE6973">
        <w:rPr>
          <w:rFonts w:cstheme="minorHAnsi"/>
          <w:bCs/>
          <w:color w:val="000000"/>
        </w:rPr>
        <w:t xml:space="preserve">provided the main data to enable the dose-response modelling which was used to determine the dose selection for the pivotal </w:t>
      </w:r>
      <w:r>
        <w:rPr>
          <w:rFonts w:cstheme="minorHAnsi"/>
          <w:bCs/>
          <w:color w:val="000000"/>
        </w:rPr>
        <w:t>Phase III</w:t>
      </w:r>
      <w:r w:rsidR="00337E5F">
        <w:rPr>
          <w:rFonts w:cstheme="minorHAnsi"/>
          <w:bCs/>
          <w:color w:val="000000"/>
        </w:rPr>
        <w:t xml:space="preserve"> studies.</w:t>
      </w:r>
    </w:p>
    <w:p w:rsidR="00337E5F" w:rsidRPr="00C738A2" w:rsidRDefault="00337E5F" w:rsidP="00337E5F">
      <w:pPr>
        <w:pStyle w:val="Tabletitle"/>
      </w:pPr>
      <w:bookmarkStart w:id="305" w:name="_Ref492027840"/>
      <w:bookmarkStart w:id="306" w:name="_Toc504038384"/>
      <w:r w:rsidRPr="00C738A2">
        <w:t xml:space="preserve">Table </w:t>
      </w:r>
      <w:r>
        <w:t xml:space="preserve">18: </w:t>
      </w:r>
      <w:r w:rsidRPr="00C738A2">
        <w:t xml:space="preserve">Statistical analysis (ANCOVA) of change from </w:t>
      </w:r>
      <w:r w:rsidR="00424310">
        <w:t>B</w:t>
      </w:r>
      <w:r w:rsidRPr="00C738A2">
        <w:t>aseline in 24 hour urinary glucose excretion (Grams/day) at week 4 (FAS LOCF)</w:t>
      </w:r>
      <w:bookmarkEnd w:id="305"/>
      <w:bookmarkEnd w:id="306"/>
    </w:p>
    <w:p w:rsidR="00337E5F" w:rsidRPr="00C738A2" w:rsidRDefault="002E1032" w:rsidP="000C6FC8">
      <w:r>
        <w:t xml:space="preserve"> </w:t>
      </w:r>
      <w:r w:rsidR="00337E5F" w:rsidRPr="00C738A2">
        <w:rPr>
          <w:noProof/>
          <w:lang w:eastAsia="en-AU"/>
        </w:rPr>
        <w:drawing>
          <wp:inline distT="0" distB="0" distL="0" distR="0" wp14:anchorId="55C84DF0" wp14:editId="0062CB14">
            <wp:extent cx="4887554" cy="2418968"/>
            <wp:effectExtent l="0" t="0" r="8890" b="635"/>
            <wp:docPr id="121" name="Picture 121" descr="Statistical analysis (ANCOVA) of change from baseline in 24 hour urinary glucose excretion (Grams/day) at week 4 (FAS LO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a:lum bright="-20000" contrast="40000"/>
                      <a:extLst>
                        <a:ext uri="{28A0092B-C50C-407E-A947-70E740481C1C}">
                          <a14:useLocalDpi xmlns:a14="http://schemas.microsoft.com/office/drawing/2010/main" val="0"/>
                        </a:ext>
                      </a:extLst>
                    </a:blip>
                    <a:srcRect/>
                    <a:stretch>
                      <a:fillRect/>
                    </a:stretch>
                  </pic:blipFill>
                  <pic:spPr bwMode="auto">
                    <a:xfrm>
                      <a:off x="0" y="0"/>
                      <a:ext cx="4885957" cy="2418178"/>
                    </a:xfrm>
                    <a:prstGeom prst="rect">
                      <a:avLst/>
                    </a:prstGeom>
                    <a:noFill/>
                    <a:ln>
                      <a:noFill/>
                    </a:ln>
                  </pic:spPr>
                </pic:pic>
              </a:graphicData>
            </a:graphic>
          </wp:inline>
        </w:drawing>
      </w:r>
    </w:p>
    <w:p w:rsidR="002E5CF1" w:rsidRPr="00DE6973" w:rsidRDefault="002E5CF1" w:rsidP="002E5CF1">
      <w:pPr>
        <w:spacing w:before="0" w:line="240" w:lineRule="auto"/>
        <w:rPr>
          <w:rFonts w:cstheme="minorHAnsi"/>
          <w:bCs/>
          <w:color w:val="000000"/>
        </w:rPr>
      </w:pPr>
      <w:r w:rsidRPr="00DE6973">
        <w:rPr>
          <w:rFonts w:cstheme="minorHAnsi"/>
          <w:bCs/>
          <w:color w:val="000000"/>
        </w:rPr>
        <w:t>However, the proposed ertugliflozin dose of 1</w:t>
      </w:r>
      <w:r>
        <w:rPr>
          <w:rFonts w:cstheme="minorHAnsi"/>
          <w:bCs/>
          <w:color w:val="000000"/>
        </w:rPr>
        <w:t xml:space="preserve">5 </w:t>
      </w:r>
      <w:r w:rsidR="00730F18">
        <w:rPr>
          <w:rFonts w:cstheme="minorHAnsi"/>
          <w:bCs/>
          <w:color w:val="000000"/>
        </w:rPr>
        <w:t>mg QD</w:t>
      </w:r>
      <w:r w:rsidRPr="00DE6973">
        <w:rPr>
          <w:rFonts w:cstheme="minorHAnsi"/>
          <w:bCs/>
          <w:color w:val="000000"/>
        </w:rPr>
        <w:t xml:space="preserve"> was not evaluated in either of these studies and the choice of the </w:t>
      </w:r>
      <w:r w:rsidRPr="00DE6973">
        <w:rPr>
          <w:rFonts w:cs="Calibri"/>
        </w:rPr>
        <w:t>15 mg dose appears to be arbitrary in the materials provided regarding the modelling studies.</w:t>
      </w:r>
      <w:r>
        <w:rPr>
          <w:rFonts w:cs="Calibri"/>
        </w:rPr>
        <w:t xml:space="preserve"> </w:t>
      </w:r>
      <w:r w:rsidRPr="00DE6973">
        <w:rPr>
          <w:rFonts w:cs="Calibri"/>
        </w:rPr>
        <w:t>The sponsors have been asked to provide further justification regarding the choice of the 1</w:t>
      </w:r>
      <w:r>
        <w:rPr>
          <w:rFonts w:cs="Calibri"/>
        </w:rPr>
        <w:t>5 mg</w:t>
      </w:r>
      <w:r w:rsidRPr="00DE6973">
        <w:rPr>
          <w:rFonts w:cs="Calibri"/>
        </w:rPr>
        <w:t xml:space="preserve"> dose for the pivotal studies.</w:t>
      </w:r>
    </w:p>
    <w:p w:rsidR="002E5CF1" w:rsidRPr="00C26639" w:rsidRDefault="002E5CF1" w:rsidP="00730F18">
      <w:pPr>
        <w:pStyle w:val="Heading3"/>
      </w:pPr>
      <w:bookmarkStart w:id="307" w:name="_Toc504038148"/>
      <w:bookmarkStart w:id="308" w:name="_Toc4489206"/>
      <w:r>
        <w:t>Phase III</w:t>
      </w:r>
      <w:r w:rsidRPr="00C26639">
        <w:t xml:space="preserve"> pivotal studies investigating more than one dose regimen</w:t>
      </w:r>
      <w:bookmarkEnd w:id="301"/>
      <w:bookmarkEnd w:id="302"/>
      <w:bookmarkEnd w:id="303"/>
      <w:bookmarkEnd w:id="304"/>
      <w:bookmarkEnd w:id="307"/>
      <w:bookmarkEnd w:id="308"/>
    </w:p>
    <w:p w:rsidR="00803C18" w:rsidRDefault="002E5CF1" w:rsidP="002E5CF1">
      <w:pPr>
        <w:autoSpaceDE w:val="0"/>
        <w:autoSpaceDN w:val="0"/>
        <w:adjustRightInd w:val="0"/>
        <w:spacing w:before="0" w:line="240" w:lineRule="auto"/>
        <w:rPr>
          <w:rFonts w:eastAsia="TimesNewRoman" w:cs="TimesNewRoman"/>
          <w:color w:val="000000"/>
        </w:rPr>
      </w:pPr>
      <w:bookmarkStart w:id="309" w:name="_Toc416353713"/>
      <w:bookmarkStart w:id="310" w:name="_Toc421005266"/>
      <w:bookmarkStart w:id="311" w:name="_Toc432079148"/>
      <w:bookmarkStart w:id="312" w:name="_Toc432080721"/>
      <w:r w:rsidRPr="00DE6973">
        <w:rPr>
          <w:rFonts w:eastAsia="TimesNewRoman" w:cs="TimesNewRoman"/>
        </w:rPr>
        <w:t xml:space="preserve">Ertugliflozin doses of 5 mg and 15 </w:t>
      </w:r>
      <w:r w:rsidR="00730F18">
        <w:rPr>
          <w:rFonts w:eastAsia="TimesNewRoman" w:cs="TimesNewRoman"/>
        </w:rPr>
        <w:t>mg QD</w:t>
      </w:r>
      <w:r w:rsidRPr="00DE6973">
        <w:rPr>
          <w:rFonts w:eastAsia="TimesNewRoman" w:cs="TimesNewRoman"/>
        </w:rPr>
        <w:t xml:space="preserve"> were evaluated in all seven </w:t>
      </w:r>
      <w:r>
        <w:rPr>
          <w:rFonts w:eastAsia="TimesNewRoman" w:cs="TimesNewRoman"/>
        </w:rPr>
        <w:t>Phase III</w:t>
      </w:r>
      <w:r w:rsidRPr="00DE6973">
        <w:rPr>
          <w:rFonts w:eastAsia="TimesNewRoman" w:cs="TimesNewRoman"/>
        </w:rPr>
        <w:t xml:space="preserve"> studies.</w:t>
      </w:r>
      <w:r w:rsidRPr="00DE6973">
        <w:rPr>
          <w:rFonts w:eastAsia="TimesNewRoman" w:cs="TimesNewRoman"/>
          <w:color w:val="000000"/>
        </w:rPr>
        <w:t xml:space="preserve"> Both ertugliflozin 5 mg and 15 mg demonstrated clinical efficacy in the </w:t>
      </w:r>
      <w:r>
        <w:rPr>
          <w:rFonts w:eastAsia="TimesNewRoman" w:cs="TimesNewRoman"/>
          <w:color w:val="000000"/>
        </w:rPr>
        <w:t>Phase III</w:t>
      </w:r>
      <w:r w:rsidRPr="00DE6973">
        <w:rPr>
          <w:rFonts w:eastAsia="TimesNewRoman" w:cs="TimesNewRoman"/>
          <w:color w:val="000000"/>
        </w:rPr>
        <w:t xml:space="preserve"> studies. The recommended starting dose is 5 mg and the 15 mg dose provides incremental glycaemic efficacy compared to the 5 mg dose. Although the studies were not powered for or designed to detect between-dose differences, the effects on </w:t>
      </w:r>
      <w:r>
        <w:rPr>
          <w:rFonts w:eastAsia="TimesNewRoman" w:cs="TimesNewRoman"/>
          <w:color w:val="000000"/>
        </w:rPr>
        <w:t>HbA1c</w:t>
      </w:r>
      <w:r w:rsidRPr="00DE6973">
        <w:rPr>
          <w:rFonts w:eastAsia="TimesNewRoman" w:cs="TimesNewRoman"/>
          <w:color w:val="000000"/>
        </w:rPr>
        <w:t xml:space="preserve">, FPG, and </w:t>
      </w:r>
      <w:r w:rsidR="00730F18">
        <w:rPr>
          <w:rFonts w:eastAsia="TimesNewRoman" w:cs="TimesNewRoman"/>
          <w:color w:val="000000"/>
        </w:rPr>
        <w:t>2 h PPG</w:t>
      </w:r>
      <w:r w:rsidRPr="00DE6973">
        <w:rPr>
          <w:rFonts w:eastAsia="TimesNewRoman" w:cs="TimesNewRoman"/>
          <w:color w:val="000000"/>
        </w:rPr>
        <w:t xml:space="preserve"> were generally greater for 15 mg</w:t>
      </w:r>
      <w:r w:rsidR="00337E5F">
        <w:rPr>
          <w:rFonts w:eastAsia="TimesNewRoman" w:cs="TimesNewRoman"/>
          <w:color w:val="000000"/>
        </w:rPr>
        <w:t xml:space="preserve"> versus </w:t>
      </w:r>
      <w:r w:rsidRPr="00DE6973">
        <w:rPr>
          <w:rFonts w:eastAsia="TimesNewRoman" w:cs="TimesNewRoman"/>
          <w:color w:val="000000"/>
        </w:rPr>
        <w:t xml:space="preserve">5 mg ertugliflozin across the </w:t>
      </w:r>
      <w:r>
        <w:rPr>
          <w:rFonts w:eastAsia="TimesNewRoman" w:cs="TimesNewRoman"/>
          <w:color w:val="000000"/>
        </w:rPr>
        <w:t>Phase III</w:t>
      </w:r>
      <w:r w:rsidRPr="00DE6973">
        <w:rPr>
          <w:rFonts w:eastAsia="TimesNewRoman" w:cs="TimesNewRoman"/>
          <w:color w:val="000000"/>
        </w:rPr>
        <w:t xml:space="preserve"> studies</w:t>
      </w:r>
      <w:r w:rsidR="00803C18">
        <w:rPr>
          <w:rFonts w:eastAsia="TimesNewRoman" w:cs="TimesNewRoman"/>
          <w:color w:val="000000"/>
        </w:rPr>
        <w:t>.</w:t>
      </w:r>
    </w:p>
    <w:p w:rsidR="002E5CF1" w:rsidRPr="00C26639" w:rsidRDefault="002E5CF1" w:rsidP="00730F18">
      <w:pPr>
        <w:pStyle w:val="Heading3"/>
      </w:pPr>
      <w:bookmarkStart w:id="313" w:name="_Toc504038149"/>
      <w:bookmarkStart w:id="314" w:name="_Toc4489207"/>
      <w:r w:rsidRPr="00C26639">
        <w:t>Evaluator’s conclusions on dose finding for the pivotal studies</w:t>
      </w:r>
      <w:bookmarkEnd w:id="309"/>
      <w:bookmarkEnd w:id="310"/>
      <w:bookmarkEnd w:id="311"/>
      <w:bookmarkEnd w:id="312"/>
      <w:bookmarkEnd w:id="313"/>
      <w:bookmarkEnd w:id="314"/>
    </w:p>
    <w:p w:rsidR="002E5CF1" w:rsidRDefault="002E5CF1" w:rsidP="002E5CF1">
      <w:pPr>
        <w:autoSpaceDE w:val="0"/>
        <w:autoSpaceDN w:val="0"/>
        <w:adjustRightInd w:val="0"/>
        <w:spacing w:before="0" w:line="240" w:lineRule="auto"/>
      </w:pPr>
      <w:r w:rsidRPr="00DE6973">
        <w:t xml:space="preserve">The doses of ertugliflozin evaluated in the </w:t>
      </w:r>
      <w:r>
        <w:t>Phase III</w:t>
      </w:r>
      <w:r w:rsidRPr="00DE6973">
        <w:t xml:space="preserve"> clinical s</w:t>
      </w:r>
      <w:r w:rsidR="000C6FC8">
        <w:t>tudies were 5 mg and 15 mg once </w:t>
      </w:r>
      <w:r w:rsidRPr="00DE6973">
        <w:t>daily (</w:t>
      </w:r>
      <w:r w:rsidR="00337E5F">
        <w:t>QD</w:t>
      </w:r>
      <w:r w:rsidRPr="00DE6973">
        <w:t xml:space="preserve">). Since oral doses of ertugliflozin as high as 300 mg (single dose), 100 mg </w:t>
      </w:r>
      <w:r w:rsidR="00337E5F">
        <w:t>QD</w:t>
      </w:r>
      <w:r w:rsidR="000C6FC8">
        <w:t xml:space="preserve"> (up to 14 </w:t>
      </w:r>
      <w:r w:rsidRPr="00DE6973">
        <w:t xml:space="preserve">days) and 25 mg </w:t>
      </w:r>
      <w:r w:rsidR="00337E5F">
        <w:t>QD</w:t>
      </w:r>
      <w:r w:rsidRPr="00DE6973">
        <w:t xml:space="preserve"> (up to 12 weeks) were safe and well tolerated in </w:t>
      </w:r>
      <w:r>
        <w:t>Phase I</w:t>
      </w:r>
      <w:r w:rsidRPr="00DE6973">
        <w:t>/ 2 studies, dose selection was based on dose-response modelling of efficacy endpoints (</w:t>
      </w:r>
      <w:r>
        <w:t>HbA1c</w:t>
      </w:r>
      <w:r w:rsidRPr="00DE6973">
        <w:t>, FPG, body weight) from Study P016/B1521006 (12</w:t>
      </w:r>
      <w:r w:rsidR="00833C92">
        <w:t xml:space="preserve"> week</w:t>
      </w:r>
      <w:r w:rsidRPr="00DE6973">
        <w:t xml:space="preserve"> </w:t>
      </w:r>
      <w:r>
        <w:t>Phase II</w:t>
      </w:r>
      <w:r w:rsidRPr="00DE6973">
        <w:t xml:space="preserve"> dose-ranging study) as well as </w:t>
      </w:r>
      <w:r w:rsidR="00133580">
        <w:t>24 h</w:t>
      </w:r>
      <w:r w:rsidRPr="00DE6973">
        <w:t>our UGE (mechanism biomarker) in T2DM subjects from Study P042/B1521004 (4</w:t>
      </w:r>
      <w:r w:rsidR="00833C92">
        <w:t xml:space="preserve"> week</w:t>
      </w:r>
      <w:r w:rsidRPr="00DE6973">
        <w:t xml:space="preserve"> </w:t>
      </w:r>
      <w:r>
        <w:t>Phase II</w:t>
      </w:r>
      <w:r w:rsidRPr="00DE6973">
        <w:t xml:space="preserve"> dose-ranging </w:t>
      </w:r>
      <w:r w:rsidRPr="00730F18">
        <w:t xml:space="preserve">study). The sponsors have stated that for these endpoints, the 5 mg and 15 mg doses consistently elicited a response that was &gt;80% and &gt;90% of the maximum response, respectively (Table </w:t>
      </w:r>
      <w:r w:rsidR="00730F18" w:rsidRPr="00730F18">
        <w:t>19</w:t>
      </w:r>
      <w:r w:rsidRPr="00730F18">
        <w:t>).</w:t>
      </w:r>
      <w:r w:rsidRPr="00DE6973">
        <w:t xml:space="preserve"> </w:t>
      </w:r>
      <w:r>
        <w:t xml:space="preserve">However, it is not clear how the results shown in </w:t>
      </w:r>
      <w:r w:rsidR="00730F18">
        <w:t xml:space="preserve">the table </w:t>
      </w:r>
      <w:r>
        <w:t>summarising the ‘Estimated percent maximum response for various endpoints’ were calculated. Furthermore, i</w:t>
      </w:r>
      <w:r w:rsidRPr="00DE6973">
        <w:t xml:space="preserve">t is important to note that </w:t>
      </w:r>
      <w:r>
        <w:t>neither</w:t>
      </w:r>
      <w:r w:rsidRPr="00DE6973">
        <w:t xml:space="preserve"> of the </w:t>
      </w:r>
      <w:r>
        <w:t>Phase II</w:t>
      </w:r>
      <w:r w:rsidRPr="00DE6973">
        <w:t xml:space="preserve"> studies evaluated the proposed 1</w:t>
      </w:r>
      <w:r>
        <w:t xml:space="preserve">5 </w:t>
      </w:r>
      <w:r w:rsidR="00730F18">
        <w:t>mg QD</w:t>
      </w:r>
      <w:r w:rsidRPr="00DE6973">
        <w:t xml:space="preserve"> </w:t>
      </w:r>
      <w:r w:rsidRPr="00DE6973">
        <w:lastRenderedPageBreak/>
        <w:t>dose of ertugliflozin and the sponsors have been asked to provide further clarification regarding choice of the 1</w:t>
      </w:r>
      <w:r>
        <w:t xml:space="preserve">5 </w:t>
      </w:r>
      <w:r w:rsidR="00730F18">
        <w:t>mg QD</w:t>
      </w:r>
      <w:r w:rsidRPr="00DE6973">
        <w:t xml:space="preserve"> dose for the pivotal </w:t>
      </w:r>
      <w:r>
        <w:t>Phase III</w:t>
      </w:r>
      <w:r w:rsidR="00730F18">
        <w:t xml:space="preserve"> studies.</w:t>
      </w:r>
    </w:p>
    <w:p w:rsidR="000C6FC8" w:rsidRDefault="00730F18" w:rsidP="000C6FC8">
      <w:pPr>
        <w:pStyle w:val="Tabletitle"/>
      </w:pPr>
      <w:bookmarkStart w:id="315" w:name="_Ref492027879"/>
      <w:bookmarkStart w:id="316" w:name="_Toc504038386"/>
      <w:r w:rsidRPr="00C738A2">
        <w:t xml:space="preserve">Table </w:t>
      </w:r>
      <w:r>
        <w:t xml:space="preserve">19: </w:t>
      </w:r>
      <w:r w:rsidRPr="00C738A2">
        <w:t>Estimated percent maximum response for various endpoints</w:t>
      </w:r>
      <w:bookmarkEnd w:id="315"/>
      <w:bookmarkEnd w:id="316"/>
    </w:p>
    <w:p w:rsidR="00730F18" w:rsidRPr="00C738A2" w:rsidRDefault="00730F18" w:rsidP="00321B0C">
      <w:r w:rsidRPr="00C738A2">
        <w:rPr>
          <w:noProof/>
          <w:lang w:eastAsia="en-AU"/>
        </w:rPr>
        <w:drawing>
          <wp:inline distT="0" distB="0" distL="0" distR="0" wp14:anchorId="0B58B7B9" wp14:editId="658CFBC3">
            <wp:extent cx="5731510" cy="898685"/>
            <wp:effectExtent l="0" t="0" r="2540" b="0"/>
            <wp:docPr id="123" name="Picture 123" descr="Estimated percent maximum response for various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lum bright="-20000" contrast="40000"/>
                      <a:extLst>
                        <a:ext uri="{28A0092B-C50C-407E-A947-70E740481C1C}">
                          <a14:useLocalDpi xmlns:a14="http://schemas.microsoft.com/office/drawing/2010/main" val="0"/>
                        </a:ext>
                      </a:extLst>
                    </a:blip>
                    <a:srcRect/>
                    <a:stretch>
                      <a:fillRect/>
                    </a:stretch>
                  </pic:blipFill>
                  <pic:spPr bwMode="auto">
                    <a:xfrm>
                      <a:off x="0" y="0"/>
                      <a:ext cx="5731510" cy="898685"/>
                    </a:xfrm>
                    <a:prstGeom prst="rect">
                      <a:avLst/>
                    </a:prstGeom>
                    <a:noFill/>
                    <a:ln>
                      <a:noFill/>
                    </a:ln>
                  </pic:spPr>
                </pic:pic>
              </a:graphicData>
            </a:graphic>
          </wp:inline>
        </w:drawing>
      </w:r>
    </w:p>
    <w:p w:rsidR="002E5CF1" w:rsidRDefault="002E5CF1" w:rsidP="00730F18">
      <w:pPr>
        <w:pStyle w:val="Heading2"/>
      </w:pPr>
      <w:bookmarkStart w:id="317" w:name="_Toc504038150"/>
      <w:bookmarkStart w:id="318" w:name="_Toc4489208"/>
      <w:r>
        <w:t>Clinical efficacy</w:t>
      </w:r>
      <w:bookmarkEnd w:id="317"/>
      <w:bookmarkEnd w:id="318"/>
    </w:p>
    <w:p w:rsidR="002E5CF1" w:rsidRDefault="002E5CF1" w:rsidP="00730F18">
      <w:pPr>
        <w:pStyle w:val="Heading3"/>
      </w:pPr>
      <w:bookmarkStart w:id="319" w:name="_Toc504038151"/>
      <w:bookmarkStart w:id="320" w:name="_Ref271037274"/>
      <w:bookmarkStart w:id="321" w:name="_Toc272414652"/>
      <w:bookmarkStart w:id="322" w:name="_Toc290888500"/>
      <w:bookmarkStart w:id="323" w:name="_Toc416353716"/>
      <w:bookmarkStart w:id="324" w:name="_Toc421005269"/>
      <w:bookmarkStart w:id="325" w:name="_Toc432079151"/>
      <w:bookmarkStart w:id="326" w:name="_Toc432080724"/>
      <w:bookmarkStart w:id="327" w:name="_Toc4489209"/>
      <w:r w:rsidRPr="00545B14">
        <w:t xml:space="preserve">Studies providing evaluable </w:t>
      </w:r>
      <w:r>
        <w:t>efficacy</w:t>
      </w:r>
      <w:r w:rsidRPr="00545B14">
        <w:t xml:space="preserve"> data</w:t>
      </w:r>
      <w:bookmarkEnd w:id="319"/>
      <w:bookmarkEnd w:id="327"/>
    </w:p>
    <w:p w:rsidR="002E5CF1" w:rsidRDefault="002E5CF1" w:rsidP="00FB1E32">
      <w:pPr>
        <w:rPr>
          <w:b/>
        </w:rPr>
      </w:pPr>
      <w:r w:rsidRPr="00A47912">
        <w:t xml:space="preserve">The </w:t>
      </w:r>
      <w:r>
        <w:t>Phase III</w:t>
      </w:r>
      <w:r w:rsidRPr="00A47912">
        <w:t xml:space="preserve"> program included 7 </w:t>
      </w:r>
      <w:r>
        <w:t xml:space="preserve">pivotal </w:t>
      </w:r>
      <w:r w:rsidRPr="00A47912">
        <w:t>studies to support the efficacy of ertugliflozin as</w:t>
      </w:r>
      <w:r>
        <w:t xml:space="preserve"> </w:t>
      </w:r>
      <w:r w:rsidRPr="00A47912">
        <w:t>monotherapy and combination therapy.</w:t>
      </w:r>
      <w:r>
        <w:t xml:space="preserve"> </w:t>
      </w:r>
      <w:r w:rsidRPr="00A47912">
        <w:t xml:space="preserve">All </w:t>
      </w:r>
      <w:r>
        <w:t>Phase III</w:t>
      </w:r>
      <w:r w:rsidRPr="00A47912">
        <w:t xml:space="preserve"> studies evaluated 2 doses of er</w:t>
      </w:r>
      <w:r>
        <w:t xml:space="preserve">tugliflozin (15 mg and 5 </w:t>
      </w:r>
      <w:r w:rsidR="00730F18">
        <w:t>mg QD</w:t>
      </w:r>
      <w:r w:rsidRPr="00730F18">
        <w:t xml:space="preserve">) (Table </w:t>
      </w:r>
      <w:r w:rsidR="00730F18" w:rsidRPr="00730F18">
        <w:t>20</w:t>
      </w:r>
      <w:r w:rsidRPr="00730F18">
        <w:t>).</w:t>
      </w:r>
    </w:p>
    <w:p w:rsidR="00730F18" w:rsidRPr="00C738A2" w:rsidRDefault="00730F18" w:rsidP="00730F18">
      <w:pPr>
        <w:pStyle w:val="Tabletitle"/>
      </w:pPr>
      <w:bookmarkStart w:id="328" w:name="_Ref492027902"/>
      <w:bookmarkStart w:id="329" w:name="_Toc504038387"/>
      <w:r w:rsidRPr="00C738A2">
        <w:t xml:space="preserve">Table </w:t>
      </w:r>
      <w:r>
        <w:t xml:space="preserve">20: </w:t>
      </w:r>
      <w:r w:rsidRPr="00C738A2">
        <w:t xml:space="preserve">Overview of Phase </w:t>
      </w:r>
      <w:r w:rsidR="00456C5E">
        <w:t>III</w:t>
      </w:r>
      <w:r w:rsidRPr="00C738A2">
        <w:t xml:space="preserve"> studies</w:t>
      </w:r>
      <w:bookmarkEnd w:id="328"/>
      <w:bookmarkEnd w:id="329"/>
    </w:p>
    <w:p w:rsidR="00730F18" w:rsidRPr="00321B0C" w:rsidRDefault="00730F18" w:rsidP="00321B0C">
      <w:r>
        <w:rPr>
          <w:noProof/>
          <w:lang w:eastAsia="en-AU"/>
        </w:rPr>
        <w:drawing>
          <wp:inline distT="0" distB="0" distL="0" distR="0" wp14:anchorId="040F7070" wp14:editId="5F593454">
            <wp:extent cx="5731510" cy="4929956"/>
            <wp:effectExtent l="0" t="0" r="2540" b="4445"/>
            <wp:docPr id="7" name="Picture 7" descr="Overview of Phase 3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4929956"/>
                    </a:xfrm>
                    <a:prstGeom prst="rect">
                      <a:avLst/>
                    </a:prstGeom>
                  </pic:spPr>
                </pic:pic>
              </a:graphicData>
            </a:graphic>
          </wp:inline>
        </w:drawing>
      </w:r>
    </w:p>
    <w:p w:rsidR="002E5CF1" w:rsidRPr="00245A4E" w:rsidRDefault="002E5CF1" w:rsidP="00456C5E">
      <w:pPr>
        <w:pStyle w:val="Heading4"/>
      </w:pPr>
      <w:r w:rsidRPr="00DE6973">
        <w:lastRenderedPageBreak/>
        <w:t>Monotherapy</w:t>
      </w:r>
    </w:p>
    <w:p w:rsidR="002E5CF1" w:rsidRPr="00456C5E" w:rsidRDefault="00FB1E32" w:rsidP="00FB1E32">
      <w:pPr>
        <w:rPr>
          <w:rFonts w:eastAsia="TimesNewRoman" w:cs="TimesNewRoman"/>
        </w:rPr>
      </w:pPr>
      <w:r>
        <w:t xml:space="preserve">Study </w:t>
      </w:r>
      <w:r w:rsidR="002E5CF1" w:rsidRPr="00456C5E">
        <w:t xml:space="preserve">P003/1022: A Phase III, </w:t>
      </w:r>
      <w:r w:rsidRPr="00456C5E">
        <w:t>ra</w:t>
      </w:r>
      <w:r>
        <w:t>ndomised, double blind, placebo</w:t>
      </w:r>
      <w:r w:rsidRPr="00456C5E">
        <w:t xml:space="preserve"> controlled, 26 week multicentre study </w:t>
      </w:r>
      <w:r>
        <w:t>with a 26</w:t>
      </w:r>
      <w:r w:rsidR="002E5CF1" w:rsidRPr="00456C5E">
        <w:t xml:space="preserve"> </w:t>
      </w:r>
      <w:r w:rsidRPr="00456C5E">
        <w:t xml:space="preserve">week extension to evaluate the efficacy and safety of ertugliflozin monotherapy in the treatment of subjects </w:t>
      </w:r>
      <w:r w:rsidR="002E5CF1" w:rsidRPr="00456C5E">
        <w:t xml:space="preserve">with T2DM and </w:t>
      </w:r>
      <w:r w:rsidRPr="00456C5E">
        <w:t>inadequate glycaemic control despite diet and exe</w:t>
      </w:r>
      <w:r w:rsidR="002E5CF1" w:rsidRPr="00456C5E">
        <w:t>rcise.</w:t>
      </w:r>
    </w:p>
    <w:p w:rsidR="002E5CF1" w:rsidRPr="00DE6973" w:rsidRDefault="002E5CF1" w:rsidP="00456C5E">
      <w:pPr>
        <w:pStyle w:val="Heading4"/>
      </w:pPr>
      <w:r w:rsidRPr="00DE6973">
        <w:t>Combination with other anti-hyperglycaemic agents (AHAs)</w:t>
      </w:r>
    </w:p>
    <w:p w:rsidR="002E5CF1" w:rsidRPr="001F0053" w:rsidRDefault="002E5CF1" w:rsidP="00456C5E">
      <w:pPr>
        <w:pStyle w:val="Heading5"/>
      </w:pPr>
      <w:r w:rsidRPr="001F0053">
        <w:t>Add-on to metformin</w:t>
      </w:r>
    </w:p>
    <w:p w:rsidR="002E5CF1" w:rsidRPr="007A503D" w:rsidRDefault="00FB1E32" w:rsidP="00456C5E">
      <w:r>
        <w:t xml:space="preserve">Study </w:t>
      </w:r>
      <w:r w:rsidR="002E5CF1">
        <w:t xml:space="preserve">P007/1017: </w:t>
      </w:r>
      <w:r w:rsidR="002E5CF1" w:rsidRPr="007A503D">
        <w:t xml:space="preserve">A </w:t>
      </w:r>
      <w:r w:rsidR="002E5CF1">
        <w:t>Phase III</w:t>
      </w:r>
      <w:r w:rsidR="002E5CF1" w:rsidRPr="007A503D">
        <w:t xml:space="preserve">, </w:t>
      </w:r>
      <w:r>
        <w:t xml:space="preserve">randomised, double blind, placebo controlled, 26 </w:t>
      </w:r>
      <w:r w:rsidRPr="007A503D">
        <w:t>week multicent</w:t>
      </w:r>
      <w:r>
        <w:t>re study with a 78</w:t>
      </w:r>
      <w:r w:rsidRPr="007A503D">
        <w:t xml:space="preserve"> week extension to evaluate</w:t>
      </w:r>
      <w:r>
        <w:t xml:space="preserve"> </w:t>
      </w:r>
      <w:r w:rsidRPr="007A503D">
        <w:t xml:space="preserve">the efficacy and safety of ertugliflozin in subjects </w:t>
      </w:r>
      <w:r w:rsidR="002E5CF1" w:rsidRPr="007A503D">
        <w:t>with T</w:t>
      </w:r>
      <w:r w:rsidR="002E5CF1">
        <w:t>2DM</w:t>
      </w:r>
      <w:r w:rsidR="002E5CF1" w:rsidRPr="007A503D">
        <w:t xml:space="preserve"> and </w:t>
      </w:r>
      <w:r w:rsidRPr="007A503D">
        <w:t>inadequate glycaemic control on metformin monotherapy</w:t>
      </w:r>
      <w:r w:rsidR="002E5CF1">
        <w:t>.</w:t>
      </w:r>
    </w:p>
    <w:p w:rsidR="002E5CF1" w:rsidRPr="00245A4E" w:rsidRDefault="00FB1E32" w:rsidP="00456C5E">
      <w:r>
        <w:t xml:space="preserve">Study </w:t>
      </w:r>
      <w:r w:rsidR="002E5CF1" w:rsidRPr="00245A4E">
        <w:t>P002/1013: A Phase III</w:t>
      </w:r>
      <w:r w:rsidRPr="00245A4E">
        <w:t xml:space="preserve">, </w:t>
      </w:r>
      <w:r>
        <w:t xml:space="preserve">multicentre, randomised, double blind, </w:t>
      </w:r>
      <w:proofErr w:type="gramStart"/>
      <w:r>
        <w:t>active</w:t>
      </w:r>
      <w:proofErr w:type="gramEnd"/>
      <w:r>
        <w:t xml:space="preserve"> comparator</w:t>
      </w:r>
      <w:r w:rsidRPr="00245A4E">
        <w:t xml:space="preserve"> controlled clinical trial to study the safety and efficacy of the addition of ertugliflozin (</w:t>
      </w:r>
      <w:r w:rsidR="002E5CF1" w:rsidRPr="00245A4E">
        <w:t xml:space="preserve">MK-8835/PF-04971729) </w:t>
      </w:r>
      <w:r w:rsidRPr="00245A4E">
        <w:t xml:space="preserve">compared with the addition of glimepiride in subjects with </w:t>
      </w:r>
      <w:r w:rsidR="002E5CF1" w:rsidRPr="00245A4E">
        <w:t xml:space="preserve">T2DM </w:t>
      </w:r>
      <w:r w:rsidRPr="00245A4E">
        <w:t>who have inadequate glycaemic control on metformin.</w:t>
      </w:r>
    </w:p>
    <w:p w:rsidR="002E5CF1" w:rsidRPr="007A503D" w:rsidRDefault="00FB1E32" w:rsidP="00456C5E">
      <w:r>
        <w:t xml:space="preserve">Study </w:t>
      </w:r>
      <w:r w:rsidR="002E5CF1" w:rsidRPr="007A503D">
        <w:t xml:space="preserve">P005/1019: A Phase III, </w:t>
      </w:r>
      <w:r>
        <w:t xml:space="preserve">randomised, double </w:t>
      </w:r>
      <w:r w:rsidRPr="007A503D">
        <w:t>blind, multicent</w:t>
      </w:r>
      <w:r>
        <w:t>re</w:t>
      </w:r>
      <w:r w:rsidRPr="007A503D">
        <w:t xml:space="preserve"> study to evaluate the efficacy and safety of the combination of ertugliflozin </w:t>
      </w:r>
      <w:r w:rsidR="002E5CF1" w:rsidRPr="007A503D">
        <w:t xml:space="preserve">(MK- 8835/PF-04971729) </w:t>
      </w:r>
      <w:r w:rsidRPr="007A503D">
        <w:t xml:space="preserve">with sitagliptin compared with ertugliflozin alone and sitagliptin alone, in the treatment of subjects with </w:t>
      </w:r>
      <w:r w:rsidR="002E5CF1" w:rsidRPr="007A503D">
        <w:t xml:space="preserve">T2DM </w:t>
      </w:r>
      <w:r w:rsidRPr="007A503D">
        <w:t>with inadequate glycaemic control on metformin monotherapy</w:t>
      </w:r>
      <w:r w:rsidR="002E5CF1">
        <w:t>.</w:t>
      </w:r>
    </w:p>
    <w:p w:rsidR="002E5CF1" w:rsidRDefault="002E5CF1" w:rsidP="00456C5E">
      <w:pPr>
        <w:pStyle w:val="Heading5"/>
      </w:pPr>
      <w:r w:rsidRPr="001F0053">
        <w:t>Add-on to metformin plus sitagliptin</w:t>
      </w:r>
    </w:p>
    <w:p w:rsidR="002E5CF1" w:rsidRPr="007A503D" w:rsidRDefault="00FB1E32" w:rsidP="00456C5E">
      <w:r>
        <w:t xml:space="preserve">Study </w:t>
      </w:r>
      <w:r w:rsidR="002E5CF1" w:rsidRPr="007A503D">
        <w:t xml:space="preserve">P006/1015: Phase III, </w:t>
      </w:r>
      <w:r w:rsidRPr="007A503D">
        <w:t>multicent</w:t>
      </w:r>
      <w:r>
        <w:t>re</w:t>
      </w:r>
      <w:r w:rsidRPr="007A503D">
        <w:t xml:space="preserve">, </w:t>
      </w:r>
      <w:r>
        <w:t xml:space="preserve">randomised, double blind, placebo controlled, parallel </w:t>
      </w:r>
      <w:r w:rsidRPr="007A503D">
        <w:t xml:space="preserve">group clinical trial to evaluate the safety and efficacy of ertugliflozin </w:t>
      </w:r>
      <w:r w:rsidR="002E5CF1" w:rsidRPr="007A503D">
        <w:t xml:space="preserve">(MK- 8835/PF-04971729) in the </w:t>
      </w:r>
      <w:r w:rsidRPr="007A503D">
        <w:t xml:space="preserve">treatment of subjects with </w:t>
      </w:r>
      <w:r w:rsidR="002E5CF1" w:rsidRPr="007A503D">
        <w:t xml:space="preserve">T2DM </w:t>
      </w:r>
      <w:r w:rsidRPr="007A503D">
        <w:t>who have inadequate glycaemic control on metformin and sitagliptin</w:t>
      </w:r>
      <w:r>
        <w:t>.</w:t>
      </w:r>
    </w:p>
    <w:p w:rsidR="002E5CF1" w:rsidRPr="001F0053" w:rsidRDefault="002E5CF1" w:rsidP="00456C5E">
      <w:pPr>
        <w:pStyle w:val="Heading5"/>
      </w:pPr>
      <w:r w:rsidRPr="001F0053">
        <w:t xml:space="preserve">Co-administration with sitagliptin in subjects on diet </w:t>
      </w:r>
      <w:r w:rsidR="00456C5E">
        <w:t>and exercise alone</w:t>
      </w:r>
    </w:p>
    <w:p w:rsidR="002E5CF1" w:rsidRPr="007A503D" w:rsidRDefault="00FB1E32" w:rsidP="00456C5E">
      <w:r>
        <w:t xml:space="preserve">Study </w:t>
      </w:r>
      <w:r w:rsidR="002E5CF1" w:rsidRPr="007A503D">
        <w:t xml:space="preserve">P017/1047: A Phase III, </w:t>
      </w:r>
      <w:r>
        <w:t xml:space="preserve">randomised, double blind, placebo controlled, parallel </w:t>
      </w:r>
      <w:r w:rsidRPr="007A503D">
        <w:t>group, multicent</w:t>
      </w:r>
      <w:r>
        <w:t>re</w:t>
      </w:r>
      <w:r w:rsidRPr="007A503D">
        <w:t xml:space="preserve"> clinical trial to evaluate the efficacy and safety of the initial combination of ertugliflozi</w:t>
      </w:r>
      <w:r w:rsidR="002E5CF1" w:rsidRPr="007A503D">
        <w:t xml:space="preserve">n (MK-8835/PF-04971729) with </w:t>
      </w:r>
      <w:r w:rsidRPr="007A503D">
        <w:t xml:space="preserve">sitagliptin in the treatment of subjects </w:t>
      </w:r>
      <w:r w:rsidR="002E5CF1" w:rsidRPr="007A503D">
        <w:t xml:space="preserve">with T2DM </w:t>
      </w:r>
      <w:r w:rsidRPr="007A503D">
        <w:t>with inadequate glycaemic control on diet and exercise</w:t>
      </w:r>
      <w:r w:rsidR="002E5CF1">
        <w:t>.</w:t>
      </w:r>
    </w:p>
    <w:p w:rsidR="002E5CF1" w:rsidRPr="001F0053" w:rsidRDefault="00456C5E" w:rsidP="00456C5E">
      <w:pPr>
        <w:pStyle w:val="Heading5"/>
      </w:pPr>
      <w:r>
        <w:t>Studies in special populations</w:t>
      </w:r>
    </w:p>
    <w:p w:rsidR="002E5CF1" w:rsidRPr="00245A4E" w:rsidRDefault="00FB1E32" w:rsidP="00456C5E">
      <w:r>
        <w:t xml:space="preserve">Study </w:t>
      </w:r>
      <w:r w:rsidR="002E5CF1" w:rsidRPr="00245A4E">
        <w:t xml:space="preserve">P001/1016: A Phase III, </w:t>
      </w:r>
      <w:r w:rsidRPr="00245A4E">
        <w:t>multicentre, ra</w:t>
      </w:r>
      <w:r>
        <w:t xml:space="preserve">ndomised, double blind, </w:t>
      </w:r>
      <w:proofErr w:type="gramStart"/>
      <w:r>
        <w:t>placebo</w:t>
      </w:r>
      <w:proofErr w:type="gramEnd"/>
      <w:r>
        <w:t xml:space="preserve"> </w:t>
      </w:r>
      <w:r w:rsidRPr="00245A4E">
        <w:t xml:space="preserve">controlled clinical trial to evaluate the efficacy and safety of ertugliflozin </w:t>
      </w:r>
      <w:r w:rsidR="002E5CF1" w:rsidRPr="00245A4E">
        <w:t xml:space="preserve">(MK-8835/PF-04971729) in </w:t>
      </w:r>
      <w:r>
        <w:t>s</w:t>
      </w:r>
      <w:r w:rsidR="002E5CF1" w:rsidRPr="00245A4E">
        <w:t xml:space="preserve">ubjects with T2DM with Stage 3 </w:t>
      </w:r>
      <w:r w:rsidRPr="00245A4E">
        <w:t>chronic kidney disease who have inadequate glycaemic control on background ant</w:t>
      </w:r>
      <w:r>
        <w:t>i-</w:t>
      </w:r>
      <w:r w:rsidRPr="00245A4E">
        <w:t>hyperglycaemic therapy</w:t>
      </w:r>
      <w:r w:rsidR="002E5CF1" w:rsidRPr="00245A4E">
        <w:t>.</w:t>
      </w:r>
    </w:p>
    <w:p w:rsidR="002E5CF1" w:rsidRPr="00FB1E32" w:rsidRDefault="002E5CF1" w:rsidP="00FB1E32">
      <w:pPr>
        <w:pStyle w:val="Heading3"/>
      </w:pPr>
      <w:bookmarkStart w:id="330" w:name="_Toc504038152"/>
      <w:bookmarkStart w:id="331" w:name="_Toc4489210"/>
      <w:r w:rsidRPr="00FB1E32">
        <w:t>Pivotal or main efficacy studies</w:t>
      </w:r>
      <w:bookmarkEnd w:id="320"/>
      <w:bookmarkEnd w:id="321"/>
      <w:bookmarkEnd w:id="322"/>
      <w:bookmarkEnd w:id="323"/>
      <w:bookmarkEnd w:id="324"/>
      <w:bookmarkEnd w:id="325"/>
      <w:bookmarkEnd w:id="326"/>
      <w:bookmarkEnd w:id="330"/>
      <w:bookmarkEnd w:id="331"/>
    </w:p>
    <w:p w:rsidR="002E5CF1" w:rsidRPr="005632DC" w:rsidRDefault="002E5CF1" w:rsidP="00456C5E">
      <w:pPr>
        <w:pStyle w:val="Heading4"/>
      </w:pPr>
      <w:bookmarkStart w:id="332" w:name="_Ref243301615"/>
      <w:bookmarkStart w:id="333" w:name="_Ref271040927"/>
      <w:bookmarkStart w:id="334" w:name="_Ref271040932"/>
      <w:bookmarkStart w:id="335" w:name="_Toc272414653"/>
      <w:bookmarkStart w:id="336" w:name="_Toc290888501"/>
      <w:bookmarkStart w:id="337" w:name="_Toc416353717"/>
      <w:bookmarkStart w:id="338" w:name="_Ref492031522"/>
      <w:bookmarkStart w:id="339" w:name="_Ref492031555"/>
      <w:bookmarkStart w:id="340" w:name="_Toc504038153"/>
      <w:r w:rsidRPr="005632DC">
        <w:t xml:space="preserve">Study </w:t>
      </w:r>
      <w:bookmarkEnd w:id="332"/>
      <w:bookmarkEnd w:id="333"/>
      <w:bookmarkEnd w:id="334"/>
      <w:bookmarkEnd w:id="335"/>
      <w:bookmarkEnd w:id="336"/>
      <w:bookmarkEnd w:id="337"/>
      <w:r>
        <w:t>P003/1022: Monotherapy</w:t>
      </w:r>
      <w:bookmarkEnd w:id="338"/>
      <w:bookmarkEnd w:id="339"/>
      <w:bookmarkEnd w:id="340"/>
    </w:p>
    <w:p w:rsidR="002E5CF1" w:rsidRPr="005632DC" w:rsidRDefault="002E5CF1" w:rsidP="00456C5E">
      <w:pPr>
        <w:pStyle w:val="Heading5"/>
      </w:pPr>
      <w:r w:rsidRPr="005632DC">
        <w:t>Study design, objectives, locations and dates</w:t>
      </w:r>
    </w:p>
    <w:p w:rsidR="002E5CF1" w:rsidRPr="00833C92" w:rsidRDefault="002E5CF1" w:rsidP="00FB1E32">
      <w:r w:rsidRPr="00144ECC">
        <w:t>This was a 52</w:t>
      </w:r>
      <w:r w:rsidR="00833C92">
        <w:t xml:space="preserve"> week</w:t>
      </w:r>
      <w:r w:rsidRPr="00144ECC">
        <w:t xml:space="preserve">, multi-centre, </w:t>
      </w:r>
      <w:r>
        <w:t>randomised</w:t>
      </w:r>
      <w:r w:rsidRPr="00144ECC">
        <w:t>, parallel-group study with a 26</w:t>
      </w:r>
      <w:r w:rsidR="00833C92">
        <w:t xml:space="preserve"> week</w:t>
      </w:r>
      <w:r w:rsidRPr="00144ECC">
        <w:t>,</w:t>
      </w:r>
      <w:r>
        <w:t xml:space="preserve"> </w:t>
      </w:r>
      <w:r w:rsidR="00FB1E32">
        <w:t xml:space="preserve">double blind, placebo </w:t>
      </w:r>
      <w:r w:rsidRPr="00144ECC">
        <w:t>controlled treatment period (Phase A) followed by a 26</w:t>
      </w:r>
      <w:r w:rsidR="00833C92">
        <w:t xml:space="preserve"> week</w:t>
      </w:r>
      <w:r>
        <w:t xml:space="preserve"> </w:t>
      </w:r>
      <w:r w:rsidR="00FB1E32">
        <w:t xml:space="preserve">active </w:t>
      </w:r>
      <w:r w:rsidRPr="00144ECC">
        <w:t>controlled treatment period (Phase B)</w:t>
      </w:r>
      <w:r w:rsidR="00F97665">
        <w:t>;</w:t>
      </w:r>
      <w:r w:rsidRPr="00144ECC">
        <w:rPr>
          <w:rStyle w:val="FootnoteReference"/>
          <w:rFonts w:asciiTheme="minorHAnsi" w:eastAsiaTheme="minorHAnsi" w:hAnsiTheme="minorHAnsi"/>
        </w:rPr>
        <w:footnoteReference w:id="3"/>
      </w:r>
      <w:r w:rsidRPr="00144ECC">
        <w:t xml:space="preserve"> in men and women, </w:t>
      </w:r>
      <w:r w:rsidR="002E1032">
        <w:rPr>
          <w:color w:val="000000"/>
        </w:rPr>
        <w:t xml:space="preserve">≥ </w:t>
      </w:r>
      <w:r w:rsidR="00833C92" w:rsidRPr="00144ECC">
        <w:t>1</w:t>
      </w:r>
      <w:r w:rsidRPr="00144ECC">
        <w:t>8 years of age with</w:t>
      </w:r>
      <w:r>
        <w:t xml:space="preserve"> </w:t>
      </w:r>
      <w:r w:rsidRPr="00144ECC">
        <w:t xml:space="preserve">T2DM, diagnosed in </w:t>
      </w:r>
      <w:r w:rsidRPr="00144ECC">
        <w:lastRenderedPageBreak/>
        <w:t>accordance with the American Diabetes Association (ADA) guidelines,</w:t>
      </w:r>
      <w:r>
        <w:t xml:space="preserve"> </w:t>
      </w:r>
      <w:r w:rsidRPr="00144ECC">
        <w:t>and inadequate glycaemic control (</w:t>
      </w:r>
      <w:r>
        <w:t>HbA1c</w:t>
      </w:r>
      <w:r w:rsidR="00FB1E32">
        <w:t xml:space="preserve"> 7.0 to </w:t>
      </w:r>
      <w:r w:rsidRPr="00144ECC">
        <w:t xml:space="preserve">10.5% </w:t>
      </w:r>
      <w:r w:rsidR="00424310">
        <w:t>(</w:t>
      </w:r>
      <w:r w:rsidR="00FB1E32">
        <w:t xml:space="preserve">53 to </w:t>
      </w:r>
      <w:r w:rsidRPr="00144ECC">
        <w:t>91 mmol/mol</w:t>
      </w:r>
      <w:r w:rsidR="00424310">
        <w:t>)</w:t>
      </w:r>
      <w:r w:rsidRPr="00144ECC">
        <w:t>, inclusive) despite diet</w:t>
      </w:r>
      <w:r>
        <w:t xml:space="preserve"> </w:t>
      </w:r>
      <w:r w:rsidRPr="00144ECC">
        <w:t>and exercise. The study included a screening diet/exercise run-in</w:t>
      </w:r>
      <w:r>
        <w:t xml:space="preserve"> </w:t>
      </w:r>
      <w:r w:rsidR="00FB1E32">
        <w:t xml:space="preserve">period of approximately 3 to </w:t>
      </w:r>
      <w:r w:rsidRPr="00144ECC">
        <w:t>11 weeks (including a 1</w:t>
      </w:r>
      <w:r w:rsidR="00833C92">
        <w:t xml:space="preserve"> week</w:t>
      </w:r>
      <w:r w:rsidRPr="00144ECC">
        <w:t xml:space="preserve"> screening period, an 8</w:t>
      </w:r>
      <w:r w:rsidR="00833C92">
        <w:t xml:space="preserve"> week</w:t>
      </w:r>
      <w:r>
        <w:t xml:space="preserve"> </w:t>
      </w:r>
      <w:r w:rsidRPr="00144ECC">
        <w:t>diet/exercise period where applicable subjects discontinued and remained off previous</w:t>
      </w:r>
      <w:r>
        <w:t xml:space="preserve"> </w:t>
      </w:r>
      <w:r w:rsidRPr="00144ECC">
        <w:t>allowable background diabetes therapy and a 2</w:t>
      </w:r>
      <w:r w:rsidR="00833C92">
        <w:t xml:space="preserve"> week</w:t>
      </w:r>
      <w:r w:rsidRPr="00144ECC">
        <w:t xml:space="preserve"> </w:t>
      </w:r>
      <w:r w:rsidR="00FB1E32">
        <w:t>single blind</w:t>
      </w:r>
      <w:r w:rsidRPr="00144ECC">
        <w:t xml:space="preserve"> placebo run-in period prior</w:t>
      </w:r>
      <w:r>
        <w:t xml:space="preserve"> </w:t>
      </w:r>
      <w:r w:rsidRPr="00144ECC">
        <w:t xml:space="preserve">to </w:t>
      </w:r>
      <w:r>
        <w:t>randomisation</w:t>
      </w:r>
      <w:r w:rsidRPr="00144ECC">
        <w:t xml:space="preserve">); a </w:t>
      </w:r>
      <w:r w:rsidR="00FB1E32">
        <w:t>double blind</w:t>
      </w:r>
      <w:r w:rsidRPr="00144ECC">
        <w:t xml:space="preserve"> treatment period of up to 52 weeks, and a post-treatment</w:t>
      </w:r>
      <w:r>
        <w:t xml:space="preserve"> </w:t>
      </w:r>
      <w:r w:rsidRPr="00144ECC">
        <w:t xml:space="preserve">telephone contact 14 days after the last dose of blinded study </w:t>
      </w:r>
      <w:r w:rsidRPr="00833C92">
        <w:t xml:space="preserve">medication (Figure </w:t>
      </w:r>
      <w:r w:rsidR="00833C92" w:rsidRPr="00833C92">
        <w:t>1</w:t>
      </w:r>
      <w:r w:rsidRPr="00833C92">
        <w:t>).</w:t>
      </w:r>
    </w:p>
    <w:p w:rsidR="00833C92" w:rsidRDefault="00833C92" w:rsidP="003436E7">
      <w:pPr>
        <w:pStyle w:val="FigureTitle"/>
      </w:pPr>
      <w:r>
        <w:t xml:space="preserve">Figure 1: </w:t>
      </w:r>
      <w:r w:rsidRPr="00833C92">
        <w:t>Study P003/1022</w:t>
      </w:r>
      <w:r>
        <w:t xml:space="preserve"> design</w:t>
      </w:r>
    </w:p>
    <w:p w:rsidR="00833C92" w:rsidRPr="00144ECC" w:rsidRDefault="00833C92" w:rsidP="00321B0C">
      <w:pPr>
        <w:rPr>
          <w:rFonts w:asciiTheme="minorHAnsi" w:eastAsiaTheme="minorHAnsi" w:hAnsiTheme="minorHAnsi"/>
        </w:rPr>
      </w:pPr>
      <w:r w:rsidRPr="00C738A2">
        <w:rPr>
          <w:noProof/>
          <w:lang w:eastAsia="en-AU"/>
        </w:rPr>
        <w:drawing>
          <wp:inline distT="0" distB="0" distL="0" distR="0" wp14:anchorId="35A1F635" wp14:editId="216F2CB1">
            <wp:extent cx="5326954" cy="3430718"/>
            <wp:effectExtent l="0" t="0" r="7620" b="0"/>
            <wp:docPr id="124" name="Picture 124" descr="Study P003/1022 design&#10;The study included a screening diet/exercise run-in period of approximately 3-11 weeks (including a 1 week screening period, an 8 week diet/exercise period where applicable subjects discontinued and remained off previous allowable background diabetes therapy and a 2 week single-blind placebo run-in period prior to randomisation); a double-blind treatment period of up to 52 weeks, and a post-treatment telephone contact 14 days after the last dose of blinded study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lum bright="-20000" contrast="40000"/>
                      <a:extLst>
                        <a:ext uri="{28A0092B-C50C-407E-A947-70E740481C1C}">
                          <a14:useLocalDpi xmlns:a14="http://schemas.microsoft.com/office/drawing/2010/main" val="0"/>
                        </a:ext>
                      </a:extLst>
                    </a:blip>
                    <a:srcRect l="3247" t="2918"/>
                    <a:stretch/>
                  </pic:blipFill>
                  <pic:spPr bwMode="auto">
                    <a:xfrm>
                      <a:off x="0" y="0"/>
                      <a:ext cx="5327678" cy="3431184"/>
                    </a:xfrm>
                    <a:prstGeom prst="rect">
                      <a:avLst/>
                    </a:prstGeom>
                    <a:noFill/>
                    <a:ln>
                      <a:noFill/>
                    </a:ln>
                    <a:extLst>
                      <a:ext uri="{53640926-AAD7-44D8-BBD7-CCE9431645EC}">
                        <a14:shadowObscured xmlns:a14="http://schemas.microsoft.com/office/drawing/2010/main"/>
                      </a:ext>
                    </a:extLst>
                  </pic:spPr>
                </pic:pic>
              </a:graphicData>
            </a:graphic>
          </wp:inline>
        </w:drawing>
      </w:r>
    </w:p>
    <w:p w:rsidR="00803C18" w:rsidRDefault="002E5CF1" w:rsidP="00FB1E32">
      <w:r w:rsidRPr="00144ECC">
        <w:t xml:space="preserve">The primary objective was to assess the effect on </w:t>
      </w:r>
      <w:r>
        <w:t>HbA1c</w:t>
      </w:r>
      <w:r w:rsidRPr="00144ECC">
        <w:t xml:space="preserve"> of </w:t>
      </w:r>
      <w:r>
        <w:t>5 mg</w:t>
      </w:r>
      <w:r w:rsidRPr="00144ECC">
        <w:t xml:space="preserve"> and 1</w:t>
      </w:r>
      <w:r>
        <w:t>5 mg</w:t>
      </w:r>
      <w:r w:rsidRPr="00144ECC">
        <w:t xml:space="preserve"> ertugliflozin compared with placebo. The secondary objectives were to assess the effect of ertugliflozin (</w:t>
      </w:r>
      <w:r>
        <w:t>5 mg</w:t>
      </w:r>
      <w:r w:rsidRPr="00144ECC">
        <w:t xml:space="preserve"> and 1</w:t>
      </w:r>
      <w:r>
        <w:t>5 mg</w:t>
      </w:r>
      <w:r w:rsidRPr="00144ECC">
        <w:t xml:space="preserve">) compared with placebo on FPG, body weight, incidence of </w:t>
      </w:r>
      <w:r w:rsidR="00FB1E32">
        <w:t>HbA1c &lt; 7.0%</w:t>
      </w:r>
      <w:r w:rsidRPr="00144ECC">
        <w:t xml:space="preserve"> (53</w:t>
      </w:r>
      <w:r w:rsidR="00FB1E32">
        <w:t> </w:t>
      </w:r>
      <w:r w:rsidRPr="00144ECC">
        <w:t>mmol/mol), PPG, SBP and DBP</w:t>
      </w:r>
      <w:r w:rsidR="00803C18">
        <w:t>.</w:t>
      </w:r>
    </w:p>
    <w:p w:rsidR="002E5CF1" w:rsidRPr="00144ECC" w:rsidRDefault="002E5CF1" w:rsidP="00FB1E32">
      <w:r w:rsidRPr="00144ECC">
        <w:t>The study was conducted in 7 countries at 81 study cent</w:t>
      </w:r>
      <w:r>
        <w:t>re</w:t>
      </w:r>
      <w:r w:rsidRPr="00144ECC">
        <w:t>s: 16 in Canada, 4 in Israel, 11 in</w:t>
      </w:r>
      <w:r>
        <w:t xml:space="preserve"> </w:t>
      </w:r>
      <w:r w:rsidRPr="00144ECC">
        <w:t>Italy, 1 in Mexico, 9 in South Africa, 19 in the United Kingdom and 21 in the United States.</w:t>
      </w:r>
    </w:p>
    <w:p w:rsidR="002E5CF1" w:rsidRPr="00245A4E" w:rsidRDefault="002E5CF1" w:rsidP="00833C92">
      <w:pPr>
        <w:pStyle w:val="Comment"/>
      </w:pPr>
      <w:r w:rsidRPr="00833C92">
        <w:rPr>
          <w:b/>
        </w:rPr>
        <w:t>Comment</w:t>
      </w:r>
      <w:r w:rsidR="00FB1E32">
        <w:t xml:space="preserve">: </w:t>
      </w:r>
      <w:r w:rsidRPr="00245A4E">
        <w:t xml:space="preserve">Results from Phase A were presented in the CSR provided in the submitted dossier. A separate CSR, including results from Phase B, will be prepared at the end of the study which was not available in this submission. </w:t>
      </w:r>
      <w:r w:rsidRPr="00245A4E">
        <w:rPr>
          <w:color w:val="000000"/>
        </w:rPr>
        <w:t>The design of this study and key elements including the inclusion of a placebo group for 6 months in subjects with T2DM is in accordance with the TGA adopted EMA guidelines for the development of diabetes medications. Given the changing glycaemic control over time in patients with T2DM, comparing ertugliflozin treatment to placebo provides the best means of adequately determining the extent of efficacy. Due to the placebo-controlled nature of the study, several conditions</w:t>
      </w:r>
      <w:r w:rsidR="00F97665">
        <w:rPr>
          <w:color w:val="000000"/>
        </w:rPr>
        <w:t>;</w:t>
      </w:r>
      <w:r w:rsidRPr="00245A4E">
        <w:rPr>
          <w:rStyle w:val="FootnoteReference"/>
          <w:rFonts w:ascii="Calibri" w:eastAsiaTheme="minorHAnsi" w:hAnsi="Calibri" w:cs="Calibri"/>
          <w:color w:val="000000"/>
        </w:rPr>
        <w:footnoteReference w:id="4"/>
      </w:r>
      <w:r w:rsidRPr="00245A4E">
        <w:rPr>
          <w:color w:val="000000"/>
        </w:rPr>
        <w:t xml:space="preserve"> were incorporated into the study to ensure that exposure to prolonged hyperglycaemia was minim</w:t>
      </w:r>
      <w:r>
        <w:rPr>
          <w:color w:val="000000"/>
        </w:rPr>
        <w:t>ise</w:t>
      </w:r>
      <w:r w:rsidRPr="00245A4E">
        <w:rPr>
          <w:color w:val="000000"/>
        </w:rPr>
        <w:t>d.</w:t>
      </w:r>
    </w:p>
    <w:p w:rsidR="002E5CF1" w:rsidRPr="005632DC" w:rsidRDefault="002E5CF1" w:rsidP="00032376">
      <w:pPr>
        <w:pStyle w:val="Heading5"/>
      </w:pPr>
      <w:bookmarkStart w:id="341" w:name="_Ref492030470"/>
      <w:r w:rsidRPr="005632DC">
        <w:lastRenderedPageBreak/>
        <w:t>Inclusion and exclusion criteria</w:t>
      </w:r>
      <w:bookmarkEnd w:id="341"/>
    </w:p>
    <w:p w:rsidR="002E5CF1" w:rsidRPr="003954E5" w:rsidRDefault="002E5CF1" w:rsidP="002E5CF1">
      <w:pPr>
        <w:spacing w:before="0" w:line="240" w:lineRule="auto"/>
        <w:rPr>
          <w:rFonts w:asciiTheme="minorHAnsi" w:hAnsiTheme="minorHAnsi"/>
          <w:lang w:eastAsia="ja-JP"/>
        </w:rPr>
      </w:pPr>
      <w:r w:rsidRPr="003954E5">
        <w:rPr>
          <w:rFonts w:asciiTheme="minorHAnsi" w:hAnsiTheme="minorHAnsi"/>
          <w:lang w:eastAsia="ja-JP"/>
        </w:rPr>
        <w:t>The main inclusion criteria were:</w:t>
      </w:r>
    </w:p>
    <w:p w:rsidR="00FB1E32" w:rsidRDefault="002E5CF1" w:rsidP="00032376">
      <w:pPr>
        <w:pStyle w:val="ListBullet"/>
        <w:rPr>
          <w:lang w:eastAsia="ja-JP"/>
        </w:rPr>
      </w:pPr>
      <w:r w:rsidRPr="003954E5">
        <w:rPr>
          <w:lang w:eastAsia="ja-JP"/>
        </w:rPr>
        <w:t>Subjects aged &gt; 18 years with a diagnosis of T2DM in accordance with ADA guidelines</w:t>
      </w:r>
      <w:r w:rsidR="00FB1E32">
        <w:rPr>
          <w:lang w:eastAsia="ja-JP"/>
        </w:rPr>
        <w:t>;</w:t>
      </w:r>
    </w:p>
    <w:p w:rsidR="00FB1E32" w:rsidRDefault="00032376" w:rsidP="00032376">
      <w:pPr>
        <w:pStyle w:val="ListBullet"/>
        <w:rPr>
          <w:rFonts w:eastAsiaTheme="minorHAnsi"/>
        </w:rPr>
      </w:pPr>
      <w:r>
        <w:rPr>
          <w:lang w:eastAsia="ja-JP"/>
        </w:rPr>
        <w:t>H</w:t>
      </w:r>
      <w:r w:rsidR="002E5CF1">
        <w:rPr>
          <w:lang w:eastAsia="ja-JP"/>
        </w:rPr>
        <w:t>bA1c</w:t>
      </w:r>
      <w:r w:rsidR="002E5CF1" w:rsidRPr="003954E5">
        <w:rPr>
          <w:lang w:eastAsia="ja-JP"/>
        </w:rPr>
        <w:t xml:space="preserve"> at initial screening visit</w:t>
      </w:r>
      <w:r w:rsidR="002E5CF1">
        <w:rPr>
          <w:lang w:eastAsia="ja-JP"/>
        </w:rPr>
        <w:t xml:space="preserve"> (S1)</w:t>
      </w:r>
      <w:r w:rsidR="002E5CF1" w:rsidRPr="003954E5">
        <w:rPr>
          <w:lang w:eastAsia="ja-JP"/>
        </w:rPr>
        <w:t xml:space="preserve"> of </w:t>
      </w:r>
      <w:r w:rsidR="00FB1E32">
        <w:rPr>
          <w:rFonts w:eastAsiaTheme="minorHAnsi"/>
        </w:rPr>
        <w:t xml:space="preserve">7.0 to 10.5% (53 to </w:t>
      </w:r>
      <w:r w:rsidR="002E5CF1" w:rsidRPr="003954E5">
        <w:rPr>
          <w:rFonts w:eastAsiaTheme="minorHAnsi"/>
        </w:rPr>
        <w:t xml:space="preserve">91 mmol/mol) for subjects with no prior allowable oral AHA for </w:t>
      </w:r>
      <w:r w:rsidR="002E1032">
        <w:rPr>
          <w:rFonts w:asciiTheme="minorHAnsi" w:eastAsiaTheme="minorHAnsi" w:hAnsiTheme="minorHAnsi"/>
          <w:color w:val="000000"/>
        </w:rPr>
        <w:t xml:space="preserve">≥ </w:t>
      </w:r>
      <w:r w:rsidR="00FB1E32">
        <w:rPr>
          <w:rFonts w:eastAsiaTheme="minorHAnsi"/>
        </w:rPr>
        <w:t xml:space="preserve">8 weeks prior to S1 and 6.5 to 9.5% (48 to </w:t>
      </w:r>
      <w:r w:rsidR="002E5CF1" w:rsidRPr="003954E5">
        <w:rPr>
          <w:rFonts w:eastAsiaTheme="minorHAnsi"/>
        </w:rPr>
        <w:t>80 mmol/mol) for subjects on monotherapy with a single allowable oral AHA</w:t>
      </w:r>
      <w:r w:rsidR="00FB1E32">
        <w:rPr>
          <w:rFonts w:eastAsiaTheme="minorHAnsi"/>
        </w:rPr>
        <w:t>;</w:t>
      </w:r>
    </w:p>
    <w:p w:rsidR="002E5CF1" w:rsidRPr="003954E5" w:rsidRDefault="002E5CF1" w:rsidP="00032376">
      <w:pPr>
        <w:pStyle w:val="ListBullet"/>
        <w:rPr>
          <w:rFonts w:eastAsiaTheme="minorHAnsi"/>
        </w:rPr>
      </w:pPr>
      <w:r w:rsidRPr="003954E5">
        <w:rPr>
          <w:rFonts w:eastAsiaTheme="minorHAnsi"/>
        </w:rPr>
        <w:t>Subjects on a single allowable oral AHA had to be willing to discontinue this medication</w:t>
      </w:r>
      <w:r>
        <w:rPr>
          <w:rFonts w:eastAsiaTheme="minorHAnsi"/>
        </w:rPr>
        <w:t xml:space="preserve"> </w:t>
      </w:r>
      <w:r w:rsidRPr="003954E5">
        <w:rPr>
          <w:rFonts w:eastAsiaTheme="minorHAnsi"/>
        </w:rPr>
        <w:t>starting at Screening Visit (S2) and remain off this medication for the duration of the</w:t>
      </w:r>
      <w:r>
        <w:rPr>
          <w:rFonts w:eastAsiaTheme="minorHAnsi"/>
        </w:rPr>
        <w:t xml:space="preserve"> </w:t>
      </w:r>
      <w:r w:rsidRPr="003954E5">
        <w:rPr>
          <w:rFonts w:eastAsiaTheme="minorHAnsi"/>
        </w:rPr>
        <w:t>study. Allowable oral AHAs for discontinuation were metformin, sulfonylureas,</w:t>
      </w:r>
      <w:r>
        <w:rPr>
          <w:rFonts w:eastAsiaTheme="minorHAnsi"/>
        </w:rPr>
        <w:t xml:space="preserve"> </w:t>
      </w:r>
      <w:r w:rsidRPr="003954E5">
        <w:rPr>
          <w:rFonts w:eastAsiaTheme="minorHAnsi"/>
        </w:rPr>
        <w:t>dipeptidyl peptidase-4 (DPP-4) inhibitors, glinides or alpha-glucosidase inhibitors;</w:t>
      </w:r>
    </w:p>
    <w:p w:rsidR="00FB1E32" w:rsidRDefault="002E5CF1" w:rsidP="00032376">
      <w:pPr>
        <w:pStyle w:val="ListBullet"/>
        <w:rPr>
          <w:rFonts w:eastAsiaTheme="minorHAnsi"/>
        </w:rPr>
      </w:pPr>
      <w:r w:rsidRPr="003954E5">
        <w:rPr>
          <w:rFonts w:eastAsiaTheme="minorHAnsi"/>
        </w:rPr>
        <w:t>BMI &gt;</w:t>
      </w:r>
      <w:r w:rsidR="00FB1E32">
        <w:rPr>
          <w:rFonts w:eastAsiaTheme="minorHAnsi"/>
        </w:rPr>
        <w:t xml:space="preserve"> </w:t>
      </w:r>
      <w:r w:rsidRPr="003954E5">
        <w:rPr>
          <w:rFonts w:eastAsiaTheme="minorHAnsi"/>
        </w:rPr>
        <w:t>18</w:t>
      </w:r>
      <w:r w:rsidR="00FB1E32">
        <w:rPr>
          <w:rFonts w:eastAsiaTheme="minorHAnsi"/>
        </w:rPr>
        <w:t xml:space="preserve"> </w:t>
      </w:r>
      <w:r w:rsidRPr="003954E5">
        <w:rPr>
          <w:rFonts w:eastAsiaTheme="minorHAnsi"/>
        </w:rPr>
        <w:t>kg/m</w:t>
      </w:r>
      <w:r w:rsidRPr="003954E5">
        <w:rPr>
          <w:rFonts w:eastAsiaTheme="minorHAnsi"/>
          <w:vertAlign w:val="superscript"/>
        </w:rPr>
        <w:t>2</w:t>
      </w:r>
      <w:r>
        <w:rPr>
          <w:rFonts w:eastAsiaTheme="minorHAnsi"/>
        </w:rPr>
        <w:t xml:space="preserve"> and </w:t>
      </w:r>
      <w:r w:rsidRPr="003954E5">
        <w:rPr>
          <w:rFonts w:eastAsiaTheme="minorHAnsi"/>
        </w:rPr>
        <w:t>written informed consent</w:t>
      </w:r>
      <w:r w:rsidR="00FB1E32">
        <w:rPr>
          <w:rFonts w:eastAsiaTheme="minorHAnsi"/>
        </w:rPr>
        <w:t>;</w:t>
      </w:r>
    </w:p>
    <w:p w:rsidR="00803C18" w:rsidRDefault="00032376" w:rsidP="00032376">
      <w:pPr>
        <w:pStyle w:val="ListBullet"/>
        <w:rPr>
          <w:rFonts w:eastAsiaTheme="minorHAnsi"/>
        </w:rPr>
      </w:pPr>
      <w:r>
        <w:rPr>
          <w:rFonts w:eastAsiaTheme="minorHAnsi"/>
        </w:rPr>
        <w:t>M</w:t>
      </w:r>
      <w:r w:rsidR="002E5CF1" w:rsidRPr="003954E5">
        <w:rPr>
          <w:rFonts w:eastAsiaTheme="minorHAnsi"/>
        </w:rPr>
        <w:t>ale or</w:t>
      </w:r>
      <w:r w:rsidR="002E5CF1">
        <w:rPr>
          <w:rFonts w:eastAsiaTheme="minorHAnsi"/>
        </w:rPr>
        <w:t xml:space="preserve"> </w:t>
      </w:r>
      <w:r w:rsidR="002E5CF1" w:rsidRPr="003954E5">
        <w:rPr>
          <w:rFonts w:eastAsiaTheme="minorHAnsi"/>
        </w:rPr>
        <w:t xml:space="preserve">female </w:t>
      </w:r>
      <w:r w:rsidR="002E5CF1">
        <w:rPr>
          <w:rFonts w:eastAsiaTheme="minorHAnsi"/>
        </w:rPr>
        <w:t>not of reproductive potential</w:t>
      </w:r>
      <w:r w:rsidR="002E5CF1" w:rsidRPr="003954E5">
        <w:rPr>
          <w:rStyle w:val="FootnoteReference"/>
          <w:rFonts w:asciiTheme="minorHAnsi" w:eastAsiaTheme="minorHAnsi" w:hAnsiTheme="minorHAnsi"/>
        </w:rPr>
        <w:footnoteReference w:id="5"/>
      </w:r>
      <w:r w:rsidR="002E5CF1">
        <w:rPr>
          <w:rFonts w:eastAsiaTheme="minorHAnsi"/>
        </w:rPr>
        <w:t xml:space="preserve"> </w:t>
      </w:r>
      <w:r w:rsidR="002E5CF1" w:rsidRPr="003954E5">
        <w:rPr>
          <w:rFonts w:eastAsiaTheme="minorHAnsi"/>
        </w:rPr>
        <w:t xml:space="preserve">or female of reproductive </w:t>
      </w:r>
      <w:r w:rsidR="002E5CF1">
        <w:rPr>
          <w:rFonts w:eastAsiaTheme="minorHAnsi"/>
        </w:rPr>
        <w:t xml:space="preserve">potential </w:t>
      </w:r>
      <w:r w:rsidR="002E5CF1" w:rsidRPr="003954E5">
        <w:rPr>
          <w:rFonts w:eastAsiaTheme="minorHAnsi"/>
        </w:rPr>
        <w:t>practising acceptable birth control measures</w:t>
      </w:r>
      <w:r w:rsidR="00F97665">
        <w:rPr>
          <w:rFonts w:eastAsiaTheme="minorHAnsi"/>
        </w:rPr>
        <w:t>.</w:t>
      </w:r>
      <w:r w:rsidR="002E5CF1">
        <w:rPr>
          <w:rStyle w:val="FootnoteReference"/>
          <w:rFonts w:asciiTheme="minorHAnsi" w:eastAsiaTheme="minorHAnsi" w:hAnsiTheme="minorHAnsi"/>
        </w:rPr>
        <w:footnoteReference w:id="6"/>
      </w:r>
    </w:p>
    <w:p w:rsidR="002E5CF1" w:rsidRDefault="002E5CF1" w:rsidP="00FB1E32">
      <w:r w:rsidRPr="007511EB">
        <w:t>The main exclusion criteria were history of</w:t>
      </w:r>
      <w:r>
        <w:t xml:space="preserve"> </w:t>
      </w:r>
      <w:r w:rsidR="00F97665">
        <w:t>t</w:t>
      </w:r>
      <w:r w:rsidR="00F97665" w:rsidRPr="007511EB">
        <w:t xml:space="preserve">ype </w:t>
      </w:r>
      <w:r w:rsidRPr="007511EB">
        <w:t>1 diabetes mellitus, other specific types of diabetes, subjects with &lt;</w:t>
      </w:r>
      <w:r w:rsidR="00FB1E32">
        <w:t xml:space="preserve"> </w:t>
      </w:r>
      <w:r w:rsidRPr="007511EB">
        <w:t xml:space="preserve">80% compliance based on pill count with placebo run-in medication; history of MI, unstable angina, arterial revascularisation, stroke, TIA or NYHA functional </w:t>
      </w:r>
      <w:r w:rsidR="00F97665">
        <w:t>Class </w:t>
      </w:r>
      <w:r w:rsidRPr="007511EB">
        <w:t>III</w:t>
      </w:r>
      <w:r w:rsidR="00F97665">
        <w:t>/</w:t>
      </w:r>
      <w:r w:rsidRPr="007511EB">
        <w:t>IV heart failure within 3 months of screening; SBP</w:t>
      </w:r>
      <w:r w:rsidR="00FB1E32">
        <w:t xml:space="preserve"> </w:t>
      </w:r>
      <w:r w:rsidRPr="007511EB">
        <w:t>&gt;</w:t>
      </w:r>
      <w:r w:rsidR="00FB1E32">
        <w:t xml:space="preserve"> </w:t>
      </w:r>
      <w:r w:rsidRPr="007511EB">
        <w:t>160</w:t>
      </w:r>
      <w:r w:rsidR="00FB1E32">
        <w:t xml:space="preserve"> </w:t>
      </w:r>
      <w:r w:rsidRPr="007511EB">
        <w:t>mmHg and/ or DBP</w:t>
      </w:r>
      <w:r w:rsidR="00F97665">
        <w:t> </w:t>
      </w:r>
      <w:r w:rsidRPr="007511EB">
        <w:t>&gt;</w:t>
      </w:r>
      <w:r w:rsidR="00F97665">
        <w:t> </w:t>
      </w:r>
      <w:r w:rsidRPr="007511EB">
        <w:t>90</w:t>
      </w:r>
      <w:r w:rsidR="00F97665">
        <w:t> </w:t>
      </w:r>
      <w:r w:rsidR="00321B0C">
        <w:t xml:space="preserve">mmHg after at least a 5 </w:t>
      </w:r>
      <w:r w:rsidRPr="007511EB">
        <w:t>minute seated rest; clinical significant laboratory or ECG abnormality; obstructive uropathy or indwelling urinary catheter, clinically significant malabsorption syndromes</w:t>
      </w:r>
      <w:r w:rsidR="00032376">
        <w:t>.</w:t>
      </w:r>
    </w:p>
    <w:p w:rsidR="002E5CF1" w:rsidRDefault="002E5CF1" w:rsidP="00032376">
      <w:pPr>
        <w:pStyle w:val="Heading5"/>
      </w:pPr>
      <w:r>
        <w:t>Study treatments</w:t>
      </w:r>
    </w:p>
    <w:p w:rsidR="00032376" w:rsidRDefault="002E5CF1" w:rsidP="00FB1E32">
      <w:r w:rsidRPr="005C27E9">
        <w:t xml:space="preserve">Ertugliflozin 5 mg, ertugliflozin 10 mg and matching placebos were supplied as immediate-release tablets for oral administration. Tablets were packaged into bottles. During the </w:t>
      </w:r>
      <w:r w:rsidR="00FB1E32">
        <w:t>single blind</w:t>
      </w:r>
      <w:r w:rsidRPr="005C27E9">
        <w:t xml:space="preserve"> placebo run-in wa</w:t>
      </w:r>
      <w:r w:rsidR="00FB1E32">
        <w:t xml:space="preserve">s administered starting at Day </w:t>
      </w:r>
      <w:r w:rsidR="00FB1E32">
        <w:noBreakHyphen/>
      </w:r>
      <w:r w:rsidRPr="005C27E9">
        <w:t>14/Visit S3 where subjects were instructed to take 1 tablet of placebo ertugliflozin 5 mg and 1 tab</w:t>
      </w:r>
      <w:r w:rsidR="00FB1E32">
        <w:t>let of placebo ertugliflozin 10 </w:t>
      </w:r>
      <w:r w:rsidRPr="005C27E9">
        <w:t>mg each morning.</w:t>
      </w:r>
      <w:r w:rsidRPr="001F3613">
        <w:rPr>
          <w:rFonts w:ascii="Times New Roman" w:hAnsi="Times New Roman"/>
          <w:sz w:val="24"/>
          <w:szCs w:val="24"/>
        </w:rPr>
        <w:t xml:space="preserve"> </w:t>
      </w:r>
      <w:r w:rsidRPr="005C27E9">
        <w:t>Subjects were prescribed glycaemic res</w:t>
      </w:r>
      <w:r w:rsidR="00FB1E32">
        <w:t>cue therapy in the form of open </w:t>
      </w:r>
      <w:r w:rsidRPr="005C27E9">
        <w:t>label metformin in</w:t>
      </w:r>
      <w:r>
        <w:t xml:space="preserve"> </w:t>
      </w:r>
      <w:r w:rsidRPr="005C27E9">
        <w:t>Phase A, and dosed according to physician judgment, if they met specific, progressively</w:t>
      </w:r>
      <w:r>
        <w:t xml:space="preserve"> </w:t>
      </w:r>
      <w:r w:rsidRPr="005C27E9">
        <w:t xml:space="preserve">more stringent, glycaemic criteria based on a repeated, confirmed FPG or </w:t>
      </w:r>
      <w:r>
        <w:t>HbA1c</w:t>
      </w:r>
      <w:r w:rsidRPr="005C27E9">
        <w:t xml:space="preserve"> measured by</w:t>
      </w:r>
      <w:r>
        <w:t xml:space="preserve"> </w:t>
      </w:r>
      <w:r w:rsidRPr="005C27E9">
        <w:t xml:space="preserve">the central laboratory (refer </w:t>
      </w:r>
      <w:r w:rsidRPr="00FB1E32">
        <w:t xml:space="preserve">Table </w:t>
      </w:r>
      <w:r w:rsidR="00032376" w:rsidRPr="00FB1E32">
        <w:t>21</w:t>
      </w:r>
      <w:r w:rsidRPr="00FB1E32">
        <w:t>).</w:t>
      </w:r>
    </w:p>
    <w:p w:rsidR="00032376" w:rsidRPr="00C738A2" w:rsidRDefault="00032376" w:rsidP="00032376">
      <w:pPr>
        <w:pStyle w:val="Tabletitle"/>
      </w:pPr>
      <w:bookmarkStart w:id="342" w:name="_Ref492027912"/>
      <w:bookmarkStart w:id="343" w:name="_Toc504038390"/>
      <w:r w:rsidRPr="00C738A2">
        <w:t xml:space="preserve">Table </w:t>
      </w:r>
      <w:r>
        <w:t>21</w:t>
      </w:r>
      <w:r w:rsidRPr="00C738A2">
        <w:t>: Glycaemic thresholds</w:t>
      </w:r>
      <w:bookmarkEnd w:id="342"/>
      <w:bookmarkEnd w:id="343"/>
    </w:p>
    <w:p w:rsidR="00032376" w:rsidRPr="00C738A2" w:rsidRDefault="00032376" w:rsidP="00321B0C">
      <w:r w:rsidRPr="00C738A2">
        <w:rPr>
          <w:noProof/>
          <w:lang w:eastAsia="en-AU"/>
        </w:rPr>
        <w:drawing>
          <wp:inline distT="0" distB="0" distL="0" distR="0" wp14:anchorId="12E1CCBA" wp14:editId="7B77AD05">
            <wp:extent cx="5233933" cy="708144"/>
            <wp:effectExtent l="0" t="0" r="5080" b="0"/>
            <wp:docPr id="125" name="Picture 125" descr="Glycaemic thresh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lum bright="-20000" contrast="40000"/>
                      <a:extLst>
                        <a:ext uri="{28A0092B-C50C-407E-A947-70E740481C1C}">
                          <a14:useLocalDpi xmlns:a14="http://schemas.microsoft.com/office/drawing/2010/main" val="0"/>
                        </a:ext>
                      </a:extLst>
                    </a:blip>
                    <a:srcRect/>
                    <a:stretch/>
                  </pic:blipFill>
                  <pic:spPr bwMode="auto">
                    <a:xfrm>
                      <a:off x="0" y="0"/>
                      <a:ext cx="5248102" cy="710061"/>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Default="002E5CF1" w:rsidP="00FB1E32">
      <w:r w:rsidRPr="005C27E9">
        <w:lastRenderedPageBreak/>
        <w:t>The investigator was responsible for managing the initiation and titration of the rescue</w:t>
      </w:r>
      <w:r>
        <w:t xml:space="preserve"> </w:t>
      </w:r>
      <w:r w:rsidRPr="005C27E9">
        <w:t>metformin therapy consistent with the country-specific product label standards of care for</w:t>
      </w:r>
      <w:r>
        <w:t xml:space="preserve"> </w:t>
      </w:r>
      <w:r w:rsidRPr="005C27E9">
        <w:t>management of subjects with T2DM.</w:t>
      </w:r>
      <w:r>
        <w:t xml:space="preserve"> </w:t>
      </w:r>
      <w:r w:rsidRPr="005C27E9">
        <w:t xml:space="preserve">Before initiating </w:t>
      </w:r>
      <w:r w:rsidR="001F7376">
        <w:t>open label</w:t>
      </w:r>
      <w:r w:rsidRPr="005C27E9">
        <w:t xml:space="preserve"> metformin therapy in Phase A, the investigator was to review the</w:t>
      </w:r>
      <w:r>
        <w:t xml:space="preserve"> </w:t>
      </w:r>
      <w:r w:rsidRPr="005C27E9">
        <w:t>subject's most recent eGFR and creatinine values to assess if metformin treatment was</w:t>
      </w:r>
      <w:r>
        <w:t xml:space="preserve"> </w:t>
      </w:r>
      <w:r w:rsidRPr="005C27E9">
        <w:t>appropriate based on formal guidelines (local clinical practice guidelines or the approved</w:t>
      </w:r>
      <w:r>
        <w:t xml:space="preserve"> </w:t>
      </w:r>
      <w:r w:rsidRPr="005C27E9">
        <w:t>metformin product label in the country of the investigator site).</w:t>
      </w:r>
      <w:r>
        <w:t xml:space="preserve"> </w:t>
      </w:r>
      <w:r w:rsidRPr="005C27E9">
        <w:t>For subjects who initiated glycaemic rescue therapy, discontinuation criteria for</w:t>
      </w:r>
      <w:r>
        <w:t xml:space="preserve"> </w:t>
      </w:r>
      <w:r w:rsidRPr="005C27E9">
        <w:t>hyperglycaemia applied to subjects who had completed titration of metformin to the maximal</w:t>
      </w:r>
      <w:r>
        <w:t xml:space="preserve"> </w:t>
      </w:r>
      <w:r w:rsidRPr="005C27E9">
        <w:t>tolerated, approved dose, as per the dose approved in the country of the site, and had been</w:t>
      </w:r>
      <w:r>
        <w:t xml:space="preserve"> </w:t>
      </w:r>
      <w:r w:rsidRPr="005C27E9">
        <w:t xml:space="preserve">maintained on a stable tolerated dose for </w:t>
      </w:r>
      <w:r w:rsidR="002E1032">
        <w:rPr>
          <w:color w:val="000000"/>
        </w:rPr>
        <w:t xml:space="preserve">≥ </w:t>
      </w:r>
      <w:r w:rsidRPr="005C27E9">
        <w:t>4 weeks for metformin.</w:t>
      </w:r>
    </w:p>
    <w:p w:rsidR="00803C18" w:rsidRDefault="002E5CF1" w:rsidP="00FB1E32">
      <w:r w:rsidRPr="001F3613">
        <w:rPr>
          <w:color w:val="000000"/>
        </w:rPr>
        <w:t xml:space="preserve">Medications that were prohibited </w:t>
      </w:r>
      <w:r>
        <w:rPr>
          <w:color w:val="000000"/>
        </w:rPr>
        <w:t xml:space="preserve">(as </w:t>
      </w:r>
      <w:r w:rsidRPr="001F3613">
        <w:rPr>
          <w:color w:val="000000"/>
        </w:rPr>
        <w:t>indicated in the exclusion criteria</w:t>
      </w:r>
      <w:r>
        <w:rPr>
          <w:color w:val="000000"/>
        </w:rPr>
        <w:t>)</w:t>
      </w:r>
      <w:r>
        <w:rPr>
          <w:rStyle w:val="FootnoteReference"/>
          <w:rFonts w:asciiTheme="minorHAnsi" w:eastAsiaTheme="minorHAnsi" w:hAnsiTheme="minorHAnsi"/>
          <w:color w:val="000000"/>
        </w:rPr>
        <w:footnoteReference w:id="7"/>
      </w:r>
      <w:r w:rsidRPr="001F3613">
        <w:rPr>
          <w:color w:val="000000"/>
        </w:rPr>
        <w:t xml:space="preserve"> were not permitted</w:t>
      </w:r>
      <w:r>
        <w:rPr>
          <w:color w:val="000000"/>
        </w:rPr>
        <w:t xml:space="preserve"> </w:t>
      </w:r>
      <w:r w:rsidRPr="001F3613">
        <w:rPr>
          <w:color w:val="000000"/>
        </w:rPr>
        <w:t>prior to or during the study. Thyroid replacement medication (</w:t>
      </w:r>
      <w:r w:rsidR="0030125A">
        <w:rPr>
          <w:color w:val="000000"/>
        </w:rPr>
        <w:t>for example</w:t>
      </w:r>
      <w:r w:rsidR="00155D4D">
        <w:rPr>
          <w:color w:val="000000"/>
        </w:rPr>
        <w:t>,</w:t>
      </w:r>
      <w:r w:rsidRPr="001F3613">
        <w:rPr>
          <w:color w:val="000000"/>
        </w:rPr>
        <w:t xml:space="preserve"> thyroxine) was permitted, but</w:t>
      </w:r>
      <w:r>
        <w:rPr>
          <w:color w:val="000000"/>
        </w:rPr>
        <w:t xml:space="preserve"> </w:t>
      </w:r>
      <w:r w:rsidRPr="001F3613">
        <w:rPr>
          <w:color w:val="000000"/>
        </w:rPr>
        <w:t>subjects were to be on a</w:t>
      </w:r>
      <w:r>
        <w:rPr>
          <w:color w:val="000000"/>
        </w:rPr>
        <w:t xml:space="preserve"> </w:t>
      </w:r>
      <w:r w:rsidRPr="001F3613">
        <w:rPr>
          <w:color w:val="000000"/>
        </w:rPr>
        <w:t xml:space="preserve">stable dose for at least 6 weeks prior to </w:t>
      </w:r>
      <w:r>
        <w:rPr>
          <w:color w:val="000000"/>
        </w:rPr>
        <w:t>randomisation</w:t>
      </w:r>
      <w:r w:rsidRPr="001F3613">
        <w:rPr>
          <w:color w:val="000000"/>
        </w:rPr>
        <w:t>.</w:t>
      </w:r>
      <w:r>
        <w:rPr>
          <w:color w:val="000000"/>
        </w:rPr>
        <w:t xml:space="preserve"> </w:t>
      </w:r>
      <w:r w:rsidRPr="001F3613">
        <w:rPr>
          <w:color w:val="000000"/>
        </w:rPr>
        <w:t>Subjects who were not on a stable dose of blood pressure or lipid altering medications at S1</w:t>
      </w:r>
      <w:r>
        <w:rPr>
          <w:color w:val="000000"/>
        </w:rPr>
        <w:t xml:space="preserve"> </w:t>
      </w:r>
      <w:r w:rsidRPr="001F3613">
        <w:rPr>
          <w:color w:val="000000"/>
        </w:rPr>
        <w:t>were scheduled appropriately for S3 and Day 1 to ensure they had a stable dose for at least</w:t>
      </w:r>
      <w:r>
        <w:rPr>
          <w:color w:val="000000"/>
        </w:rPr>
        <w:t xml:space="preserve"> </w:t>
      </w:r>
      <w:r w:rsidR="00FB1E32">
        <w:rPr>
          <w:color w:val="000000"/>
        </w:rPr>
        <w:t>4 </w:t>
      </w:r>
      <w:r w:rsidRPr="001F3613">
        <w:rPr>
          <w:color w:val="000000"/>
        </w:rPr>
        <w:t xml:space="preserve">weeks prior to </w:t>
      </w:r>
      <w:r>
        <w:rPr>
          <w:color w:val="000000"/>
        </w:rPr>
        <w:t>randomisation</w:t>
      </w:r>
      <w:r w:rsidRPr="001F3613">
        <w:rPr>
          <w:color w:val="000000"/>
        </w:rPr>
        <w:t>.</w:t>
      </w:r>
      <w:r>
        <w:rPr>
          <w:color w:val="000000"/>
        </w:rPr>
        <w:t xml:space="preserve"> </w:t>
      </w:r>
      <w:r w:rsidRPr="001F3613">
        <w:t>Subjects had to abstain from all food and drink (except water) at least 10 hours prior to any</w:t>
      </w:r>
      <w:r>
        <w:t xml:space="preserve"> </w:t>
      </w:r>
      <w:r w:rsidRPr="001F3613">
        <w:t>blood sample collections for clinical laboratory tests</w:t>
      </w:r>
      <w:r>
        <w:t xml:space="preserve"> and</w:t>
      </w:r>
      <w:r w:rsidRPr="001F3613">
        <w:t xml:space="preserve"> fasting glucose monitoring. Subjects were counselled on appropriate dietary and lifestyle guidelines for</w:t>
      </w:r>
      <w:r>
        <w:t xml:space="preserve"> T</w:t>
      </w:r>
      <w:r w:rsidRPr="001F3613">
        <w:t>2DM at S2 and</w:t>
      </w:r>
      <w:r>
        <w:t xml:space="preserve"> </w:t>
      </w:r>
      <w:r w:rsidRPr="001F3613">
        <w:t>asked to maintain these guidelines throughout participation in the study. Counse</w:t>
      </w:r>
      <w:r>
        <w:t>l</w:t>
      </w:r>
      <w:r w:rsidRPr="001F3613">
        <w:t>ling on</w:t>
      </w:r>
      <w:r>
        <w:t xml:space="preserve"> </w:t>
      </w:r>
      <w:r w:rsidRPr="001F3613">
        <w:t>dietary guidelines was in accordance with local medical standards of care for subjects with</w:t>
      </w:r>
      <w:r>
        <w:t xml:space="preserve"> </w:t>
      </w:r>
      <w:r w:rsidRPr="001F3613">
        <w:t>T2DM</w:t>
      </w:r>
      <w:r w:rsidR="00803C18">
        <w:t>.</w:t>
      </w:r>
    </w:p>
    <w:p w:rsidR="002E5CF1" w:rsidRPr="005632DC" w:rsidRDefault="002E5CF1" w:rsidP="00155D4D">
      <w:pPr>
        <w:pStyle w:val="Heading5"/>
      </w:pPr>
      <w:bookmarkStart w:id="344" w:name="_Ref492030468"/>
      <w:r w:rsidRPr="005632DC">
        <w:t>Efficacy variables and outcomes</w:t>
      </w:r>
      <w:bookmarkEnd w:id="344"/>
    </w:p>
    <w:p w:rsidR="00803C18" w:rsidRDefault="002E5CF1" w:rsidP="00FB1E32">
      <w:r w:rsidRPr="00A34D64">
        <w:t xml:space="preserve">The primary glycaemic efficacy endpoint was the change from baseline in </w:t>
      </w:r>
      <w:r>
        <w:t>HbA1c</w:t>
      </w:r>
      <w:r w:rsidRPr="00A34D64">
        <w:t xml:space="preserve"> at Week 26. </w:t>
      </w:r>
      <w:r>
        <w:t>HbA1c</w:t>
      </w:r>
      <w:r w:rsidRPr="00A34D64">
        <w:t xml:space="preserve"> reflects average glucose</w:t>
      </w:r>
      <w:r w:rsidR="00FB1E32">
        <w:t xml:space="preserve"> concentrations over the past 3 to </w:t>
      </w:r>
      <w:r w:rsidRPr="00A34D64">
        <w:t>4 months and, therefore, provides a useful index of glycaemic control</w:t>
      </w:r>
      <w:r>
        <w:t xml:space="preserve"> and i</w:t>
      </w:r>
      <w:r w:rsidRPr="00A34D64">
        <w:t xml:space="preserve">t is a standard efficacy endpoint used to assess the glycaemic efficacy of AHAs. </w:t>
      </w:r>
      <w:r>
        <w:t>HbA1c</w:t>
      </w:r>
      <w:r w:rsidRPr="00A34D64">
        <w:t xml:space="preserve"> is also a key glycaemic parameter which correlates with reduction of risk of diabetic microvascular complications</w:t>
      </w:r>
      <w:r w:rsidR="00803C18">
        <w:t>.</w:t>
      </w:r>
    </w:p>
    <w:p w:rsidR="00803C18" w:rsidRDefault="002E5CF1" w:rsidP="00FB1E32">
      <w:r>
        <w:t>S</w:t>
      </w:r>
      <w:r w:rsidRPr="00A34D64">
        <w:t>econdary glycaemic efficacy endpoint was the change from baseline in FPG at Week 26.</w:t>
      </w:r>
      <w:r>
        <w:t xml:space="preserve"> </w:t>
      </w:r>
      <w:r w:rsidRPr="00A34D64">
        <w:t>FPG was assessed to character</w:t>
      </w:r>
      <w:r>
        <w:t>ise</w:t>
      </w:r>
      <w:r w:rsidRPr="00A34D64">
        <w:t xml:space="preserve"> the earlier time </w:t>
      </w:r>
      <w:r w:rsidRPr="0041639B">
        <w:t xml:space="preserve">course of glucose control with the ertugliflozin treatment. </w:t>
      </w:r>
      <w:r>
        <w:t>Other secondary endpoints were change from baseline in b</w:t>
      </w:r>
      <w:r w:rsidRPr="0041639B">
        <w:t>lood pressure</w:t>
      </w:r>
      <w:r w:rsidRPr="0041639B">
        <w:rPr>
          <w:rStyle w:val="FootnoteReference"/>
          <w:rFonts w:asciiTheme="minorHAnsi" w:eastAsiaTheme="minorHAnsi" w:hAnsiTheme="minorHAnsi"/>
        </w:rPr>
        <w:footnoteReference w:id="8"/>
      </w:r>
      <w:r w:rsidRPr="0041639B">
        <w:t xml:space="preserve"> and body weight</w:t>
      </w:r>
      <w:r w:rsidRPr="0041639B">
        <w:rPr>
          <w:rStyle w:val="FootnoteReference"/>
          <w:rFonts w:asciiTheme="minorHAnsi" w:eastAsiaTheme="minorHAnsi" w:hAnsiTheme="minorHAnsi"/>
        </w:rPr>
        <w:footnoteReference w:id="9"/>
      </w:r>
      <w:r>
        <w:t xml:space="preserve"> and incidence of subjects achieving HbA1c &lt;</w:t>
      </w:r>
      <w:r w:rsidR="00FB1E32">
        <w:t xml:space="preserve"> </w:t>
      </w:r>
      <w:r>
        <w:t>7% and &lt;</w:t>
      </w:r>
      <w:r w:rsidR="00FB1E32">
        <w:t xml:space="preserve"> </w:t>
      </w:r>
      <w:r>
        <w:t xml:space="preserve">6.5%. Other efficacy endpoints included the </w:t>
      </w:r>
      <w:r w:rsidRPr="007D5056">
        <w:t>proportion of subjects who received glycaemic rescue therapy, time to initiation of rescue</w:t>
      </w:r>
      <w:r w:rsidR="00803C18">
        <w:t>.</w:t>
      </w:r>
    </w:p>
    <w:p w:rsidR="002E5CF1" w:rsidRDefault="002E5CF1" w:rsidP="00FB1E32">
      <w:r w:rsidRPr="00155D4D">
        <w:t>PD assessments</w:t>
      </w:r>
      <w:r w:rsidRPr="007D5056">
        <w:t>: Samples collected for glucose, insulin and C-peptide as part of the MMTT were</w:t>
      </w:r>
      <w:r>
        <w:t xml:space="preserve"> </w:t>
      </w:r>
      <w:r w:rsidRPr="007D5056">
        <w:t>evaluated to assess measures of insulin sensitivity and insulin secretion (including HOMA-</w:t>
      </w:r>
      <w:r>
        <w:rPr>
          <w:rFonts w:eastAsia="SymbolMT" w:cs="SymbolMT"/>
        </w:rPr>
        <w:t>beta</w:t>
      </w:r>
      <w:r w:rsidRPr="007D5056">
        <w:t>,</w:t>
      </w:r>
      <w:r>
        <w:t xml:space="preserve"> </w:t>
      </w:r>
      <w:r w:rsidRPr="007D5056">
        <w:t>IGI, and AUC C-peptide/AUC-glucose). Area under the curve (AUC) for glucose, insulin</w:t>
      </w:r>
      <w:r>
        <w:t xml:space="preserve"> </w:t>
      </w:r>
      <w:r w:rsidR="00FB1E32">
        <w:t>and C</w:t>
      </w:r>
      <w:r w:rsidR="00FB1E32">
        <w:noBreakHyphen/>
      </w:r>
      <w:r w:rsidRPr="007D5056">
        <w:t>peptide was calculated for each subject at Day 1 and Week 26 using the linear</w:t>
      </w:r>
      <w:r>
        <w:t xml:space="preserve"> </w:t>
      </w:r>
      <w:r w:rsidRPr="007D5056">
        <w:t>trapezoidal method. Fasting glucose and C-peptide were used to calculate beta cell function</w:t>
      </w:r>
      <w:r>
        <w:t xml:space="preserve"> </w:t>
      </w:r>
      <w:r w:rsidRPr="007D5056">
        <w:t>(HOMA-</w:t>
      </w:r>
      <w:r>
        <w:rPr>
          <w:rFonts w:eastAsia="SymbolMT" w:cs="SymbolMT"/>
        </w:rPr>
        <w:t>beta</w:t>
      </w:r>
      <w:r w:rsidRPr="007D5056">
        <w:t>). In addition to the total AUC and the 2-hour post-prandial glucose assessments,</w:t>
      </w:r>
      <w:r>
        <w:t xml:space="preserve"> </w:t>
      </w:r>
      <w:r w:rsidRPr="007D5056">
        <w:t>incremental AUC</w:t>
      </w:r>
      <w:r w:rsidRPr="00AE3765">
        <w:rPr>
          <w:vertAlign w:val="subscript"/>
        </w:rPr>
        <w:t>glu</w:t>
      </w:r>
      <w:r w:rsidRPr="007D5056">
        <w:t xml:space="preserve"> and incremental 2 hour post-prandial glucose changes from baseline</w:t>
      </w:r>
      <w:r>
        <w:t xml:space="preserve"> </w:t>
      </w:r>
      <w:r w:rsidRPr="007D5056">
        <w:t>were evaluated.</w:t>
      </w:r>
    </w:p>
    <w:p w:rsidR="002E5CF1" w:rsidRPr="00FB1E32" w:rsidRDefault="002E5CF1" w:rsidP="002E5CF1">
      <w:pPr>
        <w:autoSpaceDE w:val="0"/>
        <w:autoSpaceDN w:val="0"/>
        <w:adjustRightInd w:val="0"/>
        <w:spacing w:before="0" w:line="240" w:lineRule="auto"/>
      </w:pPr>
      <w:r w:rsidRPr="00FB1E32">
        <w:t>Treatment compliance: Subjects were directed to bring any used and unused bottles to each visit. The investigator was to maintain a complete and current accountability record for the</w:t>
      </w:r>
      <w:r w:rsidRPr="00847266">
        <w:rPr>
          <w:rFonts w:asciiTheme="minorHAnsi" w:eastAsiaTheme="minorHAnsi" w:hAnsiTheme="minorHAnsi"/>
        </w:rPr>
        <w:t xml:space="preserve"> </w:t>
      </w:r>
      <w:r w:rsidRPr="00FB1E32">
        <w:lastRenderedPageBreak/>
        <w:t xml:space="preserve">blinded study medication. Compliance with the placebo run-in medication was monitored by study personnel at the site at the end of the placebo run-in on Visit 4/Day 1, by comparing the returned </w:t>
      </w:r>
      <w:r w:rsidR="00FB1E32" w:rsidRPr="00FB1E32">
        <w:t>single blind</w:t>
      </w:r>
      <w:r w:rsidRPr="00FB1E32">
        <w:t xml:space="preserve"> study medication with the amount dispensed and the information reported by the subject. Subjects who were &lt;</w:t>
      </w:r>
      <w:r w:rsidR="00FB1E32">
        <w:t xml:space="preserve"> </w:t>
      </w:r>
      <w:r w:rsidRPr="00FB1E32">
        <w:t>80% compliant (based on pill count) with the placebo run-in medication were ineligible for randomisation.</w:t>
      </w:r>
    </w:p>
    <w:p w:rsidR="002E5CF1" w:rsidRPr="00BA22DF" w:rsidRDefault="002E5CF1" w:rsidP="00155D4D">
      <w:pPr>
        <w:pStyle w:val="Heading5"/>
      </w:pPr>
      <w:r w:rsidRPr="005632DC">
        <w:t>Randomisation and blinding methods</w:t>
      </w:r>
    </w:p>
    <w:p w:rsidR="002E5CF1" w:rsidRDefault="002E5CF1" w:rsidP="00FB1E32">
      <w:r w:rsidRPr="001F3613">
        <w:t>Ph</w:t>
      </w:r>
      <w:r w:rsidR="00FB1E32">
        <w:t xml:space="preserve">ase A of this study was subject, investigator, and Sponsor </w:t>
      </w:r>
      <w:r w:rsidRPr="001F3613">
        <w:t xml:space="preserve">blinded. On Day 1 of Phase A randomised, </w:t>
      </w:r>
      <w:r w:rsidR="00FB1E32">
        <w:t>double blind</w:t>
      </w:r>
      <w:r w:rsidRPr="001F3613">
        <w:t xml:space="preserve"> primary treatment period, each subject was randomly assigned (in a 1:1:1 ratio) to ertugliflozin 5 mg,</w:t>
      </w:r>
      <w:r>
        <w:t xml:space="preserve"> </w:t>
      </w:r>
      <w:r w:rsidRPr="001F3613">
        <w:t>ertugliflozin 15 mg or placebo. The study util</w:t>
      </w:r>
      <w:r>
        <w:t>ise</w:t>
      </w:r>
      <w:r w:rsidRPr="001F3613">
        <w:t xml:space="preserve">d a double-dummy approach to maintain </w:t>
      </w:r>
      <w:r w:rsidR="00FB1E32">
        <w:t>double blind</w:t>
      </w:r>
      <w:r w:rsidRPr="001F3613">
        <w:t>ing, with a placebo tablet matching the ertugliflozin 5 mg tablet and another placebo tablet matching the ertugliflozin 10 mg tablet. Subjects</w:t>
      </w:r>
      <w:r w:rsidRPr="005C27E9">
        <w:t xml:space="preserve"> were instructed to take 1 ertugliflozin 5 mg tablet (or</w:t>
      </w:r>
      <w:r>
        <w:t xml:space="preserve"> </w:t>
      </w:r>
      <w:r w:rsidRPr="005C27E9">
        <w:t>matching placebo) and 1 ertugliflozin 10 mg tablet (or matching placebo) daily. Thus, all</w:t>
      </w:r>
      <w:r>
        <w:t xml:space="preserve"> </w:t>
      </w:r>
      <w:r w:rsidRPr="005C27E9">
        <w:t>subjects were to take 2 tablets each day of ertugliflozin/placebo.</w:t>
      </w:r>
    </w:p>
    <w:p w:rsidR="002E5CF1" w:rsidRDefault="002E5CF1" w:rsidP="00FB1E32">
      <w:r w:rsidRPr="005C27E9">
        <w:t xml:space="preserve">Allocation of subjects to treatment groups proceeded through the use of a </w:t>
      </w:r>
      <w:r>
        <w:t xml:space="preserve">randomisation </w:t>
      </w:r>
      <w:r w:rsidRPr="005C27E9">
        <w:t xml:space="preserve">system (interactive voice response system </w:t>
      </w:r>
      <w:r w:rsidR="00424310">
        <w:t>(</w:t>
      </w:r>
      <w:r w:rsidRPr="005C27E9">
        <w:t>IVRS</w:t>
      </w:r>
      <w:r w:rsidR="00424310">
        <w:t>)</w:t>
      </w:r>
      <w:r w:rsidRPr="005C27E9">
        <w:t>) that was accessible 24 hours per day,</w:t>
      </w:r>
      <w:r>
        <w:t xml:space="preserve"> </w:t>
      </w:r>
      <w:r w:rsidR="00FB1E32">
        <w:t>365 </w:t>
      </w:r>
      <w:r w:rsidRPr="005C27E9">
        <w:t>days per year. Subject information was entered into the system starting at S1 when the</w:t>
      </w:r>
      <w:r>
        <w:t xml:space="preserve"> </w:t>
      </w:r>
      <w:r w:rsidRPr="005C27E9">
        <w:t>subject was assigned to a unique identifier which was retained throughout the duration of</w:t>
      </w:r>
      <w:r>
        <w:t xml:space="preserve"> </w:t>
      </w:r>
      <w:r w:rsidRPr="005C27E9">
        <w:t xml:space="preserve">participation in the study. A computer-generated </w:t>
      </w:r>
      <w:r>
        <w:t>randomisation</w:t>
      </w:r>
      <w:r w:rsidRPr="005C27E9">
        <w:t xml:space="preserve"> code using the method of random permuted blocks was</w:t>
      </w:r>
      <w:r>
        <w:t xml:space="preserve"> </w:t>
      </w:r>
      <w:r w:rsidRPr="005C27E9">
        <w:t>util</w:t>
      </w:r>
      <w:r>
        <w:t>ise</w:t>
      </w:r>
      <w:r w:rsidRPr="005C27E9">
        <w:t>d to assign on Day 1 (V4) subjects to 1 of 3 treatment regimens (ertugliflozin 5 mg,</w:t>
      </w:r>
      <w:r>
        <w:t xml:space="preserve"> </w:t>
      </w:r>
      <w:r w:rsidRPr="005C27E9">
        <w:t>ertugliflozin 15 mg or placebo).</w:t>
      </w:r>
    </w:p>
    <w:p w:rsidR="002E5CF1" w:rsidRPr="005632DC" w:rsidDel="0081373E" w:rsidRDefault="002E5CF1" w:rsidP="00155D4D">
      <w:pPr>
        <w:pStyle w:val="Heading5"/>
      </w:pPr>
      <w:r w:rsidRPr="005632DC">
        <w:t>Analysis populations</w:t>
      </w:r>
    </w:p>
    <w:p w:rsidR="00155D4D" w:rsidRDefault="002E5CF1" w:rsidP="00FB1E32">
      <w:r w:rsidRPr="002B464E">
        <w:t>The Full Analysis Set (FAS) population was the primary analysis population for most</w:t>
      </w:r>
      <w:r>
        <w:t xml:space="preserve"> </w:t>
      </w:r>
      <w:r w:rsidRPr="002B464E">
        <w:t xml:space="preserve">efficacy endpoints. For analyses that used the constrained longitudinal data analysis (cLDA) model, the FAS population, defined separately for each analysis endpoint, consisted of all </w:t>
      </w:r>
      <w:r>
        <w:t>randomised</w:t>
      </w:r>
      <w:r w:rsidRPr="002B464E">
        <w:t xml:space="preserve"> subjects who:</w:t>
      </w:r>
    </w:p>
    <w:p w:rsidR="00FB1E32" w:rsidRDefault="002E5CF1" w:rsidP="00155D4D">
      <w:pPr>
        <w:pStyle w:val="ListBullet"/>
      </w:pPr>
      <w:r w:rsidRPr="002B464E">
        <w:t>Received at least 1 dose of study treatment</w:t>
      </w:r>
      <w:r w:rsidR="00FB1E32">
        <w:t>;</w:t>
      </w:r>
    </w:p>
    <w:p w:rsidR="002E5CF1" w:rsidRPr="002B464E" w:rsidRDefault="002E5CF1" w:rsidP="00155D4D">
      <w:pPr>
        <w:pStyle w:val="ListBullet"/>
      </w:pPr>
      <w:r w:rsidRPr="002B464E">
        <w:t>Had a baseline measurement or at least 1 post-</w:t>
      </w:r>
      <w:r>
        <w:t>randomisation</w:t>
      </w:r>
      <w:r w:rsidRPr="002B464E">
        <w:t xml:space="preserve"> measurement for the analysis endpoint subsequent to at least 1 dose of study treatment.</w:t>
      </w:r>
    </w:p>
    <w:p w:rsidR="002E5CF1" w:rsidRPr="005632DC" w:rsidRDefault="002E5CF1" w:rsidP="00155D4D">
      <w:pPr>
        <w:pStyle w:val="Heading5"/>
      </w:pPr>
      <w:bookmarkStart w:id="345" w:name="_Ref492030469"/>
      <w:r w:rsidRPr="005632DC" w:rsidDel="0081373E">
        <w:t>S</w:t>
      </w:r>
      <w:r w:rsidRPr="005632DC">
        <w:t>ample size</w:t>
      </w:r>
      <w:bookmarkEnd w:id="345"/>
    </w:p>
    <w:p w:rsidR="00803C18" w:rsidRDefault="002E5CF1" w:rsidP="00FB1E32">
      <w:pPr>
        <w:rPr>
          <w:color w:val="000000"/>
        </w:rPr>
      </w:pPr>
      <w:r w:rsidRPr="00A34D64">
        <w:t>The sample size of approximately 450 subjects was based on providing safety data for</w:t>
      </w:r>
      <w:r>
        <w:t xml:space="preserve"> </w:t>
      </w:r>
      <w:r w:rsidRPr="00A34D64">
        <w:t>subjects on no background diabetes medication (</w:t>
      </w:r>
      <w:r w:rsidR="006F000B">
        <w:t>that is,</w:t>
      </w:r>
      <w:r w:rsidRPr="00A34D64">
        <w:t xml:space="preserve"> on the use of ertugliflozin as</w:t>
      </w:r>
      <w:r>
        <w:t xml:space="preserve"> </w:t>
      </w:r>
      <w:r w:rsidRPr="00A34D64">
        <w:t>monotherapy). This number was also expected to enable a statistically robust assessment of</w:t>
      </w:r>
      <w:r>
        <w:t xml:space="preserve"> </w:t>
      </w:r>
      <w:r w:rsidRPr="00A34D64">
        <w:t>the primary</w:t>
      </w:r>
      <w:r>
        <w:t xml:space="preserve"> e</w:t>
      </w:r>
      <w:r w:rsidRPr="00A34D64">
        <w:t>ndpoint</w:t>
      </w:r>
      <w:r>
        <w:t xml:space="preserve"> which </w:t>
      </w:r>
      <w:r w:rsidRPr="00A34D64">
        <w:rPr>
          <w:color w:val="000000"/>
        </w:rPr>
        <w:t xml:space="preserve">was the change in </w:t>
      </w:r>
      <w:r>
        <w:rPr>
          <w:color w:val="000000"/>
        </w:rPr>
        <w:t>HbA1c</w:t>
      </w:r>
      <w:r w:rsidRPr="00A34D64">
        <w:rPr>
          <w:color w:val="000000"/>
        </w:rPr>
        <w:t xml:space="preserve"> from baseline at Week 26. With a sample size of approximately 450 subjects </w:t>
      </w:r>
      <w:r>
        <w:rPr>
          <w:color w:val="000000"/>
        </w:rPr>
        <w:t>randomised</w:t>
      </w:r>
      <w:r w:rsidRPr="00A34D64">
        <w:rPr>
          <w:color w:val="000000"/>
        </w:rPr>
        <w:t xml:space="preserve"> equally to ertugliflozin 5 mg, ertu</w:t>
      </w:r>
      <w:r w:rsidR="00FB1E32">
        <w:rPr>
          <w:color w:val="000000"/>
        </w:rPr>
        <w:t>gliflozin 15 mg or placebo, 120 </w:t>
      </w:r>
      <w:r w:rsidRPr="00A34D64">
        <w:rPr>
          <w:color w:val="000000"/>
        </w:rPr>
        <w:t xml:space="preserve">subjects per group were expected to complete the 26 weeks duration of treatment assuming a dropout rate of 20%. This sample size provided greater than 99% power to detect a difference of 0.6% in the change from baseline at Week 26 in </w:t>
      </w:r>
      <w:r>
        <w:rPr>
          <w:color w:val="000000"/>
        </w:rPr>
        <w:t>HbA1c</w:t>
      </w:r>
      <w:r w:rsidRPr="00A34D64">
        <w:rPr>
          <w:color w:val="000000"/>
        </w:rPr>
        <w:t xml:space="preserve"> assuming a SD of 1.0%</w:t>
      </w:r>
      <w:r w:rsidRPr="00A34D64">
        <w:rPr>
          <w:rStyle w:val="FootnoteReference"/>
          <w:rFonts w:asciiTheme="minorHAnsi" w:eastAsiaTheme="minorHAnsi" w:hAnsiTheme="minorHAnsi"/>
          <w:color w:val="000000"/>
        </w:rPr>
        <w:footnoteReference w:id="10"/>
      </w:r>
      <w:r w:rsidRPr="00A34D64">
        <w:rPr>
          <w:color w:val="000000"/>
        </w:rPr>
        <w:t xml:space="preserve"> based on a 2-sided test at a 5% level of significance</w:t>
      </w:r>
      <w:r w:rsidR="00803C18">
        <w:rPr>
          <w:color w:val="000000"/>
        </w:rPr>
        <w:t>.</w:t>
      </w:r>
    </w:p>
    <w:p w:rsidR="002E5CF1" w:rsidRPr="005632DC" w:rsidRDefault="002E5CF1" w:rsidP="00155D4D">
      <w:pPr>
        <w:pStyle w:val="Heading5"/>
      </w:pPr>
      <w:r w:rsidRPr="005632DC">
        <w:t>Statistical methods</w:t>
      </w:r>
    </w:p>
    <w:p w:rsidR="002E5CF1" w:rsidRPr="002B464E" w:rsidRDefault="002E5CF1" w:rsidP="00FB1E32">
      <w:r w:rsidRPr="002B464E">
        <w:t>An ordered testing procedure was used to assess a collection of primary and secondary</w:t>
      </w:r>
      <w:r>
        <w:t xml:space="preserve"> </w:t>
      </w:r>
      <w:r w:rsidRPr="002B464E">
        <w:t xml:space="preserve">hypothesis tests (see Table </w:t>
      </w:r>
      <w:r w:rsidR="00155D4D">
        <w:t>22</w:t>
      </w:r>
      <w:r w:rsidRPr="002B464E">
        <w:t xml:space="preserve"> below)</w:t>
      </w:r>
    </w:p>
    <w:p w:rsidR="002E5CF1" w:rsidRPr="001B0841" w:rsidRDefault="002E5CF1" w:rsidP="00155D4D">
      <w:pPr>
        <w:pStyle w:val="Tabletitle"/>
      </w:pPr>
      <w:bookmarkStart w:id="346" w:name="_Toc491426691"/>
      <w:bookmarkStart w:id="347" w:name="_Toc504038247"/>
      <w:r w:rsidRPr="001B0841">
        <w:lastRenderedPageBreak/>
        <w:t xml:space="preserve">Table </w:t>
      </w:r>
      <w:r w:rsidR="00155D4D">
        <w:t>22</w:t>
      </w:r>
      <w:r w:rsidRPr="001B0841">
        <w:t>: Statistical decision rules Ordered testing procedure</w:t>
      </w:r>
      <w:bookmarkEnd w:id="346"/>
      <w:bookmarkEnd w:id="347"/>
    </w:p>
    <w:p w:rsidR="002E5CF1" w:rsidRPr="00321B0C" w:rsidRDefault="002E5CF1" w:rsidP="00321B0C">
      <w:r>
        <w:rPr>
          <w:noProof/>
          <w:lang w:eastAsia="en-AU"/>
        </w:rPr>
        <w:drawing>
          <wp:inline distT="0" distB="0" distL="0" distR="0" wp14:anchorId="3E1F713B" wp14:editId="5747BE6C">
            <wp:extent cx="4769510" cy="2576043"/>
            <wp:effectExtent l="0" t="0" r="0" b="0"/>
            <wp:docPr id="54" name="Picture 54" descr="Statistical decision rules: Ordered testing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81802" cy="2582682"/>
                    </a:xfrm>
                    <a:prstGeom prst="rect">
                      <a:avLst/>
                    </a:prstGeom>
                    <a:noFill/>
                    <a:ln>
                      <a:noFill/>
                    </a:ln>
                  </pic:spPr>
                </pic:pic>
              </a:graphicData>
            </a:graphic>
          </wp:inline>
        </w:drawing>
      </w:r>
    </w:p>
    <w:p w:rsidR="002E5CF1" w:rsidRPr="001B0841" w:rsidRDefault="002E5CF1" w:rsidP="00FB1E32">
      <w:r w:rsidRPr="001B0841">
        <w:t>Beginning with the first hypothesis, a test was conducted at a 5% level of significance. If</w:t>
      </w:r>
      <w:r>
        <w:t xml:space="preserve"> </w:t>
      </w:r>
      <w:r w:rsidRPr="001B0841">
        <w:t>significance was not achieved (</w:t>
      </w:r>
      <w:r w:rsidR="006F000B">
        <w:t>that is,</w:t>
      </w:r>
      <w:r w:rsidRPr="001B0841">
        <w:t xml:space="preserve"> p-value &gt; 0.05), then no further hypothesis testing was</w:t>
      </w:r>
      <w:r>
        <w:t xml:space="preserve"> </w:t>
      </w:r>
      <w:r w:rsidRPr="001B0841">
        <w:t>conducted. If significance was achieved, the next hypothesis was then tested at a 5% level of</w:t>
      </w:r>
      <w:r>
        <w:t xml:space="preserve"> </w:t>
      </w:r>
      <w:r w:rsidRPr="001B0841">
        <w:t>significance with the decision process repeated. Any reported confidence interval (CI) was constructed with 95% CIs and was 2-sided in nature. All statistical tests were conducted at the alpha</w:t>
      </w:r>
      <w:r w:rsidR="00FB1E32">
        <w:t xml:space="preserve"> </w:t>
      </w:r>
      <w:r w:rsidRPr="001B0841">
        <w:t>=</w:t>
      </w:r>
      <w:r w:rsidR="00FB1E32">
        <w:t xml:space="preserve"> </w:t>
      </w:r>
      <w:r w:rsidRPr="001B0841">
        <w:t>0.05 (2-sided) level.</w:t>
      </w:r>
    </w:p>
    <w:p w:rsidR="002E5CF1" w:rsidRDefault="002E5CF1" w:rsidP="00FB1E32">
      <w:r w:rsidRPr="00195764">
        <w:t>Analysis of primary efficacy endpoint:</w:t>
      </w:r>
      <w:r w:rsidRPr="001B0841">
        <w:t xml:space="preserve"> The primary efficacy analyses compared the efficacy of ertugliflozin relative to placebo in change from baseline in </w:t>
      </w:r>
      <w:r>
        <w:t>HbA1c</w:t>
      </w:r>
      <w:r w:rsidRPr="001B0841">
        <w:t xml:space="preserve"> at Week 26, excluding data obtained after the initiation of glycaemic rescue therapy</w:t>
      </w:r>
      <w:r w:rsidRPr="002B464E">
        <w:t xml:space="preserve"> or after bariatric surgery. The mean changes from baseline in </w:t>
      </w:r>
      <w:r>
        <w:t>HbA1c</w:t>
      </w:r>
      <w:r w:rsidRPr="002B464E">
        <w:t xml:space="preserve"> at Week 26 for the ertugliflozin groups were compared to the mean changes in the placebo group using the estimated treatment differences via a cLDA model, proposed by Liang and Zeger. The statistical model included terms for treatment (categorical), time (categorical), the treatment by time interaction, AHA status at study entry (binary</w:t>
      </w:r>
      <w:r w:rsidR="00FB1E32">
        <w:t>;</w:t>
      </w:r>
      <w:r w:rsidR="0010567B" w:rsidRPr="002B464E">
        <w:t xml:space="preserve"> </w:t>
      </w:r>
      <w:r w:rsidRPr="002B464E">
        <w:t>yes/no), and baseline eGFR (continuous). No imputation of missing data was performed. A cLDA, based on the FAS and including data obtained after the initiation of glycaemic</w:t>
      </w:r>
      <w:r>
        <w:t xml:space="preserve"> </w:t>
      </w:r>
      <w:r w:rsidRPr="002B464E">
        <w:t>rescue therapy or after bariatric surgery, was used to evaluate the change from baseline in</w:t>
      </w:r>
      <w:r>
        <w:t xml:space="preserve"> </w:t>
      </w:r>
      <w:r w:rsidRPr="002B464E">
        <w:t>HbA1c levels at Week 26 as a supportive analysis.</w:t>
      </w:r>
    </w:p>
    <w:p w:rsidR="00F97665" w:rsidRDefault="002E5CF1" w:rsidP="0010567B">
      <w:pPr>
        <w:pStyle w:val="Comment"/>
      </w:pPr>
      <w:r w:rsidRPr="0010567B">
        <w:rPr>
          <w:b/>
        </w:rPr>
        <w:t>Comment</w:t>
      </w:r>
      <w:r w:rsidR="00FB1E32">
        <w:t xml:space="preserve">: </w:t>
      </w:r>
      <w:r w:rsidRPr="00801F96">
        <w:t>The sponsors have stated the following regarding use of the cLDA model for analysis of efficacy endpoints:</w:t>
      </w:r>
    </w:p>
    <w:p w:rsidR="002E5CF1" w:rsidRPr="00801F96" w:rsidRDefault="002E5CF1" w:rsidP="00E7616B">
      <w:pPr>
        <w:pStyle w:val="Comment"/>
        <w:ind w:firstLine="0"/>
      </w:pPr>
      <w:r>
        <w:t>‘</w:t>
      </w:r>
      <w:r w:rsidRPr="0010567B">
        <w:rPr>
          <w:i/>
        </w:rPr>
        <w:t>Although the baseline measurements are included in the response vector for a cLDA model,</w:t>
      </w:r>
      <w:r w:rsidR="0010567B" w:rsidRPr="0010567B">
        <w:rPr>
          <w:i/>
        </w:rPr>
        <w:t xml:space="preserve"> </w:t>
      </w:r>
      <w:r w:rsidRPr="0010567B">
        <w:rPr>
          <w:i/>
        </w:rPr>
        <w:t>it is independent of treatment, and hence, the baseline means were constrained to be the same</w:t>
      </w:r>
      <w:r w:rsidR="0010567B" w:rsidRPr="0010567B">
        <w:rPr>
          <w:i/>
        </w:rPr>
        <w:t xml:space="preserve"> </w:t>
      </w:r>
      <w:r w:rsidRPr="0010567B">
        <w:rPr>
          <w:i/>
        </w:rPr>
        <w:t>for all treatment groups. It is important to note that in the event that there were no missing data, the estimated treatment difference from a cLDA model would have been identical to that from a traditional longitudinal analysis of covariance (ANCOVA) model which uses the baseline value as a covariate. However, unlike longitudinal ANCOVA, the cLDA model accounts for variability in the baseline values among treatments, thus providing more accurate standard errors (SEs) and CIs for individual treatment effects. Moreover, this model allowed the inclusion of subjects who were missing either the baseline or post-baseline measurements, thereby increasing efficiency</w:t>
      </w:r>
      <w:r w:rsidRPr="00801F96">
        <w:t>.</w:t>
      </w:r>
      <w:r>
        <w:t>’</w:t>
      </w:r>
    </w:p>
    <w:p w:rsidR="00803C18" w:rsidRDefault="002E5CF1" w:rsidP="00FB1E32">
      <w:r w:rsidRPr="00801F96">
        <w:t>It appears that the cLDA model may be more suited for accurate assessment of treatment differences when there is missing data. However, it is noted that the efficacy results have not</w:t>
      </w:r>
      <w:r>
        <w:t xml:space="preserve"> </w:t>
      </w:r>
      <w:r w:rsidRPr="00801F96">
        <w:t>been confirmed using the more commonly used longitudinal ANCOVA analysis</w:t>
      </w:r>
      <w:r w:rsidR="00803C18">
        <w:t>.</w:t>
      </w:r>
    </w:p>
    <w:p w:rsidR="002E5CF1" w:rsidRDefault="002E5CF1" w:rsidP="00FB1E32">
      <w:pPr>
        <w:rPr>
          <w:rFonts w:asciiTheme="minorHAnsi" w:hAnsiTheme="minorHAnsi"/>
        </w:rPr>
      </w:pPr>
      <w:r w:rsidRPr="00195764">
        <w:rPr>
          <w:rFonts w:asciiTheme="minorHAnsi" w:hAnsiTheme="minorHAnsi"/>
        </w:rPr>
        <w:lastRenderedPageBreak/>
        <w:t>Analysis of secondary efficacy endpoints:</w:t>
      </w:r>
      <w:r w:rsidRPr="002B464E">
        <w:rPr>
          <w:rFonts w:asciiTheme="minorHAnsi" w:hAnsiTheme="minorHAnsi"/>
        </w:rPr>
        <w:t xml:space="preserve"> Change from baseline at Week 26 in FPG, body weight, </w:t>
      </w:r>
      <w:r w:rsidR="00730F18">
        <w:rPr>
          <w:rFonts w:asciiTheme="minorHAnsi" w:hAnsiTheme="minorHAnsi"/>
        </w:rPr>
        <w:t>2 h PPG</w:t>
      </w:r>
      <w:r w:rsidRPr="002B464E">
        <w:rPr>
          <w:rFonts w:asciiTheme="minorHAnsi" w:hAnsiTheme="minorHAnsi"/>
        </w:rPr>
        <w:t xml:space="preserve">, </w:t>
      </w:r>
      <w:r>
        <w:rPr>
          <w:rFonts w:asciiTheme="minorHAnsi" w:hAnsiTheme="minorHAnsi"/>
        </w:rPr>
        <w:t xml:space="preserve">SBP </w:t>
      </w:r>
      <w:r w:rsidRPr="002B464E">
        <w:rPr>
          <w:rFonts w:asciiTheme="minorHAnsi" w:hAnsiTheme="minorHAnsi"/>
        </w:rPr>
        <w:t xml:space="preserve">and </w:t>
      </w:r>
      <w:r>
        <w:rPr>
          <w:rFonts w:asciiTheme="minorHAnsi" w:hAnsiTheme="minorHAnsi"/>
        </w:rPr>
        <w:t>DBP</w:t>
      </w:r>
      <w:r w:rsidRPr="002B464E">
        <w:rPr>
          <w:rFonts w:asciiTheme="minorHAnsi" w:hAnsiTheme="minorHAnsi"/>
        </w:rPr>
        <w:t xml:space="preserve"> were each analysed with the same cLDA approach (and</w:t>
      </w:r>
      <w:r>
        <w:rPr>
          <w:rFonts w:asciiTheme="minorHAnsi" w:hAnsiTheme="minorHAnsi"/>
        </w:rPr>
        <w:t xml:space="preserve"> </w:t>
      </w:r>
      <w:r w:rsidRPr="002B464E">
        <w:rPr>
          <w:rFonts w:asciiTheme="minorHAnsi" w:hAnsiTheme="minorHAnsi"/>
        </w:rPr>
        <w:t>statistical model construct) as the primary efficacy analysis.</w:t>
      </w:r>
      <w:r>
        <w:rPr>
          <w:rFonts w:asciiTheme="minorHAnsi" w:hAnsiTheme="minorHAnsi"/>
        </w:rPr>
        <w:t xml:space="preserve"> </w:t>
      </w:r>
      <w:r w:rsidRPr="002B464E">
        <w:rPr>
          <w:rFonts w:asciiTheme="minorHAnsi" w:hAnsiTheme="minorHAnsi"/>
        </w:rPr>
        <w:t>A logistic regression analysis was used to</w:t>
      </w:r>
      <w:r>
        <w:rPr>
          <w:rFonts w:asciiTheme="minorHAnsi" w:hAnsiTheme="minorHAnsi"/>
        </w:rPr>
        <w:t xml:space="preserve"> </w:t>
      </w:r>
      <w:r w:rsidRPr="002B464E">
        <w:rPr>
          <w:rFonts w:asciiTheme="minorHAnsi" w:hAnsiTheme="minorHAnsi"/>
        </w:rPr>
        <w:t xml:space="preserve">evaluate the proportion of subjects with </w:t>
      </w:r>
      <w:r w:rsidR="00FB1E32">
        <w:rPr>
          <w:rFonts w:asciiTheme="minorHAnsi" w:hAnsiTheme="minorHAnsi"/>
        </w:rPr>
        <w:t>HbA1c &lt; 7.0%</w:t>
      </w:r>
      <w:r w:rsidRPr="002B464E">
        <w:rPr>
          <w:rFonts w:asciiTheme="minorHAnsi" w:hAnsiTheme="minorHAnsi"/>
        </w:rPr>
        <w:t xml:space="preserve"> (53 mmol/mol) at Week 26. The statistical model included terms for treatment</w:t>
      </w:r>
      <w:r>
        <w:rPr>
          <w:rFonts w:asciiTheme="minorHAnsi" w:hAnsiTheme="minorHAnsi"/>
        </w:rPr>
        <w:t xml:space="preserve"> </w:t>
      </w:r>
      <w:r w:rsidRPr="002B464E">
        <w:rPr>
          <w:rFonts w:asciiTheme="minorHAnsi" w:hAnsiTheme="minorHAnsi"/>
        </w:rPr>
        <w:t xml:space="preserve">(categorical), baseline </w:t>
      </w:r>
      <w:r>
        <w:rPr>
          <w:rFonts w:asciiTheme="minorHAnsi" w:hAnsiTheme="minorHAnsi"/>
        </w:rPr>
        <w:t>HbA1c</w:t>
      </w:r>
      <w:r w:rsidRPr="002B464E">
        <w:rPr>
          <w:rFonts w:asciiTheme="minorHAnsi" w:hAnsiTheme="minorHAnsi"/>
        </w:rPr>
        <w:t xml:space="preserve"> (continuous), AHA status at study entry (binary</w:t>
      </w:r>
      <w:r w:rsidR="00FB1E32">
        <w:rPr>
          <w:rFonts w:asciiTheme="minorHAnsi" w:hAnsiTheme="minorHAnsi"/>
        </w:rPr>
        <w:t>;</w:t>
      </w:r>
      <w:r w:rsidR="0010567B" w:rsidRPr="002B464E">
        <w:rPr>
          <w:rFonts w:asciiTheme="minorHAnsi" w:hAnsiTheme="minorHAnsi"/>
        </w:rPr>
        <w:t xml:space="preserve"> </w:t>
      </w:r>
      <w:r w:rsidRPr="002B464E">
        <w:rPr>
          <w:rFonts w:asciiTheme="minorHAnsi" w:hAnsiTheme="minorHAnsi"/>
        </w:rPr>
        <w:t>yes/no), and</w:t>
      </w:r>
      <w:r>
        <w:rPr>
          <w:rFonts w:asciiTheme="minorHAnsi" w:hAnsiTheme="minorHAnsi"/>
        </w:rPr>
        <w:t xml:space="preserve"> </w:t>
      </w:r>
      <w:r w:rsidRPr="002B464E">
        <w:rPr>
          <w:rFonts w:asciiTheme="minorHAnsi" w:hAnsiTheme="minorHAnsi"/>
        </w:rPr>
        <w:t>baseline eGFR (continuous). The analysis was performed (1) using the FAS and a multiple</w:t>
      </w:r>
      <w:r>
        <w:rPr>
          <w:rFonts w:asciiTheme="minorHAnsi" w:hAnsiTheme="minorHAnsi"/>
        </w:rPr>
        <w:t xml:space="preserve"> </w:t>
      </w:r>
      <w:r w:rsidRPr="002B464E">
        <w:rPr>
          <w:rFonts w:asciiTheme="minorHAnsi" w:hAnsiTheme="minorHAnsi"/>
        </w:rPr>
        <w:t>imputation procedure based on cLDA prediction modelling and (2) using the FAS and by</w:t>
      </w:r>
      <w:r>
        <w:rPr>
          <w:rFonts w:asciiTheme="minorHAnsi" w:hAnsiTheme="minorHAnsi"/>
        </w:rPr>
        <w:t xml:space="preserve"> </w:t>
      </w:r>
      <w:r w:rsidRPr="002B464E">
        <w:rPr>
          <w:rFonts w:asciiTheme="minorHAnsi" w:hAnsiTheme="minorHAnsi"/>
        </w:rPr>
        <w:t>imputing as ‘not at goal’ any missing data.</w:t>
      </w:r>
    </w:p>
    <w:p w:rsidR="002E5CF1" w:rsidRPr="00FB1E32" w:rsidRDefault="002E5CF1" w:rsidP="00FB1E32">
      <w:r w:rsidRPr="00DE6973">
        <w:rPr>
          <w:bCs/>
        </w:rPr>
        <w:t xml:space="preserve">Analysis of Other Efficacy Endpoints: </w:t>
      </w:r>
      <w:r w:rsidRPr="00DE6973">
        <w:t xml:space="preserve">Time to initiation of glycaemic rescue therapy was analysed via a log-rank test and via a Kaplan-Meier plot. The proportion of subjects rescued in each treatment group was summarised. A plot of the Kaplan-Meier estimate of the distribution of the time-to-rescue for each treatment arm was provided, and log-rank tests comparing the </w:t>
      </w:r>
      <w:r w:rsidRPr="00FB1E32">
        <w:t>time-to-rescue distribution of each ertugliflozin group versus placebo were conducted. In this analysis, subjects were censored at the time of discontinuation or bariatric surgery. P-values were nominal for these analyses.</w:t>
      </w:r>
    </w:p>
    <w:p w:rsidR="002E5CF1" w:rsidRPr="005632DC" w:rsidRDefault="0010567B" w:rsidP="0010567B">
      <w:pPr>
        <w:pStyle w:val="Heading5"/>
      </w:pPr>
      <w:r>
        <w:t>Participant flow</w:t>
      </w:r>
    </w:p>
    <w:p w:rsidR="002E5CF1" w:rsidRPr="0010567B" w:rsidRDefault="002E5CF1" w:rsidP="00FB1E32">
      <w:r w:rsidRPr="00315A20">
        <w:t>In total, 1067 subjects were screened and 606 subjects were excluded during screening. The</w:t>
      </w:r>
      <w:r>
        <w:t xml:space="preserve"> </w:t>
      </w:r>
      <w:r w:rsidRPr="00315A20">
        <w:t xml:space="preserve">most common reason for not being </w:t>
      </w:r>
      <w:r>
        <w:t>randomised</w:t>
      </w:r>
      <w:r w:rsidRPr="00315A20">
        <w:t xml:space="preserve"> was screening failure (96.4% of subjects) and</w:t>
      </w:r>
      <w:r>
        <w:t xml:space="preserve"> </w:t>
      </w:r>
      <w:r w:rsidRPr="00315A20">
        <w:t xml:space="preserve">the most common reason for screening failure was not meeting the </w:t>
      </w:r>
      <w:r>
        <w:t>HbA1c</w:t>
      </w:r>
      <w:r w:rsidRPr="00315A20">
        <w:t xml:space="preserve"> inclusion criterion. </w:t>
      </w:r>
      <w:r w:rsidRPr="00315A20">
        <w:rPr>
          <w:color w:val="000000"/>
        </w:rPr>
        <w:t xml:space="preserve">The remaining 461 subjects were </w:t>
      </w:r>
      <w:r>
        <w:rPr>
          <w:color w:val="000000"/>
        </w:rPr>
        <w:t>randomised</w:t>
      </w:r>
      <w:r w:rsidRPr="00315A20">
        <w:rPr>
          <w:color w:val="000000"/>
        </w:rPr>
        <w:t xml:space="preserve"> at 67 sites in 7 countries. </w:t>
      </w:r>
      <w:r>
        <w:rPr>
          <w:color w:val="000000"/>
        </w:rPr>
        <w:t>Randomisation</w:t>
      </w:r>
      <w:r w:rsidRPr="00315A20">
        <w:rPr>
          <w:color w:val="000000"/>
        </w:rPr>
        <w:t xml:space="preserve"> at each study centre ranged from 1 to</w:t>
      </w:r>
      <w:r>
        <w:rPr>
          <w:color w:val="000000"/>
        </w:rPr>
        <w:t xml:space="preserve"> </w:t>
      </w:r>
      <w:r w:rsidRPr="00315A20">
        <w:rPr>
          <w:color w:val="000000"/>
        </w:rPr>
        <w:t>45 subjects.</w:t>
      </w:r>
      <w:r w:rsidRPr="00315A20">
        <w:t xml:space="preserve"> The proportion of subjects who discontinued study medication in Phase A was numerically higher in the placebo group compared to the ertugliflozin groups. In all 3 treatment groups, the most common reason for study medication discontinuation was withdrawal by subject. A numerically higher incidence of subjects discontinued study medication due to</w:t>
      </w:r>
      <w:r>
        <w:t xml:space="preserve"> </w:t>
      </w:r>
      <w:r w:rsidRPr="00315A20">
        <w:t xml:space="preserve">hyperglycaemia and due to lack of efficacy in the placebo group than in the </w:t>
      </w:r>
      <w:r w:rsidRPr="0010567B">
        <w:t xml:space="preserve">ertugliflozin groups; other reasons for study medication discontinuation were similar between groups (Table </w:t>
      </w:r>
      <w:r w:rsidR="0010567B" w:rsidRPr="0010567B">
        <w:t>23</w:t>
      </w:r>
      <w:r w:rsidRPr="0010567B">
        <w:t>).</w:t>
      </w:r>
    </w:p>
    <w:p w:rsidR="0010567B" w:rsidRPr="00C738A2" w:rsidRDefault="0010567B" w:rsidP="0010567B">
      <w:pPr>
        <w:pStyle w:val="Tabletitle"/>
      </w:pPr>
      <w:bookmarkStart w:id="348" w:name="_Ref492027915"/>
      <w:bookmarkStart w:id="349" w:name="_Toc504038392"/>
      <w:r w:rsidRPr="00C738A2">
        <w:t xml:space="preserve">Table </w:t>
      </w:r>
      <w:r>
        <w:t xml:space="preserve">23: </w:t>
      </w:r>
      <w:r w:rsidRPr="00C738A2">
        <w:t>Disposition of subjects</w:t>
      </w:r>
      <w:bookmarkEnd w:id="348"/>
      <w:bookmarkEnd w:id="349"/>
    </w:p>
    <w:p w:rsidR="0010567B" w:rsidRPr="00321B0C" w:rsidRDefault="0010567B" w:rsidP="00321B0C">
      <w:r w:rsidRPr="00C738A2">
        <w:rPr>
          <w:noProof/>
          <w:lang w:eastAsia="en-AU"/>
        </w:rPr>
        <w:drawing>
          <wp:inline distT="0" distB="0" distL="0" distR="0" wp14:anchorId="48795E74" wp14:editId="73297383">
            <wp:extent cx="5444784" cy="2321075"/>
            <wp:effectExtent l="0" t="0" r="3810" b="3175"/>
            <wp:docPr id="127" name="Picture 127" descr="Disposition of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lum bright="-20000" contrast="40000"/>
                      <a:extLst>
                        <a:ext uri="{28A0092B-C50C-407E-A947-70E740481C1C}">
                          <a14:useLocalDpi xmlns:a14="http://schemas.microsoft.com/office/drawing/2010/main" val="0"/>
                        </a:ext>
                      </a:extLst>
                    </a:blip>
                    <a:srcRect/>
                    <a:stretch>
                      <a:fillRect/>
                    </a:stretch>
                  </pic:blipFill>
                  <pic:spPr bwMode="auto">
                    <a:xfrm>
                      <a:off x="0" y="0"/>
                      <a:ext cx="5443097" cy="2320356"/>
                    </a:xfrm>
                    <a:prstGeom prst="rect">
                      <a:avLst/>
                    </a:prstGeom>
                    <a:noFill/>
                    <a:ln>
                      <a:noFill/>
                    </a:ln>
                  </pic:spPr>
                </pic:pic>
              </a:graphicData>
            </a:graphic>
          </wp:inline>
        </w:drawing>
      </w:r>
    </w:p>
    <w:p w:rsidR="002E5CF1" w:rsidRPr="00EC3AE0" w:rsidRDefault="002E5CF1" w:rsidP="0010567B">
      <w:pPr>
        <w:pStyle w:val="Heading5"/>
      </w:pPr>
      <w:r w:rsidRPr="00EC3AE0">
        <w:t>Major protocol violations/deviations</w:t>
      </w:r>
    </w:p>
    <w:p w:rsidR="002E5CF1" w:rsidRPr="004F1693" w:rsidRDefault="002E5CF1" w:rsidP="00FB1E32">
      <w:r w:rsidRPr="00E65164">
        <w:t>Overall, 120 (26.0%) of 461 subjects who received treatment with study</w:t>
      </w:r>
      <w:r>
        <w:t xml:space="preserve"> </w:t>
      </w:r>
      <w:r w:rsidRPr="00E65164">
        <w:t>medication were reported to have 1 or more major deviations. The most common major</w:t>
      </w:r>
      <w:r>
        <w:t xml:space="preserve"> </w:t>
      </w:r>
      <w:r w:rsidRPr="00E65164">
        <w:t>deviations were those associated with failure to conduct major/significant evaluations and</w:t>
      </w:r>
      <w:r>
        <w:t xml:space="preserve"> </w:t>
      </w:r>
      <w:r w:rsidRPr="00E65164">
        <w:t>subjects who did not give appropriate informed consent</w:t>
      </w:r>
      <w:r>
        <w:t>.</w:t>
      </w:r>
      <w:r w:rsidRPr="00E65164">
        <w:t xml:space="preserve"> These deviations are not expected to affect safety or efficacy conclusions.</w:t>
      </w:r>
      <w:r>
        <w:t xml:space="preserve"> </w:t>
      </w:r>
      <w:r w:rsidRPr="00E65164">
        <w:t>Other protocol deviations, including those with a potential to meaningfully impact efficacy</w:t>
      </w:r>
      <w:r>
        <w:t xml:space="preserve"> </w:t>
      </w:r>
      <w:r w:rsidRPr="00E65164">
        <w:t>analyses (</w:t>
      </w:r>
      <w:r w:rsidR="0030125A">
        <w:t>for example</w:t>
      </w:r>
      <w:r w:rsidR="00155D4D">
        <w:t>,</w:t>
      </w:r>
      <w:r w:rsidRPr="00E65164">
        <w:t xml:space="preserve"> taking glyc</w:t>
      </w:r>
      <w:r>
        <w:t>a</w:t>
      </w:r>
      <w:r w:rsidRPr="00E65164">
        <w:t xml:space="preserve">emic rescue medication without meeting rescue </w:t>
      </w:r>
      <w:r w:rsidRPr="00E65164">
        <w:lastRenderedPageBreak/>
        <w:t>criteria, and taking</w:t>
      </w:r>
      <w:r>
        <w:t xml:space="preserve"> </w:t>
      </w:r>
      <w:r w:rsidRPr="00E65164">
        <w:t>incorrect study medication) did not occur or occurred at low incidences across the treatment</w:t>
      </w:r>
      <w:r>
        <w:t xml:space="preserve"> </w:t>
      </w:r>
      <w:r w:rsidRPr="004F1693">
        <w:t>groups (</w:t>
      </w:r>
      <w:r w:rsidR="004F1693" w:rsidRPr="004F1693">
        <w:t>Table 24</w:t>
      </w:r>
      <w:r w:rsidRPr="004F1693">
        <w:t>).</w:t>
      </w:r>
    </w:p>
    <w:p w:rsidR="004F1693" w:rsidRPr="00C738A2" w:rsidRDefault="004F1693" w:rsidP="004F1693">
      <w:pPr>
        <w:pStyle w:val="Tabletitle"/>
      </w:pPr>
      <w:bookmarkStart w:id="350" w:name="_Ref492027918"/>
      <w:bookmarkStart w:id="351" w:name="_Toc504038393"/>
      <w:r w:rsidRPr="00C738A2">
        <w:t xml:space="preserve">Table </w:t>
      </w:r>
      <w:r>
        <w:t>24</w:t>
      </w:r>
      <w:r w:rsidRPr="00C738A2">
        <w:t>:</w:t>
      </w:r>
      <w:r>
        <w:t xml:space="preserve"> </w:t>
      </w:r>
      <w:r w:rsidRPr="00C738A2">
        <w:t>Major protocol deviations (all subjects treated)</w:t>
      </w:r>
      <w:bookmarkEnd w:id="350"/>
      <w:bookmarkEnd w:id="351"/>
    </w:p>
    <w:p w:rsidR="004F1693" w:rsidRPr="00C738A2" w:rsidRDefault="002E1032" w:rsidP="00321B0C">
      <w:r>
        <w:t xml:space="preserve"> </w:t>
      </w:r>
      <w:r w:rsidR="004F1693" w:rsidRPr="00C738A2">
        <w:rPr>
          <w:noProof/>
          <w:lang w:eastAsia="en-AU"/>
        </w:rPr>
        <w:drawing>
          <wp:inline distT="0" distB="0" distL="0" distR="0" wp14:anchorId="1F6E25F7" wp14:editId="5FB3268E">
            <wp:extent cx="5210736" cy="1890677"/>
            <wp:effectExtent l="0" t="0" r="0" b="0"/>
            <wp:docPr id="224" name="Picture 224" descr="Major protocol deviation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t="1" b="3169"/>
                    <a:stretch/>
                  </pic:blipFill>
                  <pic:spPr bwMode="auto">
                    <a:xfrm>
                      <a:off x="0" y="0"/>
                      <a:ext cx="5231669" cy="1898272"/>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Pr="00EC3AE0" w:rsidRDefault="002E5CF1" w:rsidP="0010567B">
      <w:pPr>
        <w:pStyle w:val="Heading5"/>
      </w:pPr>
      <w:r w:rsidRPr="00EC3AE0">
        <w:t>Baseline data</w:t>
      </w:r>
    </w:p>
    <w:p w:rsidR="002E5CF1" w:rsidRPr="0074603D" w:rsidRDefault="002E5CF1" w:rsidP="00FB1E32">
      <w:r w:rsidRPr="005676AB">
        <w:t>Baseline demographic and anthropometric characteristics were similar between</w:t>
      </w:r>
      <w:r>
        <w:t xml:space="preserve"> </w:t>
      </w:r>
      <w:r w:rsidRPr="005676AB">
        <w:t xml:space="preserve">treatment </w:t>
      </w:r>
      <w:r w:rsidRPr="004F1693">
        <w:t xml:space="preserve">groups </w:t>
      </w:r>
      <w:r w:rsidR="004F1693" w:rsidRPr="004F1693">
        <w:t>(</w:t>
      </w:r>
      <w:r w:rsidR="004F1693" w:rsidRPr="0074603D">
        <w:t>Table 25</w:t>
      </w:r>
      <w:r w:rsidRPr="0074603D">
        <w:t xml:space="preserve">). Baseline HbA1c, FPG, and eGFR values were similar between treatment groups (Table </w:t>
      </w:r>
      <w:r w:rsidR="0074603D" w:rsidRPr="0074603D">
        <w:t>26</w:t>
      </w:r>
      <w:r w:rsidRPr="0074603D">
        <w:t>).</w:t>
      </w:r>
    </w:p>
    <w:p w:rsidR="004F1693" w:rsidRPr="00C738A2" w:rsidRDefault="004F1693" w:rsidP="004F1693">
      <w:pPr>
        <w:pStyle w:val="Tabletitle"/>
      </w:pPr>
      <w:bookmarkStart w:id="352" w:name="_Ref492027920"/>
      <w:bookmarkStart w:id="353" w:name="_Toc504038394"/>
      <w:r w:rsidRPr="00C738A2">
        <w:lastRenderedPageBreak/>
        <w:t xml:space="preserve">Table </w:t>
      </w:r>
      <w:r>
        <w:t xml:space="preserve">25: </w:t>
      </w:r>
      <w:r w:rsidRPr="00C738A2">
        <w:t xml:space="preserve">Subjects with specific prior medications (incidence </w:t>
      </w:r>
      <w:r w:rsidR="002E1032">
        <w:rPr>
          <w:rFonts w:asciiTheme="minorHAnsi" w:eastAsiaTheme="minorHAnsi" w:hAnsiTheme="minorHAnsi"/>
          <w:color w:val="000000"/>
        </w:rPr>
        <w:t xml:space="preserve">≥ </w:t>
      </w:r>
      <w:r w:rsidRPr="00C738A2">
        <w:t>5% in one or more treatment groups; all subjects treated)</w:t>
      </w:r>
      <w:bookmarkEnd w:id="352"/>
      <w:bookmarkEnd w:id="353"/>
    </w:p>
    <w:p w:rsidR="004F1693" w:rsidRDefault="004F1693" w:rsidP="002E5CF1">
      <w:pPr>
        <w:autoSpaceDE w:val="0"/>
        <w:autoSpaceDN w:val="0"/>
        <w:adjustRightInd w:val="0"/>
        <w:spacing w:before="0" w:line="240" w:lineRule="auto"/>
        <w:rPr>
          <w:rFonts w:asciiTheme="minorHAnsi" w:eastAsiaTheme="minorHAnsi" w:hAnsiTheme="minorHAnsi"/>
        </w:rPr>
      </w:pPr>
      <w:r>
        <w:rPr>
          <w:noProof/>
          <w:lang w:eastAsia="en-AU"/>
        </w:rPr>
        <w:drawing>
          <wp:inline distT="0" distB="0" distL="0" distR="0" wp14:anchorId="1F9E6C1F" wp14:editId="1BA6A85F">
            <wp:extent cx="5245768" cy="6671447"/>
            <wp:effectExtent l="0" t="0" r="0" b="0"/>
            <wp:docPr id="8" name="Picture 8" descr="Subjects with specific prior medications (incidence &gt;5% in one or more treatment group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47606" cy="6673785"/>
                    </a:xfrm>
                    <a:prstGeom prst="rect">
                      <a:avLst/>
                    </a:prstGeom>
                  </pic:spPr>
                </pic:pic>
              </a:graphicData>
            </a:graphic>
          </wp:inline>
        </w:drawing>
      </w:r>
    </w:p>
    <w:p w:rsidR="004F1693" w:rsidRPr="00C738A2" w:rsidRDefault="004F1693" w:rsidP="004F1693">
      <w:pPr>
        <w:pStyle w:val="Tabletitle"/>
      </w:pPr>
      <w:r>
        <w:lastRenderedPageBreak/>
        <w:t xml:space="preserve">Table 26: </w:t>
      </w:r>
      <w:r w:rsidRPr="00C738A2">
        <w:t xml:space="preserve">Subjects with specific concomitant medications (incidence </w:t>
      </w:r>
      <w:r w:rsidR="00321B0C" w:rsidRPr="00321B0C">
        <w:t>≥</w:t>
      </w:r>
      <w:r w:rsidR="00321B0C">
        <w:t xml:space="preserve"> </w:t>
      </w:r>
      <w:r w:rsidRPr="00C738A2">
        <w:t>5% in one or more treatment groups; all subjects treated)</w:t>
      </w:r>
    </w:p>
    <w:p w:rsidR="0074603D" w:rsidRDefault="0074603D" w:rsidP="004F1693">
      <w:pPr>
        <w:autoSpaceDE w:val="0"/>
        <w:autoSpaceDN w:val="0"/>
        <w:adjustRightInd w:val="0"/>
        <w:spacing w:before="0" w:line="240" w:lineRule="auto"/>
        <w:rPr>
          <w:rFonts w:asciiTheme="minorHAnsi" w:eastAsiaTheme="minorHAnsi" w:hAnsiTheme="minorHAnsi"/>
        </w:rPr>
      </w:pPr>
      <w:r>
        <w:rPr>
          <w:noProof/>
          <w:lang w:eastAsia="en-AU"/>
        </w:rPr>
        <w:drawing>
          <wp:inline distT="0" distB="0" distL="0" distR="0" wp14:anchorId="63960672" wp14:editId="0D823DA0">
            <wp:extent cx="5732819" cy="8020050"/>
            <wp:effectExtent l="0" t="0" r="1270" b="0"/>
            <wp:docPr id="10" name="Picture 10" descr=": Subjects with specific concomitant medications (incidence &gt;5% in one or more treatment group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707"/>
                    <a:stretch/>
                  </pic:blipFill>
                  <pic:spPr bwMode="auto">
                    <a:xfrm>
                      <a:off x="0" y="0"/>
                      <a:ext cx="5731510" cy="8018219"/>
                    </a:xfrm>
                    <a:prstGeom prst="rect">
                      <a:avLst/>
                    </a:prstGeom>
                    <a:ln>
                      <a:noFill/>
                    </a:ln>
                    <a:extLst>
                      <a:ext uri="{53640926-AAD7-44D8-BBD7-CCE9431645EC}">
                        <a14:shadowObscured xmlns:a14="http://schemas.microsoft.com/office/drawing/2010/main"/>
                      </a:ext>
                    </a:extLst>
                  </pic:spPr>
                </pic:pic>
              </a:graphicData>
            </a:graphic>
          </wp:inline>
        </w:drawing>
      </w:r>
    </w:p>
    <w:p w:rsidR="002E5CF1" w:rsidRPr="00DE6973" w:rsidRDefault="002E5CF1" w:rsidP="004F1693">
      <w:pPr>
        <w:pStyle w:val="Comment"/>
      </w:pPr>
      <w:r w:rsidRPr="004F1693">
        <w:rPr>
          <w:rFonts w:eastAsiaTheme="minorHAnsi"/>
          <w:b/>
        </w:rPr>
        <w:lastRenderedPageBreak/>
        <w:t>Comment</w:t>
      </w:r>
      <w:r w:rsidR="00FB1E32">
        <w:rPr>
          <w:rFonts w:eastAsiaTheme="minorHAnsi"/>
        </w:rPr>
        <w:t xml:space="preserve">: </w:t>
      </w:r>
      <w:r w:rsidRPr="00DE6973">
        <w:t>It is noted that the ertugliflozin 1</w:t>
      </w:r>
      <w:r>
        <w:t>5 mg</w:t>
      </w:r>
      <w:r w:rsidRPr="00DE6973">
        <w:t xml:space="preserve"> group had numerically greater proportion of patients with baseline HbA1c </w:t>
      </w:r>
      <w:r w:rsidR="00FB1E32">
        <w:t xml:space="preserve">≥ </w:t>
      </w:r>
      <w:r w:rsidRPr="00DE6973">
        <w:t xml:space="preserve">9% compared to the other 2 treatment groups (16.3%, 16.7% and 25.7% in placebo, ertugliflozin </w:t>
      </w:r>
      <w:r>
        <w:t>5 mg</w:t>
      </w:r>
      <w:r w:rsidRPr="00DE6973">
        <w:t xml:space="preserve"> and 1</w:t>
      </w:r>
      <w:r>
        <w:t>5 mg</w:t>
      </w:r>
      <w:r w:rsidRPr="00DE6973">
        <w:t xml:space="preserve"> groups, respectively). Furthermore, the proportion of patients with baseline </w:t>
      </w:r>
      <w:proofErr w:type="spellStart"/>
      <w:r w:rsidRPr="00DE6973">
        <w:t>eGFR</w:t>
      </w:r>
      <w:proofErr w:type="spellEnd"/>
      <w:r w:rsidR="00462457">
        <w:t> </w:t>
      </w:r>
      <w:r w:rsidRPr="00DE6973">
        <w:t>&gt;90</w:t>
      </w:r>
      <w:r w:rsidR="00462457">
        <w:t> </w:t>
      </w:r>
      <w:r w:rsidR="00AE3765">
        <w:t>mL</w:t>
      </w:r>
      <w:r w:rsidRPr="00DE6973">
        <w:t>/mi</w:t>
      </w:r>
      <w:r w:rsidR="00AE3765">
        <w:t>n</w:t>
      </w:r>
      <w:r w:rsidRPr="00DE6973">
        <w:t>/1.73m</w:t>
      </w:r>
      <w:r w:rsidRPr="00DE6973">
        <w:rPr>
          <w:vertAlign w:val="superscript"/>
        </w:rPr>
        <w:t>2</w:t>
      </w:r>
      <w:r w:rsidRPr="00DE6973">
        <w:t xml:space="preserve"> were numerically greater in both ertugliflozin groups compared with placebo (34.6%, 46.2% and 44.7%, respectively). The sponsors have been asked to clarify if this affected interpretation of efficacy results.</w:t>
      </w:r>
    </w:p>
    <w:p w:rsidR="002E5CF1" w:rsidRDefault="002E5CF1" w:rsidP="00FB1E32">
      <w:pPr>
        <w:rPr>
          <w:b/>
        </w:rPr>
      </w:pPr>
      <w:r w:rsidRPr="005676AB">
        <w:t>The duration of</w:t>
      </w:r>
      <w:r>
        <w:t xml:space="preserve"> </w:t>
      </w:r>
      <w:r w:rsidRPr="005676AB">
        <w:t xml:space="preserve">T2DM and the background AHA therapy were similar between treatment groups. There were 240 (52.1%) subjects on an AHA at screening (and therefore were washed off the agent during run-in prior to </w:t>
      </w:r>
      <w:r>
        <w:t>randomisation</w:t>
      </w:r>
      <w:r w:rsidRPr="005676AB">
        <w:t>); AHA use at screening was balanced across treatment groups</w:t>
      </w:r>
      <w:r w:rsidR="004C1534">
        <w:t>.</w:t>
      </w:r>
      <w:r w:rsidRPr="005676AB">
        <w:t xml:space="preserve"> </w:t>
      </w:r>
      <w:r w:rsidRPr="00E65164">
        <w:t>The most common prior medication category was drugs used in diabetes (57.3%</w:t>
      </w:r>
      <w:r>
        <w:t xml:space="preserve">; 55% on metformin), </w:t>
      </w:r>
      <w:r w:rsidRPr="00E65164">
        <w:t>lipid modifying agents (53.4%), agents acting on the renin-angiotensin system (49.2%) and analgesics (34.1%)</w:t>
      </w:r>
      <w:r>
        <w:t xml:space="preserve"> with </w:t>
      </w:r>
      <w:r w:rsidRPr="00E65164">
        <w:t xml:space="preserve">no clinically important differences between treatment groups </w:t>
      </w:r>
      <w:r w:rsidR="004C1534">
        <w:t>(</w:t>
      </w:r>
      <w:r w:rsidRPr="004C1534">
        <w:t xml:space="preserve">Table </w:t>
      </w:r>
      <w:r w:rsidR="004C1534" w:rsidRPr="004C1534">
        <w:t>27</w:t>
      </w:r>
      <w:r w:rsidRPr="004C1534">
        <w:t>). The most common concomitant drug therapeutic categories were lipid modifying agents (57.5%), agents acting on the renin-angiotensin system (51.0%) and analgesics (39.7%) with no clinically important differences between treatment groups. At baseline, overall use of blood pressure medications including diuretics was 55.7% of subjects and use was similar for all treatment groups. Diuretic use was 16.7% at baseline, overall. At baseline, use of lipid lowering medication was slightly higher in the ertugliflozin 5 mg and 15 mg groups (57.1% and 53.3%, respectively) compared to the placebo group (49.0%)</w:t>
      </w:r>
      <w:r w:rsidR="004C1534" w:rsidRPr="004C1534">
        <w:t xml:space="preserve">. </w:t>
      </w:r>
      <w:r w:rsidRPr="004C1534">
        <w:t>The most common categories of medical history conditions by SOC were Social circumstances</w:t>
      </w:r>
      <w:r w:rsidRPr="004C1534">
        <w:rPr>
          <w:rStyle w:val="FootnoteReference"/>
          <w:rFonts w:asciiTheme="minorHAnsi" w:eastAsiaTheme="minorHAnsi" w:hAnsiTheme="minorHAnsi"/>
        </w:rPr>
        <w:footnoteReference w:id="11"/>
      </w:r>
      <w:r w:rsidRPr="004C1534">
        <w:t xml:space="preserve"> (67.9% of total subjects), Metabolism and nutrition disorders (63.8%), and Vascular disorders (61.8%). The most common specific medical history conditions were hypertension (56.6%), uncircumcised (34.9%), obesity (23.6%), hyperlipidaemia (20.4%), circumcised (20.2%), and dyslipidaemia (19.7%). There were no clinically important differences between treatment groups in the frequency or type of medical history conditions (Table </w:t>
      </w:r>
      <w:r w:rsidR="004C1534" w:rsidRPr="004C1534">
        <w:t>28</w:t>
      </w:r>
      <w:r w:rsidRPr="004C1534">
        <w:t>). Mean</w:t>
      </w:r>
      <w:r w:rsidRPr="005676AB">
        <w:t xml:space="preserve"> compliance with study</w:t>
      </w:r>
      <w:r>
        <w:t xml:space="preserve"> </w:t>
      </w:r>
      <w:r w:rsidRPr="005676AB">
        <w:t>medication w</w:t>
      </w:r>
      <w:r w:rsidR="004C1534">
        <w:t>as &gt;</w:t>
      </w:r>
      <w:r w:rsidR="00FB1E32">
        <w:t xml:space="preserve"> </w:t>
      </w:r>
      <w:r w:rsidR="004C1534">
        <w:t>98% in each treatment group.</w:t>
      </w:r>
    </w:p>
    <w:p w:rsidR="004C1534" w:rsidRPr="00C738A2" w:rsidRDefault="004C1534" w:rsidP="004C1534">
      <w:pPr>
        <w:pStyle w:val="Tabletitle"/>
      </w:pPr>
      <w:bookmarkStart w:id="354" w:name="_Ref492027928"/>
      <w:bookmarkStart w:id="355" w:name="_Toc504038398"/>
      <w:r w:rsidRPr="00C738A2">
        <w:t xml:space="preserve">Table </w:t>
      </w:r>
      <w:r>
        <w:t xml:space="preserve">27: </w:t>
      </w:r>
      <w:r w:rsidRPr="00C738A2">
        <w:t xml:space="preserve">Subject characteristics: baseline </w:t>
      </w:r>
      <w:proofErr w:type="gramStart"/>
      <w:r w:rsidRPr="00C738A2">
        <w:t>A1</w:t>
      </w:r>
      <w:r w:rsidR="00321B0C">
        <w:t>c</w:t>
      </w:r>
      <w:proofErr w:type="gramEnd"/>
      <w:r w:rsidRPr="00C738A2">
        <w:t xml:space="preserve">, FPG, </w:t>
      </w:r>
      <w:proofErr w:type="spellStart"/>
      <w:r w:rsidRPr="00C738A2">
        <w:t>eGFR</w:t>
      </w:r>
      <w:proofErr w:type="spellEnd"/>
      <w:r w:rsidRPr="00C738A2">
        <w:t xml:space="preserve"> (US units) (All subjects treated)</w:t>
      </w:r>
      <w:bookmarkEnd w:id="354"/>
      <w:bookmarkEnd w:id="355"/>
    </w:p>
    <w:p w:rsidR="004C1534" w:rsidRDefault="004C1534" w:rsidP="00321B0C">
      <w:pPr>
        <w:rPr>
          <w:noProof/>
          <w:lang w:eastAsia="en-AU"/>
        </w:rPr>
      </w:pPr>
      <w:r w:rsidRPr="00C738A2">
        <w:rPr>
          <w:noProof/>
          <w:lang w:eastAsia="en-AU"/>
        </w:rPr>
        <w:drawing>
          <wp:inline distT="0" distB="0" distL="0" distR="0" wp14:anchorId="2409E93B" wp14:editId="2B45481D">
            <wp:extent cx="4856709" cy="2814526"/>
            <wp:effectExtent l="0" t="0" r="1270" b="5080"/>
            <wp:docPr id="236" name="Picture 236" descr="Subject characteristics: baseline A1C, FPG, eGFR (US unit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lum bright="-20000" contrast="40000"/>
                      <a:extLst>
                        <a:ext uri="{28A0092B-C50C-407E-A947-70E740481C1C}">
                          <a14:useLocalDpi xmlns:a14="http://schemas.microsoft.com/office/drawing/2010/main" val="0"/>
                        </a:ext>
                      </a:extLst>
                    </a:blip>
                    <a:srcRect/>
                    <a:stretch>
                      <a:fillRect/>
                    </a:stretch>
                  </pic:blipFill>
                  <pic:spPr bwMode="auto">
                    <a:xfrm>
                      <a:off x="0" y="0"/>
                      <a:ext cx="4858916" cy="2815805"/>
                    </a:xfrm>
                    <a:prstGeom prst="rect">
                      <a:avLst/>
                    </a:prstGeom>
                    <a:noFill/>
                    <a:ln>
                      <a:noFill/>
                    </a:ln>
                  </pic:spPr>
                </pic:pic>
              </a:graphicData>
            </a:graphic>
          </wp:inline>
        </w:drawing>
      </w:r>
    </w:p>
    <w:p w:rsidR="004C1534" w:rsidRDefault="004C1534" w:rsidP="004C1534">
      <w:pPr>
        <w:pStyle w:val="Tabletitle"/>
      </w:pPr>
      <w:bookmarkStart w:id="356" w:name="_Ref492027933"/>
      <w:bookmarkStart w:id="357" w:name="_Toc504038400"/>
      <w:r w:rsidRPr="00C738A2">
        <w:lastRenderedPageBreak/>
        <w:t xml:space="preserve">Table </w:t>
      </w:r>
      <w:r>
        <w:t xml:space="preserve">28: </w:t>
      </w:r>
      <w:r w:rsidRPr="00C738A2">
        <w:t xml:space="preserve">Subject medical history conditions (incidence </w:t>
      </w:r>
      <w:r w:rsidR="002E1032">
        <w:rPr>
          <w:rFonts w:asciiTheme="minorHAnsi" w:eastAsiaTheme="minorHAnsi" w:hAnsiTheme="minorHAnsi"/>
          <w:color w:val="000000"/>
        </w:rPr>
        <w:t xml:space="preserve">≥ </w:t>
      </w:r>
      <w:r w:rsidRPr="00C738A2">
        <w:t>5% in one or more treatment groups) (all subjects treated)</w:t>
      </w:r>
      <w:bookmarkEnd w:id="356"/>
      <w:bookmarkEnd w:id="357"/>
    </w:p>
    <w:p w:rsidR="00E33DC3" w:rsidRPr="00E33DC3" w:rsidRDefault="00321B0C" w:rsidP="00321B0C">
      <w:r>
        <w:rPr>
          <w:noProof/>
          <w:lang w:eastAsia="en-AU"/>
        </w:rPr>
        <w:drawing>
          <wp:inline distT="0" distB="0" distL="0" distR="0" wp14:anchorId="4D69F89C" wp14:editId="65988D18">
            <wp:extent cx="5191125" cy="7981950"/>
            <wp:effectExtent l="0" t="0" r="9525" b="0"/>
            <wp:docPr id="5" name="Picture 5" descr=": Subject medical history conditions (incidence ≥ 5% in one or more treatment group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91125" cy="7981950"/>
                    </a:xfrm>
                    <a:prstGeom prst="rect">
                      <a:avLst/>
                    </a:prstGeom>
                  </pic:spPr>
                </pic:pic>
              </a:graphicData>
            </a:graphic>
          </wp:inline>
        </w:drawing>
      </w:r>
    </w:p>
    <w:p w:rsidR="002E5CF1" w:rsidRPr="00EC3AE0" w:rsidRDefault="002E5CF1" w:rsidP="00606E10">
      <w:pPr>
        <w:pStyle w:val="Heading4"/>
        <w:numPr>
          <w:ilvl w:val="3"/>
          <w:numId w:val="8"/>
        </w:numPr>
        <w:ind w:left="1134" w:hanging="1134"/>
      </w:pPr>
      <w:r w:rsidRPr="00EC3AE0">
        <w:lastRenderedPageBreak/>
        <w:t>Results for the primary efficacy outcome</w:t>
      </w:r>
    </w:p>
    <w:p w:rsidR="002E5CF1" w:rsidRPr="001E4B80" w:rsidRDefault="002E5CF1" w:rsidP="00FB1E32">
      <w:r>
        <w:t xml:space="preserve">Compared with placebo, the </w:t>
      </w:r>
      <w:r w:rsidRPr="00A2713C">
        <w:t xml:space="preserve">LS mean reductions from baseline in </w:t>
      </w:r>
      <w:r>
        <w:t>HbA1c</w:t>
      </w:r>
      <w:r w:rsidRPr="00A2713C">
        <w:t xml:space="preserve"> at Week 26 </w:t>
      </w:r>
      <w:r w:rsidRPr="00E142E8">
        <w:t>were significantly greater in the ertugliflozin 5 mg (-0.99, 95% CI:</w:t>
      </w:r>
      <w:r>
        <w:t xml:space="preserve"> </w:t>
      </w:r>
      <w:r w:rsidRPr="00E142E8">
        <w:t>-1.22, -0.76) and 15 mg (-1.16, 95% CI:</w:t>
      </w:r>
      <w:r>
        <w:t xml:space="preserve"> </w:t>
      </w:r>
      <w:r w:rsidRPr="00E142E8">
        <w:t>-1.39, -0.93) groups</w:t>
      </w:r>
      <w:r w:rsidR="001E4B80">
        <w:t xml:space="preserve"> (p</w:t>
      </w:r>
      <w:r w:rsidR="00FB1E32">
        <w:t xml:space="preserve"> </w:t>
      </w:r>
      <w:r w:rsidR="001E4B80">
        <w:t>&lt;</w:t>
      </w:r>
      <w:r w:rsidR="00FB1E32">
        <w:t xml:space="preserve"> </w:t>
      </w:r>
      <w:r w:rsidR="001E4B80">
        <w:t>0.001 for both comparisons) (</w:t>
      </w:r>
      <w:r w:rsidRPr="001E4B80">
        <w:t xml:space="preserve">Table </w:t>
      </w:r>
      <w:r w:rsidR="001E4B80" w:rsidRPr="001E4B80">
        <w:t>29</w:t>
      </w:r>
      <w:r w:rsidRPr="001E4B80">
        <w:t xml:space="preserve">). Initial reductions in mean HbA1c at Week 6 were followed by smaller subsequent reductions at each time point through Week 26. The point estimate of the reduction in HbA1c was numerically greater in the ertugliflozin 15 mg group than in the ertugliflozin 5 mg group at each time point. In the placebo group, there was a small increase from baseline in HbA1c throughout the study (Figure </w:t>
      </w:r>
      <w:r w:rsidR="001E4B80" w:rsidRPr="001E4B80">
        <w:t>2</w:t>
      </w:r>
      <w:r w:rsidRPr="001E4B80">
        <w:t xml:space="preserve">). LS mean reductions from baseline in HbA1c were greater in the ertugliflozin 5 mg and 15 mg groups than in the placebo group across all subgroup categories. The improvements in HbA1c in the ertugliflozin groups relative to the placebo group were numerically greater in the subgroup of subjects </w:t>
      </w:r>
      <w:r w:rsidRPr="001E4B80">
        <w:rPr>
          <w:rFonts w:cs="TimesNewRomanPSMT"/>
        </w:rPr>
        <w:t xml:space="preserve">with a baseline HbA1c level </w:t>
      </w:r>
      <w:r w:rsidR="002E1032">
        <w:t xml:space="preserve">≥ </w:t>
      </w:r>
      <w:r w:rsidRPr="001E4B80">
        <w:rPr>
          <w:rFonts w:cs="TimesNewRomanPSMT"/>
        </w:rPr>
        <w:t xml:space="preserve">8% </w:t>
      </w:r>
      <w:r w:rsidRPr="001E4B80">
        <w:t>versus those with a baseline HbA1c &lt;</w:t>
      </w:r>
      <w:r w:rsidR="00FB1E32">
        <w:t xml:space="preserve"> </w:t>
      </w:r>
      <w:r w:rsidRPr="001E4B80">
        <w:t xml:space="preserve">8%, and for male subjects compared to female subjects </w:t>
      </w:r>
      <w:r w:rsidR="001E4B80" w:rsidRPr="001E4B80">
        <w:t>(Table 30</w:t>
      </w:r>
      <w:r w:rsidRPr="001E4B80">
        <w:t xml:space="preserve"> and Figure </w:t>
      </w:r>
      <w:r w:rsidR="001E4B80" w:rsidRPr="001E4B80">
        <w:t>3</w:t>
      </w:r>
      <w:r w:rsidRPr="001E4B80">
        <w:t>).</w:t>
      </w:r>
    </w:p>
    <w:p w:rsidR="00CF32EF" w:rsidRPr="00C738A2" w:rsidRDefault="00CF32EF" w:rsidP="001E4B80">
      <w:pPr>
        <w:pStyle w:val="Tabletitle"/>
      </w:pPr>
      <w:bookmarkStart w:id="358" w:name="_Ref492027940"/>
      <w:bookmarkStart w:id="359" w:name="_Toc504038403"/>
      <w:r w:rsidRPr="00C738A2">
        <w:t xml:space="preserve">Table </w:t>
      </w:r>
      <w:r w:rsidR="001E4B80">
        <w:t>29</w:t>
      </w:r>
      <w:r w:rsidRPr="00C738A2">
        <w:t>:</w:t>
      </w:r>
      <w:r w:rsidR="001E4B80">
        <w:t xml:space="preserve"> </w:t>
      </w:r>
      <w:r w:rsidR="00462457">
        <w:t>Hb</w:t>
      </w:r>
      <w:r w:rsidR="00462457" w:rsidRPr="00C738A2">
        <w:t>A1</w:t>
      </w:r>
      <w:r w:rsidR="00462457">
        <w:t>c</w:t>
      </w:r>
      <w:r w:rsidR="00462457" w:rsidRPr="00C738A2">
        <w:t xml:space="preserve"> </w:t>
      </w:r>
      <w:r w:rsidRPr="00C738A2">
        <w:t xml:space="preserve">(%): change from </w:t>
      </w:r>
      <w:r w:rsidR="00462457">
        <w:t>B</w:t>
      </w:r>
      <w:r w:rsidR="00462457" w:rsidRPr="00C738A2">
        <w:t xml:space="preserve">aseline </w:t>
      </w:r>
      <w:r w:rsidRPr="00C738A2">
        <w:t xml:space="preserve">at </w:t>
      </w:r>
      <w:r w:rsidR="00686AEA">
        <w:t>Week 26</w:t>
      </w:r>
      <w:r w:rsidRPr="00C738A2">
        <w:t xml:space="preserve"> (cLDA) (FAS: Excluding rescue approach)</w:t>
      </w:r>
      <w:bookmarkEnd w:id="358"/>
      <w:bookmarkEnd w:id="359"/>
    </w:p>
    <w:p w:rsidR="00CF32EF" w:rsidRPr="00C738A2" w:rsidRDefault="00CF32EF" w:rsidP="00CC2A5D">
      <w:pPr>
        <w:rPr>
          <w:noProof/>
          <w:lang w:eastAsia="en-AU"/>
        </w:rPr>
      </w:pPr>
      <w:r w:rsidRPr="00C738A2">
        <w:rPr>
          <w:noProof/>
          <w:lang w:eastAsia="en-AU"/>
        </w:rPr>
        <w:drawing>
          <wp:inline distT="0" distB="0" distL="0" distR="0" wp14:anchorId="59F2F2C8" wp14:editId="5858CC74">
            <wp:extent cx="4659020" cy="2360966"/>
            <wp:effectExtent l="0" t="0" r="8255" b="1270"/>
            <wp:docPr id="243" name="Picture 243" descr="HbA1C (%): change from baseline at week 26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lum bright="-20000" contrast="40000"/>
                      <a:extLst>
                        <a:ext uri="{28A0092B-C50C-407E-A947-70E740481C1C}">
                          <a14:useLocalDpi xmlns:a14="http://schemas.microsoft.com/office/drawing/2010/main" val="0"/>
                        </a:ext>
                      </a:extLst>
                    </a:blip>
                    <a:srcRect/>
                    <a:stretch>
                      <a:fillRect/>
                    </a:stretch>
                  </pic:blipFill>
                  <pic:spPr bwMode="auto">
                    <a:xfrm>
                      <a:off x="0" y="0"/>
                      <a:ext cx="4665590" cy="2364295"/>
                    </a:xfrm>
                    <a:prstGeom prst="rect">
                      <a:avLst/>
                    </a:prstGeom>
                    <a:noFill/>
                    <a:ln>
                      <a:noFill/>
                    </a:ln>
                  </pic:spPr>
                </pic:pic>
              </a:graphicData>
            </a:graphic>
          </wp:inline>
        </w:drawing>
      </w:r>
    </w:p>
    <w:p w:rsidR="00CF32EF" w:rsidRPr="00C738A2" w:rsidRDefault="00CF32EF" w:rsidP="001E4B80">
      <w:pPr>
        <w:pStyle w:val="FigureTitle"/>
      </w:pPr>
      <w:bookmarkStart w:id="360" w:name="_Ref492027943"/>
      <w:bookmarkStart w:id="361" w:name="_Toc504038404"/>
      <w:r w:rsidRPr="00C738A2">
        <w:t xml:space="preserve">Figure </w:t>
      </w:r>
      <w:r w:rsidR="001E4B80">
        <w:t xml:space="preserve">2: </w:t>
      </w:r>
      <w:r w:rsidR="00462457">
        <w:t>Hb</w:t>
      </w:r>
      <w:r w:rsidR="00462457" w:rsidRPr="00C738A2">
        <w:t>A1</w:t>
      </w:r>
      <w:r w:rsidR="00462457">
        <w:t>c</w:t>
      </w:r>
      <w:r w:rsidR="00462457" w:rsidRPr="00C738A2">
        <w:t xml:space="preserve"> </w:t>
      </w:r>
      <w:r w:rsidRPr="00C738A2">
        <w:t>(%): LS Mean Change from Baseline ove</w:t>
      </w:r>
      <w:r w:rsidR="00AE3765">
        <w:t>r</w:t>
      </w:r>
      <w:r w:rsidRPr="00C738A2">
        <w:t xml:space="preserve"> time (cLDA) (FAS: Excluding rescue approach)</w:t>
      </w:r>
      <w:bookmarkEnd w:id="360"/>
      <w:bookmarkEnd w:id="361"/>
    </w:p>
    <w:p w:rsidR="00CF32EF" w:rsidRPr="00C738A2" w:rsidRDefault="00CF32EF" w:rsidP="00CC2A5D">
      <w:pPr>
        <w:rPr>
          <w:noProof/>
          <w:lang w:eastAsia="en-AU"/>
        </w:rPr>
      </w:pPr>
      <w:r w:rsidRPr="00C738A2">
        <w:rPr>
          <w:noProof/>
          <w:lang w:eastAsia="en-AU"/>
        </w:rPr>
        <w:drawing>
          <wp:inline distT="0" distB="0" distL="0" distR="0" wp14:anchorId="2FD07CFB" wp14:editId="6C5765A6">
            <wp:extent cx="3326161" cy="2731156"/>
            <wp:effectExtent l="0" t="0" r="7620" b="0"/>
            <wp:docPr id="244" name="Picture 244" descr="HbA1C (%): LS Mean Change from Baseline ove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lum bright="-20000" contrast="40000"/>
                      <a:extLst>
                        <a:ext uri="{28A0092B-C50C-407E-A947-70E740481C1C}">
                          <a14:useLocalDpi xmlns:a14="http://schemas.microsoft.com/office/drawing/2010/main" val="0"/>
                        </a:ext>
                      </a:extLst>
                    </a:blip>
                    <a:srcRect/>
                    <a:stretch>
                      <a:fillRect/>
                    </a:stretch>
                  </pic:blipFill>
                  <pic:spPr bwMode="auto">
                    <a:xfrm>
                      <a:off x="0" y="0"/>
                      <a:ext cx="3328796" cy="2733320"/>
                    </a:xfrm>
                    <a:prstGeom prst="rect">
                      <a:avLst/>
                    </a:prstGeom>
                    <a:noFill/>
                    <a:ln>
                      <a:noFill/>
                    </a:ln>
                  </pic:spPr>
                </pic:pic>
              </a:graphicData>
            </a:graphic>
          </wp:inline>
        </w:drawing>
      </w:r>
    </w:p>
    <w:p w:rsidR="00CC2A5D" w:rsidRPr="00CC2A5D" w:rsidRDefault="00CF32EF" w:rsidP="00CC2A5D">
      <w:pPr>
        <w:pStyle w:val="Tabletitle"/>
      </w:pPr>
      <w:bookmarkStart w:id="362" w:name="_Ref492027945"/>
      <w:bookmarkStart w:id="363" w:name="_Toc504038405"/>
      <w:r w:rsidRPr="00CC2A5D">
        <w:lastRenderedPageBreak/>
        <w:t xml:space="preserve">Table </w:t>
      </w:r>
      <w:r w:rsidR="001E4B80" w:rsidRPr="00CC2A5D">
        <w:t>30</w:t>
      </w:r>
      <w:r w:rsidRPr="00CC2A5D">
        <w:t>: HbA1</w:t>
      </w:r>
      <w:r w:rsidR="00CC2A5D" w:rsidRPr="00CC2A5D">
        <w:t>c</w:t>
      </w:r>
      <w:r w:rsidRPr="00CC2A5D">
        <w:t xml:space="preserve"> (0%) Change from </w:t>
      </w:r>
      <w:r w:rsidR="00462457" w:rsidRPr="00CC2A5D">
        <w:t>B</w:t>
      </w:r>
      <w:r w:rsidRPr="00CC2A5D">
        <w:t xml:space="preserve">aseline at </w:t>
      </w:r>
      <w:r w:rsidR="00686AEA" w:rsidRPr="00CC2A5D">
        <w:t>Week 26</w:t>
      </w:r>
      <w:r w:rsidRPr="00CC2A5D">
        <w:t xml:space="preserve"> (Repeated measures analysis of covariance subgroup analysis) (FAS: Excluding rescue approach)</w:t>
      </w:r>
      <w:bookmarkEnd w:id="362"/>
      <w:bookmarkEnd w:id="363"/>
    </w:p>
    <w:p w:rsidR="00CF32EF" w:rsidRPr="00CC2A5D" w:rsidRDefault="00CF32EF" w:rsidP="00CC2A5D">
      <w:r>
        <w:rPr>
          <w:noProof/>
          <w:lang w:eastAsia="en-AU"/>
        </w:rPr>
        <w:drawing>
          <wp:inline distT="0" distB="0" distL="0" distR="0" wp14:anchorId="03D4EF24" wp14:editId="1AE6F9B8">
            <wp:extent cx="4227005" cy="5514975"/>
            <wp:effectExtent l="0" t="0" r="2540" b="0"/>
            <wp:docPr id="14" name="Picture 14" descr="A1C (0%) Change from baseline at week 26 (Repeated measures analysis of covariance subgroup analysis)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228924" cy="5517478"/>
                    </a:xfrm>
                    <a:prstGeom prst="rect">
                      <a:avLst/>
                    </a:prstGeom>
                  </pic:spPr>
                </pic:pic>
              </a:graphicData>
            </a:graphic>
          </wp:inline>
        </w:drawing>
      </w:r>
    </w:p>
    <w:p w:rsidR="00CC2A5D" w:rsidRDefault="00CF32EF" w:rsidP="00CC2A5D">
      <w:pPr>
        <w:pStyle w:val="Tabletitle"/>
      </w:pPr>
      <w:r w:rsidRPr="00C738A2">
        <w:lastRenderedPageBreak/>
        <w:t xml:space="preserve">Table </w:t>
      </w:r>
      <w:r w:rsidR="001E4B80">
        <w:t>30</w:t>
      </w:r>
      <w:r w:rsidRPr="00C738A2">
        <w:t>:</w:t>
      </w:r>
      <w:r>
        <w:t xml:space="preserve"> </w:t>
      </w:r>
      <w:r w:rsidR="00462457">
        <w:t>Hb</w:t>
      </w:r>
      <w:r w:rsidR="00462457" w:rsidRPr="00C738A2">
        <w:t>A1</w:t>
      </w:r>
      <w:r w:rsidR="00462457">
        <w:t>c</w:t>
      </w:r>
      <w:r w:rsidR="00462457" w:rsidRPr="00C738A2">
        <w:t xml:space="preserve"> </w:t>
      </w:r>
      <w:r w:rsidRPr="00C738A2">
        <w:t xml:space="preserve">(0%) Change from </w:t>
      </w:r>
      <w:r w:rsidR="00462457">
        <w:t>B</w:t>
      </w:r>
      <w:r w:rsidR="00462457" w:rsidRPr="00C738A2">
        <w:t xml:space="preserve">aseline </w:t>
      </w:r>
      <w:r w:rsidRPr="00C738A2">
        <w:t xml:space="preserve">at </w:t>
      </w:r>
      <w:r w:rsidR="00686AEA">
        <w:t>Week 26</w:t>
      </w:r>
      <w:r w:rsidRPr="00C738A2">
        <w:t xml:space="preserve"> (Repeated measures analysis of covariance subgroup analysis) (FAS: Excluding rescue approach)</w:t>
      </w:r>
    </w:p>
    <w:p w:rsidR="00CF32EF" w:rsidRPr="00CF32EF" w:rsidRDefault="00CF32EF" w:rsidP="00CC2A5D">
      <w:r>
        <w:rPr>
          <w:noProof/>
          <w:lang w:eastAsia="en-AU"/>
        </w:rPr>
        <w:drawing>
          <wp:inline distT="0" distB="0" distL="0" distR="0" wp14:anchorId="7412A167" wp14:editId="09C6ED39">
            <wp:extent cx="3878071" cy="3872270"/>
            <wp:effectExtent l="0" t="0" r="8255" b="0"/>
            <wp:docPr id="13" name="Picture 13" descr="HbA1C (0%) Change from baseline at week 26 (Repeated measures analysis of covariance subgroup analysis) (FAS: Excluding rescue appro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3882163" cy="3876356"/>
                    </a:xfrm>
                    <a:prstGeom prst="rect">
                      <a:avLst/>
                    </a:prstGeom>
                  </pic:spPr>
                </pic:pic>
              </a:graphicData>
            </a:graphic>
          </wp:inline>
        </w:drawing>
      </w:r>
    </w:p>
    <w:p w:rsidR="00CF32EF" w:rsidRDefault="00CF32EF" w:rsidP="001E4B80">
      <w:pPr>
        <w:pStyle w:val="FigureTitle"/>
      </w:pPr>
      <w:bookmarkStart w:id="364" w:name="_Ref492027948"/>
      <w:bookmarkStart w:id="365" w:name="_Toc504038407"/>
      <w:r w:rsidRPr="00C738A2">
        <w:t xml:space="preserve">Figure </w:t>
      </w:r>
      <w:r w:rsidR="001E4B80">
        <w:t>3</w:t>
      </w:r>
      <w:r>
        <w:t xml:space="preserve">: </w:t>
      </w:r>
      <w:r w:rsidR="00862319">
        <w:t>Hb</w:t>
      </w:r>
      <w:r w:rsidR="00862319" w:rsidRPr="00C738A2">
        <w:t>A1</w:t>
      </w:r>
      <w:r w:rsidR="00862319">
        <w:t>c</w:t>
      </w:r>
      <w:r w:rsidR="00862319" w:rsidRPr="00C738A2">
        <w:t xml:space="preserve"> </w:t>
      </w:r>
      <w:r w:rsidRPr="00C738A2">
        <w:t>(0%)</w:t>
      </w:r>
      <w:r w:rsidR="00862319">
        <w:t>;</w:t>
      </w:r>
      <w:r w:rsidRPr="00C738A2">
        <w:t xml:space="preserve"> Forest plot of change from baseline at </w:t>
      </w:r>
      <w:r w:rsidR="00686AEA">
        <w:t>Week 26</w:t>
      </w:r>
      <w:r w:rsidRPr="00C738A2">
        <w:t xml:space="preserve"> for all subgroups (Repeated measures analysis of covariance) (FAS: excluding rescue approach)</w:t>
      </w:r>
      <w:bookmarkEnd w:id="364"/>
      <w:bookmarkEnd w:id="365"/>
    </w:p>
    <w:p w:rsidR="00CF32EF" w:rsidRPr="00CF32EF" w:rsidRDefault="00CF32EF" w:rsidP="00CF32EF">
      <w:r>
        <w:rPr>
          <w:noProof/>
          <w:lang w:eastAsia="en-AU"/>
        </w:rPr>
        <w:drawing>
          <wp:inline distT="0" distB="0" distL="0" distR="0" wp14:anchorId="33DA7D28" wp14:editId="60002665">
            <wp:extent cx="3393281" cy="2656257"/>
            <wp:effectExtent l="0" t="0" r="0" b="0"/>
            <wp:docPr id="12" name="Picture 12" descr="A1C (0%): Forest plot of change from baseline at week 26 for all subgroups (Repeated measures analysis of covariance)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400963" cy="2662270"/>
                    </a:xfrm>
                    <a:prstGeom prst="rect">
                      <a:avLst/>
                    </a:prstGeom>
                  </pic:spPr>
                </pic:pic>
              </a:graphicData>
            </a:graphic>
          </wp:inline>
        </w:drawing>
      </w:r>
    </w:p>
    <w:p w:rsidR="002E5CF1" w:rsidRPr="005632DC" w:rsidRDefault="002E5CF1" w:rsidP="00606E10">
      <w:pPr>
        <w:pStyle w:val="Heading4"/>
        <w:numPr>
          <w:ilvl w:val="3"/>
          <w:numId w:val="8"/>
        </w:numPr>
        <w:ind w:left="1134" w:hanging="1134"/>
      </w:pPr>
      <w:r w:rsidRPr="005632DC">
        <w:t>Results for other efficacy outcomes</w:t>
      </w:r>
    </w:p>
    <w:p w:rsidR="002E5CF1" w:rsidRPr="001E4B80" w:rsidRDefault="002E5CF1" w:rsidP="00FB1E32">
      <w:r>
        <w:t>Compared with placebo, t</w:t>
      </w:r>
      <w:r w:rsidRPr="00E27D9C">
        <w:t>he raw proportions</w:t>
      </w:r>
      <w:r>
        <w:t xml:space="preserve"> </w:t>
      </w:r>
      <w:r w:rsidRPr="00E27D9C">
        <w:t xml:space="preserve">of subjects with an </w:t>
      </w:r>
      <w:r w:rsidR="00FB1E32">
        <w:t>HbA1c &lt; 7.0%</w:t>
      </w:r>
      <w:r w:rsidRPr="00E27D9C">
        <w:t xml:space="preserve"> </w:t>
      </w:r>
      <w:r w:rsidR="00FB1E32">
        <w:t xml:space="preserve">were 2 and 3 </w:t>
      </w:r>
      <w:r>
        <w:t xml:space="preserve">times </w:t>
      </w:r>
      <w:r w:rsidRPr="00E27D9C">
        <w:t>greater</w:t>
      </w:r>
      <w:r>
        <w:t xml:space="preserve"> </w:t>
      </w:r>
      <w:r w:rsidRPr="00E27D9C">
        <w:t>in the ertugliflozin 5 mg</w:t>
      </w:r>
      <w:r>
        <w:t xml:space="preserve"> and 15 mg groups</w:t>
      </w:r>
      <w:r w:rsidRPr="00E27D9C">
        <w:t>, respectively</w:t>
      </w:r>
      <w:r>
        <w:t xml:space="preserve"> </w:t>
      </w:r>
      <w:r w:rsidRPr="00E27D9C">
        <w:t>(</w:t>
      </w:r>
      <w:r>
        <w:t xml:space="preserve">28.2%, 35.8% and </w:t>
      </w:r>
      <w:r w:rsidRPr="00E27D9C">
        <w:t>13.1%</w:t>
      </w:r>
      <w:r>
        <w:t xml:space="preserve"> in the ertugliflozin 5 mg, 15 mg and placebo groups, respectively)</w:t>
      </w:r>
      <w:r w:rsidRPr="00E27D9C">
        <w:t xml:space="preserve">. The </w:t>
      </w:r>
      <w:r w:rsidR="00FB1E32">
        <w:t>model based</w:t>
      </w:r>
      <w:r w:rsidRPr="00E27D9C">
        <w:t xml:space="preserve"> odds</w:t>
      </w:r>
      <w:r>
        <w:t xml:space="preserve"> </w:t>
      </w:r>
      <w:r w:rsidRPr="00E27D9C">
        <w:t xml:space="preserve">of having an </w:t>
      </w:r>
      <w:r w:rsidR="00FB1E32">
        <w:t>HbA1c &lt; 7.0%</w:t>
      </w:r>
      <w:r w:rsidRPr="00E27D9C">
        <w:t xml:space="preserve"> at Week 26, using multiple imputation for subjects with missing</w:t>
      </w:r>
      <w:r>
        <w:t xml:space="preserve"> </w:t>
      </w:r>
      <w:r w:rsidRPr="00E27D9C">
        <w:t>Week</w:t>
      </w:r>
      <w:r w:rsidR="00862319">
        <w:t> </w:t>
      </w:r>
      <w:r w:rsidRPr="00E27D9C">
        <w:t xml:space="preserve">26 data, were significantly </w:t>
      </w:r>
      <w:r w:rsidRPr="001E4B80">
        <w:t>greater in both ertugliflozin groups compared to the placebo group (p</w:t>
      </w:r>
      <w:r w:rsidR="00FB1E32">
        <w:t xml:space="preserve"> </w:t>
      </w:r>
      <w:r w:rsidRPr="001E4B80">
        <w:t>&lt;</w:t>
      </w:r>
      <w:r w:rsidR="00FB1E32">
        <w:t xml:space="preserve"> </w:t>
      </w:r>
      <w:r w:rsidRPr="001E4B80">
        <w:t xml:space="preserve">0.001 for both comparisons) (Table </w:t>
      </w:r>
      <w:r w:rsidR="001E4B80" w:rsidRPr="001E4B80">
        <w:t>31</w:t>
      </w:r>
      <w:r w:rsidRPr="001E4B80">
        <w:t xml:space="preserve">). The raw proportions of subjects with an </w:t>
      </w:r>
      <w:r w:rsidRPr="001E4B80">
        <w:lastRenderedPageBreak/>
        <w:t>HbA1c &lt;</w:t>
      </w:r>
      <w:r w:rsidR="00FB1E32">
        <w:t xml:space="preserve"> 6.5% were 3 </w:t>
      </w:r>
      <w:r w:rsidRPr="001E4B80">
        <w:t xml:space="preserve">times greater for both ertugliflozin groups than for the placebo group (12.2%, 12.6% and 3.9%, respectively). The </w:t>
      </w:r>
      <w:r w:rsidR="00FB1E32">
        <w:t>model based</w:t>
      </w:r>
      <w:r w:rsidRPr="001E4B80">
        <w:t xml:space="preserve"> odds of having an HbA1c &lt;</w:t>
      </w:r>
      <w:r w:rsidR="00FB1E32">
        <w:t xml:space="preserve"> </w:t>
      </w:r>
      <w:r w:rsidRPr="001E4B80">
        <w:t xml:space="preserve">6.5% at Week 26, using multiple imputation for subjects with missing Week 26 data, were greater in the ertugliflozin 5 mg and 15 mg groups compared to the placebo group (nominal </w:t>
      </w:r>
      <w:r w:rsidR="00FB1E32">
        <w:t>p = 0</w:t>
      </w:r>
      <w:r w:rsidRPr="001E4B80">
        <w:t xml:space="preserve">.003 and </w:t>
      </w:r>
      <w:r w:rsidR="00FB1E32">
        <w:t>p = 0</w:t>
      </w:r>
      <w:r w:rsidRPr="001E4B80">
        <w:t xml:space="preserve">.001, respectively) (Table </w:t>
      </w:r>
      <w:r w:rsidR="001E4B80" w:rsidRPr="001E4B80">
        <w:t>32</w:t>
      </w:r>
      <w:r w:rsidRPr="001E4B80">
        <w:t>).</w:t>
      </w:r>
    </w:p>
    <w:p w:rsidR="001E4B80" w:rsidRPr="00C738A2" w:rsidRDefault="001E4B80" w:rsidP="001E4B80">
      <w:pPr>
        <w:pStyle w:val="Tabletitle"/>
      </w:pPr>
      <w:bookmarkStart w:id="366" w:name="_Ref492027951"/>
      <w:bookmarkStart w:id="367" w:name="_Toc504038408"/>
      <w:r w:rsidRPr="00C738A2">
        <w:t xml:space="preserve">Table </w:t>
      </w:r>
      <w:r>
        <w:t>31</w:t>
      </w:r>
      <w:r w:rsidRPr="00C738A2">
        <w:t xml:space="preserve">: Analysis of subjects with </w:t>
      </w:r>
      <w:r w:rsidR="00862319">
        <w:t>Hb</w:t>
      </w:r>
      <w:r w:rsidRPr="00C738A2">
        <w:t>A1</w:t>
      </w:r>
      <w:r w:rsidR="00862319">
        <w:t>c</w:t>
      </w:r>
      <w:r w:rsidR="00CC2A5D">
        <w:t xml:space="preserve"> </w:t>
      </w:r>
      <w:r w:rsidRPr="00C738A2">
        <w:t>&lt;</w:t>
      </w:r>
      <w:r w:rsidR="00E7616B">
        <w:t xml:space="preserve"> </w:t>
      </w:r>
      <w:r w:rsidRPr="00C738A2">
        <w:t>7.0% (&lt;</w:t>
      </w:r>
      <w:proofErr w:type="gramStart"/>
      <w:r w:rsidRPr="00C738A2">
        <w:t xml:space="preserve">53 </w:t>
      </w:r>
      <w:proofErr w:type="spellStart"/>
      <w:r w:rsidRPr="00C738A2">
        <w:t>mmol</w:t>
      </w:r>
      <w:proofErr w:type="spellEnd"/>
      <w:r w:rsidRPr="00C738A2">
        <w:t>/</w:t>
      </w:r>
      <w:proofErr w:type="spellStart"/>
      <w:r w:rsidRPr="00C738A2">
        <w:t>mol</w:t>
      </w:r>
      <w:proofErr w:type="spellEnd"/>
      <w:proofErr w:type="gramEnd"/>
      <w:r w:rsidRPr="00C738A2">
        <w:t xml:space="preserve">) at </w:t>
      </w:r>
      <w:r w:rsidR="00686AEA">
        <w:t>Week 26</w:t>
      </w:r>
      <w:r w:rsidRPr="00C738A2">
        <w:t xml:space="preserve"> (Logistic</w:t>
      </w:r>
      <w:r w:rsidR="00862319">
        <w:t> </w:t>
      </w:r>
      <w:r w:rsidRPr="00C738A2">
        <w:t>regression using multiple imputation</w:t>
      </w:r>
      <w:r w:rsidR="00AE3765">
        <w:t>s</w:t>
      </w:r>
      <w:r w:rsidRPr="00C738A2">
        <w:t>) (FAS: excluding rescue approach)</w:t>
      </w:r>
      <w:bookmarkEnd w:id="366"/>
      <w:bookmarkEnd w:id="367"/>
    </w:p>
    <w:p w:rsidR="001E4B80" w:rsidRPr="00CC2A5D" w:rsidRDefault="001E4B80" w:rsidP="00CC2A5D">
      <w:r w:rsidRPr="00C738A2">
        <w:rPr>
          <w:noProof/>
          <w:lang w:eastAsia="en-AU"/>
        </w:rPr>
        <w:drawing>
          <wp:inline distT="0" distB="0" distL="0" distR="0" wp14:anchorId="7D3196C4" wp14:editId="7271E1AC">
            <wp:extent cx="4772891" cy="1701247"/>
            <wp:effectExtent l="0" t="0" r="8890" b="0"/>
            <wp:docPr id="252" name="Picture 252" descr="Analysis of subjects with A1C &lt;7.0% (&lt;53 mmol/mol) at week 26 (Logistic regression using multiple imputation)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7">
                      <a:extLst>
                        <a:ext uri="{28A0092B-C50C-407E-A947-70E740481C1C}">
                          <a14:useLocalDpi xmlns:a14="http://schemas.microsoft.com/office/drawing/2010/main" val="0"/>
                        </a:ext>
                      </a:extLst>
                    </a:blip>
                    <a:srcRect t="1" b="2317"/>
                    <a:stretch/>
                  </pic:blipFill>
                  <pic:spPr bwMode="auto">
                    <a:xfrm>
                      <a:off x="0" y="0"/>
                      <a:ext cx="4771471" cy="1700741"/>
                    </a:xfrm>
                    <a:prstGeom prst="rect">
                      <a:avLst/>
                    </a:prstGeom>
                    <a:noFill/>
                    <a:ln>
                      <a:noFill/>
                    </a:ln>
                    <a:extLst>
                      <a:ext uri="{53640926-AAD7-44D8-BBD7-CCE9431645EC}">
                        <a14:shadowObscured xmlns:a14="http://schemas.microsoft.com/office/drawing/2010/main"/>
                      </a:ext>
                    </a:extLst>
                  </pic:spPr>
                </pic:pic>
              </a:graphicData>
            </a:graphic>
          </wp:inline>
        </w:drawing>
      </w:r>
    </w:p>
    <w:p w:rsidR="001E4B80" w:rsidRPr="00C738A2" w:rsidRDefault="001E4B80" w:rsidP="001E4B80">
      <w:pPr>
        <w:pStyle w:val="Tabletitle"/>
      </w:pPr>
      <w:bookmarkStart w:id="368" w:name="_Ref492027953"/>
      <w:bookmarkStart w:id="369" w:name="_Toc504038409"/>
      <w:r w:rsidRPr="00C738A2">
        <w:t xml:space="preserve">Table </w:t>
      </w:r>
      <w:r>
        <w:t>32</w:t>
      </w:r>
      <w:r w:rsidRPr="00C738A2">
        <w:t xml:space="preserve">: </w:t>
      </w:r>
      <w:r>
        <w:t>A</w:t>
      </w:r>
      <w:r w:rsidRPr="00C738A2">
        <w:t xml:space="preserve">nalysis of subjects with </w:t>
      </w:r>
      <w:r w:rsidR="00862319">
        <w:t>Hb</w:t>
      </w:r>
      <w:r w:rsidRPr="00C738A2">
        <w:t>A1</w:t>
      </w:r>
      <w:r w:rsidR="00862319">
        <w:t>c</w:t>
      </w:r>
      <w:r w:rsidR="00CC2A5D">
        <w:t xml:space="preserve"> </w:t>
      </w:r>
      <w:r w:rsidRPr="00C738A2">
        <w:t>&lt;</w:t>
      </w:r>
      <w:r w:rsidR="00E7616B">
        <w:t xml:space="preserve"> </w:t>
      </w:r>
      <w:r w:rsidRPr="00C738A2">
        <w:t>6.5% (&lt;</w:t>
      </w:r>
      <w:r w:rsidR="00862319">
        <w:t xml:space="preserve"> </w:t>
      </w:r>
      <w:r w:rsidRPr="00C738A2">
        <w:t xml:space="preserve">48 mmol/mol) at </w:t>
      </w:r>
      <w:r w:rsidR="00686AEA">
        <w:t>Week 26</w:t>
      </w:r>
      <w:r w:rsidRPr="00C738A2">
        <w:t xml:space="preserve"> (Logistic</w:t>
      </w:r>
      <w:r w:rsidR="00862319">
        <w:t> </w:t>
      </w:r>
      <w:r w:rsidRPr="00C738A2">
        <w:t xml:space="preserve">regression using multiple </w:t>
      </w:r>
      <w:r w:rsidR="00AE3765" w:rsidRPr="00C738A2">
        <w:t>imputations</w:t>
      </w:r>
      <w:r w:rsidRPr="00C738A2">
        <w:t>) (FAS: Excluding rescue approach)</w:t>
      </w:r>
      <w:bookmarkEnd w:id="368"/>
      <w:bookmarkEnd w:id="369"/>
    </w:p>
    <w:p w:rsidR="001E4B80" w:rsidRPr="00C738A2" w:rsidRDefault="001E4B80" w:rsidP="00CC2A5D">
      <w:pPr>
        <w:rPr>
          <w:noProof/>
          <w:lang w:eastAsia="en-AU"/>
        </w:rPr>
      </w:pPr>
      <w:r w:rsidRPr="00C738A2">
        <w:rPr>
          <w:noProof/>
          <w:lang w:eastAsia="en-AU"/>
        </w:rPr>
        <w:drawing>
          <wp:inline distT="0" distB="0" distL="0" distR="0" wp14:anchorId="321DC793" wp14:editId="3B7E3289">
            <wp:extent cx="5259781" cy="1718704"/>
            <wp:effectExtent l="0" t="0" r="0" b="0"/>
            <wp:docPr id="253" name="Picture 253" descr="Analysis of subjects with A1C &lt;6.5% (&lt;48 mmol/mol) at week 26 (Logistic regression using multiple imputation)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6766" cy="1720987"/>
                    </a:xfrm>
                    <a:prstGeom prst="rect">
                      <a:avLst/>
                    </a:prstGeom>
                    <a:noFill/>
                    <a:ln>
                      <a:noFill/>
                    </a:ln>
                  </pic:spPr>
                </pic:pic>
              </a:graphicData>
            </a:graphic>
          </wp:inline>
        </w:drawing>
      </w:r>
    </w:p>
    <w:p w:rsidR="00803C18" w:rsidRDefault="002E5CF1" w:rsidP="00FB1E32">
      <w:r w:rsidRPr="008703F4">
        <w:t>The LS mean reductions from baseline in FPG at Week 26 were significantly (</w:t>
      </w:r>
      <w:r w:rsidR="00FB1E32">
        <w:t>p &lt; 0</w:t>
      </w:r>
      <w:r w:rsidRPr="008703F4">
        <w:t>.001 for both comparisons) greater in the ertugliflozin 5 mg and 15 mg groups compared to the placebo group -1.88, -2.41 and +0.03mmol/L, respectively) (</w:t>
      </w:r>
      <w:r w:rsidR="0030190B" w:rsidRPr="008703F4">
        <w:t>Table 33</w:t>
      </w:r>
      <w:r w:rsidRPr="008703F4">
        <w:t xml:space="preserve">). Initial reductions in FPG at Week 6 were followed by smaller subsequent reductions at each time point through Week 26. The magnitude of the reduction in FPG was numerically greater in the ertugliflozin 15 mg group than in the ertugliflozin 5 mg group at each time point (Figure </w:t>
      </w:r>
      <w:r w:rsidR="0030190B" w:rsidRPr="008703F4">
        <w:t>4</w:t>
      </w:r>
      <w:r w:rsidRPr="008703F4">
        <w:t xml:space="preserve">). The LS mean reductions from baseline in </w:t>
      </w:r>
      <w:r w:rsidR="00730F18" w:rsidRPr="008703F4">
        <w:t>2 h PPG</w:t>
      </w:r>
      <w:r w:rsidRPr="008703F4">
        <w:t xml:space="preserve"> at Week 26 were significantly (</w:t>
      </w:r>
      <w:r w:rsidR="00FB1E32">
        <w:t>p &lt; 0</w:t>
      </w:r>
      <w:r w:rsidRPr="008703F4">
        <w:t xml:space="preserve">.001 for both comparisons) greater in the ertugliflozin 5 mg and 15 mg groups compared to the placebo group -3.56, -3.47 and +0.27mmol/L, respectively) (Table </w:t>
      </w:r>
      <w:r w:rsidR="0030190B" w:rsidRPr="008703F4">
        <w:t>34</w:t>
      </w:r>
      <w:r w:rsidRPr="008703F4">
        <w:t>). The LS mean reductions from baseline in body weight at Week 26 were significantly (</w:t>
      </w:r>
      <w:r w:rsidR="00FB1E32">
        <w:t>p &lt; 0</w:t>
      </w:r>
      <w:r w:rsidRPr="008703F4">
        <w:t>.001 for both comparisons) greater in the ertugliflozin 5 mg and 15 mg groups compared to the placebo group (-3.2, -3.6 a</w:t>
      </w:r>
      <w:r w:rsidR="00FB1E32">
        <w:t>nd -1.4kg, respectively) (Table </w:t>
      </w:r>
      <w:r w:rsidR="0030190B" w:rsidRPr="008703F4">
        <w:t>35</w:t>
      </w:r>
      <w:r w:rsidRPr="008703F4">
        <w:t xml:space="preserve">). In both ertugliflozin groups and in the placebo group, body weight decreased from baseline at Week 6 and continued to decrease at each subsequent time point to Week 26 with the magnitude of the decrease numerically greater in both ertugliflozin groups than in the placebo group at each time point. Changes from baseline in body weight through Week 26 were numerically greater in the ertugliflozin 15 mg group compared to the ertugliflozin 5 mg group (Figure </w:t>
      </w:r>
      <w:r w:rsidR="0030190B" w:rsidRPr="008703F4">
        <w:t>5</w:t>
      </w:r>
      <w:r w:rsidRPr="008703F4">
        <w:t>)</w:t>
      </w:r>
      <w:r w:rsidR="00803C18">
        <w:t>.</w:t>
      </w:r>
    </w:p>
    <w:p w:rsidR="002E5CF1" w:rsidRPr="008703F4" w:rsidRDefault="002E5CF1" w:rsidP="002E5CF1">
      <w:pPr>
        <w:autoSpaceDE w:val="0"/>
        <w:autoSpaceDN w:val="0"/>
        <w:adjustRightInd w:val="0"/>
        <w:spacing w:before="0" w:line="240" w:lineRule="auto"/>
        <w:rPr>
          <w:rFonts w:ascii="Times New Roman" w:eastAsiaTheme="minorHAnsi" w:hAnsi="Times New Roman"/>
          <w:sz w:val="24"/>
          <w:szCs w:val="24"/>
        </w:rPr>
      </w:pPr>
      <w:r w:rsidRPr="008703F4">
        <w:rPr>
          <w:rFonts w:asciiTheme="minorHAnsi" w:eastAsiaTheme="minorHAnsi" w:hAnsiTheme="minorHAnsi"/>
        </w:rPr>
        <w:t>Compared with placebo, the LS mean reduction from baseline in sitting SBP at Week 26 was significantly greater in the ertugliflozin 5 mg group (nominal =</w:t>
      </w:r>
      <w:r w:rsidR="00FB1E32">
        <w:rPr>
          <w:rFonts w:asciiTheme="minorHAnsi" w:eastAsiaTheme="minorHAnsi" w:hAnsiTheme="minorHAnsi"/>
        </w:rPr>
        <w:t xml:space="preserve"> </w:t>
      </w:r>
      <w:r w:rsidRPr="008703F4">
        <w:rPr>
          <w:rFonts w:asciiTheme="minorHAnsi" w:eastAsiaTheme="minorHAnsi" w:hAnsiTheme="minorHAnsi"/>
        </w:rPr>
        <w:t>0.015) but only numerically (but not significantly) greater in the ertugliflozin 15 mg group (-5.5, -3.9 and -2.2</w:t>
      </w:r>
      <w:r w:rsidR="00FB1E32">
        <w:rPr>
          <w:rFonts w:asciiTheme="minorHAnsi" w:eastAsiaTheme="minorHAnsi" w:hAnsiTheme="minorHAnsi"/>
        </w:rPr>
        <w:t xml:space="preserve"> </w:t>
      </w:r>
      <w:r w:rsidRPr="008703F4">
        <w:rPr>
          <w:rFonts w:asciiTheme="minorHAnsi" w:eastAsiaTheme="minorHAnsi" w:hAnsiTheme="minorHAnsi"/>
        </w:rPr>
        <w:t xml:space="preserve">mmHg, </w:t>
      </w:r>
      <w:r w:rsidRPr="008703F4">
        <w:rPr>
          <w:rFonts w:asciiTheme="minorHAnsi" w:eastAsiaTheme="minorHAnsi" w:hAnsiTheme="minorHAnsi"/>
        </w:rPr>
        <w:lastRenderedPageBreak/>
        <w:t xml:space="preserve">respectively) (Table </w:t>
      </w:r>
      <w:r w:rsidR="0030190B" w:rsidRPr="008703F4">
        <w:rPr>
          <w:rFonts w:asciiTheme="minorHAnsi" w:eastAsiaTheme="minorHAnsi" w:hAnsiTheme="minorHAnsi"/>
        </w:rPr>
        <w:t>36</w:t>
      </w:r>
      <w:r w:rsidRPr="008703F4">
        <w:rPr>
          <w:rFonts w:asciiTheme="minorHAnsi" w:eastAsiaTheme="minorHAnsi" w:hAnsiTheme="minorHAnsi"/>
        </w:rPr>
        <w:t xml:space="preserve">). Hence, all subsequent endpoints in the ordered testing procedure are therefore ineligible for statistical testing. Reductions from baseline in SBP at Week 26 were numerically greater in the ertugliflozin 5 mg compared to the ertugliflozin 15 mg group. No meaningful difference in the proportions of subjects taking antihypertensive medication at Week 26 relative to baseline was observed in the ertugliflozin or placebo groups. Compared with placebo, the LS mean reductions from baseline in sitting DBP at Week 26 were greater in the ertugliflozin 5 mg group (nominal </w:t>
      </w:r>
      <w:r w:rsidR="00FB1E32">
        <w:rPr>
          <w:rFonts w:asciiTheme="minorHAnsi" w:eastAsiaTheme="minorHAnsi" w:hAnsiTheme="minorHAnsi"/>
        </w:rPr>
        <w:t>p = 0</w:t>
      </w:r>
      <w:r w:rsidRPr="008703F4">
        <w:rPr>
          <w:rFonts w:asciiTheme="minorHAnsi" w:eastAsiaTheme="minorHAnsi" w:hAnsiTheme="minorHAnsi"/>
        </w:rPr>
        <w:t xml:space="preserve">.039) and numerically </w:t>
      </w:r>
      <w:r w:rsidR="00FB1E32">
        <w:rPr>
          <w:rFonts w:asciiTheme="minorHAnsi" w:eastAsiaTheme="minorHAnsi" w:hAnsiTheme="minorHAnsi"/>
        </w:rPr>
        <w:t>greater in the ertugliflozin 15 </w:t>
      </w:r>
      <w:r w:rsidRPr="008703F4">
        <w:rPr>
          <w:rFonts w:asciiTheme="minorHAnsi" w:eastAsiaTheme="minorHAnsi" w:hAnsiTheme="minorHAnsi"/>
        </w:rPr>
        <w:t xml:space="preserve">mg group (Table </w:t>
      </w:r>
      <w:r w:rsidR="0030190B" w:rsidRPr="008703F4">
        <w:rPr>
          <w:rFonts w:asciiTheme="minorHAnsi" w:eastAsiaTheme="minorHAnsi" w:hAnsiTheme="minorHAnsi"/>
        </w:rPr>
        <w:t>37</w:t>
      </w:r>
      <w:r w:rsidRPr="008703F4">
        <w:rPr>
          <w:rFonts w:asciiTheme="minorHAnsi" w:eastAsiaTheme="minorHAnsi" w:hAnsiTheme="minorHAnsi"/>
        </w:rPr>
        <w:t>). The cumulative percentage of subjects who received glycaemic rescue medication through Week 26 was 25.5% in the placebo group, with infrequent initiation of rescue therapy in both ertugliflozin groups (&lt;</w:t>
      </w:r>
      <w:r w:rsidR="00FB1E32">
        <w:rPr>
          <w:rFonts w:asciiTheme="minorHAnsi" w:eastAsiaTheme="minorHAnsi" w:hAnsiTheme="minorHAnsi"/>
        </w:rPr>
        <w:t xml:space="preserve"> </w:t>
      </w:r>
      <w:r w:rsidRPr="008703F4">
        <w:rPr>
          <w:rFonts w:asciiTheme="minorHAnsi" w:eastAsiaTheme="minorHAnsi" w:hAnsiTheme="minorHAnsi"/>
        </w:rPr>
        <w:t xml:space="preserve">3% in both groups; nominal </w:t>
      </w:r>
      <w:r w:rsidR="00FB1E32">
        <w:rPr>
          <w:rFonts w:asciiTheme="minorHAnsi" w:eastAsiaTheme="minorHAnsi" w:hAnsiTheme="minorHAnsi"/>
        </w:rPr>
        <w:t>p &lt; 0</w:t>
      </w:r>
      <w:r w:rsidRPr="008703F4">
        <w:rPr>
          <w:rFonts w:asciiTheme="minorHAnsi" w:eastAsiaTheme="minorHAnsi" w:hAnsiTheme="minorHAnsi"/>
        </w:rPr>
        <w:t xml:space="preserve">.001 for both comparisons) (Table </w:t>
      </w:r>
      <w:r w:rsidR="0030190B" w:rsidRPr="008703F4">
        <w:rPr>
          <w:rFonts w:asciiTheme="minorHAnsi" w:eastAsiaTheme="minorHAnsi" w:hAnsiTheme="minorHAnsi"/>
        </w:rPr>
        <w:t>38</w:t>
      </w:r>
      <w:r w:rsidRPr="008703F4">
        <w:rPr>
          <w:rFonts w:asciiTheme="minorHAnsi" w:eastAsiaTheme="minorHAnsi" w:hAnsiTheme="minorHAnsi"/>
        </w:rPr>
        <w:t>).</w:t>
      </w:r>
    </w:p>
    <w:p w:rsidR="0030190B" w:rsidRPr="00C738A2" w:rsidRDefault="0030190B" w:rsidP="0030190B">
      <w:pPr>
        <w:pStyle w:val="Tabletitle"/>
      </w:pPr>
      <w:bookmarkStart w:id="370" w:name="_Ref492027956"/>
      <w:bookmarkStart w:id="371" w:name="_Toc504038410"/>
      <w:r w:rsidRPr="00C738A2">
        <w:t xml:space="preserve">Table </w:t>
      </w:r>
      <w:r>
        <w:t xml:space="preserve">33: </w:t>
      </w:r>
      <w:r w:rsidRPr="00C738A2">
        <w:t>FPG (</w:t>
      </w:r>
      <w:proofErr w:type="spellStart"/>
      <w:r w:rsidRPr="00C738A2">
        <w:t>mmol</w:t>
      </w:r>
      <w:proofErr w:type="spellEnd"/>
      <w:r w:rsidRPr="00C738A2">
        <w:t>/L</w:t>
      </w:r>
      <w:r w:rsidR="00862319" w:rsidRPr="00C738A2">
        <w:t>)</w:t>
      </w:r>
      <w:r w:rsidR="00862319">
        <w:t>;</w:t>
      </w:r>
      <w:r w:rsidR="00862319" w:rsidRPr="00C738A2">
        <w:t xml:space="preserve"> </w:t>
      </w:r>
      <w:r w:rsidRPr="00C738A2">
        <w:t xml:space="preserve">Change from </w:t>
      </w:r>
      <w:r w:rsidR="00862319">
        <w:t>B</w:t>
      </w:r>
      <w:r w:rsidR="00862319" w:rsidRPr="00C738A2">
        <w:t xml:space="preserve">aseline </w:t>
      </w:r>
      <w:r w:rsidRPr="00C738A2">
        <w:t xml:space="preserve">at </w:t>
      </w:r>
      <w:r w:rsidR="00686AEA">
        <w:t>Week 26</w:t>
      </w:r>
      <w:r w:rsidRPr="00C738A2">
        <w:t xml:space="preserve"> (cLDA) (FAS: Excluding rescue approach)</w:t>
      </w:r>
      <w:bookmarkEnd w:id="370"/>
      <w:bookmarkEnd w:id="371"/>
    </w:p>
    <w:p w:rsidR="0030190B" w:rsidRPr="00C738A2" w:rsidRDefault="0030190B" w:rsidP="00CC2A5D">
      <w:r w:rsidRPr="00C738A2">
        <w:rPr>
          <w:noProof/>
          <w:lang w:eastAsia="en-AU"/>
        </w:rPr>
        <w:drawing>
          <wp:inline distT="0" distB="0" distL="0" distR="0" wp14:anchorId="19ACEA2F" wp14:editId="19A0D070">
            <wp:extent cx="6031684" cy="1983620"/>
            <wp:effectExtent l="0" t="0" r="7620" b="0"/>
            <wp:docPr id="254" name="Picture 254" descr="Change from baseline at week 26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lum bright="-20000" contrast="40000"/>
                      <a:extLst>
                        <a:ext uri="{28A0092B-C50C-407E-A947-70E740481C1C}">
                          <a14:useLocalDpi xmlns:a14="http://schemas.microsoft.com/office/drawing/2010/main" val="0"/>
                        </a:ext>
                      </a:extLst>
                    </a:blip>
                    <a:srcRect/>
                    <a:stretch>
                      <a:fillRect/>
                    </a:stretch>
                  </pic:blipFill>
                  <pic:spPr bwMode="auto">
                    <a:xfrm>
                      <a:off x="0" y="0"/>
                      <a:ext cx="6024788" cy="1981352"/>
                    </a:xfrm>
                    <a:prstGeom prst="rect">
                      <a:avLst/>
                    </a:prstGeom>
                    <a:noFill/>
                    <a:ln>
                      <a:noFill/>
                    </a:ln>
                  </pic:spPr>
                </pic:pic>
              </a:graphicData>
            </a:graphic>
          </wp:inline>
        </w:drawing>
      </w:r>
    </w:p>
    <w:p w:rsidR="0030190B" w:rsidRPr="00C738A2" w:rsidRDefault="0030190B" w:rsidP="0030190B">
      <w:pPr>
        <w:pStyle w:val="FigureTitle"/>
      </w:pPr>
      <w:bookmarkStart w:id="372" w:name="_Ref492027959"/>
      <w:bookmarkStart w:id="373" w:name="_Toc504038411"/>
      <w:r>
        <w:t xml:space="preserve">Figure 4: </w:t>
      </w:r>
      <w:r w:rsidRPr="00C738A2">
        <w:t>FPG (</w:t>
      </w:r>
      <w:proofErr w:type="spellStart"/>
      <w:r w:rsidRPr="00C738A2">
        <w:t>mmol</w:t>
      </w:r>
      <w:proofErr w:type="spellEnd"/>
      <w:r w:rsidRPr="00C738A2">
        <w:t>/L</w:t>
      </w:r>
      <w:r w:rsidR="00862319" w:rsidRPr="00C738A2">
        <w:t>)</w:t>
      </w:r>
      <w:r w:rsidR="00862319">
        <w:t>;</w:t>
      </w:r>
      <w:r w:rsidR="00862319" w:rsidRPr="00C738A2">
        <w:t xml:space="preserve"> </w:t>
      </w:r>
      <w:r w:rsidRPr="00C738A2">
        <w:t xml:space="preserve">LS Mean change from </w:t>
      </w:r>
      <w:r w:rsidR="00862319">
        <w:t>B</w:t>
      </w:r>
      <w:r w:rsidR="00862319" w:rsidRPr="00C738A2">
        <w:t xml:space="preserve">aseline </w:t>
      </w:r>
      <w:r w:rsidR="00AE3765" w:rsidRPr="00C738A2">
        <w:t>over</w:t>
      </w:r>
      <w:r w:rsidRPr="00C738A2">
        <w:t xml:space="preserve"> time (</w:t>
      </w:r>
      <w:proofErr w:type="spellStart"/>
      <w:r w:rsidRPr="00C738A2">
        <w:t>cLDA</w:t>
      </w:r>
      <w:proofErr w:type="spellEnd"/>
      <w:r w:rsidRPr="00C738A2">
        <w:t>) (FAS:</w:t>
      </w:r>
      <w:r w:rsidR="00862319">
        <w:t> </w:t>
      </w:r>
      <w:r w:rsidRPr="00C738A2">
        <w:t>Excluding rescue approach)</w:t>
      </w:r>
      <w:bookmarkEnd w:id="372"/>
      <w:bookmarkEnd w:id="373"/>
    </w:p>
    <w:p w:rsidR="0030190B" w:rsidRPr="00C738A2" w:rsidRDefault="0030190B" w:rsidP="00CC2A5D">
      <w:r w:rsidRPr="00C738A2">
        <w:rPr>
          <w:noProof/>
          <w:lang w:eastAsia="en-AU"/>
        </w:rPr>
        <w:drawing>
          <wp:inline distT="0" distB="0" distL="0" distR="0" wp14:anchorId="475C970A" wp14:editId="461B2BC8">
            <wp:extent cx="3912815" cy="2963838"/>
            <wp:effectExtent l="0" t="0" r="0" b="8255"/>
            <wp:docPr id="255" name="Picture 255" descr="FPG (mmol/L): LS Mean change from baseline ove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lum bright="-20000" contrast="40000"/>
                      <a:extLst>
                        <a:ext uri="{28A0092B-C50C-407E-A947-70E740481C1C}">
                          <a14:useLocalDpi xmlns:a14="http://schemas.microsoft.com/office/drawing/2010/main" val="0"/>
                        </a:ext>
                      </a:extLst>
                    </a:blip>
                    <a:srcRect/>
                    <a:stretch>
                      <a:fillRect/>
                    </a:stretch>
                  </pic:blipFill>
                  <pic:spPr bwMode="auto">
                    <a:xfrm>
                      <a:off x="0" y="0"/>
                      <a:ext cx="3911970" cy="2963198"/>
                    </a:xfrm>
                    <a:prstGeom prst="rect">
                      <a:avLst/>
                    </a:prstGeom>
                    <a:noFill/>
                    <a:ln>
                      <a:noFill/>
                    </a:ln>
                  </pic:spPr>
                </pic:pic>
              </a:graphicData>
            </a:graphic>
          </wp:inline>
        </w:drawing>
      </w:r>
    </w:p>
    <w:p w:rsidR="0030190B" w:rsidRPr="00C738A2" w:rsidRDefault="0030190B" w:rsidP="0030190B">
      <w:pPr>
        <w:pStyle w:val="Tabletitle"/>
      </w:pPr>
      <w:bookmarkStart w:id="374" w:name="_Ref492027961"/>
      <w:bookmarkStart w:id="375" w:name="_Toc504038412"/>
      <w:r w:rsidRPr="00C738A2">
        <w:lastRenderedPageBreak/>
        <w:t xml:space="preserve">Table </w:t>
      </w:r>
      <w:r>
        <w:t xml:space="preserve">34: </w:t>
      </w:r>
      <w:r w:rsidRPr="00C738A2">
        <w:t xml:space="preserve">2 </w:t>
      </w:r>
      <w:r>
        <w:t>h</w:t>
      </w:r>
      <w:r w:rsidRPr="00C738A2">
        <w:t xml:space="preserve"> PPG (</w:t>
      </w:r>
      <w:proofErr w:type="spellStart"/>
      <w:r w:rsidRPr="00C738A2">
        <w:t>mmol</w:t>
      </w:r>
      <w:proofErr w:type="spellEnd"/>
      <w:r w:rsidRPr="00C738A2">
        <w:t>/L</w:t>
      </w:r>
      <w:r w:rsidR="00862319" w:rsidRPr="00C738A2">
        <w:t>)</w:t>
      </w:r>
      <w:r w:rsidR="00862319">
        <w:t>;</w:t>
      </w:r>
      <w:r w:rsidR="00862319" w:rsidRPr="00C738A2">
        <w:t xml:space="preserve"> </w:t>
      </w:r>
      <w:r w:rsidRPr="00C738A2">
        <w:t xml:space="preserve">Change from </w:t>
      </w:r>
      <w:r w:rsidR="00862319">
        <w:t>B</w:t>
      </w:r>
      <w:r w:rsidR="00862319" w:rsidRPr="00C738A2">
        <w:t xml:space="preserve">aseline </w:t>
      </w:r>
      <w:r w:rsidRPr="00C738A2">
        <w:t xml:space="preserve">at </w:t>
      </w:r>
      <w:r w:rsidR="00686AEA">
        <w:t>Week 26</w:t>
      </w:r>
      <w:r w:rsidRPr="00C738A2">
        <w:t xml:space="preserve"> (cLDA) (FAS: excluding rescue approach)</w:t>
      </w:r>
      <w:bookmarkEnd w:id="374"/>
      <w:bookmarkEnd w:id="375"/>
    </w:p>
    <w:p w:rsidR="0030190B" w:rsidRDefault="0030190B" w:rsidP="00CC2A5D">
      <w:r w:rsidRPr="00C738A2">
        <w:rPr>
          <w:noProof/>
          <w:lang w:eastAsia="en-AU"/>
        </w:rPr>
        <w:drawing>
          <wp:inline distT="0" distB="0" distL="0" distR="0" wp14:anchorId="71653DAE" wp14:editId="53FC2AE1">
            <wp:extent cx="5731510" cy="1849268"/>
            <wp:effectExtent l="0" t="0" r="2540" b="0"/>
            <wp:docPr id="256" name="Picture 256" descr="2 h PPG (mmol/L): Change from baseline at week 26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lum bright="-20000" contrast="40000"/>
                      <a:extLst>
                        <a:ext uri="{28A0092B-C50C-407E-A947-70E740481C1C}">
                          <a14:useLocalDpi xmlns:a14="http://schemas.microsoft.com/office/drawing/2010/main" val="0"/>
                        </a:ext>
                      </a:extLst>
                    </a:blip>
                    <a:srcRect/>
                    <a:stretch>
                      <a:fillRect/>
                    </a:stretch>
                  </pic:blipFill>
                  <pic:spPr bwMode="auto">
                    <a:xfrm>
                      <a:off x="0" y="0"/>
                      <a:ext cx="5731510" cy="1849268"/>
                    </a:xfrm>
                    <a:prstGeom prst="rect">
                      <a:avLst/>
                    </a:prstGeom>
                    <a:noFill/>
                    <a:ln>
                      <a:noFill/>
                    </a:ln>
                  </pic:spPr>
                </pic:pic>
              </a:graphicData>
            </a:graphic>
          </wp:inline>
        </w:drawing>
      </w:r>
    </w:p>
    <w:p w:rsidR="0030190B" w:rsidRPr="00C738A2" w:rsidRDefault="0030190B" w:rsidP="0030190B">
      <w:pPr>
        <w:pStyle w:val="Tabletitle"/>
      </w:pPr>
      <w:bookmarkStart w:id="376" w:name="_Ref492027964"/>
      <w:bookmarkStart w:id="377" w:name="_Toc504038413"/>
      <w:r w:rsidRPr="00C738A2">
        <w:t xml:space="preserve">Table </w:t>
      </w:r>
      <w:r>
        <w:t>35</w:t>
      </w:r>
      <w:r w:rsidRPr="00C738A2">
        <w:t>:</w:t>
      </w:r>
      <w:r>
        <w:t xml:space="preserve"> </w:t>
      </w:r>
      <w:r w:rsidRPr="00C738A2">
        <w:t>Body weight (kg</w:t>
      </w:r>
      <w:r w:rsidR="00862319" w:rsidRPr="00C738A2">
        <w:t>)</w:t>
      </w:r>
      <w:r w:rsidR="00862319">
        <w:t>;</w:t>
      </w:r>
      <w:r w:rsidR="00862319" w:rsidRPr="00C738A2">
        <w:t xml:space="preserve"> </w:t>
      </w:r>
      <w:r w:rsidRPr="00C738A2">
        <w:t xml:space="preserve">Change from </w:t>
      </w:r>
      <w:r w:rsidR="00862319">
        <w:t>B</w:t>
      </w:r>
      <w:r w:rsidR="00862319" w:rsidRPr="00C738A2">
        <w:t xml:space="preserve">aseline </w:t>
      </w:r>
      <w:r w:rsidRPr="00C738A2">
        <w:t xml:space="preserve">at </w:t>
      </w:r>
      <w:r w:rsidR="00686AEA">
        <w:t>Week 26</w:t>
      </w:r>
      <w:r w:rsidRPr="00C738A2">
        <w:t xml:space="preserve"> (cLDA) (FAS: excluding rescue approach)</w:t>
      </w:r>
      <w:bookmarkEnd w:id="376"/>
      <w:bookmarkEnd w:id="377"/>
    </w:p>
    <w:p w:rsidR="0030190B" w:rsidRPr="00C738A2" w:rsidRDefault="0030190B" w:rsidP="00CC2A5D">
      <w:pPr>
        <w:rPr>
          <w:noProof/>
          <w:lang w:eastAsia="en-AU"/>
        </w:rPr>
      </w:pPr>
      <w:r w:rsidRPr="00C738A2">
        <w:rPr>
          <w:noProof/>
          <w:lang w:eastAsia="en-AU"/>
        </w:rPr>
        <w:drawing>
          <wp:inline distT="0" distB="0" distL="0" distR="0" wp14:anchorId="5417BB18" wp14:editId="2D716A67">
            <wp:extent cx="4693183" cy="2174837"/>
            <wp:effectExtent l="0" t="0" r="0" b="0"/>
            <wp:docPr id="257" name="Picture 257" descr="Body weight (kg): Change from baseline at week 26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98235" cy="2177178"/>
                    </a:xfrm>
                    <a:prstGeom prst="rect">
                      <a:avLst/>
                    </a:prstGeom>
                    <a:noFill/>
                    <a:ln>
                      <a:noFill/>
                    </a:ln>
                  </pic:spPr>
                </pic:pic>
              </a:graphicData>
            </a:graphic>
          </wp:inline>
        </w:drawing>
      </w:r>
    </w:p>
    <w:p w:rsidR="0030190B" w:rsidRPr="00C738A2" w:rsidRDefault="0030190B" w:rsidP="0030190B">
      <w:pPr>
        <w:pStyle w:val="FigureTitle"/>
      </w:pPr>
      <w:bookmarkStart w:id="378" w:name="_Ref492027967"/>
      <w:bookmarkStart w:id="379" w:name="_Toc504038414"/>
      <w:r w:rsidRPr="00C738A2">
        <w:t xml:space="preserve">Figure </w:t>
      </w:r>
      <w:r>
        <w:t>5: B</w:t>
      </w:r>
      <w:r w:rsidRPr="00C738A2">
        <w:t>ody weight (kg</w:t>
      </w:r>
      <w:r w:rsidR="00862319" w:rsidRPr="00C738A2">
        <w:t>)</w:t>
      </w:r>
      <w:r w:rsidR="00862319">
        <w:t>;</w:t>
      </w:r>
      <w:r w:rsidR="00862319" w:rsidRPr="00C738A2">
        <w:t xml:space="preserve"> </w:t>
      </w:r>
      <w:r w:rsidRPr="00C738A2">
        <w:t>LS mean change from baseline over time (</w:t>
      </w:r>
      <w:proofErr w:type="spellStart"/>
      <w:r w:rsidRPr="00C738A2">
        <w:t>cLDA</w:t>
      </w:r>
      <w:proofErr w:type="spellEnd"/>
      <w:r w:rsidRPr="00C738A2">
        <w:t>) (FAS:</w:t>
      </w:r>
      <w:r w:rsidR="00862319">
        <w:t> </w:t>
      </w:r>
      <w:r w:rsidRPr="00C738A2">
        <w:t>excluding rescue approach)</w:t>
      </w:r>
      <w:bookmarkEnd w:id="378"/>
      <w:bookmarkEnd w:id="379"/>
    </w:p>
    <w:p w:rsidR="0030190B" w:rsidRPr="00C738A2" w:rsidRDefault="0030190B" w:rsidP="00CC2A5D">
      <w:pPr>
        <w:rPr>
          <w:noProof/>
          <w:lang w:eastAsia="en-AU"/>
        </w:rPr>
      </w:pPr>
      <w:r w:rsidRPr="00C738A2">
        <w:rPr>
          <w:noProof/>
          <w:lang w:eastAsia="en-AU"/>
        </w:rPr>
        <w:t xml:space="preserve"> </w:t>
      </w:r>
      <w:r w:rsidRPr="00C738A2">
        <w:rPr>
          <w:noProof/>
          <w:lang w:eastAsia="en-AU"/>
        </w:rPr>
        <w:drawing>
          <wp:inline distT="0" distB="0" distL="0" distR="0" wp14:anchorId="47ABA2DB" wp14:editId="1E938B3F">
            <wp:extent cx="3581400" cy="2721163"/>
            <wp:effectExtent l="0" t="0" r="0" b="3175"/>
            <wp:docPr id="258" name="Picture 258" descr="Body weight (k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3">
                      <a:lum bright="-20000" contrast="40000"/>
                      <a:extLst>
                        <a:ext uri="{28A0092B-C50C-407E-A947-70E740481C1C}">
                          <a14:useLocalDpi xmlns:a14="http://schemas.microsoft.com/office/drawing/2010/main" val="0"/>
                        </a:ext>
                      </a:extLst>
                    </a:blip>
                    <a:srcRect/>
                    <a:stretch>
                      <a:fillRect/>
                    </a:stretch>
                  </pic:blipFill>
                  <pic:spPr bwMode="auto">
                    <a:xfrm>
                      <a:off x="0" y="0"/>
                      <a:ext cx="3584991" cy="2723892"/>
                    </a:xfrm>
                    <a:prstGeom prst="rect">
                      <a:avLst/>
                    </a:prstGeom>
                    <a:noFill/>
                    <a:ln>
                      <a:noFill/>
                    </a:ln>
                  </pic:spPr>
                </pic:pic>
              </a:graphicData>
            </a:graphic>
          </wp:inline>
        </w:drawing>
      </w:r>
    </w:p>
    <w:p w:rsidR="0030190B" w:rsidRPr="00C738A2" w:rsidRDefault="0030190B" w:rsidP="0030190B">
      <w:pPr>
        <w:pStyle w:val="Tabletitle"/>
      </w:pPr>
      <w:bookmarkStart w:id="380" w:name="_Ref492027969"/>
      <w:bookmarkStart w:id="381" w:name="_Toc504038415"/>
      <w:r w:rsidRPr="00C738A2">
        <w:lastRenderedPageBreak/>
        <w:t xml:space="preserve">Table </w:t>
      </w:r>
      <w:r>
        <w:t xml:space="preserve">36: </w:t>
      </w:r>
      <w:r w:rsidRPr="00C738A2">
        <w:t>Sitting systolic blood pressure (mmHg</w:t>
      </w:r>
      <w:r w:rsidR="00862319" w:rsidRPr="00C738A2">
        <w:t>)</w:t>
      </w:r>
      <w:r w:rsidR="00862319">
        <w:t>;</w:t>
      </w:r>
      <w:r w:rsidR="00862319" w:rsidRPr="00C738A2">
        <w:t xml:space="preserve"> </w:t>
      </w:r>
      <w:r w:rsidRPr="00C738A2">
        <w:t xml:space="preserve">change from </w:t>
      </w:r>
      <w:r w:rsidR="00862319">
        <w:t>B</w:t>
      </w:r>
      <w:r w:rsidR="00862319" w:rsidRPr="00C738A2">
        <w:t xml:space="preserve">aseline </w:t>
      </w:r>
      <w:r w:rsidRPr="00C738A2">
        <w:t xml:space="preserve">at </w:t>
      </w:r>
      <w:r w:rsidR="00686AEA">
        <w:t>Week 26</w:t>
      </w:r>
      <w:r w:rsidRPr="00C738A2">
        <w:t xml:space="preserve"> (cLDA) (FAS: excluding rescue approach)</w:t>
      </w:r>
      <w:bookmarkEnd w:id="380"/>
      <w:bookmarkEnd w:id="381"/>
    </w:p>
    <w:p w:rsidR="0030190B" w:rsidRPr="00C738A2" w:rsidRDefault="0030190B" w:rsidP="00CC2A5D">
      <w:r w:rsidRPr="00C738A2">
        <w:rPr>
          <w:noProof/>
          <w:lang w:eastAsia="en-AU"/>
        </w:rPr>
        <w:drawing>
          <wp:inline distT="0" distB="0" distL="0" distR="0" wp14:anchorId="6631DFC0" wp14:editId="2261BF37">
            <wp:extent cx="4386635" cy="2085758"/>
            <wp:effectExtent l="0" t="0" r="0" b="0"/>
            <wp:docPr id="259" name="Picture 259" descr="Sitting systolic blood pressure (mmHg): change from baseline at week 26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4">
                      <a:lum bright="-20000" contrast="40000"/>
                      <a:extLst>
                        <a:ext uri="{28A0092B-C50C-407E-A947-70E740481C1C}">
                          <a14:useLocalDpi xmlns:a14="http://schemas.microsoft.com/office/drawing/2010/main" val="0"/>
                        </a:ext>
                      </a:extLst>
                    </a:blip>
                    <a:srcRect/>
                    <a:stretch>
                      <a:fillRect/>
                    </a:stretch>
                  </pic:blipFill>
                  <pic:spPr bwMode="auto">
                    <a:xfrm>
                      <a:off x="0" y="0"/>
                      <a:ext cx="4398899" cy="2091589"/>
                    </a:xfrm>
                    <a:prstGeom prst="rect">
                      <a:avLst/>
                    </a:prstGeom>
                    <a:noFill/>
                    <a:ln>
                      <a:noFill/>
                    </a:ln>
                  </pic:spPr>
                </pic:pic>
              </a:graphicData>
            </a:graphic>
          </wp:inline>
        </w:drawing>
      </w:r>
    </w:p>
    <w:p w:rsidR="0030190B" w:rsidRDefault="0030190B" w:rsidP="0030190B">
      <w:pPr>
        <w:pStyle w:val="Tabletitle"/>
      </w:pPr>
      <w:bookmarkStart w:id="382" w:name="_Ref492027972"/>
      <w:bookmarkStart w:id="383" w:name="_Toc504038416"/>
      <w:r w:rsidRPr="00C738A2">
        <w:t xml:space="preserve">Table </w:t>
      </w:r>
      <w:r>
        <w:t xml:space="preserve">37: </w:t>
      </w:r>
      <w:r w:rsidRPr="00C738A2">
        <w:t>Sitting diastolic BP (mmHg</w:t>
      </w:r>
      <w:r w:rsidR="00862319" w:rsidRPr="00C738A2">
        <w:t>)</w:t>
      </w:r>
      <w:r w:rsidR="00862319">
        <w:t>;</w:t>
      </w:r>
      <w:r w:rsidR="00862319" w:rsidRPr="00C738A2">
        <w:t xml:space="preserve"> </w:t>
      </w:r>
      <w:r w:rsidRPr="00C738A2">
        <w:t xml:space="preserve">Change from </w:t>
      </w:r>
      <w:r w:rsidR="00862319">
        <w:t>B</w:t>
      </w:r>
      <w:r w:rsidR="00862319" w:rsidRPr="00C738A2">
        <w:t xml:space="preserve">aseline </w:t>
      </w:r>
      <w:r w:rsidRPr="00C738A2">
        <w:t xml:space="preserve">at </w:t>
      </w:r>
      <w:r w:rsidR="00686AEA">
        <w:t>Week 26</w:t>
      </w:r>
      <w:r w:rsidRPr="00C738A2">
        <w:t xml:space="preserve"> (cLDA) (FAS: excluding rescue approach)</w:t>
      </w:r>
      <w:bookmarkEnd w:id="382"/>
      <w:bookmarkEnd w:id="383"/>
    </w:p>
    <w:p w:rsidR="0030190B" w:rsidRPr="0030190B" w:rsidRDefault="0030190B" w:rsidP="00CC2A5D">
      <w:r>
        <w:rPr>
          <w:noProof/>
          <w:lang w:eastAsia="en-AU"/>
        </w:rPr>
        <w:drawing>
          <wp:inline distT="0" distB="0" distL="0" distR="0" wp14:anchorId="24D62BEF" wp14:editId="4760350F">
            <wp:extent cx="4779818" cy="2321480"/>
            <wp:effectExtent l="0" t="0" r="1905" b="3175"/>
            <wp:docPr id="15" name="Picture 15" descr="Sitting diastolic BP (mmHg): Change from baseline at week 26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BEBA8EAE-BF5A-486C-A8C5-ECC9F3942E4B}">
                          <a14:imgProps xmlns:a14="http://schemas.microsoft.com/office/drawing/2010/main">
                            <a14:imgLayer r:embed="rId56">
                              <a14:imgEffect>
                                <a14:brightnessContrast contrast="-40000"/>
                              </a14:imgEffect>
                            </a14:imgLayer>
                          </a14:imgProps>
                        </a:ext>
                      </a:extLst>
                    </a:blip>
                    <a:stretch>
                      <a:fillRect/>
                    </a:stretch>
                  </pic:blipFill>
                  <pic:spPr>
                    <a:xfrm>
                      <a:off x="0" y="0"/>
                      <a:ext cx="4776101" cy="2319675"/>
                    </a:xfrm>
                    <a:prstGeom prst="rect">
                      <a:avLst/>
                    </a:prstGeom>
                  </pic:spPr>
                </pic:pic>
              </a:graphicData>
            </a:graphic>
          </wp:inline>
        </w:drawing>
      </w:r>
    </w:p>
    <w:p w:rsidR="0030190B" w:rsidRPr="00C738A2" w:rsidRDefault="0030190B" w:rsidP="008703F4">
      <w:pPr>
        <w:pStyle w:val="Tabletitle"/>
      </w:pPr>
      <w:bookmarkStart w:id="384" w:name="_Ref492027974"/>
      <w:bookmarkStart w:id="385" w:name="_Toc504038417"/>
      <w:r w:rsidRPr="00C738A2">
        <w:t xml:space="preserve">Table </w:t>
      </w:r>
      <w:r w:rsidR="008703F4">
        <w:t xml:space="preserve">38: </w:t>
      </w:r>
      <w:r w:rsidRPr="00C738A2">
        <w:t xml:space="preserve">Analysis of subjects receiving glycaemic rescue medication at </w:t>
      </w:r>
      <w:r w:rsidR="00686AEA">
        <w:t>Week 26</w:t>
      </w:r>
      <w:r w:rsidRPr="00C738A2">
        <w:t xml:space="preserve"> (all subject as treated)</w:t>
      </w:r>
      <w:bookmarkEnd w:id="384"/>
      <w:bookmarkEnd w:id="385"/>
    </w:p>
    <w:p w:rsidR="0030190B" w:rsidRPr="00CC2A5D" w:rsidRDefault="0030190B" w:rsidP="00CC2A5D">
      <w:r w:rsidRPr="00C738A2">
        <w:rPr>
          <w:noProof/>
          <w:lang w:eastAsia="en-AU"/>
        </w:rPr>
        <w:drawing>
          <wp:inline distT="0" distB="0" distL="0" distR="0" wp14:anchorId="18BF542A" wp14:editId="7F0C7E02">
            <wp:extent cx="5278726" cy="2297815"/>
            <wp:effectExtent l="0" t="0" r="0" b="7620"/>
            <wp:docPr id="263" name="Picture 263" descr="Analysis of subjects receiving glycaemic rescue medication at week 26 (all subject a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81040" cy="2298822"/>
                    </a:xfrm>
                    <a:prstGeom prst="rect">
                      <a:avLst/>
                    </a:prstGeom>
                    <a:noFill/>
                    <a:ln>
                      <a:noFill/>
                    </a:ln>
                  </pic:spPr>
                </pic:pic>
              </a:graphicData>
            </a:graphic>
          </wp:inline>
        </w:drawing>
      </w:r>
    </w:p>
    <w:p w:rsidR="002E5CF1" w:rsidRPr="00FC380B" w:rsidRDefault="002E5CF1" w:rsidP="008703F4">
      <w:pPr>
        <w:pStyle w:val="Heading5"/>
        <w:rPr>
          <w:rFonts w:eastAsiaTheme="minorHAnsi"/>
        </w:rPr>
      </w:pPr>
      <w:r>
        <w:rPr>
          <w:rFonts w:eastAsiaTheme="minorHAnsi"/>
        </w:rPr>
        <w:lastRenderedPageBreak/>
        <w:t>R</w:t>
      </w:r>
      <w:r w:rsidRPr="00FC380B">
        <w:rPr>
          <w:rFonts w:eastAsiaTheme="minorHAnsi"/>
        </w:rPr>
        <w:t>esults related to MMTT</w:t>
      </w:r>
    </w:p>
    <w:p w:rsidR="00803C18" w:rsidRDefault="002E5CF1" w:rsidP="00FB1E32">
      <w:pPr>
        <w:rPr>
          <w:color w:val="000000"/>
        </w:rPr>
      </w:pPr>
      <w:r w:rsidRPr="00275888">
        <w:t>Mean decreases in glucose AUC from baseline were observed at Week 26 in the ertugliflozin</w:t>
      </w:r>
      <w:r>
        <w:t xml:space="preserve"> </w:t>
      </w:r>
      <w:r w:rsidRPr="00275888">
        <w:t>5</w:t>
      </w:r>
      <w:r w:rsidR="00862319">
        <w:t> </w:t>
      </w:r>
      <w:r w:rsidRPr="00275888">
        <w:t>mg and 15 mg groups (-6388.1 and -6508.2 mg*min/dL, respectively), compared to an</w:t>
      </w:r>
      <w:r>
        <w:t xml:space="preserve"> </w:t>
      </w:r>
      <w:r w:rsidRPr="00275888">
        <w:t>increase of 829.3 mg*min/dL in the placebo group. Baseline glucose AUC values ranged</w:t>
      </w:r>
      <w:r>
        <w:t xml:space="preserve"> </w:t>
      </w:r>
      <w:r w:rsidRPr="00275888">
        <w:t>from 29,405.3 to 29,832.7 mg*min/dL among the 3 treatment groups. The mean reductions in insulin AUC from baseline in the ertugliflozin 5 mg and 15 groups at</w:t>
      </w:r>
      <w:r>
        <w:t xml:space="preserve"> </w:t>
      </w:r>
      <w:r w:rsidRPr="00275888">
        <w:t>Week 26 (-1681.08 a</w:t>
      </w:r>
      <w:r w:rsidR="00FB1E32">
        <w:t xml:space="preserve">nd </w:t>
      </w:r>
      <w:r w:rsidR="00FB1E32">
        <w:noBreakHyphen/>
        <w:t>1419.23 </w:t>
      </w:r>
      <w:proofErr w:type="spellStart"/>
      <w:r w:rsidRPr="00275888">
        <w:rPr>
          <w:rFonts w:eastAsia="SymbolMT" w:cs="SymbolMT"/>
        </w:rPr>
        <w:t>μ</w:t>
      </w:r>
      <w:r w:rsidRPr="00275888">
        <w:t>IU</w:t>
      </w:r>
      <w:proofErr w:type="spellEnd"/>
      <w:r w:rsidRPr="00275888">
        <w:t>*min/mL) were numerically greater than the reduction</w:t>
      </w:r>
      <w:r>
        <w:t xml:space="preserve"> </w:t>
      </w:r>
      <w:r w:rsidR="00FB1E32">
        <w:t>in the placebo group (</w:t>
      </w:r>
      <w:r w:rsidR="00FB1E32">
        <w:noBreakHyphen/>
      </w:r>
      <w:r w:rsidRPr="00275888">
        <w:t xml:space="preserve">630.70 </w:t>
      </w:r>
      <w:proofErr w:type="spellStart"/>
      <w:r w:rsidRPr="00275888">
        <w:rPr>
          <w:rFonts w:eastAsia="SymbolMT" w:cs="SymbolMT"/>
        </w:rPr>
        <w:t>μ</w:t>
      </w:r>
      <w:r w:rsidRPr="00275888">
        <w:t>IU</w:t>
      </w:r>
      <w:proofErr w:type="spellEnd"/>
      <w:r w:rsidRPr="00275888">
        <w:t>*min/mL). Baseline insulin AUC values ranged from</w:t>
      </w:r>
      <w:r>
        <w:t xml:space="preserve"> </w:t>
      </w:r>
      <w:r w:rsidR="00FB1E32">
        <w:t>10,035.51 to 10,784.76 </w:t>
      </w:r>
      <w:proofErr w:type="spellStart"/>
      <w:r w:rsidRPr="00275888">
        <w:rPr>
          <w:rFonts w:eastAsia="SymbolMT" w:cs="SymbolMT"/>
        </w:rPr>
        <w:t>μ</w:t>
      </w:r>
      <w:r w:rsidRPr="00275888">
        <w:t>IU</w:t>
      </w:r>
      <w:proofErr w:type="spellEnd"/>
      <w:r w:rsidRPr="00275888">
        <w:t>*min/mL among the 3 treatment groups. Mean increases in HOMA-</w:t>
      </w:r>
      <w:r>
        <w:rPr>
          <w:rFonts w:cs="TimesNewRomanPSMT"/>
        </w:rPr>
        <w:t>beta</w:t>
      </w:r>
      <w:r w:rsidRPr="00275888">
        <w:rPr>
          <w:rFonts w:cs="TimesNewRomanPSMT"/>
        </w:rPr>
        <w:t xml:space="preserve"> cell function were observed at Week 26 in the ertugliflozin 5 mg</w:t>
      </w:r>
      <w:r>
        <w:rPr>
          <w:rFonts w:cs="TimesNewRomanPSMT"/>
        </w:rPr>
        <w:t xml:space="preserve"> </w:t>
      </w:r>
      <w:r w:rsidRPr="00275888">
        <w:t>and 15 mg groups (19.86% and 18.65%, respectively), compared to a decrease of 1.63% in</w:t>
      </w:r>
      <w:r>
        <w:t xml:space="preserve"> </w:t>
      </w:r>
      <w:r w:rsidRPr="00275888">
        <w:t>t</w:t>
      </w:r>
      <w:r w:rsidR="00FB1E32">
        <w:t>he placebo group. Baseline HOMA</w:t>
      </w:r>
      <w:r w:rsidR="00FB1E32">
        <w:noBreakHyphen/>
      </w:r>
      <w:r>
        <w:rPr>
          <w:rFonts w:cs="TimesNewRomanPSMT"/>
        </w:rPr>
        <w:t>beta</w:t>
      </w:r>
      <w:r w:rsidRPr="00275888">
        <w:rPr>
          <w:rFonts w:cs="TimesNewRomanPSMT"/>
        </w:rPr>
        <w:t xml:space="preserve"> cell function values ranged from 50.04 </w:t>
      </w:r>
      <w:r w:rsidRPr="00275888">
        <w:t>to 53.29%</w:t>
      </w:r>
      <w:r>
        <w:t xml:space="preserve"> </w:t>
      </w:r>
      <w:r w:rsidRPr="00275888">
        <w:t>among the 3 treatment groups. Mean changes in C-peptide-based IGI from baseline were minimal: the C-peptide-based IGI</w:t>
      </w:r>
      <w:r>
        <w:t xml:space="preserve"> </w:t>
      </w:r>
      <w:r w:rsidRPr="00275888">
        <w:t>in the ertugliflozin 15 mg group was 0.004 ng/mL per mg/dL, 0.00045 ng/mL per mg/dL in</w:t>
      </w:r>
      <w:r>
        <w:t xml:space="preserve"> </w:t>
      </w:r>
      <w:r w:rsidRPr="00275888">
        <w:t xml:space="preserve">the ertugliflozin 5 mg group (rounded to 0.000 ng/mL per mg/dL </w:t>
      </w:r>
      <w:r w:rsidRPr="004F433F">
        <w:t>in the statistical output) and</w:t>
      </w:r>
      <w:r w:rsidR="00FB1E32">
        <w:t xml:space="preserve"> </w:t>
      </w:r>
      <w:r w:rsidR="00FB1E32">
        <w:noBreakHyphen/>
      </w:r>
      <w:r w:rsidRPr="004F433F">
        <w:t>0.007 ng/mL per mg/dL in the placebo group</w:t>
      </w:r>
      <w:r w:rsidR="00FB1E32">
        <w:t xml:space="preserve"> at Week 26. Baseline C-peptide </w:t>
      </w:r>
      <w:r w:rsidRPr="004F433F">
        <w:t xml:space="preserve">based IGI values ranged from 0.033 </w:t>
      </w:r>
      <w:proofErr w:type="gramStart"/>
      <w:r w:rsidRPr="004F433F">
        <w:t>to 0.040 ng/mL per mg/mL among the 3 treatment groups</w:t>
      </w:r>
      <w:proofErr w:type="gramEnd"/>
      <w:r w:rsidRPr="004F433F">
        <w:t xml:space="preserve">. The mean reduction in insulin-based IGI in the placebo group at Week 26 was -0.106 </w:t>
      </w:r>
      <w:r w:rsidRPr="004F433F">
        <w:rPr>
          <w:rFonts w:eastAsia="SymbolMT" w:cs="SymbolMT"/>
        </w:rPr>
        <w:t>μ</w:t>
      </w:r>
      <w:r w:rsidRPr="004F433F">
        <w:t xml:space="preserve">IU/mL per </w:t>
      </w:r>
      <w:r w:rsidRPr="00275888">
        <w:t>mg/dL compared to the reductions seen in the ertugliflozin 5 mg and</w:t>
      </w:r>
      <w:r>
        <w:t xml:space="preserve"> </w:t>
      </w:r>
      <w:r w:rsidR="00FB1E32">
        <w:t xml:space="preserve">15 mg groups (-0.029 and </w:t>
      </w:r>
      <w:r w:rsidR="00FB1E32">
        <w:noBreakHyphen/>
        <w:t>0.008 </w:t>
      </w:r>
      <w:proofErr w:type="spellStart"/>
      <w:r w:rsidRPr="00275888">
        <w:rPr>
          <w:rFonts w:eastAsia="SymbolMT" w:cs="SymbolMT"/>
        </w:rPr>
        <w:t>μ</w:t>
      </w:r>
      <w:r w:rsidRPr="00275888">
        <w:t>IU</w:t>
      </w:r>
      <w:proofErr w:type="spellEnd"/>
      <w:r w:rsidRPr="00275888">
        <w:t>/mL per mg/</w:t>
      </w:r>
      <w:proofErr w:type="spellStart"/>
      <w:r w:rsidRPr="00275888">
        <w:t>dL</w:t>
      </w:r>
      <w:proofErr w:type="spellEnd"/>
      <w:r w:rsidRPr="00275888">
        <w:t>, respectively). Baseline insulin-based</w:t>
      </w:r>
      <w:r>
        <w:t xml:space="preserve"> </w:t>
      </w:r>
      <w:r w:rsidRPr="00275888">
        <w:t xml:space="preserve">IGI values ranged from 0.874 </w:t>
      </w:r>
      <w:proofErr w:type="gramStart"/>
      <w:r w:rsidRPr="00275888">
        <w:t xml:space="preserve">to 1.101 </w:t>
      </w:r>
      <w:r w:rsidRPr="00275888">
        <w:rPr>
          <w:rFonts w:eastAsia="SymbolMT" w:cs="SymbolMT"/>
        </w:rPr>
        <w:t>μ</w:t>
      </w:r>
      <w:r w:rsidRPr="00275888">
        <w:t>IU/mL per mg/dL among the 3 treatment groups</w:t>
      </w:r>
      <w:proofErr w:type="gramEnd"/>
      <w:r w:rsidRPr="00275888">
        <w:t xml:space="preserve">. </w:t>
      </w:r>
      <w:r w:rsidRPr="00275888">
        <w:rPr>
          <w:color w:val="000000"/>
        </w:rPr>
        <w:t>Mean decreases in incremental glucose AUC were observed at Week 26 in the ertugliflozin</w:t>
      </w:r>
      <w:r>
        <w:rPr>
          <w:color w:val="000000"/>
        </w:rPr>
        <w:t xml:space="preserve"> </w:t>
      </w:r>
      <w:r w:rsidRPr="00275888">
        <w:rPr>
          <w:color w:val="000000"/>
        </w:rPr>
        <w:t>5 mg and 15 mg groups (-1547.7 and -1213.4 mg*min/dL, respectively), compared to an</w:t>
      </w:r>
      <w:r>
        <w:rPr>
          <w:color w:val="000000"/>
        </w:rPr>
        <w:t xml:space="preserve"> </w:t>
      </w:r>
      <w:r w:rsidRPr="00275888">
        <w:rPr>
          <w:color w:val="000000"/>
        </w:rPr>
        <w:t>increase of 31.4 mg*min/dL in the placebo group. Baseline incremental glucose AUC value</w:t>
      </w:r>
      <w:r>
        <w:rPr>
          <w:color w:val="000000"/>
        </w:rPr>
        <w:t xml:space="preserve">s </w:t>
      </w:r>
      <w:r w:rsidR="00FB1E32">
        <w:rPr>
          <w:color w:val="000000"/>
        </w:rPr>
        <w:t>ranged from 7863.6 to 8409.3 </w:t>
      </w:r>
      <w:r w:rsidRPr="00275888">
        <w:rPr>
          <w:color w:val="000000"/>
        </w:rPr>
        <w:t>mg*min/dL among the 3 treatment groups.</w:t>
      </w:r>
      <w:r>
        <w:rPr>
          <w:color w:val="000000"/>
        </w:rPr>
        <w:t xml:space="preserve"> </w:t>
      </w:r>
      <w:r w:rsidRPr="00275888">
        <w:rPr>
          <w:color w:val="000000"/>
        </w:rPr>
        <w:t xml:space="preserve">Mean decreases in incremental </w:t>
      </w:r>
      <w:r w:rsidR="00730F18">
        <w:rPr>
          <w:color w:val="000000"/>
        </w:rPr>
        <w:t>2 h PPG</w:t>
      </w:r>
      <w:r w:rsidRPr="00275888">
        <w:rPr>
          <w:color w:val="000000"/>
        </w:rPr>
        <w:t xml:space="preserve"> were observed at Week 26 in the ertugliflozin</w:t>
      </w:r>
      <w:r>
        <w:rPr>
          <w:color w:val="000000"/>
        </w:rPr>
        <w:t xml:space="preserve"> </w:t>
      </w:r>
      <w:r w:rsidRPr="00275888">
        <w:rPr>
          <w:color w:val="000000"/>
        </w:rPr>
        <w:t>5 mg and 15 mg groups (-21.0 and -19.5 mg/dL, respectively), compared to an increase of</w:t>
      </w:r>
      <w:r>
        <w:rPr>
          <w:color w:val="000000"/>
        </w:rPr>
        <w:t xml:space="preserve"> </w:t>
      </w:r>
      <w:r w:rsidRPr="00275888">
        <w:rPr>
          <w:color w:val="000000"/>
        </w:rPr>
        <w:t>0.9 mg/dL in the placebo group. Baseline incremental 2-hr PPG values ranged from 76.0 to</w:t>
      </w:r>
      <w:r>
        <w:rPr>
          <w:color w:val="000000"/>
        </w:rPr>
        <w:t xml:space="preserve"> </w:t>
      </w:r>
      <w:r w:rsidRPr="00275888">
        <w:rPr>
          <w:color w:val="000000"/>
        </w:rPr>
        <w:t>84.6 mg/dL among the treatment groups</w:t>
      </w:r>
      <w:r w:rsidR="00803C18">
        <w:rPr>
          <w:color w:val="000000"/>
        </w:rPr>
        <w:t>.</w:t>
      </w:r>
    </w:p>
    <w:p w:rsidR="002E5CF1" w:rsidRDefault="002E5CF1" w:rsidP="008703F4">
      <w:pPr>
        <w:pStyle w:val="Heading5"/>
      </w:pPr>
      <w:r w:rsidRPr="00EC3AE0">
        <w:t xml:space="preserve">Evaluator </w:t>
      </w:r>
      <w:r>
        <w:t>c</w:t>
      </w:r>
      <w:r w:rsidRPr="00EC3AE0">
        <w:t>ommentary</w:t>
      </w:r>
    </w:p>
    <w:p w:rsidR="00803C18" w:rsidRDefault="002E5CF1" w:rsidP="00FB1E32">
      <w:bookmarkStart w:id="386" w:name="_Ref271037188"/>
      <w:bookmarkStart w:id="387" w:name="_Ref271037210"/>
      <w:bookmarkStart w:id="388" w:name="_Toc272414655"/>
      <w:bookmarkStart w:id="389" w:name="_Toc290888503"/>
      <w:bookmarkStart w:id="390" w:name="_Toc416353719"/>
      <w:bookmarkStart w:id="391" w:name="_Toc421005270"/>
      <w:bookmarkStart w:id="392" w:name="_Toc432079152"/>
      <w:bookmarkStart w:id="393" w:name="_Toc432080725"/>
      <w:bookmarkStart w:id="394" w:name="_Toc241374311"/>
      <w:bookmarkStart w:id="395" w:name="_Ref243294291"/>
      <w:r>
        <w:t xml:space="preserve">This was the only Phase III monotherapy study which assessed the efficacy and safety of proposed ertugliflozin (5 mg and 15 mg QD) in T2DM adult patients with inadequate glycaemic control on diet and exercise. </w:t>
      </w:r>
      <w:r w:rsidRPr="00A12C5D">
        <w:rPr>
          <w:rFonts w:cs="Calibri"/>
        </w:rPr>
        <w:t xml:space="preserve">The design of this </w:t>
      </w:r>
      <w:r>
        <w:rPr>
          <w:rFonts w:cs="Calibri"/>
        </w:rPr>
        <w:t xml:space="preserve">pivotal Phase III </w:t>
      </w:r>
      <w:r w:rsidRPr="00A12C5D">
        <w:rPr>
          <w:rFonts w:cs="Calibri"/>
        </w:rPr>
        <w:t xml:space="preserve">study </w:t>
      </w:r>
      <w:r>
        <w:rPr>
          <w:rFonts w:cs="Calibri"/>
        </w:rPr>
        <w:t xml:space="preserve">involving 461 T2DM adults was adequate </w:t>
      </w:r>
      <w:r w:rsidRPr="00A12C5D">
        <w:rPr>
          <w:rFonts w:cs="Calibri"/>
        </w:rPr>
        <w:t xml:space="preserve">including the inclusion of a placebo group for 6 months </w:t>
      </w:r>
      <w:r>
        <w:rPr>
          <w:rFonts w:cs="Calibri"/>
        </w:rPr>
        <w:t xml:space="preserve">which is </w:t>
      </w:r>
      <w:r w:rsidRPr="00A12C5D">
        <w:rPr>
          <w:rFonts w:cs="Calibri"/>
        </w:rPr>
        <w:t xml:space="preserve">in accordance with the TGA adopted EMA guidelines for the development of diabetes medications. </w:t>
      </w:r>
      <w:r w:rsidRPr="00A12C5D">
        <w:t xml:space="preserve">The CSR submitted in this dossier </w:t>
      </w:r>
      <w:r>
        <w:t xml:space="preserve">only </w:t>
      </w:r>
      <w:r w:rsidRPr="00A12C5D">
        <w:t xml:space="preserve">presents results </w:t>
      </w:r>
      <w:r>
        <w:t xml:space="preserve">for </w:t>
      </w:r>
      <w:r w:rsidRPr="001A0C34">
        <w:t>the initial 26</w:t>
      </w:r>
      <w:r w:rsidR="00833C92">
        <w:t xml:space="preserve"> week</w:t>
      </w:r>
      <w:r w:rsidR="00FB1E32">
        <w:t xml:space="preserve"> Phase </w:t>
      </w:r>
      <w:proofErr w:type="gramStart"/>
      <w:r w:rsidR="00FB1E32">
        <w:t>A</w:t>
      </w:r>
      <w:proofErr w:type="gramEnd"/>
      <w:r w:rsidR="00FB1E32">
        <w:t xml:space="preserve"> placebo </w:t>
      </w:r>
      <w:r w:rsidRPr="001A0C34">
        <w:t>controlled period</w:t>
      </w:r>
      <w:r w:rsidR="00803C18">
        <w:t>.</w:t>
      </w:r>
    </w:p>
    <w:p w:rsidR="00803C18" w:rsidRDefault="002E5CF1" w:rsidP="00FB1E32">
      <w:r>
        <w:t xml:space="preserve">The primary efficacy endpoint of </w:t>
      </w:r>
      <w:r w:rsidRPr="00A2713C">
        <w:t xml:space="preserve">LS mean reductions from baseline in </w:t>
      </w:r>
      <w:r>
        <w:t>HbA1c</w:t>
      </w:r>
      <w:r w:rsidRPr="00A2713C">
        <w:t xml:space="preserve"> at Week 26 </w:t>
      </w:r>
      <w:r w:rsidRPr="00E142E8">
        <w:t>were significantly</w:t>
      </w:r>
      <w:r>
        <w:t xml:space="preserve"> greater in the ertugliflozin 5 mg and 15 mg groups compared with placebo </w:t>
      </w:r>
      <w:r w:rsidRPr="00E142E8">
        <w:t>(</w:t>
      </w:r>
      <w:r>
        <w:t xml:space="preserve">difference from placebo was </w:t>
      </w:r>
      <w:r w:rsidRPr="00E142E8">
        <w:t>-0.99</w:t>
      </w:r>
      <w:r>
        <w:t xml:space="preserve"> and -1.16, respectively; </w:t>
      </w:r>
      <w:r w:rsidR="00FB1E32">
        <w:t>p &lt; 0</w:t>
      </w:r>
      <w:r w:rsidRPr="00E142E8">
        <w:t>.001 for both comparisons)</w:t>
      </w:r>
      <w:r>
        <w:t>. S</w:t>
      </w:r>
      <w:r w:rsidRPr="001A0C34">
        <w:t xml:space="preserve">ubgroup analyses for change from baseline in </w:t>
      </w:r>
      <w:r>
        <w:t>HbA1c</w:t>
      </w:r>
      <w:r w:rsidRPr="001A0C34">
        <w:t xml:space="preserve"> at Week 26 showed consistent</w:t>
      </w:r>
      <w:r>
        <w:t xml:space="preserve"> </w:t>
      </w:r>
      <w:r w:rsidRPr="001A0C34">
        <w:t>results</w:t>
      </w:r>
      <w:r>
        <w:t xml:space="preserve"> </w:t>
      </w:r>
      <w:r w:rsidRPr="001A0C34">
        <w:t>across the subgroups and were similar to those seen in the overall FAS population;</w:t>
      </w:r>
      <w:r>
        <w:t xml:space="preserve"> however i</w:t>
      </w:r>
      <w:r w:rsidRPr="001A0C34">
        <w:t xml:space="preserve">mprovements in </w:t>
      </w:r>
      <w:r>
        <w:t>HbA1c</w:t>
      </w:r>
      <w:r w:rsidRPr="001A0C34">
        <w:t xml:space="preserve"> in the ertugliflozin groups relative to the placebo group were</w:t>
      </w:r>
      <w:r>
        <w:t xml:space="preserve"> </w:t>
      </w:r>
      <w:r w:rsidRPr="001A0C34">
        <w:t xml:space="preserve">numerically greater in the subgroup of subjects </w:t>
      </w:r>
      <w:r w:rsidRPr="001A0C34">
        <w:rPr>
          <w:rFonts w:cs="TimesNewRomanPSMT"/>
        </w:rPr>
        <w:t xml:space="preserve">with a baseline </w:t>
      </w:r>
      <w:r>
        <w:rPr>
          <w:rFonts w:cs="TimesNewRomanPSMT"/>
        </w:rPr>
        <w:t>HbA1c</w:t>
      </w:r>
      <w:r w:rsidRPr="001A0C34">
        <w:rPr>
          <w:rFonts w:cs="TimesNewRomanPSMT"/>
        </w:rPr>
        <w:t xml:space="preserve"> level </w:t>
      </w:r>
      <w:r w:rsidR="002E1032">
        <w:t xml:space="preserve">≥ </w:t>
      </w:r>
      <w:r w:rsidRPr="001A0C34">
        <w:rPr>
          <w:rFonts w:cs="TimesNewRomanPSMT"/>
        </w:rPr>
        <w:t xml:space="preserve">8% </w:t>
      </w:r>
      <w:r w:rsidRPr="001A0C34">
        <w:t>versus those</w:t>
      </w:r>
      <w:r>
        <w:t xml:space="preserve"> </w:t>
      </w:r>
      <w:r w:rsidRPr="001A0C34">
        <w:t xml:space="preserve">with a baseline </w:t>
      </w:r>
      <w:r>
        <w:t>HbA1c</w:t>
      </w:r>
      <w:r w:rsidRPr="001A0C34">
        <w:t xml:space="preserve"> &lt;</w:t>
      </w:r>
      <w:r w:rsidR="00FB1E32">
        <w:t xml:space="preserve"> </w:t>
      </w:r>
      <w:r w:rsidRPr="001A0C34">
        <w:t>8%, and for male subjects compared to female subjects</w:t>
      </w:r>
      <w:r w:rsidR="00803C18">
        <w:t>.</w:t>
      </w:r>
    </w:p>
    <w:p w:rsidR="002E5CF1" w:rsidRDefault="002E5CF1" w:rsidP="00FB1E32">
      <w:pPr>
        <w:rPr>
          <w:color w:val="000000"/>
        </w:rPr>
      </w:pPr>
      <w:r>
        <w:t xml:space="preserve">The primary efficacy results were supported by </w:t>
      </w:r>
      <w:r w:rsidRPr="001A0C34">
        <w:t xml:space="preserve">the secondary </w:t>
      </w:r>
      <w:r>
        <w:t xml:space="preserve">efficacy results as the </w:t>
      </w:r>
      <w:r w:rsidRPr="001A0C34">
        <w:t>LS mean reductions from baseline in FPG, body weight</w:t>
      </w:r>
      <w:r>
        <w:t xml:space="preserve"> </w:t>
      </w:r>
      <w:r w:rsidRPr="001A0C34">
        <w:t xml:space="preserve">and </w:t>
      </w:r>
      <w:r w:rsidR="00730F18">
        <w:t>2 h PPG</w:t>
      </w:r>
      <w:r w:rsidRPr="001A0C34">
        <w:t xml:space="preserve"> at Week 26 were significantly greater in the ertugliflozin 5 mg and 15 mg</w:t>
      </w:r>
      <w:r>
        <w:t xml:space="preserve"> </w:t>
      </w:r>
      <w:r w:rsidRPr="001A0C34">
        <w:t>groups compared to the placebo group</w:t>
      </w:r>
      <w:r>
        <w:t xml:space="preserve">. Furthermore, </w:t>
      </w:r>
      <w:r w:rsidRPr="001A0C34">
        <w:t>subjects treated with ertugliflozin 5 mg and</w:t>
      </w:r>
      <w:r>
        <w:t xml:space="preserve"> </w:t>
      </w:r>
      <w:r w:rsidRPr="001A0C34">
        <w:t xml:space="preserve">15 mg were significantly more likely to have an </w:t>
      </w:r>
      <w:r w:rsidR="00FB1E32">
        <w:t>HbA1c &lt; 7.0%</w:t>
      </w:r>
      <w:r w:rsidRPr="001A0C34">
        <w:t xml:space="preserve"> at Week 26</w:t>
      </w:r>
      <w:r>
        <w:t xml:space="preserve"> </w:t>
      </w:r>
      <w:r w:rsidRPr="001A0C34">
        <w:t>when</w:t>
      </w:r>
      <w:r>
        <w:t xml:space="preserve"> </w:t>
      </w:r>
      <w:r w:rsidRPr="001A0C34">
        <w:t>compared to placebo</w:t>
      </w:r>
      <w:r>
        <w:t xml:space="preserve"> (28%, 36% and 13% in ertugliflozin 5 mg, 15 mg and placebo groups, respectively). The proportion of subjects having HbA1c &lt;</w:t>
      </w:r>
      <w:r w:rsidR="00FB1E32">
        <w:t xml:space="preserve"> </w:t>
      </w:r>
      <w:r>
        <w:t xml:space="preserve">6.5% was also significantly greater in ertugliflozin groups although there was no difference between the </w:t>
      </w:r>
      <w:r>
        <w:lastRenderedPageBreak/>
        <w:t>5</w:t>
      </w:r>
      <w:r w:rsidR="00FB1E32">
        <w:t> </w:t>
      </w:r>
      <w:r>
        <w:t>mg and 15 mg doses (12.2%, 12.6% and 3.9%, respectively) . Furthermore, g</w:t>
      </w:r>
      <w:r w:rsidRPr="001A0C34">
        <w:t>lycaemic rescue medication was</w:t>
      </w:r>
      <w:r>
        <w:t xml:space="preserve"> also </w:t>
      </w:r>
      <w:r w:rsidRPr="001A0C34">
        <w:t xml:space="preserve">required in a higher percentage of placebo subjects </w:t>
      </w:r>
      <w:r>
        <w:t xml:space="preserve">(25%) </w:t>
      </w:r>
      <w:r w:rsidRPr="001A0C34">
        <w:t>relative to ertugliflozin-treated subjects</w:t>
      </w:r>
      <w:r>
        <w:t xml:space="preserve"> (&lt;</w:t>
      </w:r>
      <w:r w:rsidR="00FB1E32">
        <w:t xml:space="preserve"> </w:t>
      </w:r>
      <w:r>
        <w:t>3%)</w:t>
      </w:r>
      <w:r w:rsidRPr="001A0C34">
        <w:t>.</w:t>
      </w:r>
      <w:r w:rsidRPr="002205C2">
        <w:rPr>
          <w:color w:val="000000"/>
        </w:rPr>
        <w:t xml:space="preserve"> </w:t>
      </w:r>
      <w:r>
        <w:rPr>
          <w:color w:val="000000"/>
        </w:rPr>
        <w:t>T</w:t>
      </w:r>
      <w:r w:rsidRPr="001A0C34">
        <w:rPr>
          <w:color w:val="000000"/>
        </w:rPr>
        <w:t>he LS mean</w:t>
      </w:r>
      <w:r>
        <w:rPr>
          <w:color w:val="000000"/>
        </w:rPr>
        <w:t xml:space="preserve"> </w:t>
      </w:r>
      <w:r w:rsidRPr="001A0C34">
        <w:rPr>
          <w:color w:val="000000"/>
        </w:rPr>
        <w:t xml:space="preserve">reduction from baseline for sitting </w:t>
      </w:r>
      <w:r>
        <w:rPr>
          <w:color w:val="000000"/>
        </w:rPr>
        <w:t xml:space="preserve">SBP was numerically greater for the </w:t>
      </w:r>
      <w:r w:rsidRPr="001A0C34">
        <w:rPr>
          <w:color w:val="000000"/>
        </w:rPr>
        <w:t>ertugliflozin 5 mg and 15 m</w:t>
      </w:r>
      <w:r>
        <w:rPr>
          <w:color w:val="000000"/>
        </w:rPr>
        <w:t>g groups compared with placebo but the difference was not statistically significant (5.54, 3.93 and 2.2 mm</w:t>
      </w:r>
      <w:r w:rsidRPr="001A0C34">
        <w:rPr>
          <w:color w:val="000000"/>
        </w:rPr>
        <w:t>Hg</w:t>
      </w:r>
      <w:r>
        <w:rPr>
          <w:color w:val="000000"/>
        </w:rPr>
        <w:t xml:space="preserve">, respectively). </w:t>
      </w:r>
      <w:r w:rsidRPr="001A0C34">
        <w:rPr>
          <w:color w:val="000000"/>
        </w:rPr>
        <w:t>As a result no further</w:t>
      </w:r>
      <w:r>
        <w:rPr>
          <w:color w:val="000000"/>
        </w:rPr>
        <w:t xml:space="preserve"> </w:t>
      </w:r>
      <w:r w:rsidRPr="001A0C34">
        <w:rPr>
          <w:color w:val="000000"/>
        </w:rPr>
        <w:t xml:space="preserve">sequential hypothesis testing was conducted for the comparison of 5 mg on </w:t>
      </w:r>
      <w:r>
        <w:rPr>
          <w:color w:val="000000"/>
        </w:rPr>
        <w:t xml:space="preserve">SBP </w:t>
      </w:r>
      <w:r w:rsidRPr="001A0C34">
        <w:rPr>
          <w:color w:val="000000"/>
        </w:rPr>
        <w:t xml:space="preserve">or </w:t>
      </w:r>
      <w:r>
        <w:rPr>
          <w:color w:val="000000"/>
        </w:rPr>
        <w:t xml:space="preserve">DBP </w:t>
      </w:r>
      <w:r w:rsidRPr="001A0C34">
        <w:rPr>
          <w:color w:val="000000"/>
        </w:rPr>
        <w:t>for the 2 doses.</w:t>
      </w:r>
    </w:p>
    <w:p w:rsidR="00803C18" w:rsidRDefault="002E5CF1" w:rsidP="00FB1E32">
      <w:r>
        <w:t xml:space="preserve">Overall, treatment </w:t>
      </w:r>
      <w:r w:rsidRPr="001A0C34">
        <w:t xml:space="preserve">with ertugliflozin 5 mg and 15 mg </w:t>
      </w:r>
      <w:r>
        <w:t>once daily for 26 weeks</w:t>
      </w:r>
      <w:r w:rsidRPr="00177008">
        <w:t xml:space="preserve"> </w:t>
      </w:r>
      <w:r w:rsidRPr="001A0C34">
        <w:t>provided statistically significant</w:t>
      </w:r>
      <w:r>
        <w:t xml:space="preserve"> </w:t>
      </w:r>
      <w:r w:rsidRPr="001A0C34">
        <w:t>and clinically relevant improvements in glycaemic control and body weight</w:t>
      </w:r>
      <w:r>
        <w:t xml:space="preserve"> in a</w:t>
      </w:r>
      <w:r w:rsidRPr="001A0C34">
        <w:t>dult T2DM</w:t>
      </w:r>
      <w:r>
        <w:t xml:space="preserve"> </w:t>
      </w:r>
      <w:r w:rsidRPr="001A0C34">
        <w:t>patients who had inadequate glycaemic control on diet and exercise.</w:t>
      </w:r>
      <w:r>
        <w:t xml:space="preserve"> </w:t>
      </w:r>
      <w:r w:rsidRPr="001A0C34">
        <w:t>While the study was not powered to formally compare efficacy of the 2 doses, the 15 mg</w:t>
      </w:r>
      <w:r>
        <w:t xml:space="preserve"> </w:t>
      </w:r>
      <w:r w:rsidRPr="001A0C34">
        <w:t xml:space="preserve">dose of ertugliflozin provided a numerically greater reduction of </w:t>
      </w:r>
      <w:r>
        <w:t xml:space="preserve">HbA1c, FPG and body weight </w:t>
      </w:r>
      <w:r w:rsidRPr="001A0C34">
        <w:t>relative to the 5 mg</w:t>
      </w:r>
      <w:r>
        <w:t xml:space="preserve"> </w:t>
      </w:r>
      <w:r w:rsidRPr="001A0C34">
        <w:t>dose.</w:t>
      </w:r>
      <w:r>
        <w:t xml:space="preserve"> However, long-term maintenance of efficacy of ertugliflozin monotherapy would require confirmation from the Phase B (</w:t>
      </w:r>
      <w:r w:rsidR="00686AEA">
        <w:t>Week 26</w:t>
      </w:r>
      <w:r w:rsidR="00FB1E32">
        <w:t xml:space="preserve"> to </w:t>
      </w:r>
      <w:r>
        <w:t>52) data which was not submitted in the current dossier</w:t>
      </w:r>
      <w:r w:rsidR="00803C18">
        <w:t>.</w:t>
      </w:r>
    </w:p>
    <w:p w:rsidR="002E5CF1" w:rsidRDefault="002E5CF1" w:rsidP="008703F4">
      <w:pPr>
        <w:pStyle w:val="Heading4"/>
      </w:pPr>
      <w:bookmarkStart w:id="396" w:name="_Ref492031531"/>
      <w:bookmarkStart w:id="397" w:name="_Ref492031560"/>
      <w:bookmarkStart w:id="398" w:name="_Toc504038154"/>
      <w:r>
        <w:t>P007/1017: Add-on to metformin</w:t>
      </w:r>
      <w:bookmarkEnd w:id="396"/>
      <w:bookmarkEnd w:id="397"/>
      <w:bookmarkEnd w:id="398"/>
    </w:p>
    <w:p w:rsidR="002E5CF1" w:rsidRDefault="008703F4" w:rsidP="008703F4">
      <w:pPr>
        <w:pStyle w:val="Heading5"/>
      </w:pPr>
      <w:r>
        <w:t>Study design, objectives</w:t>
      </w:r>
    </w:p>
    <w:p w:rsidR="002E5CF1" w:rsidRPr="008703F4" w:rsidRDefault="002E5CF1" w:rsidP="00FB1E32">
      <w:r>
        <w:t>This is a 104</w:t>
      </w:r>
      <w:r w:rsidR="00833C92">
        <w:t xml:space="preserve"> week</w:t>
      </w:r>
      <w:r>
        <w:t>, multicent</w:t>
      </w:r>
      <w:r w:rsidRPr="006E30AC">
        <w:t>r</w:t>
      </w:r>
      <w:r>
        <w:t>e</w:t>
      </w:r>
      <w:r w:rsidRPr="006E30AC">
        <w:t xml:space="preserve">, </w:t>
      </w:r>
      <w:r>
        <w:t>randomised</w:t>
      </w:r>
      <w:r w:rsidRPr="006E30AC">
        <w:t>, parallel-group study with a 26</w:t>
      </w:r>
      <w:r w:rsidR="00833C92">
        <w:t xml:space="preserve"> week</w:t>
      </w:r>
      <w:r w:rsidRPr="006E30AC">
        <w:t>,</w:t>
      </w:r>
      <w:r>
        <w:t xml:space="preserve"> </w:t>
      </w:r>
      <w:r w:rsidR="00FB1E32">
        <w:t xml:space="preserve">double blind, placebo </w:t>
      </w:r>
      <w:r w:rsidRPr="006E30AC">
        <w:t>controlled treatment period (Phase A) followed by a 78</w:t>
      </w:r>
      <w:r w:rsidR="00833C92">
        <w:t xml:space="preserve"> week</w:t>
      </w:r>
      <w:r>
        <w:t xml:space="preserve"> </w:t>
      </w:r>
      <w:r w:rsidR="00FB1E32">
        <w:t xml:space="preserve">active </w:t>
      </w:r>
      <w:r w:rsidRPr="006E30AC">
        <w:t xml:space="preserve">controlled treatment period (Phase B) in </w:t>
      </w:r>
      <w:r>
        <w:t xml:space="preserve">adults </w:t>
      </w:r>
      <w:r w:rsidRPr="006E30AC">
        <w:t>with</w:t>
      </w:r>
      <w:r>
        <w:t xml:space="preserve"> </w:t>
      </w:r>
      <w:r w:rsidRPr="006E30AC">
        <w:t>T2DM, diagnosed in accordance with the A</w:t>
      </w:r>
      <w:r>
        <w:t xml:space="preserve">DA </w:t>
      </w:r>
      <w:r w:rsidRPr="006E30AC">
        <w:t>guidelines, and</w:t>
      </w:r>
      <w:r>
        <w:t xml:space="preserve"> </w:t>
      </w:r>
      <w:r w:rsidRPr="006E30AC">
        <w:t>inadequate glycaemic control (</w:t>
      </w:r>
      <w:r>
        <w:t>HbA1c</w:t>
      </w:r>
      <w:r w:rsidR="00FB1E32">
        <w:t xml:space="preserve"> 7.0to </w:t>
      </w:r>
      <w:r w:rsidRPr="006E30AC">
        <w:t xml:space="preserve">10.5% </w:t>
      </w:r>
      <w:r w:rsidR="00424310">
        <w:t>(</w:t>
      </w:r>
      <w:r w:rsidR="00FB1E32">
        <w:t xml:space="preserve">53 to </w:t>
      </w:r>
      <w:r w:rsidRPr="006E30AC">
        <w:t>91 mmol/mol</w:t>
      </w:r>
      <w:r w:rsidR="00424310">
        <w:t>)</w:t>
      </w:r>
      <w:r w:rsidRPr="006E30AC">
        <w:t>, inclusive) on metformin</w:t>
      </w:r>
      <w:r>
        <w:t xml:space="preserve"> </w:t>
      </w:r>
      <w:r w:rsidRPr="006E30AC">
        <w:t xml:space="preserve">monotherapy at a dose </w:t>
      </w:r>
      <w:r w:rsidR="002E1032">
        <w:rPr>
          <w:color w:val="000000"/>
        </w:rPr>
        <w:t xml:space="preserve">≥ </w:t>
      </w:r>
      <w:r w:rsidRPr="006E30AC">
        <w:t>1500 mg/day. The study includes a screening period of 1 week, a</w:t>
      </w:r>
      <w:r>
        <w:t xml:space="preserve"> </w:t>
      </w:r>
      <w:r w:rsidRPr="006E30AC">
        <w:t>minimum 8</w:t>
      </w:r>
      <w:r w:rsidR="00833C92">
        <w:t xml:space="preserve"> week</w:t>
      </w:r>
      <w:r w:rsidRPr="006E30AC">
        <w:t xml:space="preserve"> metformin stable dose period (when subjects discontinued and remained</w:t>
      </w:r>
      <w:r>
        <w:t xml:space="preserve"> </w:t>
      </w:r>
      <w:r w:rsidRPr="006E30AC">
        <w:t>off any previous allowable background diabetes therapy except for metformin), and a 2</w:t>
      </w:r>
      <w:r w:rsidR="00833C92">
        <w:t xml:space="preserve"> week</w:t>
      </w:r>
      <w:r>
        <w:t xml:space="preserve"> </w:t>
      </w:r>
      <w:r w:rsidR="00FB1E32">
        <w:t>single blind</w:t>
      </w:r>
      <w:r w:rsidRPr="006E30AC">
        <w:t xml:space="preserve"> placebo run-in period prior to </w:t>
      </w:r>
      <w:r>
        <w:t>randomisation</w:t>
      </w:r>
      <w:r w:rsidRPr="006E30AC">
        <w:t xml:space="preserve">; a </w:t>
      </w:r>
      <w:r w:rsidR="00FB1E32">
        <w:t>double blind</w:t>
      </w:r>
      <w:r w:rsidRPr="006E30AC">
        <w:t xml:space="preserve"> treatment period of</w:t>
      </w:r>
      <w:r>
        <w:t xml:space="preserve"> </w:t>
      </w:r>
      <w:r w:rsidRPr="006E30AC">
        <w:t xml:space="preserve">up to 104 weeks (the 26 week Phase A reported </w:t>
      </w:r>
      <w:r>
        <w:t xml:space="preserve">in submitted dossier while the </w:t>
      </w:r>
      <w:r w:rsidRPr="006E30AC">
        <w:t>78 week Phase B extension</w:t>
      </w:r>
      <w:r>
        <w:t xml:space="preserve"> is </w:t>
      </w:r>
      <w:r w:rsidRPr="006E30AC">
        <w:t>still ongoing), and a post-treatment telephone contact 14 days after the last dose of blinded</w:t>
      </w:r>
      <w:r>
        <w:t xml:space="preserve"> </w:t>
      </w:r>
      <w:r w:rsidRPr="006E30AC">
        <w:t xml:space="preserve">study </w:t>
      </w:r>
      <w:r w:rsidRPr="008703F4">
        <w:t xml:space="preserve">medication (Figure </w:t>
      </w:r>
      <w:r w:rsidR="008703F4" w:rsidRPr="008703F4">
        <w:t>6).</w:t>
      </w:r>
    </w:p>
    <w:p w:rsidR="008703F4" w:rsidRPr="00C738A2" w:rsidRDefault="008703F4" w:rsidP="008703F4">
      <w:pPr>
        <w:pStyle w:val="FigureTitle"/>
      </w:pPr>
      <w:bookmarkStart w:id="399" w:name="_Ref492027976"/>
      <w:bookmarkStart w:id="400" w:name="_Toc504038418"/>
      <w:r>
        <w:lastRenderedPageBreak/>
        <w:t xml:space="preserve">Figure 6: </w:t>
      </w:r>
      <w:r w:rsidRPr="00C738A2">
        <w:t>Study P007/1017 Study scheme</w:t>
      </w:r>
      <w:bookmarkEnd w:id="399"/>
      <w:bookmarkEnd w:id="400"/>
    </w:p>
    <w:p w:rsidR="008703F4" w:rsidRPr="00C738A2" w:rsidRDefault="008703F4" w:rsidP="00CC2A5D">
      <w:r w:rsidRPr="00C738A2">
        <w:rPr>
          <w:noProof/>
          <w:lang w:eastAsia="en-AU"/>
        </w:rPr>
        <w:drawing>
          <wp:inline distT="0" distB="0" distL="0" distR="0" wp14:anchorId="0CADFD8D" wp14:editId="09E4B9E1">
            <wp:extent cx="5731190" cy="3955472"/>
            <wp:effectExtent l="0" t="0" r="3175" b="6985"/>
            <wp:docPr id="265" name="Picture 265" descr="Study P007/1017 Study scheme&#10;The study includes a screening period of 1 week, a minimum 8 week metformin stable dose period (when subjects discontinued and remained off any previous allowable background diabetes therapy except for metformin), and a 2 week single-blind placebo run-in period prior to randomisation; a double-blind treatment period of up to 104 weeks (the 26 week Phase A reported in submitted dossier while the 78 week Phase B extension is still ongoing), and a post-treatment telephone contact 14 days after the last dose of blinded study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58">
                      <a:lum bright="-20000" contrast="40000"/>
                      <a:extLst>
                        <a:ext uri="{28A0092B-C50C-407E-A947-70E740481C1C}">
                          <a14:useLocalDpi xmlns:a14="http://schemas.microsoft.com/office/drawing/2010/main" val="0"/>
                        </a:ext>
                      </a:extLst>
                    </a:blip>
                    <a:srcRect b="5150"/>
                    <a:stretch/>
                  </pic:blipFill>
                  <pic:spPr bwMode="auto">
                    <a:xfrm>
                      <a:off x="0" y="0"/>
                      <a:ext cx="5731510" cy="3955693"/>
                    </a:xfrm>
                    <a:prstGeom prst="rect">
                      <a:avLst/>
                    </a:prstGeom>
                    <a:noFill/>
                    <a:ln>
                      <a:noFill/>
                    </a:ln>
                    <a:extLst>
                      <a:ext uri="{53640926-AAD7-44D8-BBD7-CCE9431645EC}">
                        <a14:shadowObscured xmlns:a14="http://schemas.microsoft.com/office/drawing/2010/main"/>
                      </a:ext>
                    </a:extLst>
                  </pic:spPr>
                </pic:pic>
              </a:graphicData>
            </a:graphic>
          </wp:inline>
        </w:drawing>
      </w:r>
    </w:p>
    <w:p w:rsidR="00803C18" w:rsidRDefault="002E5CF1" w:rsidP="00FB1E32">
      <w:r w:rsidRPr="006E30AC">
        <w:t xml:space="preserve">The primary objective was to evaluate effect on </w:t>
      </w:r>
      <w:r>
        <w:t>HbA1c</w:t>
      </w:r>
      <w:r w:rsidRPr="006E30AC">
        <w:t xml:space="preserve"> of ertugliflozin (</w:t>
      </w:r>
      <w:r>
        <w:t>5 mg</w:t>
      </w:r>
      <w:r w:rsidRPr="006E30AC">
        <w:t xml:space="preserve"> and 1</w:t>
      </w:r>
      <w:r>
        <w:t>5 mg</w:t>
      </w:r>
      <w:r w:rsidRPr="006E30AC">
        <w:t>) compared to placebo and also evaluate safety and tolerability of ertugliflozin.</w:t>
      </w:r>
      <w:r>
        <w:t xml:space="preserve"> The secondary objectives were to assess effects of </w:t>
      </w:r>
      <w:r w:rsidRPr="00B97497">
        <w:t>ertugliflozin (</w:t>
      </w:r>
      <w:r>
        <w:t>5 mg</w:t>
      </w:r>
      <w:r w:rsidRPr="00B97497">
        <w:t xml:space="preserve"> and 1</w:t>
      </w:r>
      <w:r>
        <w:t>5 mg</w:t>
      </w:r>
      <w:r w:rsidRPr="00B97497">
        <w:t>) compared to placebo on FPG, body weight, SBP, DBP,</w:t>
      </w:r>
      <w:r>
        <w:t xml:space="preserve"> </w:t>
      </w:r>
      <w:r w:rsidRPr="00B97497">
        <w:t xml:space="preserve">incidence of </w:t>
      </w:r>
      <w:r>
        <w:t>HbA1c</w:t>
      </w:r>
      <w:r w:rsidRPr="00B97497">
        <w:t xml:space="preserve"> &lt;</w:t>
      </w:r>
      <w:r w:rsidR="00FB1E32">
        <w:t xml:space="preserve"> </w:t>
      </w:r>
      <w:r w:rsidRPr="00B97497">
        <w:t>7%</w:t>
      </w:r>
      <w:r>
        <w:t xml:space="preserve"> and </w:t>
      </w:r>
      <w:r w:rsidRPr="00B97497">
        <w:t>&lt;</w:t>
      </w:r>
      <w:r w:rsidR="00FB1E32">
        <w:t xml:space="preserve"> </w:t>
      </w:r>
      <w:r w:rsidRPr="00B97497">
        <w:t>6.5%, incidence of subjects requiring glycaemic rescue therapy and time to initiation of glycaemic rescue therapy. This study also assessed the effect on BMD as measured by DXA at the lumbar spine</w:t>
      </w:r>
      <w:r>
        <w:t xml:space="preserve"> </w:t>
      </w:r>
      <w:r w:rsidRPr="00B97497">
        <w:t xml:space="preserve">(L1-L4), femoral neck, total hip, and </w:t>
      </w:r>
      <w:r>
        <w:t>d</w:t>
      </w:r>
      <w:r w:rsidRPr="00B97497">
        <w:t xml:space="preserve">istal </w:t>
      </w:r>
      <w:r>
        <w:t>f</w:t>
      </w:r>
      <w:r w:rsidRPr="00B97497">
        <w:t>orearm as well as effect on bone biomarkers for each of the 2 ertugliflozin arms</w:t>
      </w:r>
      <w:r>
        <w:t xml:space="preserve"> </w:t>
      </w:r>
      <w:r w:rsidRPr="00B97497">
        <w:t>as compared with placebo</w:t>
      </w:r>
      <w:r>
        <w:t xml:space="preserve">. </w:t>
      </w:r>
      <w:r w:rsidRPr="006E30AC">
        <w:t>This study was conducted in 14 countries at 103 study centers: 4 in Australia, 4 in the Czech</w:t>
      </w:r>
      <w:r>
        <w:t xml:space="preserve"> </w:t>
      </w:r>
      <w:r w:rsidRPr="006E30AC">
        <w:t>Republic, 5 in Hong Kong, 10 in Hungary, 5 in Israel, 2 in Mexico, 3 in Poland, 8 in Romania, 5 in the Russian Federation, 10 in Slovakia, 12 in South Africa, 8 in Taiwan, 1 in the United Kingdom and 26 in the United States</w:t>
      </w:r>
      <w:r w:rsidR="00803C18">
        <w:t>.</w:t>
      </w:r>
    </w:p>
    <w:p w:rsidR="002E5CF1" w:rsidRDefault="008703F4" w:rsidP="008703F4">
      <w:pPr>
        <w:pStyle w:val="Heading5"/>
      </w:pPr>
      <w:r>
        <w:t>Inclusion exclusion criteria</w:t>
      </w:r>
    </w:p>
    <w:p w:rsidR="002E5CF1" w:rsidRDefault="002E5CF1" w:rsidP="00FB1E32">
      <w:r>
        <w:t>Th</w:t>
      </w:r>
      <w:r w:rsidR="00FB1E32">
        <w:t>e main inclusion criteria were:</w:t>
      </w:r>
    </w:p>
    <w:p w:rsidR="002E5CF1" w:rsidRDefault="002E5CF1" w:rsidP="008703F4">
      <w:pPr>
        <w:pStyle w:val="ListBullet"/>
      </w:pPr>
      <w:r>
        <w:t>Subjects &gt; 18 years of age with diagnosis of T2DM in accordance with ADA guidelines;</w:t>
      </w:r>
    </w:p>
    <w:p w:rsidR="002E5CF1" w:rsidRDefault="002E5CF1" w:rsidP="008703F4">
      <w:pPr>
        <w:pStyle w:val="ListBullet"/>
      </w:pPr>
      <w:r w:rsidRPr="00B97497">
        <w:t>Subjects receiving</w:t>
      </w:r>
      <w:r>
        <w:t xml:space="preserve"> 1 of the following diabetes therapy regimes at time of screening and with an HbA1c within the following range:</w:t>
      </w:r>
    </w:p>
    <w:p w:rsidR="00FB54F2" w:rsidRDefault="00FB54F2" w:rsidP="00FB54F2">
      <w:pPr>
        <w:pStyle w:val="Tabletitle"/>
      </w:pPr>
      <w:r>
        <w:t>Table 39: HbA1c range</w:t>
      </w:r>
    </w:p>
    <w:p w:rsidR="002E5CF1" w:rsidRDefault="002E5CF1" w:rsidP="00CC2A5D">
      <w:r>
        <w:rPr>
          <w:noProof/>
          <w:lang w:eastAsia="en-AU"/>
        </w:rPr>
        <w:drawing>
          <wp:inline distT="0" distB="0" distL="0" distR="0" wp14:anchorId="26BBB44C" wp14:editId="0A008CFF">
            <wp:extent cx="5417741" cy="840480"/>
            <wp:effectExtent l="0" t="0" r="0" b="0"/>
            <wp:docPr id="4" name="Picture 4" descr="HbA1c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lum bright="-20000" contrast="40000"/>
                      <a:extLst>
                        <a:ext uri="{28A0092B-C50C-407E-A947-70E740481C1C}">
                          <a14:useLocalDpi xmlns:a14="http://schemas.microsoft.com/office/drawing/2010/main" val="0"/>
                        </a:ext>
                      </a:extLst>
                    </a:blip>
                    <a:srcRect/>
                    <a:stretch>
                      <a:fillRect/>
                    </a:stretch>
                  </pic:blipFill>
                  <pic:spPr bwMode="auto">
                    <a:xfrm>
                      <a:off x="0" y="0"/>
                      <a:ext cx="5432808" cy="842817"/>
                    </a:xfrm>
                    <a:prstGeom prst="rect">
                      <a:avLst/>
                    </a:prstGeom>
                    <a:noFill/>
                    <a:ln>
                      <a:noFill/>
                    </a:ln>
                  </pic:spPr>
                </pic:pic>
              </a:graphicData>
            </a:graphic>
          </wp:inline>
        </w:drawing>
      </w:r>
    </w:p>
    <w:p w:rsidR="002E5CF1" w:rsidRPr="0041639B" w:rsidRDefault="002E5CF1" w:rsidP="00FB1E32">
      <w:r w:rsidRPr="0041639B">
        <w:t>Subjects taking metformin monotherapy for less than 8 weeks at S1 or who required a</w:t>
      </w:r>
      <w:r>
        <w:t xml:space="preserve"> </w:t>
      </w:r>
      <w:r w:rsidRPr="0041639B">
        <w:t>change to their diabetes regimen at the S2 visit to remain eligible to participate (including</w:t>
      </w:r>
      <w:r>
        <w:t xml:space="preserve"> </w:t>
      </w:r>
      <w:r w:rsidRPr="0041639B">
        <w:t xml:space="preserve">subjects </w:t>
      </w:r>
      <w:r w:rsidRPr="0041639B">
        <w:lastRenderedPageBreak/>
        <w:t>discontinuing AHA therapy at S2) must have had an Hb</w:t>
      </w:r>
      <w:r>
        <w:t>HbA1c</w:t>
      </w:r>
      <w:r w:rsidR="00FB1E32">
        <w:t xml:space="preserve"> of 7.0 to </w:t>
      </w:r>
      <w:r w:rsidRPr="0041639B">
        <w:t>10.5%</w:t>
      </w:r>
      <w:r>
        <w:t xml:space="preserve"> </w:t>
      </w:r>
      <w:r w:rsidR="00FB1E32">
        <w:t>(53 to 91 </w:t>
      </w:r>
      <w:r w:rsidRPr="0041639B">
        <w:t>mmol/mol) at S3 after at least 8 weeks on a regimen of metformin in</w:t>
      </w:r>
      <w:r>
        <w:t xml:space="preserve"> </w:t>
      </w:r>
      <w:r w:rsidRPr="0041639B">
        <w:t>monotherapy.</w:t>
      </w:r>
    </w:p>
    <w:p w:rsidR="00FB1E32" w:rsidRDefault="00FB1E32" w:rsidP="00FB54F2">
      <w:pPr>
        <w:pStyle w:val="ListBullet"/>
      </w:pPr>
      <w:r>
        <w:t xml:space="preserve">BMI 18 to </w:t>
      </w:r>
      <w:r w:rsidR="002E5CF1" w:rsidRPr="0041639B">
        <w:t>40</w:t>
      </w:r>
      <w:r>
        <w:t xml:space="preserve"> </w:t>
      </w:r>
      <w:r w:rsidR="002E5CF1" w:rsidRPr="0041639B">
        <w:t>kg/m</w:t>
      </w:r>
      <w:r w:rsidR="002E5CF1" w:rsidRPr="0041639B">
        <w:rPr>
          <w:vertAlign w:val="superscript"/>
        </w:rPr>
        <w:t>2</w:t>
      </w:r>
      <w:r w:rsidR="002E5CF1" w:rsidRPr="0041639B">
        <w:t xml:space="preserve"> and written informed consent</w:t>
      </w:r>
      <w:r>
        <w:t>;</w:t>
      </w:r>
    </w:p>
    <w:p w:rsidR="002E5CF1" w:rsidRDefault="009D745D" w:rsidP="00FB54F2">
      <w:pPr>
        <w:pStyle w:val="ListBullet"/>
      </w:pPr>
      <w:r>
        <w:t>M</w:t>
      </w:r>
      <w:r w:rsidR="002E5CF1" w:rsidRPr="0041639B">
        <w:t>ale or non</w:t>
      </w:r>
      <w:r w:rsidR="002E5CF1">
        <w:t>-</w:t>
      </w:r>
      <w:r w:rsidR="002E5CF1" w:rsidRPr="0041639B">
        <w:t>childbearing female or female of reproductive practising acceptable birth control measures</w:t>
      </w:r>
      <w:r w:rsidR="009F0961">
        <w:t>.</w:t>
      </w:r>
      <w:r w:rsidR="002E5CF1" w:rsidRPr="0041639B">
        <w:rPr>
          <w:rStyle w:val="FootnoteReference"/>
          <w:rFonts w:asciiTheme="minorHAnsi" w:eastAsiaTheme="minorHAnsi" w:hAnsiTheme="minorHAnsi"/>
        </w:rPr>
        <w:footnoteReference w:id="12"/>
      </w:r>
      <w:r w:rsidR="002E5CF1" w:rsidRPr="0041639B">
        <w:t xml:space="preserve"> Approximately 50% of the population enrolled in the study were to be women who had been</w:t>
      </w:r>
      <w:r w:rsidR="002E5CF1">
        <w:t xml:space="preserve"> </w:t>
      </w:r>
      <w:r w:rsidR="002E5CF1" w:rsidRPr="0041639B">
        <w:t xml:space="preserve">postmenopausal for 3 years or more (at least 3 years since their last menstrual period </w:t>
      </w:r>
      <w:r w:rsidR="00424310">
        <w:t>(</w:t>
      </w:r>
      <w:r w:rsidR="002E5CF1" w:rsidRPr="0041639B">
        <w:t>LMP</w:t>
      </w:r>
      <w:r w:rsidR="00424310">
        <w:t>)</w:t>
      </w:r>
      <w:r w:rsidR="002E5CF1">
        <w:t xml:space="preserve"> </w:t>
      </w:r>
      <w:r w:rsidR="002E5CF1" w:rsidRPr="0041639B">
        <w:t>or had bilateral oophorectomy performed 3 years or more prior to screening), and the</w:t>
      </w:r>
      <w:r w:rsidR="002E5CF1">
        <w:t xml:space="preserve"> randomisation</w:t>
      </w:r>
      <w:r w:rsidR="002E5CF1" w:rsidRPr="0041639B">
        <w:t xml:space="preserve"> was stratified based on this postmenopausal status</w:t>
      </w:r>
      <w:r w:rsidR="002E5CF1">
        <w:t>.</w:t>
      </w:r>
    </w:p>
    <w:p w:rsidR="002E5CF1" w:rsidRPr="004D1A04" w:rsidRDefault="002E5CF1" w:rsidP="00FB1E32">
      <w:pPr>
        <w:rPr>
          <w:b/>
          <w:color w:val="000000"/>
        </w:rPr>
      </w:pPr>
      <w:r>
        <w:t>The main exclusion criteria were similar to thos</w:t>
      </w:r>
      <w:r w:rsidR="00FB54F2">
        <w:t xml:space="preserve">e described for Study P003/1022. </w:t>
      </w:r>
      <w:r>
        <w:t xml:space="preserve">Due to assessment of BMD, the following subjects were </w:t>
      </w:r>
      <w:r w:rsidR="00FB1E32">
        <w:t>also excluded from this study: with a gender </w:t>
      </w:r>
      <w:r w:rsidRPr="004D1A04">
        <w:t>specific BMD T-score of &lt;-2.5 at any site assessed at Screening</w:t>
      </w:r>
      <w:r>
        <w:t xml:space="preserve"> </w:t>
      </w:r>
      <w:r w:rsidRPr="004D1A04">
        <w:t>Visit 3</w:t>
      </w:r>
      <w:r>
        <w:t xml:space="preserve">; with </w:t>
      </w:r>
      <w:r w:rsidRPr="004D1A04">
        <w:t>a documented history of osteoporosis (prior documented BMD T-score of</w:t>
      </w:r>
      <w:r>
        <w:t xml:space="preserve"> </w:t>
      </w:r>
      <w:r w:rsidRPr="004D1A04">
        <w:t>&lt;-2.5)</w:t>
      </w:r>
      <w:r>
        <w:t xml:space="preserve"> </w:t>
      </w:r>
      <w:r w:rsidRPr="004D1A04">
        <w:t>with rheumatoid arthritis</w:t>
      </w:r>
      <w:r>
        <w:t xml:space="preserve">; </w:t>
      </w:r>
      <w:r w:rsidRPr="004D1A04">
        <w:t>with any other illness that could impact BMD assessment such as inherited bone</w:t>
      </w:r>
      <w:r>
        <w:t xml:space="preserve"> </w:t>
      </w:r>
      <w:r w:rsidRPr="004D1A04">
        <w:t>disorders, metabolic bone disease or autoimmune endocrinopathies</w:t>
      </w:r>
      <w:r>
        <w:t xml:space="preserve">; </w:t>
      </w:r>
      <w:r w:rsidRPr="004D1A04">
        <w:t>with bilateral hip prosthesis or subjects who had fewer than 3 vertebrae which</w:t>
      </w:r>
      <w:r>
        <w:t xml:space="preserve"> </w:t>
      </w:r>
      <w:r w:rsidRPr="004D1A04">
        <w:t>were evaluable by DXA at Screening Visit 3 (S3)</w:t>
      </w:r>
      <w:r>
        <w:t xml:space="preserve">; </w:t>
      </w:r>
      <w:r w:rsidRPr="004D1A04">
        <w:t>with hyperparathyroidism defined as a parathyroid hormone (PTH) value at</w:t>
      </w:r>
      <w:r>
        <w:t xml:space="preserve"> </w:t>
      </w:r>
      <w:r w:rsidRPr="004D1A04">
        <w:t>Screening Visit 1 that exceeded the upper limit of the reference range of the central</w:t>
      </w:r>
      <w:r>
        <w:t xml:space="preserve"> laboratory and </w:t>
      </w:r>
      <w:r w:rsidRPr="004D1A04">
        <w:t>with previously diagnosed atraumatic vertebral fracture or high and low impact</w:t>
      </w:r>
      <w:r>
        <w:t xml:space="preserve"> </w:t>
      </w:r>
      <w:r w:rsidRPr="004D1A04">
        <w:t>fracture of the hip or wrist</w:t>
      </w:r>
      <w:r>
        <w:t>.</w:t>
      </w:r>
    </w:p>
    <w:p w:rsidR="002E5CF1" w:rsidRDefault="002E5CF1" w:rsidP="00FB54F2">
      <w:pPr>
        <w:pStyle w:val="Heading5"/>
      </w:pPr>
      <w:r>
        <w:t>Study treatments</w:t>
      </w:r>
    </w:p>
    <w:p w:rsidR="009D745D" w:rsidRDefault="002E5CF1" w:rsidP="00FB1E32">
      <w:r w:rsidRPr="00BA22DF">
        <w:t>Ertugliflozin 5 mg, ertugliflozin 10 mg and matching placebos were supplied as immediate-release tablets for oral administration.</w:t>
      </w:r>
    </w:p>
    <w:p w:rsidR="002E5CF1" w:rsidRPr="00BA22DF" w:rsidRDefault="002E5CF1" w:rsidP="00FB1E32">
      <w:r w:rsidRPr="00BA22DF">
        <w:t xml:space="preserve">Placebo run-in period: A </w:t>
      </w:r>
      <w:r w:rsidR="00FB1E32">
        <w:t>single blind</w:t>
      </w:r>
      <w:r w:rsidRPr="00BA22DF">
        <w:t xml:space="preserve"> placebo run-in was administered starting at Day -14/Visit</w:t>
      </w:r>
      <w:r w:rsidR="009F0961">
        <w:t> </w:t>
      </w:r>
      <w:r w:rsidRPr="00BA22DF">
        <w:t>S3 where subjects were instructed to take 1 tablet of placebo ertugliflozin 5 mg and 1 tablet of placebo ertugliflozin 10 mg each morning from the bottles provided for this period. The last dose of placebo run-in study medication was to be taken on the day prior to Day 1. Subjects were not informed that they were taking placebo during this period.</w:t>
      </w:r>
      <w:r w:rsidR="009D745D">
        <w:t xml:space="preserve"> </w:t>
      </w:r>
      <w:r w:rsidRPr="00BA22DF">
        <w:rPr>
          <w:color w:val="000000"/>
        </w:rPr>
        <w:t xml:space="preserve">Phase A randomised, </w:t>
      </w:r>
      <w:r w:rsidR="00FB1E32">
        <w:rPr>
          <w:color w:val="000000"/>
        </w:rPr>
        <w:t>double blind</w:t>
      </w:r>
      <w:r w:rsidRPr="00BA22DF">
        <w:rPr>
          <w:color w:val="000000"/>
        </w:rPr>
        <w:t xml:space="preserve"> primary treatment period: </w:t>
      </w:r>
      <w:r w:rsidRPr="00BA22DF">
        <w:t>On Day 1, each subject was randomly assigned (in a 1:1:1 ratio) to ertugliflozin 5 mg, ertugliflozin 15 mg, or placebo.</w:t>
      </w:r>
      <w:r w:rsidR="009D745D">
        <w:t xml:space="preserve"> </w:t>
      </w:r>
      <w:r w:rsidRPr="00BA22DF">
        <w:t xml:space="preserve">If a subject missed a dose of study medication during the </w:t>
      </w:r>
      <w:r>
        <w:t>s</w:t>
      </w:r>
      <w:r w:rsidRPr="00BA22DF">
        <w:t xml:space="preserve">tudy, he/she was instructed to take it as soon as the subject remembered unless it was time for the next dose. Subjects were instructed not to </w:t>
      </w:r>
      <w:r>
        <w:t>‘</w:t>
      </w:r>
      <w:r w:rsidRPr="00BA22DF">
        <w:t>make up</w:t>
      </w:r>
      <w:r>
        <w:t>’</w:t>
      </w:r>
      <w:r w:rsidRPr="00BA22DF">
        <w:t xml:space="preserve"> for the missed dose by taking a double dose at the same time.</w:t>
      </w:r>
    </w:p>
    <w:p w:rsidR="00004710" w:rsidRDefault="002E5CF1" w:rsidP="00FB1E32">
      <w:r w:rsidRPr="00BA22DF">
        <w:t xml:space="preserve">Subjects were prescribed </w:t>
      </w:r>
      <w:r w:rsidR="001F7376">
        <w:t>open label</w:t>
      </w:r>
      <w:r w:rsidRPr="00BA22DF">
        <w:t xml:space="preserve"> glycaemic rescue therapy and dosed according to physician judgment if they met specific, progressively more stringent, glycaemic criteria based on</w:t>
      </w:r>
      <w:r w:rsidRPr="001E1D51">
        <w:t xml:space="preserve"> a repeated, confirmed FPG or </w:t>
      </w:r>
      <w:r>
        <w:t>HbA1c</w:t>
      </w:r>
      <w:r w:rsidRPr="001E1D51">
        <w:t xml:space="preserve"> measured by the central </w:t>
      </w:r>
      <w:r w:rsidRPr="00004710">
        <w:t xml:space="preserve">laboratory (Table </w:t>
      </w:r>
      <w:r w:rsidR="00004710" w:rsidRPr="00004710">
        <w:t>40</w:t>
      </w:r>
      <w:r w:rsidRPr="00004710">
        <w:t>).</w:t>
      </w:r>
    </w:p>
    <w:p w:rsidR="00004710" w:rsidRPr="00C738A2" w:rsidRDefault="00004710" w:rsidP="00004710">
      <w:pPr>
        <w:pStyle w:val="Tabletitle"/>
      </w:pPr>
      <w:bookmarkStart w:id="401" w:name="_Ref492027989"/>
      <w:bookmarkStart w:id="402" w:name="_Toc504038419"/>
      <w:r w:rsidRPr="00C738A2">
        <w:lastRenderedPageBreak/>
        <w:t xml:space="preserve">Table </w:t>
      </w:r>
      <w:r>
        <w:t xml:space="preserve">40: </w:t>
      </w:r>
      <w:r w:rsidRPr="00C738A2">
        <w:t>Glycaemic thresholds</w:t>
      </w:r>
      <w:bookmarkEnd w:id="401"/>
      <w:bookmarkEnd w:id="402"/>
    </w:p>
    <w:p w:rsidR="00004710" w:rsidRPr="00C738A2" w:rsidRDefault="00004710" w:rsidP="00CC2A5D">
      <w:r w:rsidRPr="00C738A2">
        <w:rPr>
          <w:noProof/>
          <w:lang w:eastAsia="en-AU"/>
        </w:rPr>
        <w:drawing>
          <wp:inline distT="0" distB="0" distL="0" distR="0" wp14:anchorId="522DCDC1" wp14:editId="423B4B04">
            <wp:extent cx="4724400" cy="690814"/>
            <wp:effectExtent l="19050" t="19050" r="19050" b="14605"/>
            <wp:docPr id="266" name="Picture 266" descr="Glycaemic thresh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lum bright="-20000" contrast="40000"/>
                      <a:extLst>
                        <a:ext uri="{28A0092B-C50C-407E-A947-70E740481C1C}">
                          <a14:useLocalDpi xmlns:a14="http://schemas.microsoft.com/office/drawing/2010/main" val="0"/>
                        </a:ext>
                      </a:extLst>
                    </a:blip>
                    <a:srcRect r="17633"/>
                    <a:stretch/>
                  </pic:blipFill>
                  <pic:spPr bwMode="auto">
                    <a:xfrm>
                      <a:off x="0" y="0"/>
                      <a:ext cx="4720881" cy="690299"/>
                    </a:xfrm>
                    <a:prstGeom prst="rect">
                      <a:avLst/>
                    </a:prstGeom>
                    <a:noFill/>
                    <a:ln>
                      <a:solidFill>
                        <a:schemeClr val="accent3"/>
                      </a:solidFill>
                    </a:ln>
                    <a:extLst>
                      <a:ext uri="{53640926-AAD7-44D8-BBD7-CCE9431645EC}">
                        <a14:shadowObscured xmlns:a14="http://schemas.microsoft.com/office/drawing/2010/main"/>
                      </a:ext>
                    </a:extLst>
                  </pic:spPr>
                </pic:pic>
              </a:graphicData>
            </a:graphic>
          </wp:inline>
        </w:drawing>
      </w:r>
    </w:p>
    <w:p w:rsidR="002E5CF1" w:rsidRPr="003C0D36" w:rsidRDefault="002E5CF1" w:rsidP="00FB1E32">
      <w:r w:rsidRPr="001E1D51">
        <w:t>Subjects were to have the repeat FPG measurement performed as early as possible</w:t>
      </w:r>
      <w:r>
        <w:t xml:space="preserve"> </w:t>
      </w:r>
      <w:r w:rsidR="00FB1E32">
        <w:t>(within 7 </w:t>
      </w:r>
      <w:r w:rsidRPr="001E1D51">
        <w:t>days following the receipt of test results) to determine if they met the criterion for</w:t>
      </w:r>
      <w:r>
        <w:t xml:space="preserve"> </w:t>
      </w:r>
      <w:r w:rsidRPr="001E1D51">
        <w:t>glycaemic rescue therapy.</w:t>
      </w:r>
      <w:r>
        <w:t xml:space="preserve"> </w:t>
      </w:r>
      <w:r w:rsidRPr="001E1D51">
        <w:t>During Phase A, subjects exceeding pre-</w:t>
      </w:r>
      <w:r w:rsidRPr="003C0D36">
        <w:t xml:space="preserve">specified glycaemic thresholds after </w:t>
      </w:r>
      <w:r>
        <w:t>randomisation</w:t>
      </w:r>
      <w:r w:rsidRPr="003C0D36">
        <w:t xml:space="preserve"> had glycaemic rescue therapy initiated with </w:t>
      </w:r>
      <w:r w:rsidR="001F7376">
        <w:t>open label</w:t>
      </w:r>
      <w:r w:rsidRPr="003C0D36">
        <w:t xml:space="preserve"> glimepiride. Subjects who were initiated on </w:t>
      </w:r>
      <w:r w:rsidR="001F7376">
        <w:t>open label</w:t>
      </w:r>
      <w:r w:rsidRPr="003C0D36">
        <w:t xml:space="preserve"> glimepiride rescue therapy, and who reached the</w:t>
      </w:r>
      <w:r>
        <w:t xml:space="preserve"> </w:t>
      </w:r>
      <w:r w:rsidRPr="003C0D36">
        <w:t>maximum allowed dose (or tolerated dose, if lower), and met glycaemic rescue FPG criteria</w:t>
      </w:r>
      <w:r>
        <w:t xml:space="preserve"> </w:t>
      </w:r>
      <w:r w:rsidRPr="003C0D36">
        <w:t xml:space="preserve">(after </w:t>
      </w:r>
      <w:r w:rsidR="00FB1E32">
        <w:t>at least 2 </w:t>
      </w:r>
      <w:r w:rsidRPr="003C0D36">
        <w:t>weeks on maximum dose of glimepiride), had additional glycaemic rescue</w:t>
      </w:r>
      <w:r>
        <w:t xml:space="preserve"> </w:t>
      </w:r>
      <w:r w:rsidRPr="003C0D36">
        <w:t>therapy with basal insulin initiated and managed as considered appropriate by the</w:t>
      </w:r>
      <w:r>
        <w:t xml:space="preserve"> </w:t>
      </w:r>
      <w:r w:rsidRPr="003C0D36">
        <w:t>investigator (</w:t>
      </w:r>
      <w:r w:rsidR="006F000B">
        <w:t>that is,</w:t>
      </w:r>
      <w:r w:rsidRPr="003C0D36">
        <w:t xml:space="preserve"> including selection of agent and starting dose, timing of administration, and</w:t>
      </w:r>
      <w:r>
        <w:t xml:space="preserve"> </w:t>
      </w:r>
      <w:r w:rsidRPr="003C0D36">
        <w:t>up</w:t>
      </w:r>
      <w:r w:rsidR="00004710">
        <w:t>-</w:t>
      </w:r>
      <w:r w:rsidRPr="003C0D36">
        <w:t>titration).</w:t>
      </w:r>
    </w:p>
    <w:p w:rsidR="002E5CF1" w:rsidRPr="001E1D51" w:rsidRDefault="002E5CF1" w:rsidP="00FB1E32">
      <w:r w:rsidRPr="003C0D36">
        <w:rPr>
          <w:color w:val="000000"/>
        </w:rPr>
        <w:t>Medications that were indicated as prohibited in the exclusion criteria</w:t>
      </w:r>
      <w:r w:rsidRPr="001F3613">
        <w:rPr>
          <w:color w:val="000000"/>
        </w:rPr>
        <w:t xml:space="preserve"> were not permitted</w:t>
      </w:r>
      <w:r>
        <w:rPr>
          <w:color w:val="000000"/>
        </w:rPr>
        <w:t xml:space="preserve"> </w:t>
      </w:r>
      <w:r w:rsidRPr="001F3613">
        <w:rPr>
          <w:color w:val="000000"/>
        </w:rPr>
        <w:t>prior to or during the study. Thyroid replacement medication (</w:t>
      </w:r>
      <w:r w:rsidR="0030125A">
        <w:rPr>
          <w:color w:val="000000"/>
        </w:rPr>
        <w:t>for example</w:t>
      </w:r>
      <w:r w:rsidR="00155D4D">
        <w:rPr>
          <w:color w:val="000000"/>
        </w:rPr>
        <w:t>,</w:t>
      </w:r>
      <w:r w:rsidRPr="001F3613">
        <w:rPr>
          <w:color w:val="000000"/>
        </w:rPr>
        <w:t xml:space="preserve"> thyroxine) was permitted, but</w:t>
      </w:r>
      <w:r>
        <w:rPr>
          <w:color w:val="000000"/>
        </w:rPr>
        <w:t xml:space="preserve"> </w:t>
      </w:r>
      <w:r w:rsidRPr="001F3613">
        <w:rPr>
          <w:color w:val="000000"/>
        </w:rPr>
        <w:t>subjects were to be on a</w:t>
      </w:r>
      <w:r>
        <w:rPr>
          <w:color w:val="000000"/>
        </w:rPr>
        <w:t xml:space="preserve"> </w:t>
      </w:r>
      <w:r w:rsidRPr="001F3613">
        <w:rPr>
          <w:color w:val="000000"/>
        </w:rPr>
        <w:t xml:space="preserve">stable dose for at least 6 weeks prior to </w:t>
      </w:r>
      <w:r>
        <w:rPr>
          <w:color w:val="000000"/>
        </w:rPr>
        <w:t>randomisation</w:t>
      </w:r>
      <w:r w:rsidRPr="001F3613">
        <w:rPr>
          <w:color w:val="000000"/>
        </w:rPr>
        <w:t>.</w:t>
      </w:r>
      <w:r>
        <w:rPr>
          <w:color w:val="000000"/>
        </w:rPr>
        <w:t xml:space="preserve"> </w:t>
      </w:r>
      <w:r w:rsidRPr="001F3613">
        <w:rPr>
          <w:color w:val="000000"/>
        </w:rPr>
        <w:t>Subjects who were not on a stable dose of blood pressure or lipid altering medications at S1</w:t>
      </w:r>
      <w:r>
        <w:rPr>
          <w:color w:val="000000"/>
        </w:rPr>
        <w:t xml:space="preserve"> </w:t>
      </w:r>
      <w:r w:rsidRPr="001F3613">
        <w:rPr>
          <w:color w:val="000000"/>
        </w:rPr>
        <w:t>were scheduled appropriately for S3 and Day 1 to ensure they had a stable dose for at least</w:t>
      </w:r>
      <w:r>
        <w:rPr>
          <w:color w:val="000000"/>
        </w:rPr>
        <w:t xml:space="preserve"> </w:t>
      </w:r>
      <w:r w:rsidRPr="001F3613">
        <w:rPr>
          <w:color w:val="000000"/>
        </w:rPr>
        <w:t xml:space="preserve">4 weeks prior to </w:t>
      </w:r>
      <w:r>
        <w:rPr>
          <w:color w:val="000000"/>
        </w:rPr>
        <w:t>randomisation</w:t>
      </w:r>
      <w:r w:rsidRPr="001F3613">
        <w:rPr>
          <w:color w:val="000000"/>
        </w:rPr>
        <w:t>.</w:t>
      </w:r>
      <w:r>
        <w:rPr>
          <w:color w:val="000000"/>
        </w:rPr>
        <w:t xml:space="preserve"> </w:t>
      </w:r>
      <w:r w:rsidRPr="001F3613">
        <w:t>Subjects had to abstain from all food and drink (except water) at least 10 hours prior to any</w:t>
      </w:r>
      <w:r>
        <w:t xml:space="preserve"> </w:t>
      </w:r>
      <w:r w:rsidRPr="001F3613">
        <w:t xml:space="preserve">blood </w:t>
      </w:r>
      <w:r w:rsidRPr="001E1D51">
        <w:t>sample collections for clinical laboratory tests</w:t>
      </w:r>
      <w:r>
        <w:t xml:space="preserve"> and</w:t>
      </w:r>
      <w:r w:rsidRPr="001E1D51">
        <w:t xml:space="preserve"> fastin</w:t>
      </w:r>
      <w:r>
        <w:t>g glucose monitoring. Subjects were counselle</w:t>
      </w:r>
      <w:r w:rsidRPr="001E1D51">
        <w:t>d on appropriate dietary and lifestyle guidelines for T2DM at S2 and asked to maintain these guidelines throughout participation in the study. Counselling on dietary guidelines was in accordance with local medical standards of care for subjects with T2DM.</w:t>
      </w:r>
    </w:p>
    <w:p w:rsidR="002E5CF1" w:rsidRDefault="00004710" w:rsidP="00004710">
      <w:pPr>
        <w:pStyle w:val="Heading5"/>
      </w:pPr>
      <w:r>
        <w:t>Efficacy variables and outcomes</w:t>
      </w:r>
    </w:p>
    <w:p w:rsidR="002E5CF1" w:rsidRPr="0041639B" w:rsidRDefault="002E5CF1" w:rsidP="00FB1E32">
      <w:r w:rsidRPr="0041639B">
        <w:t>The</w:t>
      </w:r>
      <w:r>
        <w:t xml:space="preserve"> efficacy endpoints </w:t>
      </w:r>
      <w:r w:rsidRPr="0041639B">
        <w:t xml:space="preserve">were identical to those discussed </w:t>
      </w:r>
      <w:r w:rsidR="00004710">
        <w:t>previously</w:t>
      </w:r>
      <w:r w:rsidRPr="0041639B">
        <w:t>.</w:t>
      </w:r>
    </w:p>
    <w:p w:rsidR="002E5CF1" w:rsidRDefault="002E5CF1" w:rsidP="00004710">
      <w:pPr>
        <w:pStyle w:val="Heading5"/>
      </w:pPr>
      <w:r>
        <w:t>Randomisation and blinding</w:t>
      </w:r>
    </w:p>
    <w:p w:rsidR="00004710" w:rsidRDefault="002E5CF1" w:rsidP="00FB1E32">
      <w:r w:rsidRPr="001E1D51">
        <w:t xml:space="preserve">The </w:t>
      </w:r>
      <w:r>
        <w:t>randomisation</w:t>
      </w:r>
      <w:r w:rsidRPr="001E1D51">
        <w:t xml:space="preserve"> was stratified based on postmenopausal status (as well as the</w:t>
      </w:r>
      <w:r>
        <w:t xml:space="preserve"> </w:t>
      </w:r>
      <w:r w:rsidRPr="001E1D51">
        <w:t>geographical region). Approximately 50% of the population enrolled in the trial was planned to be women who were postmenopausal for 3 years or more (at least 3 years since their LMP</w:t>
      </w:r>
      <w:r>
        <w:t xml:space="preserve"> </w:t>
      </w:r>
      <w:r w:rsidRPr="001E1D51">
        <w:t>or had bilateral oophorectomy performed 3 years or more prior to screening)</w:t>
      </w:r>
      <w:r>
        <w:t xml:space="preserve">. </w:t>
      </w:r>
      <w:r w:rsidRPr="001E1D51">
        <w:t>The stratification factor</w:t>
      </w:r>
      <w:r>
        <w:t xml:space="preserve"> </w:t>
      </w:r>
      <w:r w:rsidRPr="001E1D51">
        <w:t>had 4 levels:</w:t>
      </w:r>
    </w:p>
    <w:p w:rsidR="00004710" w:rsidRDefault="00CC2A5D" w:rsidP="00004710">
      <w:pPr>
        <w:pStyle w:val="ListBullet"/>
      </w:pPr>
      <w:r>
        <w:t>Men</w:t>
      </w:r>
    </w:p>
    <w:p w:rsidR="00004710" w:rsidRDefault="00CC2A5D" w:rsidP="00004710">
      <w:pPr>
        <w:pStyle w:val="ListBullet"/>
      </w:pPr>
      <w:r>
        <w:t>Premenopausal women</w:t>
      </w:r>
    </w:p>
    <w:p w:rsidR="00004710" w:rsidRDefault="002E5CF1" w:rsidP="00004710">
      <w:pPr>
        <w:pStyle w:val="ListBullet"/>
      </w:pPr>
      <w:r w:rsidRPr="001E1D51">
        <w:t>Women who were perimenopausal or postmenopausal for less than 3 years after LMP or</w:t>
      </w:r>
      <w:r>
        <w:t xml:space="preserve"> </w:t>
      </w:r>
      <w:r w:rsidRPr="001E1D51">
        <w:t xml:space="preserve">had bilateral oophorectomy performed less </w:t>
      </w:r>
      <w:r w:rsidR="00CC2A5D">
        <w:t>than 3 years prior to screening</w:t>
      </w:r>
    </w:p>
    <w:p w:rsidR="00004710" w:rsidRDefault="002E5CF1" w:rsidP="00004710">
      <w:pPr>
        <w:pStyle w:val="ListBullet"/>
      </w:pPr>
      <w:r w:rsidRPr="001E1D51">
        <w:t>Women who were postmenopausal for 3 years or more after LMP or women with a</w:t>
      </w:r>
      <w:r>
        <w:t xml:space="preserve"> </w:t>
      </w:r>
      <w:r w:rsidRPr="001E1D51">
        <w:t>history of bilateral oophorectomy performed 3 years or more prior to screening.</w:t>
      </w:r>
    </w:p>
    <w:p w:rsidR="002E5CF1" w:rsidRDefault="002E5CF1" w:rsidP="00FB1E32">
      <w:r w:rsidRPr="001E1D51">
        <w:t xml:space="preserve">Allocation of subjects to treatment groups proceeded through the use of a </w:t>
      </w:r>
      <w:r>
        <w:t xml:space="preserve">randomisation </w:t>
      </w:r>
      <w:r w:rsidRPr="001E1D51">
        <w:t>system (IVRS) that was accessible 24 hours per day</w:t>
      </w:r>
      <w:r w:rsidR="00FB1E32">
        <w:t xml:space="preserve">, 365 days per year. A computer </w:t>
      </w:r>
      <w:r w:rsidRPr="001E1D51">
        <w:t xml:space="preserve">generated </w:t>
      </w:r>
      <w:r>
        <w:t>randomisation</w:t>
      </w:r>
      <w:r w:rsidRPr="001E1D51">
        <w:t xml:space="preserve"> code using the method of random permuted blocks was</w:t>
      </w:r>
      <w:r>
        <w:t xml:space="preserve"> </w:t>
      </w:r>
      <w:r w:rsidRPr="001E1D51">
        <w:t>util</w:t>
      </w:r>
      <w:r>
        <w:t>ise</w:t>
      </w:r>
      <w:r w:rsidRPr="001E1D51">
        <w:t>d to assign subjects to 1 of 3 treatment regimens (ertugliflozin 5 mg, ertugliflozin</w:t>
      </w:r>
      <w:r>
        <w:t xml:space="preserve"> </w:t>
      </w:r>
      <w:r w:rsidRPr="001E1D51">
        <w:t>15 mg or placebo) on Day 1 (V4).</w:t>
      </w:r>
      <w:r>
        <w:t xml:space="preserve"> </w:t>
      </w:r>
      <w:r w:rsidRPr="001E1D51">
        <w:t>Phase A of this study was subject-, investigator-, and Sponsor-blinded.</w:t>
      </w:r>
      <w:r>
        <w:t xml:space="preserve"> </w:t>
      </w:r>
      <w:r w:rsidRPr="00BA22DF">
        <w:t>The study util</w:t>
      </w:r>
      <w:r>
        <w:t>ise</w:t>
      </w:r>
      <w:r w:rsidRPr="00BA22DF">
        <w:t xml:space="preserve">d a double-dummy approach to maintain </w:t>
      </w:r>
      <w:r w:rsidR="00FB1E32">
        <w:t>double blind</w:t>
      </w:r>
      <w:r w:rsidRPr="00BA22DF">
        <w:t>ing, with a placebo</w:t>
      </w:r>
      <w:r>
        <w:t xml:space="preserve"> </w:t>
      </w:r>
      <w:r w:rsidRPr="00BA22DF">
        <w:t>tablet matching the ertugliflozin 5 mg tablet and another placebo tablet matching the</w:t>
      </w:r>
      <w:r>
        <w:t xml:space="preserve"> </w:t>
      </w:r>
      <w:r w:rsidRPr="00BA22DF">
        <w:t>ertugliflozin 10 mg tablet. Subjects were instructed to take 1 ertugliflozin 5 mg tablet (or</w:t>
      </w:r>
      <w:r>
        <w:t xml:space="preserve"> </w:t>
      </w:r>
      <w:r w:rsidRPr="00BA22DF">
        <w:t xml:space="preserve">matching placebo) and </w:t>
      </w:r>
      <w:r w:rsidRPr="00BA22DF">
        <w:lastRenderedPageBreak/>
        <w:t>1</w:t>
      </w:r>
      <w:r w:rsidR="00CC2A5D">
        <w:t> </w:t>
      </w:r>
      <w:r w:rsidRPr="00BA22DF">
        <w:t>ertugliflozin 10 mg tablet (or matching placebo) daily. Thus, all</w:t>
      </w:r>
      <w:r>
        <w:t xml:space="preserve"> </w:t>
      </w:r>
      <w:r w:rsidRPr="00BA22DF">
        <w:t>subjects were to take 2 tablets each day of ertugliflozin/placebo.</w:t>
      </w:r>
    </w:p>
    <w:p w:rsidR="002E5CF1" w:rsidRDefault="00A216B0" w:rsidP="00A216B0">
      <w:pPr>
        <w:pStyle w:val="Heading5"/>
      </w:pPr>
      <w:r>
        <w:t>Analysis populations</w:t>
      </w:r>
    </w:p>
    <w:p w:rsidR="00A216B0" w:rsidRDefault="002E5CF1" w:rsidP="00FB1E32">
      <w:r w:rsidRPr="00A27468">
        <w:t>The Full Analysis Set (FAS) population was the primary analysis population for most</w:t>
      </w:r>
      <w:r>
        <w:t xml:space="preserve"> </w:t>
      </w:r>
      <w:r w:rsidRPr="00A27468">
        <w:t>efficacy endpoints and also for the BMD endpoints (labelled as the BMD FAS).</w:t>
      </w:r>
      <w:r>
        <w:t xml:space="preserve"> </w:t>
      </w:r>
      <w:r w:rsidRPr="00A27468">
        <w:t>For analyses that used the constrained longitudinal data analysis (cLDA) model, the FAS</w:t>
      </w:r>
      <w:r>
        <w:t xml:space="preserve"> </w:t>
      </w:r>
      <w:r w:rsidRPr="00A27468">
        <w:t xml:space="preserve">population, defined separately for each analysis endpoint, consisted of all </w:t>
      </w:r>
      <w:r>
        <w:t xml:space="preserve">randomised </w:t>
      </w:r>
      <w:r w:rsidRPr="00A27468">
        <w:t>subjects who:</w:t>
      </w:r>
    </w:p>
    <w:p w:rsidR="00A216B0" w:rsidRDefault="00A216B0" w:rsidP="00A216B0">
      <w:pPr>
        <w:pStyle w:val="ListBullet"/>
      </w:pPr>
      <w:r>
        <w:t>R</w:t>
      </w:r>
      <w:r w:rsidR="002E5CF1" w:rsidRPr="00A27468">
        <w:t xml:space="preserve">eceived at </w:t>
      </w:r>
      <w:r w:rsidR="00CC2A5D">
        <w:t>least 1 dose of study treatment</w:t>
      </w:r>
    </w:p>
    <w:p w:rsidR="002E5CF1" w:rsidRPr="00A27468" w:rsidRDefault="002E5CF1" w:rsidP="00A216B0">
      <w:pPr>
        <w:pStyle w:val="ListBullet"/>
      </w:pPr>
      <w:r w:rsidRPr="00A27468">
        <w:t>Had a baseline measurement or a post-</w:t>
      </w:r>
      <w:r>
        <w:t>randomisation</w:t>
      </w:r>
      <w:r w:rsidRPr="00A27468">
        <w:t xml:space="preserve"> measurement for the analysis</w:t>
      </w:r>
      <w:r>
        <w:t xml:space="preserve"> </w:t>
      </w:r>
      <w:r w:rsidRPr="00A27468">
        <w:t>endpoint subsequent to at least 1 dose of study treatment.</w:t>
      </w:r>
    </w:p>
    <w:p w:rsidR="002E5CF1" w:rsidRPr="00763F07" w:rsidRDefault="002E5CF1" w:rsidP="00FB1E32">
      <w:pPr>
        <w:rPr>
          <w:b/>
          <w:color w:val="000000"/>
        </w:rPr>
      </w:pPr>
      <w:r w:rsidRPr="00A27468">
        <w:t>Data Censoring</w:t>
      </w:r>
      <w:r>
        <w:t xml:space="preserve">: </w:t>
      </w:r>
      <w:r w:rsidRPr="00A27468">
        <w:t>Post-glycaemic rescue therapy data from subjects who received glycaemic rescue therapy, as</w:t>
      </w:r>
      <w:r>
        <w:t xml:space="preserve"> </w:t>
      </w:r>
      <w:r w:rsidRPr="00A27468">
        <w:t xml:space="preserve">well as post-bariatric surgery data, were censored from analyses of </w:t>
      </w:r>
      <w:r>
        <w:t>g</w:t>
      </w:r>
      <w:r w:rsidRPr="00A27468">
        <w:t>lycaemic</w:t>
      </w:r>
      <w:r>
        <w:t xml:space="preserve">, body weight </w:t>
      </w:r>
      <w:r w:rsidRPr="00A27468">
        <w:t>and blood pressure endpoints, but these analyses were not censored after the initiation of</w:t>
      </w:r>
      <w:r>
        <w:t xml:space="preserve"> </w:t>
      </w:r>
      <w:r w:rsidRPr="00A27468">
        <w:t>BMD rescue therapy. BMD</w:t>
      </w:r>
      <w:r w:rsidR="00FB1E32">
        <w:t xml:space="preserve"> </w:t>
      </w:r>
      <w:r w:rsidRPr="00A27468">
        <w:t>related endpoint data includ</w:t>
      </w:r>
      <w:r>
        <w:t xml:space="preserve">ing Bone Biomarker and PTH data </w:t>
      </w:r>
      <w:r w:rsidRPr="00A27468">
        <w:t>were excluded from the analysis at the point of a subject taking BMD rescue therapy or</w:t>
      </w:r>
      <w:r>
        <w:t xml:space="preserve"> </w:t>
      </w:r>
      <w:r w:rsidRPr="00A27468">
        <w:t>undergoing bariatric surgery, but were not censored after initiation of glycaemic rescue</w:t>
      </w:r>
      <w:r>
        <w:t xml:space="preserve"> </w:t>
      </w:r>
      <w:r w:rsidRPr="00A27468">
        <w:t>therapy, as glycaemic rescue therapy was unlikely to have an impact on BMD endpoints.</w:t>
      </w:r>
      <w:r>
        <w:t xml:space="preserve"> </w:t>
      </w:r>
      <w:r w:rsidRPr="00A27468">
        <w:t>Bone biomarker data and PTH data were also censored from the analysis if the samples were</w:t>
      </w:r>
      <w:r>
        <w:t xml:space="preserve"> </w:t>
      </w:r>
      <w:r w:rsidRPr="00A27468">
        <w:t>collected &gt;</w:t>
      </w:r>
      <w:r w:rsidR="00FB1E32">
        <w:t xml:space="preserve"> </w:t>
      </w:r>
      <w:r w:rsidRPr="00A27468">
        <w:t xml:space="preserve">7 days </w:t>
      </w:r>
      <w:r w:rsidRPr="00763F07">
        <w:t>from the last dose of study medication.</w:t>
      </w:r>
    </w:p>
    <w:p w:rsidR="002E5CF1" w:rsidRPr="00763F07" w:rsidRDefault="002E5CF1" w:rsidP="00FB1E32">
      <w:r w:rsidRPr="00763F07">
        <w:t>A secondary population for safety constructed at 3 specific time points for analysing the</w:t>
      </w:r>
      <w:r>
        <w:t xml:space="preserve"> </w:t>
      </w:r>
      <w:r w:rsidRPr="00763F07">
        <w:t>BMD endpoints was the BMD Per-Protocol (BMD PP)</w:t>
      </w:r>
      <w:r w:rsidR="009F0961">
        <w:t>;</w:t>
      </w:r>
      <w:r>
        <w:rPr>
          <w:rStyle w:val="FootnoteReference"/>
          <w:rFonts w:asciiTheme="minorHAnsi" w:eastAsiaTheme="minorHAnsi" w:hAnsiTheme="minorHAnsi"/>
        </w:rPr>
        <w:footnoteReference w:id="13"/>
      </w:r>
      <w:r w:rsidRPr="00763F07">
        <w:t xml:space="preserve"> population (1) at Week 26, (2) at</w:t>
      </w:r>
      <w:r>
        <w:t xml:space="preserve"> </w:t>
      </w:r>
      <w:r w:rsidRPr="00763F07">
        <w:t>Week 52 and (3) at Week 104.</w:t>
      </w:r>
    </w:p>
    <w:p w:rsidR="002E5CF1" w:rsidRPr="00763F07" w:rsidRDefault="002E5CF1" w:rsidP="00FB1E32">
      <w:r w:rsidRPr="00763F07">
        <w:t xml:space="preserve">All Subjects Treated </w:t>
      </w:r>
      <w:r>
        <w:t xml:space="preserve">(AST) </w:t>
      </w:r>
      <w:r w:rsidRPr="00763F07">
        <w:t>population</w:t>
      </w:r>
      <w:r>
        <w:t xml:space="preserve"> was</w:t>
      </w:r>
      <w:r w:rsidRPr="00763F07">
        <w:t xml:space="preserve"> used for the time-to-</w:t>
      </w:r>
      <w:r>
        <w:t>rescue analysis and for summaris</w:t>
      </w:r>
      <w:r w:rsidRPr="00763F07">
        <w:t>ing</w:t>
      </w:r>
      <w:r>
        <w:t xml:space="preserve"> </w:t>
      </w:r>
      <w:r w:rsidRPr="00763F07">
        <w:t>baseline characteristics, subject disposition and compliance. The AST</w:t>
      </w:r>
      <w:r>
        <w:t xml:space="preserve"> </w:t>
      </w:r>
      <w:r w:rsidRPr="00763F07">
        <w:t xml:space="preserve">population consisted of all </w:t>
      </w:r>
      <w:r>
        <w:t>randomised</w:t>
      </w:r>
      <w:r w:rsidRPr="00763F07">
        <w:t xml:space="preserve"> subjects who received at least 1 dose of study</w:t>
      </w:r>
      <w:r>
        <w:t xml:space="preserve"> </w:t>
      </w:r>
      <w:r w:rsidRPr="00763F07">
        <w:t xml:space="preserve">treatment. Subjects were classified according to </w:t>
      </w:r>
      <w:r>
        <w:t>randomised</w:t>
      </w:r>
      <w:r w:rsidRPr="00763F07">
        <w:t xml:space="preserve"> treatment.</w:t>
      </w:r>
    </w:p>
    <w:p w:rsidR="002E5CF1" w:rsidRDefault="00A216B0" w:rsidP="00A216B0">
      <w:pPr>
        <w:pStyle w:val="Heading5"/>
      </w:pPr>
      <w:r>
        <w:t>Sample size</w:t>
      </w:r>
    </w:p>
    <w:p w:rsidR="00803C18" w:rsidRDefault="002E5CF1" w:rsidP="00FB1E32">
      <w:r>
        <w:t>T</w:t>
      </w:r>
      <w:r w:rsidRPr="00D766B4">
        <w:t>he sample size of approximately 600 subjects</w:t>
      </w:r>
      <w:r>
        <w:t xml:space="preserve"> </w:t>
      </w:r>
      <w:r w:rsidRPr="00D766B4">
        <w:t xml:space="preserve">(200 per arm) provided at least 99% power to detect a difference of 0.5% </w:t>
      </w:r>
      <w:r>
        <w:t xml:space="preserve">in </w:t>
      </w:r>
      <w:r w:rsidRPr="00D766B4">
        <w:t xml:space="preserve">the primary endpoint of reduction in </w:t>
      </w:r>
      <w:r>
        <w:t>HbA1c</w:t>
      </w:r>
      <w:r w:rsidRPr="00D766B4">
        <w:t xml:space="preserve"> from baseline to Week 26 </w:t>
      </w:r>
      <w:r>
        <w:t xml:space="preserve">(assuming a standard deviation </w:t>
      </w:r>
      <w:r w:rsidRPr="00D766B4">
        <w:t>of 1.0%</w:t>
      </w:r>
      <w:r>
        <w:t xml:space="preserve">) </w:t>
      </w:r>
      <w:r w:rsidRPr="00D766B4">
        <w:t>between each</w:t>
      </w:r>
      <w:r>
        <w:t xml:space="preserve"> </w:t>
      </w:r>
      <w:r w:rsidRPr="00D766B4">
        <w:t>ertugliflozin dose and placebo (and 98% power for detecting this difference for both doses</w:t>
      </w:r>
      <w:r w:rsidR="00CA2F4B">
        <w:t xml:space="preserve"> versus</w:t>
      </w:r>
      <w:r w:rsidRPr="00D766B4">
        <w:t xml:space="preserve"> placebo) using a 2-sided 0.05 alpha level test, allowing for a dropout rate of up to 20%.</w:t>
      </w:r>
      <w:r>
        <w:t xml:space="preserve"> </w:t>
      </w:r>
      <w:r w:rsidRPr="00D766B4">
        <w:t>To control the overall Type I error rate at 0.05, a sequential testing approach was used across</w:t>
      </w:r>
      <w:r>
        <w:t xml:space="preserve"> </w:t>
      </w:r>
      <w:r w:rsidRPr="00D766B4">
        <w:t>the primary and secondary efficacy endpoints for which hypotheses were tested, and for the</w:t>
      </w:r>
      <w:r>
        <w:t xml:space="preserve"> </w:t>
      </w:r>
      <w:r w:rsidRPr="00D766B4">
        <w:t>2 doses of ertugliflozin</w:t>
      </w:r>
      <w:r w:rsidR="00803C18">
        <w:t>.</w:t>
      </w:r>
    </w:p>
    <w:p w:rsidR="002E5CF1" w:rsidRPr="001F7376" w:rsidRDefault="002E5CF1" w:rsidP="00FB1E32">
      <w:r w:rsidRPr="00D766B4">
        <w:t>The sample size for this study also provided adequate precision for the comparisons of</w:t>
      </w:r>
      <w:r>
        <w:t xml:space="preserve"> </w:t>
      </w:r>
      <w:r w:rsidRPr="00D766B4">
        <w:t>ertugliflozin</w:t>
      </w:r>
      <w:r w:rsidR="00CA2F4B">
        <w:t xml:space="preserve"> versus</w:t>
      </w:r>
      <w:r w:rsidRPr="00D766B4">
        <w:t xml:space="preserve"> placebo with respect to the changes in BMD from baseline to Week 26. </w:t>
      </w:r>
      <w:r w:rsidRPr="001F7376">
        <w:lastRenderedPageBreak/>
        <w:t>Assuming an SD of 3.3%</w:t>
      </w:r>
      <w:r w:rsidR="009F0961">
        <w:t>;</w:t>
      </w:r>
      <w:r w:rsidRPr="001F7376">
        <w:rPr>
          <w:vertAlign w:val="superscript"/>
        </w:rPr>
        <w:footnoteReference w:id="14"/>
      </w:r>
      <w:r w:rsidRPr="001F7376">
        <w:rPr>
          <w:vertAlign w:val="superscript"/>
        </w:rPr>
        <w:t xml:space="preserve"> </w:t>
      </w:r>
      <w:r w:rsidRPr="001F7376">
        <w:t>and allowing for a dropout rate of up to 15% at Week 26, the half width of the 95% confidence interval (CI) for the between-treatment difference was expected to be ±</w:t>
      </w:r>
      <w:r w:rsidR="001F7376">
        <w:t xml:space="preserve"> </w:t>
      </w:r>
      <w:r w:rsidRPr="001F7376">
        <w:t>0.7% from the point estimate for the overall study population, and also of approximately ±</w:t>
      </w:r>
      <w:r w:rsidR="001F7376">
        <w:t> </w:t>
      </w:r>
      <w:r w:rsidRPr="001F7376">
        <w:t xml:space="preserve">1.0% for the post-menopausal for </w:t>
      </w:r>
      <w:r w:rsidR="002E1032" w:rsidRPr="001F7376">
        <w:t xml:space="preserve">≥ </w:t>
      </w:r>
      <w:r w:rsidRPr="001F7376">
        <w:t xml:space="preserve">3 years subgroup, which was analysed separately (assuming this would be approximately 50% of the overall study population). These CI half widths were precise enough to rule out clinically relevant changes in BMD, both for the overall study population and the </w:t>
      </w:r>
      <w:r w:rsidR="002E1032" w:rsidRPr="001F7376">
        <w:t xml:space="preserve">≥ </w:t>
      </w:r>
      <w:r w:rsidRPr="001F7376">
        <w:t xml:space="preserve">3 years postmenopausal subgroup. This was based on changes in BMD that were approximately 50% of the average changes from baseline to Week 80 observed for </w:t>
      </w:r>
      <w:proofErr w:type="spellStart"/>
      <w:r w:rsidRPr="001F7376">
        <w:t>thiazolidinediones</w:t>
      </w:r>
      <w:proofErr w:type="spellEnd"/>
      <w:r w:rsidRPr="001F7376">
        <w:t>, which were known to be associated with significant bone loss and an increased risk of fracture.</w:t>
      </w:r>
    </w:p>
    <w:p w:rsidR="002E5CF1" w:rsidRDefault="002E5CF1" w:rsidP="00A216B0">
      <w:pPr>
        <w:pStyle w:val="Heading5"/>
      </w:pPr>
      <w:r>
        <w:t>Statistical methods</w:t>
      </w:r>
    </w:p>
    <w:p w:rsidR="002E5CF1" w:rsidRDefault="002E5CF1" w:rsidP="001F7376">
      <w:r w:rsidRPr="00801F96">
        <w:t>A cLDA, based on the FAS (for cLDA analyses) was used to evaluate the change from</w:t>
      </w:r>
      <w:r>
        <w:t xml:space="preserve"> </w:t>
      </w:r>
      <w:r w:rsidRPr="00801F96">
        <w:t xml:space="preserve">baseline in </w:t>
      </w:r>
      <w:r>
        <w:t>HbA1c</w:t>
      </w:r>
      <w:r w:rsidRPr="00801F96">
        <w:t xml:space="preserve"> levels at Week 26 as the primary efficacy analysis. The statistical model</w:t>
      </w:r>
      <w:r>
        <w:t xml:space="preserve"> </w:t>
      </w:r>
      <w:r w:rsidRPr="00801F96">
        <w:t>included terms for treatment (categorical), visit (categorical), the treatment by visit</w:t>
      </w:r>
      <w:r>
        <w:t xml:space="preserve"> </w:t>
      </w:r>
      <w:r w:rsidRPr="00801F96">
        <w:t>interaction, menopausal status randomization stratum (categorical), AHA status at study</w:t>
      </w:r>
      <w:r>
        <w:t xml:space="preserve"> </w:t>
      </w:r>
      <w:r w:rsidRPr="00801F96">
        <w:t>entry and baseline eGFR (continuous). No explicit imputation of missing data was</w:t>
      </w:r>
      <w:r>
        <w:t xml:space="preserve"> </w:t>
      </w:r>
      <w:r w:rsidRPr="00801F96">
        <w:t>performed.</w:t>
      </w:r>
      <w:r w:rsidRPr="00FF7CBF">
        <w:rPr>
          <w:color w:val="000000"/>
        </w:rPr>
        <w:t xml:space="preserve"> </w:t>
      </w:r>
      <w:r w:rsidRPr="00801F96">
        <w:t>All statistical tests were conducted at the alpha</w:t>
      </w:r>
      <w:r w:rsidR="001F7376">
        <w:t xml:space="preserve"> </w:t>
      </w:r>
      <w:r w:rsidRPr="00801F96">
        <w:t>=</w:t>
      </w:r>
      <w:r w:rsidR="001F7376">
        <w:t xml:space="preserve"> </w:t>
      </w:r>
      <w:r w:rsidRPr="00801F96">
        <w:t>0.05 (2-sided) level. Change from baseline at Week 26 in FPG, body weight, systolic blood pressure, and diastolic</w:t>
      </w:r>
      <w:r>
        <w:t xml:space="preserve"> </w:t>
      </w:r>
      <w:r w:rsidRPr="00801F96">
        <w:t>blood pressure were each analyzed with the same cLDA approach (and statistical model</w:t>
      </w:r>
      <w:r>
        <w:t xml:space="preserve"> </w:t>
      </w:r>
      <w:r w:rsidRPr="00801F96">
        <w:t>construct) as the primary efficacy analysis.</w:t>
      </w:r>
    </w:p>
    <w:p w:rsidR="00803C18" w:rsidRDefault="002E5CF1" w:rsidP="00A216B0">
      <w:pPr>
        <w:pStyle w:val="Comment"/>
      </w:pPr>
      <w:r w:rsidRPr="00A216B0">
        <w:rPr>
          <w:b/>
        </w:rPr>
        <w:t>Comment</w:t>
      </w:r>
      <w:r w:rsidRPr="00801F96">
        <w:t>:</w:t>
      </w:r>
      <w:r w:rsidR="001F7376">
        <w:t xml:space="preserve"> </w:t>
      </w:r>
      <w:r w:rsidRPr="00801F96">
        <w:t xml:space="preserve">Confirmation of the </w:t>
      </w:r>
      <w:proofErr w:type="spellStart"/>
      <w:r w:rsidRPr="00801F96">
        <w:t>cLDA</w:t>
      </w:r>
      <w:proofErr w:type="spellEnd"/>
      <w:r w:rsidRPr="00801F96">
        <w:t xml:space="preserve"> analysis was not done using the longitudinal ANCOVA model</w:t>
      </w:r>
      <w:r w:rsidR="00803C18">
        <w:t>.</w:t>
      </w:r>
    </w:p>
    <w:p w:rsidR="002E5CF1" w:rsidRDefault="002E5CF1" w:rsidP="00A216B0">
      <w:pPr>
        <w:pStyle w:val="Heading5"/>
      </w:pPr>
      <w:r>
        <w:t>Participant flow</w:t>
      </w:r>
    </w:p>
    <w:p w:rsidR="002E5CF1" w:rsidRPr="009C244A" w:rsidRDefault="002E5CF1" w:rsidP="001F7376">
      <w:pPr>
        <w:rPr>
          <w:b/>
        </w:rPr>
      </w:pPr>
      <w:r w:rsidRPr="009C244A">
        <w:t xml:space="preserve">In total, 1535 subjects were screened and 914 subjects were excluded during screening. The most common reason for subjects not being </w:t>
      </w:r>
      <w:r>
        <w:t>randomised</w:t>
      </w:r>
      <w:r w:rsidRPr="009C244A">
        <w:t xml:space="preserve"> was screen failure (98.2% of subjects who were not </w:t>
      </w:r>
      <w:r>
        <w:t>randomised)</w:t>
      </w:r>
      <w:r w:rsidRPr="009C244A">
        <w:t xml:space="preserve"> and the most common reason for screen failure was not meeting the </w:t>
      </w:r>
      <w:r>
        <w:t>HbA1c</w:t>
      </w:r>
      <w:r w:rsidRPr="009C244A">
        <w:t xml:space="preserve"> inclusion criterion The remaining 621 subjects were </w:t>
      </w:r>
      <w:r>
        <w:t>randomised</w:t>
      </w:r>
      <w:r w:rsidRPr="009C244A">
        <w:t xml:space="preserve"> at 103 sites in 14</w:t>
      </w:r>
      <w:r w:rsidR="001F7376">
        <w:t> </w:t>
      </w:r>
      <w:r w:rsidRPr="009C244A">
        <w:t>countries (rand</w:t>
      </w:r>
      <w:r>
        <w:t>o</w:t>
      </w:r>
      <w:r w:rsidRPr="009C244A">
        <w:t>misation</w:t>
      </w:r>
      <w:r>
        <w:t xml:space="preserve"> </w:t>
      </w:r>
      <w:r w:rsidRPr="009C244A">
        <w:t>at each centre ranged from 1 to 20 subjects). A high</w:t>
      </w:r>
      <w:r>
        <w:t xml:space="preserve"> </w:t>
      </w:r>
      <w:r w:rsidRPr="009C244A">
        <w:t>completion rate was observed for all treatment groups (&gt;</w:t>
      </w:r>
      <w:r w:rsidR="001F7376">
        <w:t xml:space="preserve"> </w:t>
      </w:r>
      <w:r w:rsidRPr="009C244A">
        <w:t>90% of subjects) during Phase A of</w:t>
      </w:r>
      <w:r>
        <w:t xml:space="preserve"> </w:t>
      </w:r>
      <w:r w:rsidRPr="009C244A">
        <w:t>the study. The proportion of subjects who discontinued study medication in Phase A was</w:t>
      </w:r>
      <w:r>
        <w:t xml:space="preserve"> </w:t>
      </w:r>
      <w:r w:rsidRPr="009C244A">
        <w:t>numerically higher in the placebo group compared to the ertugliflozin groups. In the</w:t>
      </w:r>
      <w:r>
        <w:t xml:space="preserve"> </w:t>
      </w:r>
      <w:r w:rsidRPr="009C244A">
        <w:t>ertugliflozin 15 mg group and placebo group the most common reason for study</w:t>
      </w:r>
      <w:r>
        <w:t xml:space="preserve"> </w:t>
      </w:r>
      <w:r w:rsidRPr="009C244A">
        <w:t>medication discontinuation was withdrawal by subject; in the ertugliflozin 5 mg group the</w:t>
      </w:r>
      <w:r>
        <w:t xml:space="preserve"> </w:t>
      </w:r>
      <w:r w:rsidRPr="009C244A">
        <w:t>most common reasons were withdrawal by subject and AE. Reasons for study medication</w:t>
      </w:r>
      <w:r>
        <w:t xml:space="preserve"> </w:t>
      </w:r>
      <w:r w:rsidRPr="009C244A">
        <w:t>discontinuation were generally similar between groups</w:t>
      </w:r>
      <w:r w:rsidR="00A216B0">
        <w:t>.</w:t>
      </w:r>
    </w:p>
    <w:p w:rsidR="002E5CF1" w:rsidRPr="009C244A" w:rsidRDefault="002E5CF1" w:rsidP="00A216B0">
      <w:pPr>
        <w:pStyle w:val="Heading5"/>
      </w:pPr>
      <w:r w:rsidRPr="009C244A">
        <w:t>Major protocol violations</w:t>
      </w:r>
    </w:p>
    <w:p w:rsidR="002E5CF1" w:rsidRPr="001F7376" w:rsidRDefault="002E5CF1" w:rsidP="002E5CF1">
      <w:pPr>
        <w:autoSpaceDE w:val="0"/>
        <w:autoSpaceDN w:val="0"/>
        <w:adjustRightInd w:val="0"/>
        <w:spacing w:before="0" w:line="240" w:lineRule="auto"/>
      </w:pPr>
      <w:r w:rsidRPr="001F7376">
        <w:t>Overall, 204 (32.9%) of 621 subjects who received treatment with study medication were reported to have 1 or more major deviations. The most common major deviations were those associated with subjects who did not give appropriate informed consent (18.5%) and failure to conduct major/significant evaluations (12.1%). These deviations were not expected to affect safety or efficacy conclusions. Other protocol deviations, including those with a potential to meaningfully impact efficacy analyses (</w:t>
      </w:r>
      <w:r w:rsidR="0030125A" w:rsidRPr="001F7376">
        <w:t>for example</w:t>
      </w:r>
      <w:r w:rsidR="00155D4D" w:rsidRPr="001F7376">
        <w:t>,</w:t>
      </w:r>
      <w:r w:rsidRPr="001F7376">
        <w:t xml:space="preserve"> &lt;</w:t>
      </w:r>
      <w:r w:rsidR="001F7376">
        <w:t xml:space="preserve"> </w:t>
      </w:r>
      <w:r w:rsidRPr="001F7376">
        <w:t>75% compliance with study medication, and taking glycaemic rescue therapy without meeting rescue criteria) did not occur or occurred at low incidences across treatment groups</w:t>
      </w:r>
      <w:r w:rsidR="00A216B0" w:rsidRPr="001F7376">
        <w:t>.</w:t>
      </w:r>
      <w:r w:rsidRPr="001F7376">
        <w:t xml:space="preserve"> Furthermore, duri</w:t>
      </w:r>
      <w:r w:rsidR="001F7376">
        <w:t>ng the conduct of this study, 4 </w:t>
      </w:r>
      <w:r w:rsidRPr="001F7376">
        <w:t xml:space="preserve">subjects were identified who were randomised at more than 1 site in this trial, who </w:t>
      </w:r>
      <w:r w:rsidRPr="001F7376">
        <w:lastRenderedPageBreak/>
        <w:t>randomised at a site in this trial and at least 1 other site in the ertugliflozin Phase III development program and thus were multiply-enrolled and were counted as major protocol violations.</w:t>
      </w:r>
    </w:p>
    <w:p w:rsidR="002E5CF1" w:rsidRPr="009C244A" w:rsidRDefault="002E5CF1" w:rsidP="00A216B0">
      <w:pPr>
        <w:pStyle w:val="Heading5"/>
      </w:pPr>
      <w:r w:rsidRPr="009C244A">
        <w:t>Baseline data</w:t>
      </w:r>
    </w:p>
    <w:p w:rsidR="002E5CF1" w:rsidRPr="00A216B0" w:rsidRDefault="002E5CF1" w:rsidP="001F7376">
      <w:r w:rsidRPr="009C244A">
        <w:t>Overall, majority of the subjects were female (53.6%), Wh</w:t>
      </w:r>
      <w:r w:rsidR="001F7376">
        <w:t xml:space="preserve">ite (66.2%) and aged between 45 to </w:t>
      </w:r>
      <w:r w:rsidRPr="009C244A">
        <w:t xml:space="preserve">64 years (75%). Majority of female subjects </w:t>
      </w:r>
      <w:r w:rsidRPr="009C244A">
        <w:rPr>
          <w:rFonts w:cs="TimesNewRomanPSMT"/>
        </w:rPr>
        <w:t xml:space="preserve">(76.6%) were postmenopausal for </w:t>
      </w:r>
      <w:r w:rsidR="002E1032">
        <w:rPr>
          <w:color w:val="000000"/>
        </w:rPr>
        <w:t xml:space="preserve">≥ </w:t>
      </w:r>
      <w:r w:rsidRPr="009C244A">
        <w:rPr>
          <w:rFonts w:cs="TimesNewRomanPSMT"/>
        </w:rPr>
        <w:t>3 years. The percentage of female subjects, inclu</w:t>
      </w:r>
      <w:r w:rsidRPr="009C244A">
        <w:t xml:space="preserve">ding the percentage of subjects who were postmenopausal, was similar across treatment groups. However, 11 subjects; 3 subjects in the ertugliflozin 15 mg group, 6 subjects in the ertugliflozin 5 mg group and 2 subjects in the placebo group, were incorrectly stratified with regards to postmenopausal status by the IVR/IWR system </w:t>
      </w:r>
      <w:proofErr w:type="gramStart"/>
      <w:r w:rsidRPr="009C244A">
        <w:t>The</w:t>
      </w:r>
      <w:proofErr w:type="gramEnd"/>
      <w:r w:rsidRPr="009C244A">
        <w:t xml:space="preserve"> stratification was not corrected in analyses. Baseline demographic and anthropometric characteristics were </w:t>
      </w:r>
      <w:r w:rsidRPr="00A216B0">
        <w:t>similar between-treatment groups</w:t>
      </w:r>
      <w:r w:rsidR="00A216B0" w:rsidRPr="00A216B0">
        <w:t>.</w:t>
      </w:r>
      <w:r w:rsidRPr="00A216B0">
        <w:t xml:space="preserve"> Baseline HbA1c, FPG, and eGFR values were similar between groups (Table </w:t>
      </w:r>
      <w:r w:rsidR="00A216B0" w:rsidRPr="00A216B0">
        <w:t>41</w:t>
      </w:r>
      <w:r w:rsidRPr="00A216B0">
        <w:t>).</w:t>
      </w:r>
    </w:p>
    <w:p w:rsidR="00A216B0" w:rsidRPr="00C738A2" w:rsidRDefault="00A216B0" w:rsidP="00A216B0">
      <w:pPr>
        <w:pStyle w:val="Tabletitle"/>
      </w:pPr>
      <w:bookmarkStart w:id="403" w:name="_Ref492028009"/>
      <w:bookmarkStart w:id="404" w:name="_Toc504038423"/>
      <w:r w:rsidRPr="00C738A2">
        <w:t xml:space="preserve">Table </w:t>
      </w:r>
      <w:r>
        <w:t xml:space="preserve">41: </w:t>
      </w:r>
      <w:r w:rsidRPr="00C738A2">
        <w:t>Subjects with specific concomitant medicat</w:t>
      </w:r>
      <w:r>
        <w:t>i</w:t>
      </w:r>
      <w:r w:rsidRPr="00C738A2">
        <w:t>ons (incide</w:t>
      </w:r>
      <w:r>
        <w:t>n</w:t>
      </w:r>
      <w:r w:rsidRPr="00C738A2">
        <w:t xml:space="preserve">ce </w:t>
      </w:r>
      <w:r w:rsidR="009F0961">
        <w:t>≥</w:t>
      </w:r>
      <w:r w:rsidRPr="00E7616B">
        <w:t xml:space="preserve"> </w:t>
      </w:r>
      <w:r w:rsidRPr="00C738A2">
        <w:t>5% in 1 or more treatment groups; all subjects treated) Phase A</w:t>
      </w:r>
      <w:bookmarkEnd w:id="403"/>
      <w:bookmarkEnd w:id="404"/>
    </w:p>
    <w:p w:rsidR="00A216B0" w:rsidRDefault="00A216B0" w:rsidP="00CC2A5D">
      <w:r w:rsidRPr="00C738A2">
        <w:rPr>
          <w:noProof/>
          <w:lang w:eastAsia="en-AU"/>
        </w:rPr>
        <w:drawing>
          <wp:inline distT="0" distB="0" distL="0" distR="0" wp14:anchorId="77B9B37D" wp14:editId="2A27B6DA">
            <wp:extent cx="5731510" cy="3616954"/>
            <wp:effectExtent l="0" t="0" r="2540" b="3175"/>
            <wp:docPr id="128" name="Picture 128" descr="Subjects with specific concomitant medications (incidence &gt; 5% in 1 or more treatment groups; all subjects treated) Phas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lum bright="-20000" contrast="40000"/>
                      <a:extLst>
                        <a:ext uri="{28A0092B-C50C-407E-A947-70E740481C1C}">
                          <a14:useLocalDpi xmlns:a14="http://schemas.microsoft.com/office/drawing/2010/main" val="0"/>
                        </a:ext>
                      </a:extLst>
                    </a:blip>
                    <a:srcRect/>
                    <a:stretch>
                      <a:fillRect/>
                    </a:stretch>
                  </pic:blipFill>
                  <pic:spPr bwMode="auto">
                    <a:xfrm>
                      <a:off x="0" y="0"/>
                      <a:ext cx="5731510" cy="3616954"/>
                    </a:xfrm>
                    <a:prstGeom prst="rect">
                      <a:avLst/>
                    </a:prstGeom>
                    <a:noFill/>
                    <a:ln>
                      <a:noFill/>
                    </a:ln>
                  </pic:spPr>
                </pic:pic>
              </a:graphicData>
            </a:graphic>
          </wp:inline>
        </w:drawing>
      </w:r>
    </w:p>
    <w:p w:rsidR="00A216B0" w:rsidRPr="00C738A2" w:rsidRDefault="00A216B0" w:rsidP="00A216B0">
      <w:pPr>
        <w:pStyle w:val="Tabletitle"/>
        <w:rPr>
          <w:rFonts w:ascii="Calibri" w:hAnsi="Calibri" w:cs="Calibri"/>
          <w:sz w:val="20"/>
          <w:szCs w:val="20"/>
        </w:rPr>
      </w:pPr>
      <w:r>
        <w:lastRenderedPageBreak/>
        <w:t xml:space="preserve">Table 41 </w:t>
      </w:r>
      <w:r w:rsidR="00AC366E">
        <w:t>(</w:t>
      </w:r>
      <w:r>
        <w:t>continued</w:t>
      </w:r>
      <w:r w:rsidR="00AC366E">
        <w:t>)</w:t>
      </w:r>
      <w:r>
        <w:t xml:space="preserve">: </w:t>
      </w:r>
      <w:r w:rsidRPr="00C738A2">
        <w:t>Subjects with specific concomitant medicat</w:t>
      </w:r>
      <w:r>
        <w:t>i</w:t>
      </w:r>
      <w:r w:rsidRPr="00C738A2">
        <w:t>ons (incide</w:t>
      </w:r>
      <w:r>
        <w:t>n</w:t>
      </w:r>
      <w:r w:rsidRPr="00C738A2">
        <w:t xml:space="preserve">ce </w:t>
      </w:r>
      <w:r w:rsidR="00AC366E" w:rsidRPr="00AC366E">
        <w:t>≥</w:t>
      </w:r>
      <w:r w:rsidR="00AC366E" w:rsidRPr="00E7616B">
        <w:t xml:space="preserve"> </w:t>
      </w:r>
      <w:r w:rsidRPr="00C738A2">
        <w:t>5% in 1 or more treatment groups; all subjects treated) Phase A</w:t>
      </w:r>
    </w:p>
    <w:p w:rsidR="00A216B0" w:rsidRDefault="001370F4" w:rsidP="00CC2A5D">
      <w:pPr>
        <w:rPr>
          <w:rFonts w:asciiTheme="minorHAnsi" w:eastAsiaTheme="minorHAnsi" w:hAnsiTheme="minorHAnsi"/>
        </w:rPr>
      </w:pPr>
      <w:r>
        <w:rPr>
          <w:noProof/>
          <w:lang w:eastAsia="en-AU"/>
        </w:rPr>
        <w:drawing>
          <wp:inline distT="0" distB="0" distL="0" distR="0" wp14:anchorId="509E8703" wp14:editId="6CAE524F">
            <wp:extent cx="5731510" cy="4042674"/>
            <wp:effectExtent l="0" t="0" r="2540" b="0"/>
            <wp:docPr id="16" name="Picture 16" descr="Subjects with specific concomitant medications (incidence &gt; 5% in 1 or more treatment groups; all subjects treated) Phas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4042674"/>
                    </a:xfrm>
                    <a:prstGeom prst="rect">
                      <a:avLst/>
                    </a:prstGeom>
                  </pic:spPr>
                </pic:pic>
              </a:graphicData>
            </a:graphic>
          </wp:inline>
        </w:drawing>
      </w:r>
    </w:p>
    <w:p w:rsidR="002E5CF1" w:rsidRDefault="002E5CF1" w:rsidP="001F7376">
      <w:r w:rsidRPr="009C244A">
        <w:t>In order to be enrolled in the study, subjects were required to be on a stable dose of metformin monotherapy; therefore, 100% of subjects were taking drugs used for diabetes</w:t>
      </w:r>
      <w:r>
        <w:t xml:space="preserve"> (~30% of subject were on two AHAs prior to study enrolment)</w:t>
      </w:r>
      <w:r w:rsidRPr="009C244A">
        <w:t>. The other most common prior medication categories were agents acting on the renin-angiotensin system</w:t>
      </w:r>
      <w:r>
        <w:t xml:space="preserve"> </w:t>
      </w:r>
      <w:r w:rsidRPr="009C244A">
        <w:t>(60.5%), lipid modifying agents (56.7%) and analgesics (35.9%)</w:t>
      </w:r>
      <w:r>
        <w:t xml:space="preserve"> with </w:t>
      </w:r>
      <w:r w:rsidRPr="009C244A">
        <w:t>no clinically important differences between-treatment groups</w:t>
      </w:r>
      <w:r w:rsidR="001370F4">
        <w:t>.</w:t>
      </w:r>
      <w:r w:rsidRPr="009C244A">
        <w:t xml:space="preserve"> Following </w:t>
      </w:r>
      <w:r>
        <w:t>randomisation</w:t>
      </w:r>
      <w:r w:rsidRPr="009C244A">
        <w:t>, subjects were to remain on metformin during the study. The most common concomitant drug therapeutic categories were agents acting on the renin-angiotensin system (61.5%), lipid modifying agents (58.8</w:t>
      </w:r>
      <w:r w:rsidRPr="001370F4">
        <w:t xml:space="preserve">%) and analgesics (41.1%) with no clinically important differences between-treatment groups (Table </w:t>
      </w:r>
      <w:r w:rsidR="001370F4" w:rsidRPr="001370F4">
        <w:t>42</w:t>
      </w:r>
      <w:r w:rsidRPr="001370F4">
        <w:t xml:space="preserve">). </w:t>
      </w:r>
      <w:r w:rsidRPr="009A3027">
        <w:rPr>
          <w:color w:val="000000"/>
        </w:rPr>
        <w:t>The duration of</w:t>
      </w:r>
      <w:r>
        <w:rPr>
          <w:color w:val="000000"/>
        </w:rPr>
        <w:t xml:space="preserve"> </w:t>
      </w:r>
      <w:r w:rsidRPr="009A3027">
        <w:rPr>
          <w:color w:val="000000"/>
        </w:rPr>
        <w:t>T2DM and the background AHA therapy were similar between the 3 treatment groups. All</w:t>
      </w:r>
      <w:r>
        <w:rPr>
          <w:color w:val="000000"/>
        </w:rPr>
        <w:t xml:space="preserve"> </w:t>
      </w:r>
      <w:r w:rsidRPr="009A3027">
        <w:rPr>
          <w:color w:val="000000"/>
        </w:rPr>
        <w:t xml:space="preserve">subjects were on background AHA therapy (99.8% on metformin, 26.4% on </w:t>
      </w:r>
      <w:r>
        <w:rPr>
          <w:color w:val="000000"/>
        </w:rPr>
        <w:t>SUs</w:t>
      </w:r>
      <w:r w:rsidRPr="009A3027">
        <w:rPr>
          <w:color w:val="000000"/>
        </w:rPr>
        <w:t xml:space="preserve"> and 3.4% on DPP-4 inhibitors). One (1) subject in the ertugliflozin 15 mg group was not on biguanides (metformin) at S1 visit, but started at S2 visit. The overall mean and median dose of metformin at </w:t>
      </w:r>
      <w:r>
        <w:rPr>
          <w:color w:val="000000"/>
        </w:rPr>
        <w:t>randomisation</w:t>
      </w:r>
      <w:r w:rsidRPr="009A3027">
        <w:rPr>
          <w:color w:val="000000"/>
        </w:rPr>
        <w:t xml:space="preserve"> was approximately 2000 mg/day and was similar across all groups. No subject was on a minimum metformin dose &lt;</w:t>
      </w:r>
      <w:r w:rsidR="001F7376">
        <w:rPr>
          <w:color w:val="000000"/>
        </w:rPr>
        <w:t xml:space="preserve"> </w:t>
      </w:r>
      <w:r w:rsidRPr="009A3027">
        <w:rPr>
          <w:color w:val="000000"/>
        </w:rPr>
        <w:t xml:space="preserve">1500 mg/day at </w:t>
      </w:r>
      <w:r>
        <w:rPr>
          <w:color w:val="000000"/>
        </w:rPr>
        <w:t>randomisation</w:t>
      </w:r>
      <w:r w:rsidR="001370F4">
        <w:rPr>
          <w:color w:val="000000"/>
        </w:rPr>
        <w:t>.</w:t>
      </w:r>
      <w:r w:rsidRPr="009A3027">
        <w:rPr>
          <w:b/>
          <w:color w:val="000000"/>
        </w:rPr>
        <w:t xml:space="preserve"> </w:t>
      </w:r>
      <w:r w:rsidRPr="009A3027">
        <w:rPr>
          <w:color w:val="000000"/>
        </w:rPr>
        <w:t>Besides T2DM, t</w:t>
      </w:r>
      <w:r w:rsidRPr="009A3027">
        <w:t>he other most common</w:t>
      </w:r>
      <w:r>
        <w:t xml:space="preserve"> </w:t>
      </w:r>
      <w:r w:rsidRPr="009A3027">
        <w:t>categories of medical history conditions by SOC were Metabolism and nutrition disorders</w:t>
      </w:r>
      <w:r>
        <w:t xml:space="preserve"> </w:t>
      </w:r>
      <w:r w:rsidRPr="009A3027">
        <w:t>(74.7%), Vascular disorders (72.6%) and Social circumstances (71.8%) primarily due to the</w:t>
      </w:r>
      <w:r>
        <w:t xml:space="preserve"> </w:t>
      </w:r>
      <w:r w:rsidRPr="009A3027">
        <w:t>collection of male circumcision status in this study. The most common (&gt;</w:t>
      </w:r>
      <w:r w:rsidR="001F7376">
        <w:t xml:space="preserve"> </w:t>
      </w:r>
      <w:r w:rsidRPr="009A3027">
        <w:t>25% of subjects)</w:t>
      </w:r>
      <w:r>
        <w:t xml:space="preserve"> </w:t>
      </w:r>
      <w:r w:rsidRPr="009A3027">
        <w:t>specific medical history conditions (by PT) were hypertension (70.4%), hyperlipidaemia</w:t>
      </w:r>
      <w:r>
        <w:t xml:space="preserve"> (27.1%)</w:t>
      </w:r>
      <w:r w:rsidRPr="009A3027">
        <w:t xml:space="preserve"> and dyslipidaemia (25.6%)</w:t>
      </w:r>
      <w:r>
        <w:t xml:space="preserve"> with </w:t>
      </w:r>
      <w:r w:rsidRPr="009A3027">
        <w:t>no clinically important differences among</w:t>
      </w:r>
      <w:r>
        <w:t xml:space="preserve"> </w:t>
      </w:r>
      <w:r w:rsidRPr="009A3027">
        <w:t>treatment groups</w:t>
      </w:r>
      <w:r w:rsidR="001370F4">
        <w:t>.</w:t>
      </w:r>
      <w:r w:rsidRPr="009A3027">
        <w:t xml:space="preserve"> </w:t>
      </w:r>
      <w:r w:rsidRPr="009A3027">
        <w:rPr>
          <w:rFonts w:cs="TimesNewRomanPSMT"/>
        </w:rPr>
        <w:t xml:space="preserve">Mean compliance with study medication was </w:t>
      </w:r>
      <w:r w:rsidR="002E1032">
        <w:rPr>
          <w:color w:val="000000"/>
        </w:rPr>
        <w:t xml:space="preserve">≥ </w:t>
      </w:r>
      <w:r w:rsidRPr="009A3027">
        <w:rPr>
          <w:rFonts w:cs="TimesNewRomanPSMT"/>
        </w:rPr>
        <w:t>98%</w:t>
      </w:r>
      <w:r>
        <w:rPr>
          <w:rFonts w:cs="TimesNewRomanPSMT"/>
        </w:rPr>
        <w:t xml:space="preserve"> </w:t>
      </w:r>
      <w:r w:rsidRPr="009A3027">
        <w:t>in each treatment group</w:t>
      </w:r>
      <w:r w:rsidR="001370F4">
        <w:t>.</w:t>
      </w:r>
    </w:p>
    <w:p w:rsidR="00077D07" w:rsidRDefault="001370F4" w:rsidP="00077D07">
      <w:pPr>
        <w:pStyle w:val="Tabletitle"/>
      </w:pPr>
      <w:bookmarkStart w:id="405" w:name="_Ref492028028"/>
      <w:bookmarkStart w:id="406" w:name="_Toc504038425"/>
      <w:r w:rsidRPr="00C738A2">
        <w:lastRenderedPageBreak/>
        <w:t xml:space="preserve">Table </w:t>
      </w:r>
      <w:r>
        <w:t>42</w:t>
      </w:r>
      <w:r w:rsidRPr="00C738A2">
        <w:t>:</w:t>
      </w:r>
      <w:r>
        <w:t xml:space="preserve"> </w:t>
      </w:r>
      <w:r w:rsidRPr="00C738A2">
        <w:t xml:space="preserve">Subject characteristics baseline </w:t>
      </w:r>
      <w:r w:rsidR="00AC366E">
        <w:t>Hb</w:t>
      </w:r>
      <w:r w:rsidR="00AC366E" w:rsidRPr="00C738A2">
        <w:t>A1</w:t>
      </w:r>
      <w:r w:rsidR="00AC366E">
        <w:t>c</w:t>
      </w:r>
      <w:r w:rsidRPr="00C738A2">
        <w:t xml:space="preserve">, FPG, </w:t>
      </w:r>
      <w:proofErr w:type="spellStart"/>
      <w:r w:rsidRPr="00C738A2">
        <w:t>eGFR</w:t>
      </w:r>
      <w:proofErr w:type="spellEnd"/>
      <w:r w:rsidRPr="00C738A2">
        <w:t xml:space="preserve"> (US units; all subjects treated)</w:t>
      </w:r>
      <w:bookmarkEnd w:id="405"/>
      <w:bookmarkEnd w:id="406"/>
    </w:p>
    <w:p w:rsidR="001370F4" w:rsidRPr="009A3027" w:rsidRDefault="001370F4" w:rsidP="00077D07">
      <w:pPr>
        <w:rPr>
          <w:rFonts w:asciiTheme="minorHAnsi" w:eastAsiaTheme="minorHAnsi" w:hAnsiTheme="minorHAnsi"/>
          <w:b/>
        </w:rPr>
      </w:pPr>
      <w:r>
        <w:rPr>
          <w:noProof/>
          <w:lang w:eastAsia="en-AU"/>
        </w:rPr>
        <w:drawing>
          <wp:inline distT="0" distB="0" distL="0" distR="0" wp14:anchorId="769880D4" wp14:editId="53934704">
            <wp:extent cx="5731510" cy="3723644"/>
            <wp:effectExtent l="0" t="0" r="2540" b="0"/>
            <wp:docPr id="17" name="Picture 17" descr="Subject characteristics baseline A1C, FPG, eGFR (US unit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Lst>
                    </a:blip>
                    <a:stretch>
                      <a:fillRect/>
                    </a:stretch>
                  </pic:blipFill>
                  <pic:spPr>
                    <a:xfrm>
                      <a:off x="0" y="0"/>
                      <a:ext cx="5731510" cy="3723644"/>
                    </a:xfrm>
                    <a:prstGeom prst="rect">
                      <a:avLst/>
                    </a:prstGeom>
                  </pic:spPr>
                </pic:pic>
              </a:graphicData>
            </a:graphic>
          </wp:inline>
        </w:drawing>
      </w:r>
    </w:p>
    <w:p w:rsidR="002E5CF1" w:rsidRPr="009C244A" w:rsidRDefault="002E5CF1" w:rsidP="001370F4">
      <w:pPr>
        <w:pStyle w:val="Heading5"/>
      </w:pPr>
      <w:r w:rsidRPr="009C244A">
        <w:t>Primary efficacy results</w:t>
      </w:r>
    </w:p>
    <w:p w:rsidR="002E5CF1" w:rsidRPr="0001597F" w:rsidRDefault="002E5CF1" w:rsidP="001F7376">
      <w:r>
        <w:t xml:space="preserve">Compared with placebo, the </w:t>
      </w:r>
      <w:r w:rsidRPr="008577D3">
        <w:t xml:space="preserve">LS mean reduction from baseline in </w:t>
      </w:r>
      <w:r>
        <w:t>HbA1c</w:t>
      </w:r>
      <w:r w:rsidRPr="008577D3">
        <w:t xml:space="preserve"> at Week 26 was significantly greater (</w:t>
      </w:r>
      <w:r w:rsidR="00FB1E32">
        <w:t>p &lt; 0</w:t>
      </w:r>
      <w:r w:rsidRPr="008577D3">
        <w:t>.001 for both comparisons)</w:t>
      </w:r>
      <w:r>
        <w:t xml:space="preserve"> for both e</w:t>
      </w:r>
      <w:r w:rsidRPr="008577D3">
        <w:t xml:space="preserve">rtugliflozin </w:t>
      </w:r>
      <w:r>
        <w:t>5 mg</w:t>
      </w:r>
      <w:r w:rsidRPr="008577D3">
        <w:t xml:space="preserve"> (</w:t>
      </w:r>
      <w:r>
        <w:t xml:space="preserve">placebo </w:t>
      </w:r>
      <w:r w:rsidRPr="0001597F">
        <w:t xml:space="preserve">subtracted difference =-0.70, 95% CI: -0.87, -0.53) and 15 mg (-0.88, 95% CI: -1.05, -0.71) groups (Table </w:t>
      </w:r>
      <w:r w:rsidR="001370F4" w:rsidRPr="0001597F">
        <w:t>43</w:t>
      </w:r>
      <w:r w:rsidRPr="0001597F">
        <w:t xml:space="preserve">). Large reductions in mean HbA1c in the ertugliflozin groups through Week 12 were followed by smaller reductions through Week 26. The point estimate of the reduction in HbA1c was numerically greater in the ertugliflozin 15 mg group than in the ertugliflozin 5 mg group at each time point. In the placebo group, there was no clinically meaningful change from baseline in HbA1c throughout the study (Figure </w:t>
      </w:r>
      <w:r w:rsidR="001370F4" w:rsidRPr="0001597F">
        <w:t>7</w:t>
      </w:r>
      <w:r w:rsidRPr="0001597F">
        <w:t>)</w:t>
      </w:r>
      <w:r w:rsidR="0001597F">
        <w:t>.</w:t>
      </w:r>
    </w:p>
    <w:p w:rsidR="001C748D" w:rsidRPr="0001597F" w:rsidRDefault="002E5CF1" w:rsidP="001F7376">
      <w:r w:rsidRPr="0001597F">
        <w:t xml:space="preserve">LS mean reductions from baseline in HbA1c were greater in the ertugliflozin 15 mg and 5 mg groups than in the placebo group across all subgroup categories. Additionally, the numerically greater reduction in HbA1c with ertugliflozin 15 mg relative to 5 mg was seen consistently across all subgroups. Reductions in HbA1c in the ertugliflozin groups relative to the placebo group were numerically greater in the subgroup of subjects with a baseline HbA1c </w:t>
      </w:r>
      <w:r w:rsidR="002E1032" w:rsidRPr="0001597F">
        <w:t xml:space="preserve">≥ </w:t>
      </w:r>
      <w:r w:rsidRPr="0001597F">
        <w:rPr>
          <w:rFonts w:cs="TimesNewRomanPSMT"/>
        </w:rPr>
        <w:t xml:space="preserve">9%, followed by those with HbA1c </w:t>
      </w:r>
      <w:r w:rsidR="002E1032" w:rsidRPr="0001597F">
        <w:t xml:space="preserve">≥ </w:t>
      </w:r>
      <w:r w:rsidRPr="0001597F">
        <w:rPr>
          <w:rFonts w:cs="TimesNewRomanPSMT"/>
        </w:rPr>
        <w:t>8% to &lt;</w:t>
      </w:r>
      <w:r w:rsidR="001F7376">
        <w:rPr>
          <w:rFonts w:cs="TimesNewRomanPSMT"/>
        </w:rPr>
        <w:t xml:space="preserve"> </w:t>
      </w:r>
      <w:r w:rsidRPr="0001597F">
        <w:rPr>
          <w:rFonts w:cs="TimesNewRomanPSMT"/>
        </w:rPr>
        <w:t xml:space="preserve">9% at baseline and lowest in those with a </w:t>
      </w:r>
      <w:r w:rsidRPr="0001597F">
        <w:t>baseline HbA1c &lt;</w:t>
      </w:r>
      <w:r w:rsidR="001F7376">
        <w:t xml:space="preserve"> </w:t>
      </w:r>
      <w:r w:rsidRPr="0001597F">
        <w:t xml:space="preserve">8%. Reductions in HbA1c in the ertugliflozin groups relative to the placebo group were also numerically </w:t>
      </w:r>
      <w:r w:rsidRPr="0001597F">
        <w:rPr>
          <w:rFonts w:cs="TimesNewRomanPSMT"/>
        </w:rPr>
        <w:t xml:space="preserve">greater in the subgroup of subjects with a baseline median age of </w:t>
      </w:r>
      <w:r w:rsidR="003B751A" w:rsidRPr="0001597F">
        <w:rPr>
          <w:rFonts w:cs="TimesNewRomanPSMT"/>
        </w:rPr>
        <w:t xml:space="preserve">≤ </w:t>
      </w:r>
      <w:r w:rsidRPr="0001597F">
        <w:rPr>
          <w:rFonts w:cs="TimesNewRomanPSMT"/>
        </w:rPr>
        <w:t>58 years</w:t>
      </w:r>
      <w:r w:rsidR="00CA2F4B" w:rsidRPr="0001597F">
        <w:rPr>
          <w:rFonts w:cs="TimesNewRomanPSMT"/>
        </w:rPr>
        <w:t xml:space="preserve"> versus</w:t>
      </w:r>
      <w:r w:rsidRPr="0001597F">
        <w:rPr>
          <w:rFonts w:cs="TimesNewRomanPSMT"/>
        </w:rPr>
        <w:t xml:space="preserve"> those </w:t>
      </w:r>
      <w:r w:rsidRPr="0001597F">
        <w:t>with a baseline median age of &gt;</w:t>
      </w:r>
      <w:r w:rsidR="001F7376">
        <w:t xml:space="preserve"> </w:t>
      </w:r>
      <w:r w:rsidRPr="0001597F">
        <w:t xml:space="preserve">58 years (Table </w:t>
      </w:r>
      <w:r w:rsidR="001C748D" w:rsidRPr="0001597F">
        <w:t>44</w:t>
      </w:r>
      <w:r w:rsidRPr="0001597F">
        <w:t xml:space="preserve">). The improvements in HbA1c in the ertugliflozin groups relative to the placebo group were not affected by gender or race (Figure </w:t>
      </w:r>
      <w:r w:rsidR="001C748D" w:rsidRPr="0001597F">
        <w:t>8</w:t>
      </w:r>
      <w:r w:rsidRPr="0001597F">
        <w:t>).</w:t>
      </w:r>
      <w:bookmarkStart w:id="407" w:name="_Ref492028040"/>
      <w:bookmarkStart w:id="408" w:name="_Toc504038429"/>
    </w:p>
    <w:p w:rsidR="00D646A8" w:rsidRDefault="001370F4" w:rsidP="001C748D">
      <w:pPr>
        <w:pStyle w:val="Tabletitle"/>
      </w:pPr>
      <w:r w:rsidRPr="00C738A2">
        <w:lastRenderedPageBreak/>
        <w:t xml:space="preserve">Table </w:t>
      </w:r>
      <w:r w:rsidR="001C748D">
        <w:t>43: Hb</w:t>
      </w:r>
      <w:r w:rsidRPr="00C738A2">
        <w:t>A1</w:t>
      </w:r>
      <w:r w:rsidR="00077D07">
        <w:t>c</w:t>
      </w:r>
      <w:r w:rsidRPr="00C738A2">
        <w:t xml:space="preserve"> (%) change from </w:t>
      </w:r>
      <w:r w:rsidR="00AC366E">
        <w:t>B</w:t>
      </w:r>
      <w:r w:rsidR="00AC366E" w:rsidRPr="00C738A2">
        <w:t xml:space="preserve">aseline </w:t>
      </w:r>
      <w:r w:rsidRPr="00C738A2">
        <w:t xml:space="preserve">at </w:t>
      </w:r>
      <w:r w:rsidR="00686AEA">
        <w:t>Week 26</w:t>
      </w:r>
      <w:r w:rsidRPr="00C738A2">
        <w:t xml:space="preserve"> (cLDA) (FAS: excluding rescue approach)</w:t>
      </w:r>
      <w:bookmarkEnd w:id="407"/>
      <w:bookmarkEnd w:id="408"/>
    </w:p>
    <w:p w:rsidR="001C748D" w:rsidRPr="001C748D" w:rsidRDefault="001C748D" w:rsidP="00077D07">
      <w:r>
        <w:rPr>
          <w:noProof/>
          <w:lang w:eastAsia="en-AU"/>
        </w:rPr>
        <w:drawing>
          <wp:inline distT="0" distB="0" distL="0" distR="0" wp14:anchorId="541843FC" wp14:editId="41F50B17">
            <wp:extent cx="4824976" cy="2860964"/>
            <wp:effectExtent l="0" t="0" r="0" b="0"/>
            <wp:docPr id="18" name="Picture 18" descr="HbA1C (%) change from baseline at week 26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Lst>
                    </a:blip>
                    <a:stretch>
                      <a:fillRect/>
                    </a:stretch>
                  </pic:blipFill>
                  <pic:spPr>
                    <a:xfrm>
                      <a:off x="0" y="0"/>
                      <a:ext cx="4821897" cy="2859139"/>
                    </a:xfrm>
                    <a:prstGeom prst="rect">
                      <a:avLst/>
                    </a:prstGeom>
                  </pic:spPr>
                </pic:pic>
              </a:graphicData>
            </a:graphic>
          </wp:inline>
        </w:drawing>
      </w:r>
    </w:p>
    <w:p w:rsidR="001370F4" w:rsidRPr="00C738A2" w:rsidRDefault="001370F4" w:rsidP="001C748D">
      <w:pPr>
        <w:pStyle w:val="FigureTitle"/>
      </w:pPr>
      <w:bookmarkStart w:id="409" w:name="_Ref492028042"/>
      <w:bookmarkStart w:id="410" w:name="_Toc504038430"/>
      <w:r w:rsidRPr="00C738A2">
        <w:t xml:space="preserve">Figure </w:t>
      </w:r>
      <w:r w:rsidR="001C748D">
        <w:t xml:space="preserve">7: </w:t>
      </w:r>
      <w:r w:rsidR="00AC366E">
        <w:t>Hb</w:t>
      </w:r>
      <w:r w:rsidR="00AC366E" w:rsidRPr="00C738A2">
        <w:t>A1</w:t>
      </w:r>
      <w:r w:rsidR="00AC366E">
        <w:t>c</w:t>
      </w:r>
      <w:r w:rsidR="00AC366E" w:rsidRPr="00C738A2">
        <w:t xml:space="preserve"> </w:t>
      </w:r>
      <w:r w:rsidRPr="00C738A2">
        <w:t>(%) LS mean change from baseline over time (cLDA) (FAS: excluding rescue approach)</w:t>
      </w:r>
      <w:bookmarkEnd w:id="409"/>
      <w:bookmarkEnd w:id="410"/>
    </w:p>
    <w:p w:rsidR="001370F4" w:rsidRPr="00C738A2" w:rsidRDefault="001370F4" w:rsidP="00077D07">
      <w:r w:rsidRPr="00C738A2">
        <w:t xml:space="preserve"> </w:t>
      </w:r>
      <w:r w:rsidRPr="00C738A2">
        <w:rPr>
          <w:noProof/>
          <w:lang w:eastAsia="en-AU"/>
        </w:rPr>
        <w:drawing>
          <wp:inline distT="0" distB="0" distL="0" distR="0" wp14:anchorId="70B74473" wp14:editId="41C9DA7A">
            <wp:extent cx="3939404" cy="3068782"/>
            <wp:effectExtent l="0" t="0" r="4445" b="0"/>
            <wp:docPr id="150" name="Picture 150" descr="HbA1c (%)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lum bright="-20000" contrast="40000"/>
                      <a:extLst>
                        <a:ext uri="{28A0092B-C50C-407E-A947-70E740481C1C}">
                          <a14:useLocalDpi xmlns:a14="http://schemas.microsoft.com/office/drawing/2010/main" val="0"/>
                        </a:ext>
                      </a:extLst>
                    </a:blip>
                    <a:srcRect/>
                    <a:stretch>
                      <a:fillRect/>
                    </a:stretch>
                  </pic:blipFill>
                  <pic:spPr bwMode="auto">
                    <a:xfrm>
                      <a:off x="0" y="0"/>
                      <a:ext cx="3938008" cy="3067695"/>
                    </a:xfrm>
                    <a:prstGeom prst="rect">
                      <a:avLst/>
                    </a:prstGeom>
                    <a:noFill/>
                    <a:ln>
                      <a:noFill/>
                    </a:ln>
                  </pic:spPr>
                </pic:pic>
              </a:graphicData>
            </a:graphic>
          </wp:inline>
        </w:drawing>
      </w:r>
    </w:p>
    <w:p w:rsidR="001370F4" w:rsidRPr="00C738A2" w:rsidRDefault="001370F4" w:rsidP="001C748D">
      <w:pPr>
        <w:pStyle w:val="Tabletitle"/>
      </w:pPr>
      <w:bookmarkStart w:id="411" w:name="_Ref492028045"/>
      <w:bookmarkStart w:id="412" w:name="_Toc504038431"/>
      <w:r w:rsidRPr="00C738A2">
        <w:lastRenderedPageBreak/>
        <w:t xml:space="preserve">Table </w:t>
      </w:r>
      <w:r w:rsidR="001C748D">
        <w:t xml:space="preserve">44: </w:t>
      </w:r>
      <w:r w:rsidR="00AC366E">
        <w:t>Hb</w:t>
      </w:r>
      <w:r w:rsidR="00AC366E" w:rsidRPr="00C738A2">
        <w:t>A1</w:t>
      </w:r>
      <w:r w:rsidR="00AC366E">
        <w:t>c</w:t>
      </w:r>
      <w:r w:rsidR="00AC366E" w:rsidRPr="00C738A2">
        <w:t xml:space="preserve"> </w:t>
      </w:r>
      <w:r w:rsidRPr="00C738A2">
        <w:t xml:space="preserve">(%) Change from </w:t>
      </w:r>
      <w:r w:rsidR="00AC366E">
        <w:t>B</w:t>
      </w:r>
      <w:r w:rsidR="00AC366E" w:rsidRPr="00C738A2">
        <w:t xml:space="preserve">aseline </w:t>
      </w:r>
      <w:r w:rsidRPr="00C738A2">
        <w:t xml:space="preserve">at </w:t>
      </w:r>
      <w:r w:rsidR="00686AEA">
        <w:t>Week 26</w:t>
      </w:r>
      <w:r w:rsidRPr="00C738A2">
        <w:t xml:space="preserve"> (repeated measures analysis of covariance subgroup analysis (FAS: excluding rescue approach)</w:t>
      </w:r>
      <w:bookmarkEnd w:id="411"/>
      <w:bookmarkEnd w:id="412"/>
    </w:p>
    <w:p w:rsidR="001370F4" w:rsidRPr="00077D07" w:rsidRDefault="001370F4" w:rsidP="001370F4">
      <w:pPr>
        <w:autoSpaceDE w:val="0"/>
        <w:autoSpaceDN w:val="0"/>
        <w:adjustRightInd w:val="0"/>
        <w:spacing w:line="240" w:lineRule="auto"/>
      </w:pPr>
      <w:r w:rsidRPr="00C738A2">
        <w:rPr>
          <w:rFonts w:ascii="Calibri" w:hAnsi="Calibri" w:cs="Calibri"/>
          <w:sz w:val="20"/>
          <w:szCs w:val="20"/>
        </w:rPr>
        <w:t xml:space="preserve"> </w:t>
      </w:r>
      <w:r w:rsidR="001C748D">
        <w:rPr>
          <w:noProof/>
          <w:lang w:eastAsia="en-AU"/>
        </w:rPr>
        <w:drawing>
          <wp:inline distT="0" distB="0" distL="0" distR="0" wp14:anchorId="77CF46F8" wp14:editId="65E29153">
            <wp:extent cx="4569775" cy="6723530"/>
            <wp:effectExtent l="0" t="0" r="2540" b="1270"/>
            <wp:docPr id="19" name="Picture 19" descr="HbA1c (%) Change from Baseline at Week 26 (repeated measures analysis of covariance subgroup analysis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Lst>
                    </a:blip>
                    <a:stretch>
                      <a:fillRect/>
                    </a:stretch>
                  </pic:blipFill>
                  <pic:spPr>
                    <a:xfrm>
                      <a:off x="0" y="0"/>
                      <a:ext cx="4568414" cy="6721527"/>
                    </a:xfrm>
                    <a:prstGeom prst="rect">
                      <a:avLst/>
                    </a:prstGeom>
                  </pic:spPr>
                </pic:pic>
              </a:graphicData>
            </a:graphic>
          </wp:inline>
        </w:drawing>
      </w:r>
    </w:p>
    <w:p w:rsidR="001370F4" w:rsidRDefault="001370F4" w:rsidP="001C748D">
      <w:pPr>
        <w:pStyle w:val="Tabletitle"/>
      </w:pPr>
      <w:bookmarkStart w:id="413" w:name="_Toc504038432"/>
      <w:r w:rsidRPr="00C738A2">
        <w:lastRenderedPageBreak/>
        <w:t xml:space="preserve">Table </w:t>
      </w:r>
      <w:r w:rsidR="001C748D">
        <w:t>44</w:t>
      </w:r>
      <w:r w:rsidRPr="00C738A2">
        <w:t xml:space="preserve"> </w:t>
      </w:r>
      <w:r w:rsidR="00AC366E">
        <w:t>(</w:t>
      </w:r>
      <w:r w:rsidRPr="00C738A2">
        <w:t>cont</w:t>
      </w:r>
      <w:r w:rsidR="001C748D">
        <w:t>inued</w:t>
      </w:r>
      <w:r w:rsidR="00AC366E">
        <w:t>)</w:t>
      </w:r>
      <w:r w:rsidRPr="00C738A2">
        <w:t>:</w:t>
      </w:r>
      <w:bookmarkEnd w:id="413"/>
      <w:r w:rsidR="001C748D">
        <w:t xml:space="preserve"> </w:t>
      </w:r>
      <w:r w:rsidR="001C748D" w:rsidRPr="001C748D">
        <w:t>HbA1</w:t>
      </w:r>
      <w:r w:rsidR="00077D07">
        <w:t>c</w:t>
      </w:r>
      <w:r w:rsidR="001C748D" w:rsidRPr="001C748D">
        <w:t xml:space="preserve"> (%) Change from </w:t>
      </w:r>
      <w:r w:rsidR="00AC366E">
        <w:t>B</w:t>
      </w:r>
      <w:r w:rsidR="00AC366E" w:rsidRPr="001C748D">
        <w:t xml:space="preserve">aseline </w:t>
      </w:r>
      <w:r w:rsidR="001C748D" w:rsidRPr="001C748D">
        <w:t xml:space="preserve">at </w:t>
      </w:r>
      <w:r w:rsidR="00686AEA">
        <w:t>Week 26</w:t>
      </w:r>
      <w:r w:rsidR="001C748D" w:rsidRPr="001C748D">
        <w:t xml:space="preserve"> (repeated measures analysis of covariance subgroup analysis (FAS: excluding rescue approach)</w:t>
      </w:r>
    </w:p>
    <w:p w:rsidR="001C748D" w:rsidRPr="001C748D" w:rsidRDefault="001C748D" w:rsidP="001C748D">
      <w:r>
        <w:rPr>
          <w:noProof/>
          <w:lang w:eastAsia="en-AU"/>
        </w:rPr>
        <w:drawing>
          <wp:inline distT="0" distB="0" distL="0" distR="0" wp14:anchorId="3FEE194F" wp14:editId="2C4DC4B7">
            <wp:extent cx="4040271" cy="4333795"/>
            <wp:effectExtent l="0" t="0" r="0" b="0"/>
            <wp:docPr id="22" name="Picture 22" descr="HbA1C (%) Change from baseline at week 26 (repeated measures analysis of covariance subgroup analysis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Lst>
                    </a:blip>
                    <a:stretch>
                      <a:fillRect/>
                    </a:stretch>
                  </pic:blipFill>
                  <pic:spPr>
                    <a:xfrm>
                      <a:off x="0" y="0"/>
                      <a:ext cx="4042054" cy="4335707"/>
                    </a:xfrm>
                    <a:prstGeom prst="rect">
                      <a:avLst/>
                    </a:prstGeom>
                  </pic:spPr>
                </pic:pic>
              </a:graphicData>
            </a:graphic>
          </wp:inline>
        </w:drawing>
      </w:r>
    </w:p>
    <w:p w:rsidR="001370F4" w:rsidRDefault="001C748D" w:rsidP="001C748D">
      <w:pPr>
        <w:pStyle w:val="FigureTitle"/>
      </w:pPr>
      <w:bookmarkStart w:id="414" w:name="_Ref492028047"/>
      <w:bookmarkStart w:id="415" w:name="_Toc504038433"/>
      <w:r>
        <w:t>F</w:t>
      </w:r>
      <w:r w:rsidR="001370F4" w:rsidRPr="00C738A2">
        <w:t xml:space="preserve">igure </w:t>
      </w:r>
      <w:r>
        <w:t>8</w:t>
      </w:r>
      <w:r w:rsidR="001370F4" w:rsidRPr="00C738A2">
        <w:t xml:space="preserve">: </w:t>
      </w:r>
      <w:r w:rsidR="00AC366E">
        <w:t xml:space="preserve">HbA1c </w:t>
      </w:r>
      <w:r w:rsidR="00141834">
        <w:t>(%)</w:t>
      </w:r>
      <w:r w:rsidR="001370F4" w:rsidRPr="00C738A2">
        <w:t xml:space="preserve"> forest plot of change from </w:t>
      </w:r>
      <w:r w:rsidR="00AC366E">
        <w:t>B</w:t>
      </w:r>
      <w:r w:rsidR="00AC366E" w:rsidRPr="00C738A2">
        <w:t xml:space="preserve">aseline </w:t>
      </w:r>
      <w:r w:rsidR="001370F4" w:rsidRPr="00C738A2">
        <w:t xml:space="preserve">at </w:t>
      </w:r>
      <w:r w:rsidR="00686AEA">
        <w:t>Week 26</w:t>
      </w:r>
      <w:r w:rsidR="001370F4" w:rsidRPr="00C738A2">
        <w:t xml:space="preserve"> for all subgroups (repeated measures analysis of covariance) (FAS: excluding rescue approach)</w:t>
      </w:r>
      <w:bookmarkEnd w:id="414"/>
      <w:bookmarkEnd w:id="415"/>
    </w:p>
    <w:p w:rsidR="001C748D" w:rsidRPr="00C738A2" w:rsidRDefault="001C748D" w:rsidP="003436E7">
      <w:r>
        <w:rPr>
          <w:noProof/>
          <w:lang w:eastAsia="en-AU"/>
        </w:rPr>
        <w:drawing>
          <wp:inline distT="0" distB="0" distL="0" distR="0" wp14:anchorId="56684C0E" wp14:editId="7A3A9477">
            <wp:extent cx="4330014" cy="3227294"/>
            <wp:effectExtent l="0" t="0" r="0" b="0"/>
            <wp:docPr id="23" name="Picture 23" descr="HbA1C (%) forest plot of change from baseline at week 26 for all subgroups (repeated measures analysis of covariance)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Lst>
                    </a:blip>
                    <a:stretch>
                      <a:fillRect/>
                    </a:stretch>
                  </pic:blipFill>
                  <pic:spPr>
                    <a:xfrm>
                      <a:off x="0" y="0"/>
                      <a:ext cx="4331423" cy="3228344"/>
                    </a:xfrm>
                    <a:prstGeom prst="rect">
                      <a:avLst/>
                    </a:prstGeom>
                  </pic:spPr>
                </pic:pic>
              </a:graphicData>
            </a:graphic>
          </wp:inline>
        </w:drawing>
      </w:r>
    </w:p>
    <w:p w:rsidR="002E5CF1" w:rsidRDefault="002E5CF1" w:rsidP="00141834">
      <w:pPr>
        <w:pStyle w:val="Heading5"/>
      </w:pPr>
      <w:r>
        <w:lastRenderedPageBreak/>
        <w:t>Other efficacy results</w:t>
      </w:r>
    </w:p>
    <w:p w:rsidR="00803C18" w:rsidRDefault="002E5CF1" w:rsidP="001F7376">
      <w:r w:rsidRPr="007A2B67">
        <w:t xml:space="preserve">The raw proportions of subjects with an </w:t>
      </w:r>
      <w:r w:rsidR="00FB1E32">
        <w:t>HbA1c &lt; 7.0%</w:t>
      </w:r>
      <w:r w:rsidRPr="007A2B67">
        <w:t xml:space="preserve"> were approximately 2.5-times greater in the ertugliflozin </w:t>
      </w:r>
      <w:r>
        <w:t xml:space="preserve">5 mg and </w:t>
      </w:r>
      <w:r w:rsidRPr="007A2B67">
        <w:t xml:space="preserve">15 mg </w:t>
      </w:r>
      <w:r>
        <w:t xml:space="preserve">groups </w:t>
      </w:r>
      <w:r w:rsidRPr="007A2B67">
        <w:t>than in the placebo group (</w:t>
      </w:r>
      <w:r>
        <w:t xml:space="preserve">35.3%, 40% and </w:t>
      </w:r>
      <w:r w:rsidRPr="007A2B67">
        <w:t>15.8%</w:t>
      </w:r>
      <w:r>
        <w:t xml:space="preserve"> in th ertugliflozin 5 mg, 15 mg and placebo group, respectively</w:t>
      </w:r>
      <w:r w:rsidRPr="007A2B67">
        <w:t xml:space="preserve">). The </w:t>
      </w:r>
      <w:r w:rsidR="00FB1E32">
        <w:t>model based</w:t>
      </w:r>
      <w:r w:rsidRPr="007A2B67">
        <w:t xml:space="preserve"> odds of having an </w:t>
      </w:r>
      <w:r w:rsidR="00FB1E32">
        <w:t>HbA1c &lt; 7.0%</w:t>
      </w:r>
      <w:r w:rsidRPr="007A2B67">
        <w:t xml:space="preserve"> at Week 26, using multiple </w:t>
      </w:r>
      <w:proofErr w:type="gramStart"/>
      <w:r w:rsidRPr="007A2B67">
        <w:t>imputation</w:t>
      </w:r>
      <w:proofErr w:type="gramEnd"/>
      <w:r w:rsidRPr="007A2B67">
        <w:t xml:space="preserve"> for subjects with missing Week 26 data, were significantly greater in both ertugliflozin groups compared to the placebo group (</w:t>
      </w:r>
      <w:r w:rsidR="00FB1E32">
        <w:t>p &lt; 0</w:t>
      </w:r>
      <w:r w:rsidRPr="007A2B67">
        <w:t xml:space="preserve">.001 for both comparisons). Similarly, the proportion of subjects with an </w:t>
      </w:r>
      <w:r>
        <w:t>HbA1c</w:t>
      </w:r>
      <w:r w:rsidRPr="007A2B67">
        <w:t xml:space="preserve"> &lt;</w:t>
      </w:r>
      <w:r w:rsidR="001F7376">
        <w:t xml:space="preserve"> </w:t>
      </w:r>
      <w:r w:rsidRPr="007A2B67">
        <w:t>6.5% were approximately</w:t>
      </w:r>
      <w:r w:rsidR="001F7376">
        <w:t xml:space="preserve"> 3 and 4 </w:t>
      </w:r>
      <w:r w:rsidRPr="007A2B67">
        <w:t xml:space="preserve">times greater </w:t>
      </w:r>
      <w:r>
        <w:t>in the ertugliflozin 5 and 15 mg groups</w:t>
      </w:r>
      <w:r w:rsidRPr="007A2B67">
        <w:t>, respectively, than in the placebo group (</w:t>
      </w:r>
      <w:r>
        <w:t xml:space="preserve">8.7%, 12.2% and </w:t>
      </w:r>
      <w:r w:rsidRPr="007A2B67">
        <w:t>2.9%</w:t>
      </w:r>
      <w:r>
        <w:t>, respectively</w:t>
      </w:r>
      <w:r w:rsidRPr="007A2B67">
        <w:t xml:space="preserve">). The </w:t>
      </w:r>
      <w:r w:rsidR="00FB1E32">
        <w:t>model based</w:t>
      </w:r>
      <w:r w:rsidRPr="007A2B67">
        <w:t xml:space="preserve"> odds of</w:t>
      </w:r>
      <w:r>
        <w:t xml:space="preserve"> </w:t>
      </w:r>
      <w:r w:rsidRPr="007A2B67">
        <w:t xml:space="preserve">having an </w:t>
      </w:r>
      <w:r>
        <w:t>HbA1c</w:t>
      </w:r>
      <w:r w:rsidRPr="007A2B67">
        <w:t xml:space="preserve"> &lt;</w:t>
      </w:r>
      <w:r w:rsidR="001F7376">
        <w:t xml:space="preserve"> </w:t>
      </w:r>
      <w:r w:rsidRPr="007A2B67">
        <w:t>6.5% at Week 26, using multiple imputation for subjects with missing Week</w:t>
      </w:r>
      <w:r>
        <w:t xml:space="preserve"> </w:t>
      </w:r>
      <w:r w:rsidRPr="007A2B67">
        <w:t>26 data, were greater in the ertugliflozin 15 mg group and the ertugliflozin 5 mg group</w:t>
      </w:r>
      <w:r>
        <w:t xml:space="preserve"> </w:t>
      </w:r>
      <w:r w:rsidRPr="007A2B67">
        <w:t xml:space="preserve">compared to the placebo group (nominal </w:t>
      </w:r>
      <w:r w:rsidR="00FB1E32">
        <w:t>p &lt; 0</w:t>
      </w:r>
      <w:r w:rsidRPr="007A2B67">
        <w:t xml:space="preserve">.001 and </w:t>
      </w:r>
      <w:r w:rsidR="00FB1E32">
        <w:t>p = 0</w:t>
      </w:r>
      <w:r w:rsidRPr="007A2B67">
        <w:t xml:space="preserve">.023, </w:t>
      </w:r>
      <w:r w:rsidRPr="00C61BB4">
        <w:t xml:space="preserve">respectively) (Table </w:t>
      </w:r>
      <w:r w:rsidR="00C61BB4" w:rsidRPr="00C61BB4">
        <w:t>45</w:t>
      </w:r>
      <w:r w:rsidRPr="00C61BB4">
        <w:t>)</w:t>
      </w:r>
      <w:r w:rsidR="00803C18">
        <w:t>.</w:t>
      </w:r>
    </w:p>
    <w:p w:rsidR="00C61BB4" w:rsidRPr="00C738A2" w:rsidRDefault="00C61BB4" w:rsidP="00C61BB4">
      <w:pPr>
        <w:pStyle w:val="Tabletitle"/>
      </w:pPr>
      <w:bookmarkStart w:id="416" w:name="_Ref492028051"/>
      <w:bookmarkStart w:id="417" w:name="_Toc504038434"/>
      <w:r w:rsidRPr="00C738A2">
        <w:t xml:space="preserve">Table </w:t>
      </w:r>
      <w:r>
        <w:t>45</w:t>
      </w:r>
      <w:r w:rsidRPr="00C738A2">
        <w:t>:</w:t>
      </w:r>
      <w:r>
        <w:t xml:space="preserve"> </w:t>
      </w:r>
      <w:r w:rsidRPr="00C738A2">
        <w:t xml:space="preserve">Analysis of subjects with </w:t>
      </w:r>
      <w:r w:rsidR="00AC366E">
        <w:t>Hb</w:t>
      </w:r>
      <w:r w:rsidRPr="00C738A2">
        <w:t>A1</w:t>
      </w:r>
      <w:r w:rsidR="00AC366E">
        <w:t>c</w:t>
      </w:r>
      <w:r w:rsidRPr="00C738A2">
        <w:t xml:space="preserve"> &lt;</w:t>
      </w:r>
      <w:r w:rsidR="001F7376">
        <w:t xml:space="preserve"> </w:t>
      </w:r>
      <w:r w:rsidRPr="00C738A2">
        <w:t>7% and &lt;</w:t>
      </w:r>
      <w:r w:rsidR="001F7376">
        <w:t xml:space="preserve"> </w:t>
      </w:r>
      <w:r w:rsidRPr="00C738A2">
        <w:t>6.5%</w:t>
      </w:r>
      <w:bookmarkEnd w:id="416"/>
      <w:bookmarkEnd w:id="417"/>
    </w:p>
    <w:p w:rsidR="00C61BB4" w:rsidRDefault="00C61BB4" w:rsidP="00077D07">
      <w:pPr>
        <w:rPr>
          <w:b/>
        </w:rPr>
      </w:pPr>
      <w:r>
        <w:rPr>
          <w:noProof/>
          <w:lang w:eastAsia="en-AU"/>
        </w:rPr>
        <w:drawing>
          <wp:inline distT="0" distB="0" distL="0" distR="0" wp14:anchorId="1A7C7511" wp14:editId="33A3D94E">
            <wp:extent cx="5131420" cy="4451616"/>
            <wp:effectExtent l="0" t="0" r="0" b="6350"/>
            <wp:docPr id="24" name="Picture 24" descr="Analysis of subjects with A1C &lt;7% and &lt;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a:fillRect/>
                    </a:stretch>
                  </pic:blipFill>
                  <pic:spPr>
                    <a:xfrm>
                      <a:off x="0" y="0"/>
                      <a:ext cx="5132079" cy="4452187"/>
                    </a:xfrm>
                    <a:prstGeom prst="rect">
                      <a:avLst/>
                    </a:prstGeom>
                  </pic:spPr>
                </pic:pic>
              </a:graphicData>
            </a:graphic>
          </wp:inline>
        </w:drawing>
      </w:r>
    </w:p>
    <w:p w:rsidR="00803C18" w:rsidRDefault="002E5CF1" w:rsidP="001F7376">
      <w:r>
        <w:t>Compared with placebo, t</w:t>
      </w:r>
      <w:r w:rsidRPr="007A2B67">
        <w:t>he LS mean reductions from</w:t>
      </w:r>
      <w:r>
        <w:t xml:space="preserve"> </w:t>
      </w:r>
      <w:r w:rsidRPr="007A2B67">
        <w:t>baseline in FPG at Week 26 were significantly (</w:t>
      </w:r>
      <w:r w:rsidR="00FB1E32">
        <w:t>p &lt; 0</w:t>
      </w:r>
      <w:r w:rsidRPr="007A2B67">
        <w:t xml:space="preserve">.001 for both comparisons) greater in the </w:t>
      </w:r>
      <w:r>
        <w:t xml:space="preserve">5 mg and 15 mg </w:t>
      </w:r>
      <w:r w:rsidRPr="007A2B67">
        <w:t>ertugliflozin</w:t>
      </w:r>
      <w:r>
        <w:t xml:space="preserve"> </w:t>
      </w:r>
      <w:r w:rsidRPr="007A2B67">
        <w:t>groups</w:t>
      </w:r>
      <w:r w:rsidR="001F7376">
        <w:t xml:space="preserve"> </w:t>
      </w:r>
      <w:r>
        <w:t>-1.5, -2.2 and -0.05mmol/L, respectively)</w:t>
      </w:r>
      <w:r w:rsidR="00C61BB4">
        <w:t>.</w:t>
      </w:r>
      <w:r w:rsidRPr="007A2B67">
        <w:t xml:space="preserve"> The mean FPG decreased at Week 6 in the ertugliflozin groups and was followed by </w:t>
      </w:r>
      <w:r w:rsidRPr="00C61BB4">
        <w:t xml:space="preserve">further reductions through Week 26. The magnitude of the reduction in FPG was numerically greater in the ertugliflozin 15 mg group than in the ertugliflozin 5 mg group at each time point (Figure </w:t>
      </w:r>
      <w:r w:rsidR="00C61BB4" w:rsidRPr="00C61BB4">
        <w:t>9</w:t>
      </w:r>
      <w:r w:rsidRPr="00C61BB4">
        <w:t>)</w:t>
      </w:r>
      <w:r w:rsidR="00803C18">
        <w:t>.</w:t>
      </w:r>
    </w:p>
    <w:p w:rsidR="00C61BB4" w:rsidRPr="00C738A2" w:rsidRDefault="00C61BB4" w:rsidP="00C61BB4">
      <w:pPr>
        <w:pStyle w:val="FigureTitle"/>
      </w:pPr>
      <w:bookmarkStart w:id="418" w:name="_Ref492028056"/>
      <w:bookmarkStart w:id="419" w:name="_Toc504038436"/>
      <w:r w:rsidRPr="00C738A2">
        <w:lastRenderedPageBreak/>
        <w:t xml:space="preserve">Figure </w:t>
      </w:r>
      <w:r>
        <w:t>9</w:t>
      </w:r>
      <w:r w:rsidRPr="00C738A2">
        <w:t>:</w:t>
      </w:r>
      <w:r>
        <w:t xml:space="preserve"> </w:t>
      </w:r>
      <w:r w:rsidRPr="00C738A2">
        <w:t xml:space="preserve">FPG (mg/dL) LS Mean change from </w:t>
      </w:r>
      <w:r w:rsidR="00AC366E">
        <w:t>B</w:t>
      </w:r>
      <w:r w:rsidR="00AC366E" w:rsidRPr="00C738A2">
        <w:t xml:space="preserve">aseline </w:t>
      </w:r>
      <w:r w:rsidRPr="00C738A2">
        <w:t>over time (</w:t>
      </w:r>
      <w:proofErr w:type="spellStart"/>
      <w:r w:rsidRPr="00C738A2">
        <w:t>cLDA</w:t>
      </w:r>
      <w:proofErr w:type="spellEnd"/>
      <w:r w:rsidRPr="00C738A2">
        <w:t>) (FAS: excluding rescue approach)</w:t>
      </w:r>
      <w:bookmarkEnd w:id="418"/>
      <w:bookmarkEnd w:id="419"/>
    </w:p>
    <w:p w:rsidR="00C61BB4" w:rsidRPr="00C738A2" w:rsidRDefault="00C61BB4" w:rsidP="00077D07">
      <w:r w:rsidRPr="00C738A2">
        <w:rPr>
          <w:noProof/>
          <w:lang w:eastAsia="en-AU"/>
        </w:rPr>
        <w:drawing>
          <wp:inline distT="0" distB="0" distL="0" distR="0" wp14:anchorId="2FD44DCB" wp14:editId="7EB93105">
            <wp:extent cx="4450151" cy="3350239"/>
            <wp:effectExtent l="0" t="0" r="7620" b="3175"/>
            <wp:docPr id="272" name="Picture 272" descr="FPG (mg/dL)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a:lum bright="-20000" contrast="40000"/>
                      <a:extLst>
                        <a:ext uri="{28A0092B-C50C-407E-A947-70E740481C1C}">
                          <a14:useLocalDpi xmlns:a14="http://schemas.microsoft.com/office/drawing/2010/main" val="0"/>
                        </a:ext>
                      </a:extLst>
                    </a:blip>
                    <a:srcRect l="10322" t="7866"/>
                    <a:stretch/>
                  </pic:blipFill>
                  <pic:spPr bwMode="auto">
                    <a:xfrm>
                      <a:off x="0" y="0"/>
                      <a:ext cx="4449546" cy="3349783"/>
                    </a:xfrm>
                    <a:prstGeom prst="rect">
                      <a:avLst/>
                    </a:prstGeom>
                    <a:noFill/>
                    <a:ln>
                      <a:noFill/>
                    </a:ln>
                    <a:extLst>
                      <a:ext uri="{53640926-AAD7-44D8-BBD7-CCE9431645EC}">
                        <a14:shadowObscured xmlns:a14="http://schemas.microsoft.com/office/drawing/2010/main"/>
                      </a:ext>
                    </a:extLst>
                  </pic:spPr>
                </pic:pic>
              </a:graphicData>
            </a:graphic>
          </wp:inline>
        </w:drawing>
      </w:r>
    </w:p>
    <w:p w:rsidR="00803C18" w:rsidRDefault="002E5CF1" w:rsidP="00141834">
      <w:pPr>
        <w:rPr>
          <w:color w:val="000000"/>
        </w:rPr>
      </w:pPr>
      <w:r>
        <w:rPr>
          <w:color w:val="000000"/>
        </w:rPr>
        <w:t>Compared with placebo, t</w:t>
      </w:r>
      <w:r w:rsidRPr="007A2B67">
        <w:rPr>
          <w:color w:val="000000"/>
        </w:rPr>
        <w:t>he LS mean reductions</w:t>
      </w:r>
      <w:r>
        <w:rPr>
          <w:color w:val="000000"/>
        </w:rPr>
        <w:t xml:space="preserve"> </w:t>
      </w:r>
      <w:r w:rsidRPr="007A2B67">
        <w:rPr>
          <w:color w:val="000000"/>
        </w:rPr>
        <w:t xml:space="preserve">from </w:t>
      </w:r>
      <w:r w:rsidR="00AC366E">
        <w:rPr>
          <w:color w:val="000000"/>
        </w:rPr>
        <w:t>B</w:t>
      </w:r>
      <w:r w:rsidR="00AC366E" w:rsidRPr="007A2B67">
        <w:rPr>
          <w:color w:val="000000"/>
        </w:rPr>
        <w:t xml:space="preserve">aseline </w:t>
      </w:r>
      <w:r w:rsidRPr="007A2B67">
        <w:rPr>
          <w:color w:val="000000"/>
        </w:rPr>
        <w:t>in body weight at Week</w:t>
      </w:r>
      <w:r w:rsidR="00AC366E">
        <w:rPr>
          <w:color w:val="000000"/>
        </w:rPr>
        <w:t> </w:t>
      </w:r>
      <w:r w:rsidRPr="007A2B67">
        <w:rPr>
          <w:color w:val="000000"/>
        </w:rPr>
        <w:t>26 were significantly (</w:t>
      </w:r>
      <w:r w:rsidR="00FB1E32">
        <w:rPr>
          <w:color w:val="000000"/>
        </w:rPr>
        <w:t>p &lt; 0</w:t>
      </w:r>
      <w:r w:rsidRPr="007A2B67">
        <w:rPr>
          <w:color w:val="000000"/>
        </w:rPr>
        <w:t>.001 for both comparisons) greater in the ertugliflozin</w:t>
      </w:r>
      <w:r>
        <w:rPr>
          <w:color w:val="000000"/>
        </w:rPr>
        <w:t xml:space="preserve"> </w:t>
      </w:r>
      <w:r w:rsidRPr="007A2B67">
        <w:rPr>
          <w:color w:val="000000"/>
        </w:rPr>
        <w:t xml:space="preserve">groups </w:t>
      </w:r>
      <w:r>
        <w:rPr>
          <w:color w:val="000000"/>
        </w:rPr>
        <w:t>(-3.0, -2.9 and -1.3kg, respectively)</w:t>
      </w:r>
      <w:r w:rsidR="00056F63">
        <w:rPr>
          <w:color w:val="000000"/>
        </w:rPr>
        <w:t>.</w:t>
      </w:r>
      <w:r w:rsidRPr="007A2B67">
        <w:rPr>
          <w:b/>
          <w:color w:val="000000"/>
        </w:rPr>
        <w:t xml:space="preserve"> </w:t>
      </w:r>
      <w:r w:rsidRPr="007A2B67">
        <w:rPr>
          <w:color w:val="000000"/>
        </w:rPr>
        <w:t>In both ertugliflozin groups, body weight decreased from baseline through</w:t>
      </w:r>
      <w:r>
        <w:rPr>
          <w:color w:val="000000"/>
        </w:rPr>
        <w:t xml:space="preserve"> </w:t>
      </w:r>
      <w:r w:rsidRPr="007A2B67">
        <w:rPr>
          <w:color w:val="000000"/>
        </w:rPr>
        <w:t>Week 18 and had further reductions through Week 26. In the placebo group body weight</w:t>
      </w:r>
      <w:r>
        <w:rPr>
          <w:color w:val="000000"/>
        </w:rPr>
        <w:t xml:space="preserve"> </w:t>
      </w:r>
      <w:r w:rsidRPr="007A2B67">
        <w:rPr>
          <w:color w:val="000000"/>
        </w:rPr>
        <w:t>decreased from baseline through Week 26. The decrease at each time point was numerically</w:t>
      </w:r>
      <w:r>
        <w:rPr>
          <w:color w:val="000000"/>
        </w:rPr>
        <w:t xml:space="preserve"> </w:t>
      </w:r>
      <w:r w:rsidRPr="007A2B67">
        <w:rPr>
          <w:color w:val="000000"/>
        </w:rPr>
        <w:t>greater in both ertugliflozin groups compared to the placebo group, and not notably different</w:t>
      </w:r>
      <w:r>
        <w:rPr>
          <w:color w:val="000000"/>
        </w:rPr>
        <w:t xml:space="preserve"> </w:t>
      </w:r>
      <w:r w:rsidRPr="007A2B67">
        <w:rPr>
          <w:color w:val="000000"/>
        </w:rPr>
        <w:t xml:space="preserve">between the ertugliflozin </w:t>
      </w:r>
      <w:r w:rsidRPr="00056F63">
        <w:rPr>
          <w:color w:val="000000"/>
        </w:rPr>
        <w:t xml:space="preserve">groups (Figure </w:t>
      </w:r>
      <w:r w:rsidR="00056F63" w:rsidRPr="00056F63">
        <w:rPr>
          <w:color w:val="000000"/>
        </w:rPr>
        <w:t>10</w:t>
      </w:r>
      <w:r w:rsidRPr="00056F63">
        <w:rPr>
          <w:color w:val="000000"/>
        </w:rPr>
        <w:t>)</w:t>
      </w:r>
      <w:r w:rsidR="00803C18">
        <w:rPr>
          <w:color w:val="000000"/>
        </w:rPr>
        <w:t>.</w:t>
      </w:r>
    </w:p>
    <w:p w:rsidR="00056F63" w:rsidRPr="00C738A2" w:rsidRDefault="00056F63" w:rsidP="00056F63">
      <w:pPr>
        <w:pStyle w:val="FigureTitle"/>
      </w:pPr>
      <w:bookmarkStart w:id="420" w:name="_Ref492028061"/>
      <w:bookmarkStart w:id="421" w:name="_Toc504038438"/>
      <w:r w:rsidRPr="00C738A2">
        <w:t xml:space="preserve">Figure </w:t>
      </w:r>
      <w:r>
        <w:t>10</w:t>
      </w:r>
      <w:r w:rsidRPr="00C738A2">
        <w:t>:</w:t>
      </w:r>
      <w:r>
        <w:t xml:space="preserve"> </w:t>
      </w:r>
      <w:r w:rsidRPr="00C738A2">
        <w:t xml:space="preserve">Body weight (kg): LS Mean </w:t>
      </w:r>
      <w:proofErr w:type="gramStart"/>
      <w:r w:rsidRPr="00C738A2">
        <w:t>change</w:t>
      </w:r>
      <w:proofErr w:type="gramEnd"/>
      <w:r w:rsidRPr="00C738A2">
        <w:t xml:space="preserve"> from </w:t>
      </w:r>
      <w:r w:rsidR="00AC366E">
        <w:t>B</w:t>
      </w:r>
      <w:r w:rsidR="00AC366E" w:rsidRPr="00C738A2">
        <w:t xml:space="preserve">aseline </w:t>
      </w:r>
      <w:r w:rsidRPr="00C738A2">
        <w:t>over time (</w:t>
      </w:r>
      <w:proofErr w:type="spellStart"/>
      <w:r w:rsidRPr="00C738A2">
        <w:t>cLDA</w:t>
      </w:r>
      <w:proofErr w:type="spellEnd"/>
      <w:r w:rsidRPr="00C738A2">
        <w:t>) (FAS: excluding rescue approach)</w:t>
      </w:r>
      <w:bookmarkEnd w:id="420"/>
      <w:bookmarkEnd w:id="421"/>
    </w:p>
    <w:p w:rsidR="00056F63" w:rsidRPr="00C738A2" w:rsidRDefault="00056F63" w:rsidP="00077D07">
      <w:r w:rsidRPr="00C738A2">
        <w:t xml:space="preserve"> </w:t>
      </w:r>
      <w:r w:rsidRPr="00C738A2">
        <w:rPr>
          <w:noProof/>
          <w:lang w:eastAsia="en-AU"/>
        </w:rPr>
        <w:drawing>
          <wp:inline distT="0" distB="0" distL="0" distR="0" wp14:anchorId="219A8993" wp14:editId="409C9083">
            <wp:extent cx="3865069" cy="2901117"/>
            <wp:effectExtent l="0" t="0" r="2540" b="0"/>
            <wp:docPr id="171" name="Picture 171" descr="Body weight (k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a:lum bright="-20000" contrast="40000"/>
                      <a:extLst>
                        <a:ext uri="{28A0092B-C50C-407E-A947-70E740481C1C}">
                          <a14:useLocalDpi xmlns:a14="http://schemas.microsoft.com/office/drawing/2010/main" val="0"/>
                        </a:ext>
                      </a:extLst>
                    </a:blip>
                    <a:srcRect/>
                    <a:stretch>
                      <a:fillRect/>
                    </a:stretch>
                  </pic:blipFill>
                  <pic:spPr bwMode="auto">
                    <a:xfrm>
                      <a:off x="0" y="0"/>
                      <a:ext cx="3871557" cy="2905987"/>
                    </a:xfrm>
                    <a:prstGeom prst="rect">
                      <a:avLst/>
                    </a:prstGeom>
                    <a:noFill/>
                    <a:ln>
                      <a:noFill/>
                    </a:ln>
                  </pic:spPr>
                </pic:pic>
              </a:graphicData>
            </a:graphic>
          </wp:inline>
        </w:drawing>
      </w:r>
    </w:p>
    <w:p w:rsidR="002E5CF1" w:rsidRPr="00D646A8" w:rsidRDefault="002E5CF1" w:rsidP="00141834">
      <w:pPr>
        <w:rPr>
          <w:b/>
        </w:rPr>
      </w:pPr>
      <w:r>
        <w:rPr>
          <w:color w:val="000000"/>
        </w:rPr>
        <w:t>Compared with placebo, t</w:t>
      </w:r>
      <w:r w:rsidRPr="007A2B67">
        <w:rPr>
          <w:color w:val="000000"/>
        </w:rPr>
        <w:t>he LS</w:t>
      </w:r>
      <w:r>
        <w:rPr>
          <w:color w:val="000000"/>
        </w:rPr>
        <w:t xml:space="preserve"> </w:t>
      </w:r>
      <w:r w:rsidRPr="007A2B67">
        <w:rPr>
          <w:color w:val="000000"/>
        </w:rPr>
        <w:t xml:space="preserve">mean reductions from baseline in sitting </w:t>
      </w:r>
      <w:r>
        <w:rPr>
          <w:color w:val="000000"/>
        </w:rPr>
        <w:t xml:space="preserve">SBP </w:t>
      </w:r>
      <w:r w:rsidRPr="007A2B67">
        <w:rPr>
          <w:color w:val="000000"/>
        </w:rPr>
        <w:t>at Week 26 were</w:t>
      </w:r>
      <w:r>
        <w:rPr>
          <w:color w:val="000000"/>
        </w:rPr>
        <w:t xml:space="preserve"> </w:t>
      </w:r>
      <w:r w:rsidRPr="007A2B67">
        <w:rPr>
          <w:color w:val="000000"/>
        </w:rPr>
        <w:t xml:space="preserve">significantly greater in the ertugliflozin </w:t>
      </w:r>
      <w:r>
        <w:rPr>
          <w:color w:val="000000"/>
        </w:rPr>
        <w:t xml:space="preserve">5 mg and </w:t>
      </w:r>
      <w:r w:rsidRPr="007A2B67">
        <w:rPr>
          <w:color w:val="000000"/>
        </w:rPr>
        <w:t>15 mg group</w:t>
      </w:r>
      <w:r>
        <w:rPr>
          <w:color w:val="000000"/>
        </w:rPr>
        <w:t>s</w:t>
      </w:r>
      <w:r w:rsidRPr="007A2B67">
        <w:rPr>
          <w:color w:val="000000"/>
        </w:rPr>
        <w:t xml:space="preserve"> </w:t>
      </w:r>
      <w:r>
        <w:rPr>
          <w:color w:val="000000"/>
        </w:rPr>
        <w:t xml:space="preserve">(-4.4, -5.2 and -0.7mmHg </w:t>
      </w:r>
      <w:r>
        <w:rPr>
          <w:color w:val="000000"/>
        </w:rPr>
        <w:lastRenderedPageBreak/>
        <w:t xml:space="preserve">respectively; </w:t>
      </w:r>
      <w:r w:rsidR="00FB1E32">
        <w:rPr>
          <w:color w:val="000000"/>
        </w:rPr>
        <w:t>p = 0</w:t>
      </w:r>
      <w:r w:rsidRPr="007A2B67">
        <w:rPr>
          <w:color w:val="000000"/>
        </w:rPr>
        <w:t xml:space="preserve">.002 </w:t>
      </w:r>
      <w:r>
        <w:rPr>
          <w:color w:val="000000"/>
        </w:rPr>
        <w:t xml:space="preserve">and </w:t>
      </w:r>
      <w:r w:rsidR="00FB1E32">
        <w:rPr>
          <w:color w:val="000000"/>
        </w:rPr>
        <w:t>p &lt; 0</w:t>
      </w:r>
      <w:r w:rsidRPr="007A2B67">
        <w:rPr>
          <w:color w:val="000000"/>
        </w:rPr>
        <w:t>.001</w:t>
      </w:r>
      <w:r w:rsidR="00CA2F4B">
        <w:rPr>
          <w:color w:val="000000"/>
        </w:rPr>
        <w:t xml:space="preserve"> versus</w:t>
      </w:r>
      <w:r w:rsidRPr="007A2B67">
        <w:rPr>
          <w:color w:val="000000"/>
        </w:rPr>
        <w:t xml:space="preserve"> placebo</w:t>
      </w:r>
      <w:r>
        <w:rPr>
          <w:color w:val="000000"/>
        </w:rPr>
        <w:t xml:space="preserve"> for 5 mg and 15 mg</w:t>
      </w:r>
      <w:r w:rsidRPr="007A2B67">
        <w:rPr>
          <w:color w:val="000000"/>
        </w:rPr>
        <w:t>, respectively).</w:t>
      </w:r>
      <w:r>
        <w:rPr>
          <w:color w:val="000000"/>
        </w:rPr>
        <w:t xml:space="preserve"> </w:t>
      </w:r>
      <w:r w:rsidRPr="007A2B67">
        <w:rPr>
          <w:color w:val="000000"/>
        </w:rPr>
        <w:t xml:space="preserve">In both ertugliflozin groups, sitting </w:t>
      </w:r>
      <w:r>
        <w:rPr>
          <w:color w:val="000000"/>
        </w:rPr>
        <w:t xml:space="preserve">SBP </w:t>
      </w:r>
      <w:r w:rsidRPr="007A2B67">
        <w:rPr>
          <w:color w:val="000000"/>
        </w:rPr>
        <w:t>decreased</w:t>
      </w:r>
      <w:r>
        <w:rPr>
          <w:color w:val="000000"/>
        </w:rPr>
        <w:t xml:space="preserve"> </w:t>
      </w:r>
      <w:r w:rsidRPr="007A2B67">
        <w:rPr>
          <w:color w:val="000000"/>
        </w:rPr>
        <w:t xml:space="preserve">from baseline through Week 26. Reductions from baseline in sitting </w:t>
      </w:r>
      <w:r>
        <w:rPr>
          <w:color w:val="000000"/>
        </w:rPr>
        <w:t xml:space="preserve">SBP </w:t>
      </w:r>
      <w:r w:rsidRPr="007A2B67">
        <w:rPr>
          <w:color w:val="000000"/>
        </w:rPr>
        <w:t xml:space="preserve">were numerically </w:t>
      </w:r>
      <w:r w:rsidRPr="00D646A8">
        <w:rPr>
          <w:color w:val="000000"/>
        </w:rPr>
        <w:t xml:space="preserve">greater in the ertugliflozin 15 mg group compared to the ertugliflozin 5 mg group at each time point through Week 26 (Figure </w:t>
      </w:r>
      <w:r w:rsidR="00056F63" w:rsidRPr="00D646A8">
        <w:rPr>
          <w:color w:val="000000"/>
        </w:rPr>
        <w:t>11</w:t>
      </w:r>
      <w:r w:rsidRPr="00D646A8">
        <w:rPr>
          <w:color w:val="000000"/>
        </w:rPr>
        <w:t xml:space="preserve">). The LS mean reductions from baseline in sitting DBP at Week 26 were also significantly greater in the ertugliflozin 5 mg and 15 mg groups (-1.6, -2.2 and +0.23mmHg, respectively; </w:t>
      </w:r>
      <w:r w:rsidR="00FB1E32">
        <w:rPr>
          <w:color w:val="000000"/>
        </w:rPr>
        <w:t>p = 0</w:t>
      </w:r>
      <w:r w:rsidRPr="00D646A8">
        <w:rPr>
          <w:color w:val="000000"/>
        </w:rPr>
        <w:t xml:space="preserve">.001 and </w:t>
      </w:r>
      <w:r w:rsidR="001F7376">
        <w:rPr>
          <w:color w:val="000000"/>
        </w:rPr>
        <w:t>p = </w:t>
      </w:r>
      <w:r w:rsidR="00FB1E32">
        <w:rPr>
          <w:color w:val="000000"/>
        </w:rPr>
        <w:t>0</w:t>
      </w:r>
      <w:r w:rsidRPr="00D646A8">
        <w:rPr>
          <w:color w:val="000000"/>
        </w:rPr>
        <w:t>.013</w:t>
      </w:r>
      <w:r w:rsidR="00CA2F4B" w:rsidRPr="00D646A8">
        <w:rPr>
          <w:color w:val="000000"/>
        </w:rPr>
        <w:t xml:space="preserve"> versus</w:t>
      </w:r>
      <w:r w:rsidRPr="00D646A8">
        <w:rPr>
          <w:color w:val="000000"/>
        </w:rPr>
        <w:t xml:space="preserve"> placebo, respectively). In both ertugliflozin groups, sitting DBP decreased from baseline through Week 6, which decreased further through Week 26. In the placebo group, sitting DBP was stable at Week 6, increased slightly through Week 18 and was stable again through Week 26. Reductions from baseline in sitting DBP were numerically greater in the ertugliflozin 15 mg group compared to the ertugliflozin 5 mg grou</w:t>
      </w:r>
      <w:r w:rsidR="001F7376">
        <w:rPr>
          <w:color w:val="000000"/>
        </w:rPr>
        <w:t>p at all time points after Week </w:t>
      </w:r>
      <w:r w:rsidRPr="00D646A8">
        <w:rPr>
          <w:color w:val="000000"/>
        </w:rPr>
        <w:t xml:space="preserve">6 (Figure </w:t>
      </w:r>
      <w:r w:rsidR="00056F63" w:rsidRPr="00D646A8">
        <w:rPr>
          <w:color w:val="000000"/>
        </w:rPr>
        <w:t>12</w:t>
      </w:r>
      <w:r w:rsidR="00D646A8">
        <w:rPr>
          <w:color w:val="000000"/>
        </w:rPr>
        <w:t>).</w:t>
      </w:r>
    </w:p>
    <w:p w:rsidR="00056F63" w:rsidRDefault="00056F63" w:rsidP="00056F63">
      <w:pPr>
        <w:pStyle w:val="FigureTitle"/>
      </w:pPr>
      <w:bookmarkStart w:id="422" w:name="_Ref492028063"/>
      <w:bookmarkStart w:id="423" w:name="_Toc504038439"/>
      <w:r w:rsidRPr="00C738A2">
        <w:t xml:space="preserve">Figure </w:t>
      </w:r>
      <w:r>
        <w:t>11</w:t>
      </w:r>
      <w:r w:rsidRPr="00C738A2">
        <w:t>:</w:t>
      </w:r>
      <w:r>
        <w:t xml:space="preserve"> </w:t>
      </w:r>
      <w:r w:rsidRPr="00C738A2">
        <w:t xml:space="preserve">Sitting systolic blood pressure (mmHg) LS mean change from </w:t>
      </w:r>
      <w:r w:rsidR="00AC366E">
        <w:t>B</w:t>
      </w:r>
      <w:r w:rsidR="00AC366E" w:rsidRPr="00C738A2">
        <w:t xml:space="preserve">aseline </w:t>
      </w:r>
      <w:r w:rsidRPr="00C738A2">
        <w:t>over time (</w:t>
      </w:r>
      <w:proofErr w:type="spellStart"/>
      <w:r w:rsidRPr="00C738A2">
        <w:t>cLDA</w:t>
      </w:r>
      <w:proofErr w:type="spellEnd"/>
      <w:r w:rsidRPr="00C738A2">
        <w:t>) (FAS: excluding rescue approach)</w:t>
      </w:r>
      <w:bookmarkEnd w:id="422"/>
      <w:bookmarkEnd w:id="423"/>
    </w:p>
    <w:p w:rsidR="00056F63" w:rsidRPr="00C738A2" w:rsidRDefault="00056F63" w:rsidP="00077D07">
      <w:r>
        <w:rPr>
          <w:noProof/>
          <w:lang w:eastAsia="en-AU"/>
        </w:rPr>
        <w:drawing>
          <wp:inline distT="0" distB="0" distL="0" distR="0" wp14:anchorId="5160CFB3" wp14:editId="0A0CE544">
            <wp:extent cx="4131173" cy="5157787"/>
            <wp:effectExtent l="0" t="0" r="3175" b="5080"/>
            <wp:docPr id="25" name="Picture 25" descr="Sitting systolic blood pressure (mmH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Lst>
                    </a:blip>
                    <a:stretch>
                      <a:fillRect/>
                    </a:stretch>
                  </pic:blipFill>
                  <pic:spPr>
                    <a:xfrm>
                      <a:off x="0" y="0"/>
                      <a:ext cx="4132240" cy="5159119"/>
                    </a:xfrm>
                    <a:prstGeom prst="rect">
                      <a:avLst/>
                    </a:prstGeom>
                  </pic:spPr>
                </pic:pic>
              </a:graphicData>
            </a:graphic>
          </wp:inline>
        </w:drawing>
      </w:r>
    </w:p>
    <w:p w:rsidR="00056F63" w:rsidRPr="00077D07" w:rsidRDefault="00056F63" w:rsidP="00077D07">
      <w:pPr>
        <w:pStyle w:val="FigureTitle"/>
      </w:pPr>
      <w:bookmarkStart w:id="424" w:name="_Ref492028066"/>
      <w:bookmarkStart w:id="425" w:name="_Toc504038440"/>
      <w:r w:rsidRPr="00C738A2">
        <w:lastRenderedPageBreak/>
        <w:t xml:space="preserve">Figure </w:t>
      </w:r>
      <w:r>
        <w:t>12</w:t>
      </w:r>
      <w:r w:rsidRPr="00C738A2">
        <w:t xml:space="preserve">: Change from </w:t>
      </w:r>
      <w:r w:rsidR="00324FFF">
        <w:t>B</w:t>
      </w:r>
      <w:r w:rsidR="00324FFF" w:rsidRPr="00C738A2">
        <w:t xml:space="preserve">aseline </w:t>
      </w:r>
      <w:r w:rsidRPr="00C738A2">
        <w:t>in sitting DBP and change over time</w:t>
      </w:r>
      <w:bookmarkEnd w:id="424"/>
      <w:bookmarkEnd w:id="425"/>
    </w:p>
    <w:p w:rsidR="00056F63" w:rsidRPr="00077D07" w:rsidRDefault="00056F63" w:rsidP="00077D07">
      <w:r>
        <w:rPr>
          <w:noProof/>
          <w:lang w:eastAsia="en-AU"/>
        </w:rPr>
        <w:drawing>
          <wp:inline distT="0" distB="0" distL="0" distR="0" wp14:anchorId="2BC41003" wp14:editId="1BA7004F">
            <wp:extent cx="5113325" cy="6548989"/>
            <wp:effectExtent l="0" t="0" r="0" b="4445"/>
            <wp:docPr id="26" name="Picture 26" descr="Change from baseline in sitting DBP and chang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Lst>
                    </a:blip>
                    <a:stretch>
                      <a:fillRect/>
                    </a:stretch>
                  </pic:blipFill>
                  <pic:spPr>
                    <a:xfrm>
                      <a:off x="0" y="0"/>
                      <a:ext cx="5117304" cy="6554085"/>
                    </a:xfrm>
                    <a:prstGeom prst="rect">
                      <a:avLst/>
                    </a:prstGeom>
                  </pic:spPr>
                </pic:pic>
              </a:graphicData>
            </a:graphic>
          </wp:inline>
        </w:drawing>
      </w:r>
    </w:p>
    <w:p w:rsidR="00803C18" w:rsidRDefault="002E5CF1" w:rsidP="001F7376">
      <w:r w:rsidRPr="00C71F85">
        <w:t>The percentage of subjects who received glycaemic rescue therapy at Week 26 was 17.7% in the placebo group, with infrequent initiation of glycaemic rescue therapy in both ertugliflozin groups (&lt;</w:t>
      </w:r>
      <w:r w:rsidR="001F7376">
        <w:t xml:space="preserve"> </w:t>
      </w:r>
      <w:r w:rsidRPr="00C71F85">
        <w:t xml:space="preserve">3% in both groups; nominal </w:t>
      </w:r>
      <w:r w:rsidR="00FB1E32">
        <w:t>p &lt; 0</w:t>
      </w:r>
      <w:r w:rsidRPr="00C71F85">
        <w:t>.001 for both comparisons)</w:t>
      </w:r>
      <w:r w:rsidR="00803C18">
        <w:t>.</w:t>
      </w:r>
    </w:p>
    <w:p w:rsidR="002E5CF1" w:rsidRPr="001F7376" w:rsidRDefault="002E5CF1" w:rsidP="001F7376">
      <w:r w:rsidRPr="00C71F85">
        <w:t>Sensitivity analyses were performed to assess the impact of missing data on the conclusions</w:t>
      </w:r>
      <w:r w:rsidRPr="00C71F85">
        <w:rPr>
          <w:color w:val="000000"/>
        </w:rPr>
        <w:t xml:space="preserve"> </w:t>
      </w:r>
      <w:r>
        <w:rPr>
          <w:color w:val="000000"/>
        </w:rPr>
        <w:t>f</w:t>
      </w:r>
      <w:r w:rsidRPr="00C71F85">
        <w:rPr>
          <w:color w:val="000000"/>
        </w:rPr>
        <w:t xml:space="preserve">rom the primary analysis. LS mean reductions in </w:t>
      </w:r>
      <w:r>
        <w:rPr>
          <w:color w:val="000000"/>
        </w:rPr>
        <w:t>HbA1c</w:t>
      </w:r>
      <w:r w:rsidRPr="00C71F85">
        <w:rPr>
          <w:color w:val="000000"/>
        </w:rPr>
        <w:t xml:space="preserve"> at Week 26 were greater in the ertugliflozin groups relative to the placebo group (nominal </w:t>
      </w:r>
      <w:r w:rsidR="00FB1E32">
        <w:rPr>
          <w:color w:val="000000"/>
        </w:rPr>
        <w:t>p &lt; 0</w:t>
      </w:r>
      <w:r w:rsidRPr="00C71F85">
        <w:rPr>
          <w:color w:val="000000"/>
        </w:rPr>
        <w:t>.0001 for both comparisons)</w:t>
      </w:r>
      <w:r>
        <w:rPr>
          <w:color w:val="000000"/>
        </w:rPr>
        <w:t xml:space="preserve"> </w:t>
      </w:r>
      <w:r w:rsidRPr="00C71F85">
        <w:rPr>
          <w:color w:val="000000"/>
        </w:rPr>
        <w:t xml:space="preserve">in </w:t>
      </w:r>
      <w:r w:rsidRPr="001F7376">
        <w:t xml:space="preserve">the J2R analyses, excluding data after initiation of glycaemic rescue therapy (Table </w:t>
      </w:r>
      <w:r w:rsidR="000C2518" w:rsidRPr="001F7376">
        <w:t>46</w:t>
      </w:r>
      <w:r w:rsidRPr="001F7376">
        <w:t xml:space="preserve">). The tipping-point analyses, in which data collected after initiation of glycaemic rescue therapy were also considered missing showed that, to shift the primary result to a non-significant result, the HbA1c change from baseline among subjects in the ertugliflozin groups with missing data would need to have been substantially worse than that expected under the missing at random </w:t>
      </w:r>
      <w:r w:rsidRPr="001F7376">
        <w:lastRenderedPageBreak/>
        <w:t xml:space="preserve">assumption (over 6.9% and over 7.4% for ertugliflozin 5 mg and 15 mg, respectively, with no change in placebo). Since these HbA1c increases are clinically highly unlikely, the tipping point analysis results support the robustness of the conclusions based upon the primary analytic approach (Table </w:t>
      </w:r>
      <w:r w:rsidR="000C2518" w:rsidRPr="001F7376">
        <w:t>47</w:t>
      </w:r>
      <w:r w:rsidRPr="001F7376">
        <w:t>).</w:t>
      </w:r>
    </w:p>
    <w:p w:rsidR="00077D07" w:rsidRPr="00077D07" w:rsidRDefault="000C2518" w:rsidP="00077D07">
      <w:pPr>
        <w:pStyle w:val="Tabletitle"/>
      </w:pPr>
      <w:bookmarkStart w:id="426" w:name="_Ref492028070"/>
      <w:bookmarkStart w:id="427" w:name="_Toc504038442"/>
      <w:r w:rsidRPr="00077D07">
        <w:t xml:space="preserve">Table 46: </w:t>
      </w:r>
      <w:r w:rsidR="00324FFF" w:rsidRPr="00077D07">
        <w:t xml:space="preserve">HbA1c (%); </w:t>
      </w:r>
      <w:r w:rsidRPr="00077D07">
        <w:t xml:space="preserve">Change from </w:t>
      </w:r>
      <w:r w:rsidR="00324FFF" w:rsidRPr="00077D07">
        <w:t xml:space="preserve">Baseline </w:t>
      </w:r>
      <w:r w:rsidRPr="00077D07">
        <w:t xml:space="preserve">at </w:t>
      </w:r>
      <w:r w:rsidR="00686AEA" w:rsidRPr="00077D07">
        <w:t>Week 26</w:t>
      </w:r>
      <w:r w:rsidRPr="00077D07">
        <w:t xml:space="preserve"> jump to reference missing data approach (FAS: excluding rescue approach)</w:t>
      </w:r>
      <w:bookmarkEnd w:id="426"/>
      <w:bookmarkEnd w:id="427"/>
    </w:p>
    <w:p w:rsidR="000C2518" w:rsidRPr="00C738A2" w:rsidRDefault="000C2518" w:rsidP="00077D07">
      <w:r w:rsidRPr="00C738A2">
        <w:rPr>
          <w:noProof/>
          <w:lang w:eastAsia="en-AU"/>
        </w:rPr>
        <w:drawing>
          <wp:inline distT="0" distB="0" distL="0" distR="0" wp14:anchorId="70C39988" wp14:editId="1AE5F783">
            <wp:extent cx="5731510" cy="1542997"/>
            <wp:effectExtent l="0" t="0" r="2540" b="635"/>
            <wp:docPr id="183" name="Picture 183" descr="HbA1C (%): Change from baseline at week 26 jump to reference missing data approach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a:lum bright="-20000" contrast="40000"/>
                      <a:extLst>
                        <a:ext uri="{28A0092B-C50C-407E-A947-70E740481C1C}">
                          <a14:useLocalDpi xmlns:a14="http://schemas.microsoft.com/office/drawing/2010/main" val="0"/>
                        </a:ext>
                      </a:extLst>
                    </a:blip>
                    <a:srcRect/>
                    <a:stretch>
                      <a:fillRect/>
                    </a:stretch>
                  </pic:blipFill>
                  <pic:spPr bwMode="auto">
                    <a:xfrm>
                      <a:off x="0" y="0"/>
                      <a:ext cx="5731510" cy="1542997"/>
                    </a:xfrm>
                    <a:prstGeom prst="rect">
                      <a:avLst/>
                    </a:prstGeom>
                    <a:noFill/>
                    <a:ln>
                      <a:noFill/>
                    </a:ln>
                  </pic:spPr>
                </pic:pic>
              </a:graphicData>
            </a:graphic>
          </wp:inline>
        </w:drawing>
      </w:r>
    </w:p>
    <w:p w:rsidR="000C2518" w:rsidRDefault="000C2518" w:rsidP="000C2518">
      <w:pPr>
        <w:pStyle w:val="Tabletitle"/>
      </w:pPr>
      <w:bookmarkStart w:id="428" w:name="_Ref492028073"/>
      <w:bookmarkStart w:id="429" w:name="_Toc504038443"/>
      <w:r w:rsidRPr="00C738A2">
        <w:t xml:space="preserve">Table </w:t>
      </w:r>
      <w:r>
        <w:t>47</w:t>
      </w:r>
      <w:r w:rsidRPr="00C738A2">
        <w:t>:</w:t>
      </w:r>
      <w:r>
        <w:t xml:space="preserve"> </w:t>
      </w:r>
      <w:r w:rsidR="00324FFF">
        <w:t>Hb</w:t>
      </w:r>
      <w:r w:rsidR="00324FFF" w:rsidRPr="00C738A2">
        <w:t>A1</w:t>
      </w:r>
      <w:r w:rsidR="00324FFF">
        <w:t>c</w:t>
      </w:r>
      <w:r w:rsidR="00324FFF" w:rsidRPr="00C738A2">
        <w:t xml:space="preserve"> (%)</w:t>
      </w:r>
      <w:r w:rsidR="00324FFF">
        <w:t>;</w:t>
      </w:r>
      <w:r w:rsidR="00324FFF" w:rsidRPr="00C738A2">
        <w:t xml:space="preserve"> </w:t>
      </w:r>
      <w:r w:rsidRPr="00C738A2">
        <w:t xml:space="preserve">Change from </w:t>
      </w:r>
      <w:r w:rsidR="00324FFF">
        <w:t>B</w:t>
      </w:r>
      <w:r w:rsidR="00324FFF" w:rsidRPr="00C738A2">
        <w:t xml:space="preserve">aseline </w:t>
      </w:r>
      <w:r w:rsidRPr="00C738A2">
        <w:t xml:space="preserve">at </w:t>
      </w:r>
      <w:r w:rsidR="00686AEA">
        <w:t>Week 26</w:t>
      </w:r>
      <w:r w:rsidRPr="00C738A2">
        <w:t xml:space="preserve"> tipping point analysis missing data approach (FAS: excluding rescue approach)</w:t>
      </w:r>
      <w:bookmarkEnd w:id="428"/>
      <w:bookmarkEnd w:id="429"/>
    </w:p>
    <w:p w:rsidR="000C2518" w:rsidRPr="000C2518" w:rsidRDefault="000C2518" w:rsidP="000C2518">
      <w:r>
        <w:rPr>
          <w:noProof/>
          <w:lang w:eastAsia="en-AU"/>
        </w:rPr>
        <w:drawing>
          <wp:inline distT="0" distB="0" distL="0" distR="0" wp14:anchorId="03550EDF" wp14:editId="71282FEA">
            <wp:extent cx="5731510" cy="3723032"/>
            <wp:effectExtent l="0" t="0" r="2540" b="0"/>
            <wp:docPr id="27" name="Picture 27" descr="HbA1C (%): Change from baseline at week 26 tipping point analysis missing data approach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31510" cy="3723032"/>
                    </a:xfrm>
                    <a:prstGeom prst="rect">
                      <a:avLst/>
                    </a:prstGeom>
                  </pic:spPr>
                </pic:pic>
              </a:graphicData>
            </a:graphic>
          </wp:inline>
        </w:drawing>
      </w:r>
    </w:p>
    <w:p w:rsidR="002E5CF1" w:rsidRDefault="002E5CF1" w:rsidP="00D102F6">
      <w:pPr>
        <w:pStyle w:val="Heading5"/>
      </w:pPr>
      <w:r>
        <w:t>Evaluator commentary</w:t>
      </w:r>
    </w:p>
    <w:p w:rsidR="002E5CF1" w:rsidRPr="001C4E22" w:rsidRDefault="002E5CF1" w:rsidP="001F7376">
      <w:r w:rsidRPr="001C4E22">
        <w:t>Th</w:t>
      </w:r>
      <w:r>
        <w:t xml:space="preserve">is pivotal Phase III study evaluated </w:t>
      </w:r>
      <w:r w:rsidRPr="001C4E22">
        <w:t>the efficacy and safety of the addition of</w:t>
      </w:r>
      <w:r>
        <w:t xml:space="preserve"> </w:t>
      </w:r>
      <w:r w:rsidR="001F7376">
        <w:t>ertugliflozin (5 </w:t>
      </w:r>
      <w:r w:rsidRPr="001C4E22">
        <w:t xml:space="preserve">mg and 15 mg) </w:t>
      </w:r>
      <w:r>
        <w:t xml:space="preserve">for </w:t>
      </w:r>
      <w:r w:rsidRPr="001C4E22">
        <w:t>treatment of 621 subjects with T2DM and inadequate</w:t>
      </w:r>
      <w:r>
        <w:t xml:space="preserve"> </w:t>
      </w:r>
      <w:r w:rsidRPr="001C4E22">
        <w:t>glycaemic control on metformin monotherapy at a d</w:t>
      </w:r>
      <w:r w:rsidRPr="001C4E22">
        <w:rPr>
          <w:rFonts w:cs="TimesNewRomanPSMT"/>
        </w:rPr>
        <w:t xml:space="preserve">ose </w:t>
      </w:r>
      <w:r w:rsidR="002E1032">
        <w:rPr>
          <w:color w:val="000000"/>
        </w:rPr>
        <w:t xml:space="preserve">≥ </w:t>
      </w:r>
      <w:r w:rsidRPr="001C4E22">
        <w:rPr>
          <w:rFonts w:cs="TimesNewRomanPSMT"/>
        </w:rPr>
        <w:t xml:space="preserve">1500 </w:t>
      </w:r>
      <w:r w:rsidRPr="001C4E22">
        <w:t>mg/day</w:t>
      </w:r>
      <w:r>
        <w:t>.</w:t>
      </w:r>
      <w:r w:rsidRPr="001C4E22">
        <w:t xml:space="preserve"> The population studied reflected patients with a wide range of glycaemic control, from mild to</w:t>
      </w:r>
      <w:r>
        <w:t xml:space="preserve"> </w:t>
      </w:r>
      <w:r w:rsidRPr="001C4E22">
        <w:t>moderately severe, and a typical profile for patients with T2DM, with regard to age and sex</w:t>
      </w:r>
      <w:r>
        <w:t xml:space="preserve"> </w:t>
      </w:r>
      <w:r w:rsidRPr="001C4E22">
        <w:t xml:space="preserve">and co-morbidities. </w:t>
      </w:r>
      <w:r>
        <w:t xml:space="preserve">About 30% of the subjects were on prior treatment with two AHAs (metformin + SUs most common). </w:t>
      </w:r>
      <w:r w:rsidRPr="001C4E22">
        <w:t xml:space="preserve">Approximately 40% of the </w:t>
      </w:r>
      <w:r>
        <w:t>randomised</w:t>
      </w:r>
      <w:r w:rsidRPr="001C4E22">
        <w:t xml:space="preserve"> subjects were women greater</w:t>
      </w:r>
      <w:r>
        <w:t xml:space="preserve"> </w:t>
      </w:r>
      <w:r w:rsidRPr="001C4E22">
        <w:t>than 3 years post-menopause in order to assess bone safety in this population. These baseline</w:t>
      </w:r>
      <w:r>
        <w:t xml:space="preserve"> </w:t>
      </w:r>
      <w:r w:rsidRPr="001C4E22">
        <w:t xml:space="preserve">characteristics were comparable across the </w:t>
      </w:r>
      <w:r w:rsidRPr="001C4E22">
        <w:lastRenderedPageBreak/>
        <w:t>three treatment groups and the study population</w:t>
      </w:r>
      <w:r>
        <w:t xml:space="preserve"> </w:t>
      </w:r>
      <w:r w:rsidRPr="001C4E22">
        <w:t>was representative of patients with inadequate control on metformin monotherapy in clinical</w:t>
      </w:r>
      <w:r>
        <w:t xml:space="preserve"> </w:t>
      </w:r>
      <w:r w:rsidRPr="001C4E22">
        <w:t>practice.</w:t>
      </w:r>
    </w:p>
    <w:p w:rsidR="00803C18" w:rsidRDefault="002E5CF1" w:rsidP="001F7376">
      <w:r>
        <w:t>T</w:t>
      </w:r>
      <w:r w:rsidRPr="001C4E22">
        <w:t xml:space="preserve">he decreases in </w:t>
      </w:r>
      <w:r>
        <w:t>HbA1c</w:t>
      </w:r>
      <w:r w:rsidRPr="001C4E22">
        <w:t xml:space="preserve"> were robust and clinically important</w:t>
      </w:r>
      <w:r>
        <w:t xml:space="preserve"> </w:t>
      </w:r>
      <w:r w:rsidRPr="001C4E22">
        <w:t xml:space="preserve">with both </w:t>
      </w:r>
      <w:r>
        <w:t xml:space="preserve">ertugliflozin </w:t>
      </w:r>
      <w:r w:rsidRPr="001C4E22">
        <w:t>doses</w:t>
      </w:r>
      <w:r>
        <w:t xml:space="preserve"> compared with placebo (difference from placebo</w:t>
      </w:r>
      <w:r w:rsidR="001F7376">
        <w:t xml:space="preserve"> </w:t>
      </w:r>
      <w:r>
        <w:t xml:space="preserve">= 0.70 and -0.88, respectively; </w:t>
      </w:r>
      <w:r w:rsidR="00FB1E32">
        <w:t>p &lt; 0</w:t>
      </w:r>
      <w:r>
        <w:t>.001 for both comparisons)</w:t>
      </w:r>
      <w:r w:rsidRPr="001C4E22">
        <w:t xml:space="preserve"> with a modestly greater decrease seen at 15 mg relative to 5 mg of</w:t>
      </w:r>
      <w:r>
        <w:t xml:space="preserve"> </w:t>
      </w:r>
      <w:r w:rsidRPr="001C4E22">
        <w:t>ertugliflozin.</w:t>
      </w:r>
      <w:r>
        <w:t xml:space="preserve"> T</w:t>
      </w:r>
      <w:r w:rsidRPr="001C4E22">
        <w:t>reatment with ertugliflozin also demonstrated significant improvements on</w:t>
      </w:r>
      <w:r>
        <w:t xml:space="preserve"> </w:t>
      </w:r>
      <w:r w:rsidRPr="001C4E22">
        <w:t>other measures of glycaemia, including reducing FPG and increasing the proportion of</w:t>
      </w:r>
      <w:r>
        <w:t xml:space="preserve"> </w:t>
      </w:r>
      <w:r w:rsidRPr="001C4E22">
        <w:t xml:space="preserve">subjects reaching </w:t>
      </w:r>
      <w:r>
        <w:t>an HbA1c &lt;</w:t>
      </w:r>
      <w:r w:rsidR="001F7376">
        <w:t xml:space="preserve"> </w:t>
      </w:r>
      <w:r>
        <w:t xml:space="preserve">7% relative to placebo with numerically greater improvements observed in the 15 mg </w:t>
      </w:r>
      <w:r w:rsidRPr="001C4E22">
        <w:t>relative to 5 mg</w:t>
      </w:r>
      <w:r>
        <w:t xml:space="preserve"> ertugliflozin dose</w:t>
      </w:r>
      <w:r w:rsidRPr="001C4E22">
        <w:t>.</w:t>
      </w:r>
      <w:r>
        <w:t xml:space="preserve"> </w:t>
      </w:r>
      <w:r w:rsidRPr="001C4E22">
        <w:t>In addition to the clinically meaningful improvements in glyc</w:t>
      </w:r>
      <w:r>
        <w:t>a</w:t>
      </w:r>
      <w:r w:rsidRPr="001C4E22">
        <w:t>emic control, subjects in the</w:t>
      </w:r>
      <w:r>
        <w:t xml:space="preserve"> </w:t>
      </w:r>
      <w:r w:rsidRPr="001C4E22">
        <w:t>ertugliflozin 5 mg and 15 mg groups had significantly greater reductions in</w:t>
      </w:r>
      <w:r>
        <w:t xml:space="preserve"> </w:t>
      </w:r>
      <w:r w:rsidRPr="001C4E22">
        <w:t>body weight and systolic and diastolic blood pressure at Week 26 compared to the placebo</w:t>
      </w:r>
      <w:r>
        <w:t xml:space="preserve"> </w:t>
      </w:r>
      <w:r w:rsidRPr="001C4E22">
        <w:t xml:space="preserve">group. </w:t>
      </w:r>
      <w:r>
        <w:t>M</w:t>
      </w:r>
      <w:r w:rsidRPr="001C4E22">
        <w:t>ore than 70% of subjects</w:t>
      </w:r>
      <w:r>
        <w:t xml:space="preserve"> in this study were on</w:t>
      </w:r>
      <w:r w:rsidRPr="001C4E22">
        <w:t xml:space="preserve"> antihypertensive medication at </w:t>
      </w:r>
      <w:r>
        <w:t>randomisation</w:t>
      </w:r>
      <w:r w:rsidRPr="001C4E22">
        <w:t xml:space="preserve"> </w:t>
      </w:r>
      <w:r>
        <w:t xml:space="preserve">with mean baseline SBP/DBP of </w:t>
      </w:r>
      <w:r w:rsidRPr="001C4E22">
        <w:t>approximately 130/78 mmHg</w:t>
      </w:r>
      <w:r>
        <w:t xml:space="preserve"> </w:t>
      </w:r>
      <w:r w:rsidRPr="001C4E22">
        <w:t xml:space="preserve">and </w:t>
      </w:r>
      <w:r>
        <w:t>the reductions in mean SBP and DBP by ertugliflozin (5 mg and 15 mg) may be clinically relevant</w:t>
      </w:r>
      <w:r w:rsidR="00803C18">
        <w:t>.</w:t>
      </w:r>
    </w:p>
    <w:p w:rsidR="00803C18" w:rsidRDefault="002E5CF1" w:rsidP="001F7376">
      <w:r>
        <w:rPr>
          <w:color w:val="000000"/>
        </w:rPr>
        <w:t xml:space="preserve">Overall, this study provided evidence of efficacy of ertugliflozin (5 mg and 15 mg </w:t>
      </w:r>
      <w:r w:rsidR="00337E5F">
        <w:rPr>
          <w:color w:val="000000"/>
        </w:rPr>
        <w:t>QD</w:t>
      </w:r>
      <w:r>
        <w:rPr>
          <w:color w:val="000000"/>
        </w:rPr>
        <w:t xml:space="preserve">) over placebo when used in combination with metformin (daily doses </w:t>
      </w:r>
      <w:r w:rsidR="001F7376">
        <w:rPr>
          <w:color w:val="000000"/>
        </w:rPr>
        <w:t xml:space="preserve">≥ </w:t>
      </w:r>
      <w:r>
        <w:rPr>
          <w:color w:val="000000"/>
        </w:rPr>
        <w:t>150</w:t>
      </w:r>
      <w:r w:rsidR="0038343A">
        <w:rPr>
          <w:color w:val="000000"/>
        </w:rPr>
        <w:t>0 mg</w:t>
      </w:r>
      <w:r>
        <w:rPr>
          <w:color w:val="000000"/>
        </w:rPr>
        <w:t xml:space="preserve">) for T2DM adults with inadequate glycaemic control on diet/ exercise and metformin monotherapy (at a dose </w:t>
      </w:r>
      <w:r w:rsidR="001F7376">
        <w:rPr>
          <w:color w:val="000000"/>
        </w:rPr>
        <w:t xml:space="preserve">≥ 1500 mg </w:t>
      </w:r>
      <w:r>
        <w:rPr>
          <w:color w:val="000000"/>
        </w:rPr>
        <w:t xml:space="preserve">/day). </w:t>
      </w:r>
      <w:r>
        <w:t>Evidence of efficacy beyond 6 months was not provided in this submission althou</w:t>
      </w:r>
      <w:r w:rsidR="001F7376">
        <w:t xml:space="preserve">gh results of Phase B (weeks 26 to </w:t>
      </w:r>
      <w:r>
        <w:t xml:space="preserve">104) of the study should provide data on long term maintenance of efficacy following treatment with </w:t>
      </w:r>
      <w:r w:rsidRPr="001C4E22">
        <w:t xml:space="preserve">ertugliflozin </w:t>
      </w:r>
      <w:r>
        <w:t>plus</w:t>
      </w:r>
      <w:r w:rsidRPr="001C4E22">
        <w:t xml:space="preserve"> metformin</w:t>
      </w:r>
      <w:r w:rsidR="00803C18">
        <w:t>.</w:t>
      </w:r>
    </w:p>
    <w:p w:rsidR="002E5CF1" w:rsidRDefault="00324FFF" w:rsidP="000C2518">
      <w:pPr>
        <w:pStyle w:val="Heading4"/>
      </w:pPr>
      <w:bookmarkStart w:id="430" w:name="_Ref492031534"/>
      <w:bookmarkStart w:id="431" w:name="_Ref492031563"/>
      <w:bookmarkStart w:id="432" w:name="_Toc504038155"/>
      <w:r>
        <w:t xml:space="preserve">Study </w:t>
      </w:r>
      <w:r w:rsidR="002E5CF1">
        <w:t>P002/1013: Add-on to metformin</w:t>
      </w:r>
      <w:bookmarkEnd w:id="430"/>
      <w:bookmarkEnd w:id="431"/>
      <w:bookmarkEnd w:id="432"/>
    </w:p>
    <w:p w:rsidR="002E5CF1" w:rsidRDefault="000C2518" w:rsidP="000C2518">
      <w:pPr>
        <w:pStyle w:val="Heading5"/>
      </w:pPr>
      <w:r>
        <w:t>Study design, objectives</w:t>
      </w:r>
    </w:p>
    <w:p w:rsidR="00803C18" w:rsidRDefault="002E5CF1" w:rsidP="001F7376">
      <w:r w:rsidRPr="00693F68">
        <w:t xml:space="preserve">This was a multicentre, </w:t>
      </w:r>
      <w:r>
        <w:t>randomised</w:t>
      </w:r>
      <w:r w:rsidRPr="00693F68">
        <w:t xml:space="preserve">, </w:t>
      </w:r>
      <w:r w:rsidR="00FB1E32">
        <w:t>double blind</w:t>
      </w:r>
      <w:r w:rsidR="001F7376">
        <w:t xml:space="preserve">, active </w:t>
      </w:r>
      <w:r w:rsidRPr="00693F68">
        <w:t>comparator</w:t>
      </w:r>
      <w:r w:rsidR="001F7376">
        <w:t xml:space="preserve"> </w:t>
      </w:r>
      <w:r w:rsidRPr="00693F68">
        <w:t>controlled</w:t>
      </w:r>
      <w:r>
        <w:t xml:space="preserve"> </w:t>
      </w:r>
      <w:r w:rsidR="001F7376">
        <w:t xml:space="preserve">parallel </w:t>
      </w:r>
      <w:r w:rsidRPr="00693F68">
        <w:t xml:space="preserve">group clinical trial of ertugliflozin in </w:t>
      </w:r>
      <w:r>
        <w:t xml:space="preserve">adults </w:t>
      </w:r>
      <w:r w:rsidRPr="00693F68">
        <w:t>with T2DM and inadequate glycaemic control (</w:t>
      </w:r>
      <w:r w:rsidR="00424310">
        <w:t>(</w:t>
      </w:r>
      <w:r>
        <w:t>HbA1c</w:t>
      </w:r>
      <w:r w:rsidR="001F7376">
        <w:t> </w:t>
      </w:r>
      <w:r w:rsidR="001F7376">
        <w:rPr>
          <w:color w:val="000000"/>
        </w:rPr>
        <w:t>≥ </w:t>
      </w:r>
      <w:r w:rsidRPr="00693F68">
        <w:t xml:space="preserve">7.0% and </w:t>
      </w:r>
      <w:r w:rsidR="003B751A">
        <w:t xml:space="preserve">≤ </w:t>
      </w:r>
      <w:r w:rsidRPr="00693F68">
        <w:t xml:space="preserve">9.0% </w:t>
      </w:r>
      <w:r w:rsidR="00424310">
        <w:t>(</w:t>
      </w:r>
      <w:r w:rsidR="002E1032">
        <w:rPr>
          <w:color w:val="000000"/>
        </w:rPr>
        <w:t xml:space="preserve">≥ </w:t>
      </w:r>
      <w:r w:rsidRPr="00693F68">
        <w:t xml:space="preserve">53 and </w:t>
      </w:r>
      <w:r w:rsidR="003B751A">
        <w:t xml:space="preserve">≤ </w:t>
      </w:r>
      <w:r w:rsidRPr="00693F68">
        <w:t>75 mmol/mol</w:t>
      </w:r>
      <w:r w:rsidR="00424310">
        <w:t>)</w:t>
      </w:r>
      <w:r w:rsidRPr="00693F68">
        <w:t xml:space="preserve">) on </w:t>
      </w:r>
      <w:r w:rsidR="002E1032">
        <w:rPr>
          <w:color w:val="000000"/>
        </w:rPr>
        <w:t xml:space="preserve">≥ </w:t>
      </w:r>
      <w:r w:rsidRPr="00693F68">
        <w:t>1500</w:t>
      </w:r>
      <w:r>
        <w:t xml:space="preserve"> </w:t>
      </w:r>
      <w:r w:rsidRPr="00693F68">
        <w:t xml:space="preserve">mg/day metformin monotherapy for at least 8 weeks. The </w:t>
      </w:r>
      <w:r w:rsidR="00FB1E32">
        <w:t>double blind</w:t>
      </w:r>
      <w:r w:rsidRPr="00693F68">
        <w:t xml:space="preserve"> treatment period was 104 weeks in duration and</w:t>
      </w:r>
      <w:r>
        <w:t xml:space="preserve"> </w:t>
      </w:r>
      <w:r w:rsidRPr="00693F68">
        <w:t>divided into two 52</w:t>
      </w:r>
      <w:r w:rsidR="00833C92">
        <w:t xml:space="preserve"> week</w:t>
      </w:r>
      <w:r w:rsidRPr="00693F68">
        <w:t xml:space="preserve"> phases (Phase A</w:t>
      </w:r>
      <w:r w:rsidR="001F7376">
        <w:t>;</w:t>
      </w:r>
      <w:r w:rsidR="0010567B" w:rsidRPr="002B464E">
        <w:t xml:space="preserve"> </w:t>
      </w:r>
      <w:r w:rsidR="001F7376">
        <w:t>Weeks 0 to 52; Phase B;</w:t>
      </w:r>
      <w:r w:rsidR="00324FFF">
        <w:t xml:space="preserve"> </w:t>
      </w:r>
      <w:r w:rsidRPr="00693F68">
        <w:t>Weeks</w:t>
      </w:r>
      <w:r>
        <w:t xml:space="preserve"> </w:t>
      </w:r>
      <w:r w:rsidR="001F7376">
        <w:t xml:space="preserve">52 to </w:t>
      </w:r>
      <w:r w:rsidRPr="00693F68">
        <w:t xml:space="preserve">104) and only Phase </w:t>
      </w:r>
      <w:proofErr w:type="gramStart"/>
      <w:r w:rsidRPr="00693F68">
        <w:t>A</w:t>
      </w:r>
      <w:proofErr w:type="gramEnd"/>
      <w:r w:rsidRPr="00693F68">
        <w:t xml:space="preserve"> results were provided in submitted </w:t>
      </w:r>
      <w:r w:rsidRPr="000C2518">
        <w:t xml:space="preserve">dossier (Figure </w:t>
      </w:r>
      <w:r w:rsidR="000C2518" w:rsidRPr="000C2518">
        <w:t>13</w:t>
      </w:r>
      <w:r w:rsidRPr="000C2518">
        <w:t>)</w:t>
      </w:r>
      <w:r w:rsidR="00803C18">
        <w:t>.</w:t>
      </w:r>
    </w:p>
    <w:p w:rsidR="000C2518" w:rsidRPr="00077D07" w:rsidRDefault="000C2518" w:rsidP="00077D07">
      <w:pPr>
        <w:pStyle w:val="FigureTitle"/>
      </w:pPr>
      <w:bookmarkStart w:id="433" w:name="_Ref492028076"/>
      <w:bookmarkStart w:id="434" w:name="_Toc504038444"/>
      <w:r w:rsidRPr="00077D07">
        <w:lastRenderedPageBreak/>
        <w:t>Figure 13: Study P002/1013 Overview of trial design</w:t>
      </w:r>
      <w:bookmarkEnd w:id="433"/>
      <w:bookmarkEnd w:id="434"/>
    </w:p>
    <w:p w:rsidR="000C2518" w:rsidRPr="00C738A2" w:rsidRDefault="000C2518" w:rsidP="00077D07">
      <w:r w:rsidRPr="00C738A2">
        <w:rPr>
          <w:noProof/>
          <w:lang w:eastAsia="en-AU"/>
        </w:rPr>
        <w:drawing>
          <wp:inline distT="0" distB="0" distL="0" distR="0" wp14:anchorId="2DC318FA" wp14:editId="30A1E7B1">
            <wp:extent cx="5179039" cy="3565232"/>
            <wp:effectExtent l="0" t="0" r="3175" b="0"/>
            <wp:docPr id="273" name="Picture 273" descr="Study P002/1013: Overview of trial design&#10;The double-blind treatment period was 104 weeks in duration and divided into two 52 week phases (Phase A – Weeks 0-52; Phase B –Weeks 52-104) and only Phase A results were provided in submitted dos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lum bright="-20000" contrast="40000"/>
                      <a:extLst>
                        <a:ext uri="{28A0092B-C50C-407E-A947-70E740481C1C}">
                          <a14:useLocalDpi xmlns:a14="http://schemas.microsoft.com/office/drawing/2010/main" val="0"/>
                        </a:ext>
                      </a:extLst>
                    </a:blip>
                    <a:srcRect b="1633"/>
                    <a:stretch/>
                  </pic:blipFill>
                  <pic:spPr bwMode="auto">
                    <a:xfrm>
                      <a:off x="0" y="0"/>
                      <a:ext cx="5180115" cy="3565973"/>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Default="002E5CF1" w:rsidP="001F7376">
      <w:r w:rsidRPr="002C3928">
        <w:t xml:space="preserve">The primary objective was: In subjects with T2DM and inadequate control on metformin, to assess the </w:t>
      </w:r>
      <w:r>
        <w:t>HbA1c</w:t>
      </w:r>
      <w:r w:rsidRPr="002C3928">
        <w:t xml:space="preserve"> lowering efficacy after 52 weeks of the addition of ertugliflozin 1</w:t>
      </w:r>
      <w:r>
        <w:t>5 mg</w:t>
      </w:r>
      <w:r w:rsidRPr="002C3928">
        <w:t xml:space="preserve"> compared with the addition of glimepiride. The secondary objectives were to assess the effects on the following parameters in subjects with T2DM and inadequate control on metformin, after 52 weeks</w:t>
      </w:r>
      <w:r>
        <w:t>:</w:t>
      </w:r>
      <w:r w:rsidRPr="002C3928">
        <w:t xml:space="preserve"> effects of the addition of ertugliflozin 1</w:t>
      </w:r>
      <w:r>
        <w:t>5 mg</w:t>
      </w:r>
      <w:r w:rsidRPr="002C3928">
        <w:t xml:space="preserve"> compared wi</w:t>
      </w:r>
      <w:r>
        <w:t>th the addition of glimepiride:</w:t>
      </w:r>
    </w:p>
    <w:p w:rsidR="002E5CF1" w:rsidRPr="002C3928" w:rsidRDefault="002E5CF1" w:rsidP="000C2518">
      <w:pPr>
        <w:pStyle w:val="ListBullet"/>
      </w:pPr>
      <w:r w:rsidRPr="002C3928">
        <w:t>incidence of symptomatic hypoglycaemia, change in body weight from baseline, change in SBP</w:t>
      </w:r>
    </w:p>
    <w:p w:rsidR="002E5CF1" w:rsidRPr="002C3928" w:rsidRDefault="002E5CF1" w:rsidP="000C2518">
      <w:pPr>
        <w:pStyle w:val="ListBullet"/>
      </w:pPr>
      <w:r w:rsidRPr="002C3928">
        <w:t xml:space="preserve">effect of the addition of ertugliflozin 5 mg </w:t>
      </w:r>
      <w:r w:rsidR="00337E5F">
        <w:t>QD</w:t>
      </w:r>
      <w:r w:rsidRPr="002C3928">
        <w:t xml:space="preserve"> compared with the addition of glimepiride on </w:t>
      </w:r>
      <w:r>
        <w:t>HbA1c</w:t>
      </w:r>
      <w:r w:rsidRPr="002C3928">
        <w:t>, incidence of symptomatic hypoglycaemia, change in body weight and SBP</w:t>
      </w:r>
    </w:p>
    <w:p w:rsidR="002E5CF1" w:rsidRPr="002C3928" w:rsidRDefault="002E5CF1" w:rsidP="000C2518">
      <w:pPr>
        <w:pStyle w:val="ListBullet"/>
      </w:pPr>
      <w:proofErr w:type="gramStart"/>
      <w:r w:rsidRPr="002C3928">
        <w:t>effect</w:t>
      </w:r>
      <w:proofErr w:type="gramEnd"/>
      <w:r w:rsidRPr="002C3928">
        <w:t xml:space="preserve"> of the addition of ertugliflozin</w:t>
      </w:r>
      <w:r>
        <w:t xml:space="preserve"> </w:t>
      </w:r>
      <w:r w:rsidRPr="002C3928">
        <w:t>compared with the addition of glimepiride on the proportion of</w:t>
      </w:r>
      <w:r>
        <w:t xml:space="preserve"> </w:t>
      </w:r>
      <w:r w:rsidRPr="002C3928">
        <w:t xml:space="preserve">subjects at the </w:t>
      </w:r>
      <w:r>
        <w:t>HbA1c</w:t>
      </w:r>
      <w:r w:rsidRPr="002C3928">
        <w:t xml:space="preserve"> goal of &lt;</w:t>
      </w:r>
      <w:r w:rsidR="001F7376">
        <w:t xml:space="preserve"> </w:t>
      </w:r>
      <w:r w:rsidRPr="002C3928">
        <w:t>7.0% (&lt;</w:t>
      </w:r>
      <w:r w:rsidR="001F7376">
        <w:t xml:space="preserve"> </w:t>
      </w:r>
      <w:r w:rsidRPr="002C3928">
        <w:t>53 mmol/mol).</w:t>
      </w:r>
    </w:p>
    <w:p w:rsidR="002E5CF1" w:rsidRPr="002C3928" w:rsidRDefault="002E5CF1" w:rsidP="000C2518">
      <w:pPr>
        <w:pStyle w:val="ListBullet"/>
      </w:pPr>
      <w:proofErr w:type="gramStart"/>
      <w:r w:rsidRPr="002C3928">
        <w:t>effect</w:t>
      </w:r>
      <w:proofErr w:type="gramEnd"/>
      <w:r w:rsidRPr="002C3928">
        <w:t xml:space="preserve"> of the addition of ertugliflozin</w:t>
      </w:r>
      <w:r>
        <w:t xml:space="preserve"> </w:t>
      </w:r>
      <w:r w:rsidRPr="002C3928">
        <w:t>compared with the</w:t>
      </w:r>
      <w:r w:rsidR="001F7376">
        <w:t xml:space="preserve"> addition of glimepiride on DBP.</w:t>
      </w:r>
    </w:p>
    <w:p w:rsidR="00803C18" w:rsidRDefault="002E5CF1" w:rsidP="000C2518">
      <w:pPr>
        <w:pStyle w:val="ListBullet"/>
      </w:pPr>
      <w:proofErr w:type="gramStart"/>
      <w:r w:rsidRPr="002C3928">
        <w:t>effect</w:t>
      </w:r>
      <w:proofErr w:type="gramEnd"/>
      <w:r w:rsidRPr="002C3928">
        <w:t xml:space="preserve"> of the addition of ertugliflozin</w:t>
      </w:r>
      <w:r>
        <w:t xml:space="preserve"> </w:t>
      </w:r>
      <w:r w:rsidRPr="002C3928">
        <w:t>compared with the addition of glimepiride on durability of</w:t>
      </w:r>
      <w:r>
        <w:t xml:space="preserve"> </w:t>
      </w:r>
      <w:r w:rsidRPr="002C3928">
        <w:t>glycaemic efficacy</w:t>
      </w:r>
      <w:r w:rsidR="00803C18">
        <w:t>.</w:t>
      </w:r>
    </w:p>
    <w:p w:rsidR="002E5CF1" w:rsidRPr="002C3928" w:rsidRDefault="002E5CF1" w:rsidP="000C2518">
      <w:pPr>
        <w:pStyle w:val="ListBullet"/>
      </w:pPr>
      <w:proofErr w:type="gramStart"/>
      <w:r w:rsidRPr="002C3928">
        <w:t>effect</w:t>
      </w:r>
      <w:proofErr w:type="gramEnd"/>
      <w:r w:rsidRPr="002C3928">
        <w:t xml:space="preserve"> of the addition of ertugliflozin compared with the addition of glimepiride on the</w:t>
      </w:r>
      <w:r>
        <w:t xml:space="preserve"> p</w:t>
      </w:r>
      <w:r w:rsidRPr="002C3928">
        <w:t xml:space="preserve">roportion of subjects meeting the composite endpoint of an </w:t>
      </w:r>
      <w:r>
        <w:t>HbA1c</w:t>
      </w:r>
      <w:r w:rsidRPr="002C3928">
        <w:t xml:space="preserve"> decrease &gt;</w:t>
      </w:r>
      <w:r w:rsidR="001F7376">
        <w:t xml:space="preserve"> </w:t>
      </w:r>
      <w:r w:rsidRPr="002C3928">
        <w:t>0.5% with no symptomatic hypoglycaemia and no body weight gain.</w:t>
      </w:r>
    </w:p>
    <w:p w:rsidR="002E5CF1" w:rsidRPr="002C3928" w:rsidRDefault="002E5CF1" w:rsidP="000C2518">
      <w:pPr>
        <w:pStyle w:val="ListBullet"/>
        <w:rPr>
          <w:rFonts w:asciiTheme="minorHAnsi" w:eastAsiaTheme="minorHAnsi" w:hAnsiTheme="minorHAnsi"/>
          <w:b/>
          <w:color w:val="000000"/>
        </w:rPr>
      </w:pPr>
      <w:proofErr w:type="gramStart"/>
      <w:r w:rsidRPr="002C3928">
        <w:rPr>
          <w:rFonts w:asciiTheme="minorHAnsi" w:eastAsiaTheme="minorHAnsi" w:hAnsiTheme="minorHAnsi"/>
        </w:rPr>
        <w:t>effect</w:t>
      </w:r>
      <w:proofErr w:type="gramEnd"/>
      <w:r w:rsidRPr="002C3928">
        <w:rPr>
          <w:rFonts w:asciiTheme="minorHAnsi" w:eastAsiaTheme="minorHAnsi" w:hAnsiTheme="minorHAnsi"/>
        </w:rPr>
        <w:t xml:space="preserve"> of the addition of ertugliflozin</w:t>
      </w:r>
      <w:r>
        <w:rPr>
          <w:rFonts w:asciiTheme="minorHAnsi" w:eastAsiaTheme="minorHAnsi" w:hAnsiTheme="minorHAnsi"/>
        </w:rPr>
        <w:t xml:space="preserve"> </w:t>
      </w:r>
      <w:r w:rsidRPr="002C3928">
        <w:rPr>
          <w:rFonts w:asciiTheme="minorHAnsi" w:eastAsiaTheme="minorHAnsi" w:hAnsiTheme="minorHAnsi"/>
        </w:rPr>
        <w:t>compared with the addition of glimepiride on the proportion of</w:t>
      </w:r>
      <w:r>
        <w:rPr>
          <w:rFonts w:asciiTheme="minorHAnsi" w:eastAsiaTheme="minorHAnsi" w:hAnsiTheme="minorHAnsi"/>
        </w:rPr>
        <w:t xml:space="preserve"> </w:t>
      </w:r>
      <w:r w:rsidRPr="002C3928">
        <w:rPr>
          <w:rFonts w:asciiTheme="minorHAnsi" w:eastAsiaTheme="minorHAnsi" w:hAnsiTheme="minorHAnsi"/>
        </w:rPr>
        <w:t xml:space="preserve">subjects meeting the composite endpoint of an </w:t>
      </w:r>
      <w:r w:rsidR="00FB1E32">
        <w:rPr>
          <w:rFonts w:asciiTheme="minorHAnsi" w:eastAsiaTheme="minorHAnsi" w:hAnsiTheme="minorHAnsi"/>
        </w:rPr>
        <w:t>HbA1c &lt; 7.0%</w:t>
      </w:r>
      <w:r w:rsidRPr="002C3928">
        <w:rPr>
          <w:rFonts w:asciiTheme="minorHAnsi" w:eastAsiaTheme="minorHAnsi" w:hAnsiTheme="minorHAnsi"/>
        </w:rPr>
        <w:t xml:space="preserve"> with</w:t>
      </w:r>
      <w:r>
        <w:rPr>
          <w:rFonts w:asciiTheme="minorHAnsi" w:eastAsiaTheme="minorHAnsi" w:hAnsiTheme="minorHAnsi"/>
        </w:rPr>
        <w:t xml:space="preserve"> </w:t>
      </w:r>
      <w:r w:rsidRPr="002C3928">
        <w:rPr>
          <w:rFonts w:asciiTheme="minorHAnsi" w:eastAsiaTheme="minorHAnsi" w:hAnsiTheme="minorHAnsi"/>
        </w:rPr>
        <w:t>no symptomatic hypoglyc</w:t>
      </w:r>
      <w:r>
        <w:rPr>
          <w:rFonts w:asciiTheme="minorHAnsi" w:eastAsiaTheme="minorHAnsi" w:hAnsiTheme="minorHAnsi"/>
        </w:rPr>
        <w:t>a</w:t>
      </w:r>
      <w:r w:rsidRPr="002C3928">
        <w:rPr>
          <w:rFonts w:asciiTheme="minorHAnsi" w:eastAsiaTheme="minorHAnsi" w:hAnsiTheme="minorHAnsi"/>
        </w:rPr>
        <w:t>emia.</w:t>
      </w:r>
    </w:p>
    <w:p w:rsidR="002E5CF1" w:rsidRPr="00693F68" w:rsidRDefault="002E5CF1" w:rsidP="001F7376">
      <w:r w:rsidRPr="002C3928">
        <w:t>The study was initiated on 17 Dec 2013 and is still ongoing (last subject visit for Phase A was 28</w:t>
      </w:r>
      <w:r w:rsidR="00324FFF">
        <w:t> </w:t>
      </w:r>
      <w:r w:rsidRPr="002C3928">
        <w:t>Apr</w:t>
      </w:r>
      <w:r w:rsidR="001F7376">
        <w:t>il</w:t>
      </w:r>
      <w:r w:rsidRPr="002C3928">
        <w:t xml:space="preserve"> 2016). It was conducted in 16 countries at 232 trial centers: 9 in Argentina, 16 in Canada, 11 in the Czech Republic, 14 in Hungary, 18 in South Korea, 7 in Lithuania, 10 in Mexico, 10 in the Philippines, 14 in Poland, 18 in Romania, 14 in Russia,</w:t>
      </w:r>
      <w:r w:rsidRPr="00693F68">
        <w:t xml:space="preserve"> 12 in Slovakia, 10 in South Af</w:t>
      </w:r>
      <w:r>
        <w:t>rica, 7 in Taiwan, 5 in Ukraine</w:t>
      </w:r>
      <w:r w:rsidRPr="00693F68">
        <w:t xml:space="preserve"> and 57 in the United States.</w:t>
      </w:r>
    </w:p>
    <w:p w:rsidR="002E5CF1" w:rsidRDefault="002E1032" w:rsidP="002E1032">
      <w:pPr>
        <w:pStyle w:val="Heading5"/>
      </w:pPr>
      <w:r>
        <w:lastRenderedPageBreak/>
        <w:t>Inclusion exclusion criteria</w:t>
      </w:r>
    </w:p>
    <w:p w:rsidR="00803C18" w:rsidRDefault="002E5CF1" w:rsidP="001F7376">
      <w:r w:rsidRPr="00C35768">
        <w:t>The main inclusion criteria were:</w:t>
      </w:r>
      <w:r w:rsidRPr="00C35768">
        <w:rPr>
          <w:rFonts w:ascii="Times New Roman" w:hAnsi="Times New Roman"/>
          <w:sz w:val="24"/>
          <w:szCs w:val="24"/>
        </w:rPr>
        <w:t xml:space="preserve"> </w:t>
      </w:r>
      <w:r w:rsidR="002E1032">
        <w:t xml:space="preserve">≥ </w:t>
      </w:r>
      <w:r w:rsidRPr="00C35768">
        <w:t xml:space="preserve">18 years of age, have BMI </w:t>
      </w:r>
      <w:r w:rsidR="002E1032">
        <w:t xml:space="preserve">≥ </w:t>
      </w:r>
      <w:r w:rsidRPr="00C35768">
        <w:t>18.0 kg/m</w:t>
      </w:r>
      <w:r w:rsidRPr="00C35768">
        <w:rPr>
          <w:vertAlign w:val="superscript"/>
        </w:rPr>
        <w:t>2</w:t>
      </w:r>
      <w:r w:rsidRPr="00C35768">
        <w:t xml:space="preserve">. have diagnosis of T2DM in accordance with ADA </w:t>
      </w:r>
      <w:r w:rsidRPr="00FC5503">
        <w:t xml:space="preserve">guidelines and meet </w:t>
      </w:r>
      <w:r>
        <w:t>one of the following criteria:</w:t>
      </w:r>
      <w:r w:rsidRPr="00FC5503">
        <w:t xml:space="preserve"> On metformin monotherapy </w:t>
      </w:r>
      <w:r w:rsidR="002E1032">
        <w:t xml:space="preserve">≥ </w:t>
      </w:r>
      <w:r w:rsidRPr="00FC5503">
        <w:t xml:space="preserve">1500 mg/day for </w:t>
      </w:r>
      <w:r w:rsidR="002E1032">
        <w:t xml:space="preserve">≥ </w:t>
      </w:r>
      <w:r w:rsidRPr="00FC5503">
        <w:t xml:space="preserve">8 weeks with a Visit 1/Screening </w:t>
      </w:r>
      <w:r>
        <w:t>HbA1c</w:t>
      </w:r>
      <w:r w:rsidRPr="00FC5503">
        <w:t xml:space="preserve"> </w:t>
      </w:r>
      <w:r w:rsidR="002E1032">
        <w:t xml:space="preserve">≥ </w:t>
      </w:r>
      <w:r w:rsidRPr="00FC5503">
        <w:t xml:space="preserve">7.0% and </w:t>
      </w:r>
      <w:r w:rsidR="003B751A">
        <w:t xml:space="preserve">≤ </w:t>
      </w:r>
      <w:r w:rsidRPr="00FC5503">
        <w:t>9.0% (</w:t>
      </w:r>
      <w:r w:rsidR="002E1032">
        <w:t>≥ </w:t>
      </w:r>
      <w:r w:rsidRPr="00FC5503">
        <w:t xml:space="preserve">53 mmol/mol and </w:t>
      </w:r>
      <w:r w:rsidR="003B751A">
        <w:t xml:space="preserve">≤ </w:t>
      </w:r>
      <w:r w:rsidRPr="00FC5503">
        <w:t xml:space="preserve">75 mmol/mol) </w:t>
      </w:r>
      <w:r w:rsidRPr="00FC5503">
        <w:rPr>
          <w:bCs/>
        </w:rPr>
        <w:t>OR</w:t>
      </w:r>
      <w:r>
        <w:rPr>
          <w:bCs/>
        </w:rPr>
        <w:t xml:space="preserve"> </w:t>
      </w:r>
      <w:r w:rsidRPr="00FC5503">
        <w:t xml:space="preserve">On metformin monotherapy </w:t>
      </w:r>
      <w:r w:rsidR="002E1032">
        <w:t xml:space="preserve">≥ </w:t>
      </w:r>
      <w:r w:rsidRPr="00FC5503">
        <w:t>1500 mg/day for &lt;</w:t>
      </w:r>
      <w:r w:rsidR="001F7376">
        <w:t> 8 </w:t>
      </w:r>
      <w:r w:rsidRPr="00FC5503">
        <w:t xml:space="preserve">weeks with a Visit 1/Screening </w:t>
      </w:r>
      <w:r>
        <w:t>HbA1c</w:t>
      </w:r>
      <w:r w:rsidRPr="00FC5503">
        <w:t xml:space="preserve"> </w:t>
      </w:r>
      <w:r w:rsidR="002E1032">
        <w:t>≥ </w:t>
      </w:r>
      <w:r w:rsidRPr="00FC5503">
        <w:t xml:space="preserve">7.0% and </w:t>
      </w:r>
      <w:r w:rsidR="003B751A">
        <w:t xml:space="preserve">≤ </w:t>
      </w:r>
      <w:r w:rsidRPr="00FC5503">
        <w:t>9.0% (</w:t>
      </w:r>
      <w:r w:rsidR="002E1032">
        <w:t xml:space="preserve">≥ </w:t>
      </w:r>
      <w:r w:rsidRPr="00FC5503">
        <w:t xml:space="preserve">53 mmol/mol and </w:t>
      </w:r>
      <w:r w:rsidR="001F7376">
        <w:t>≤ 75 </w:t>
      </w:r>
      <w:r w:rsidRPr="00FC5503">
        <w:t xml:space="preserve">mmol/mol) </w:t>
      </w:r>
      <w:r w:rsidRPr="00FC5503">
        <w:rPr>
          <w:bCs/>
        </w:rPr>
        <w:t xml:space="preserve">OR </w:t>
      </w:r>
      <w:r w:rsidRPr="00FC5503">
        <w:t>On metformin monotherapy &lt;</w:t>
      </w:r>
      <w:r w:rsidR="001F7376">
        <w:t xml:space="preserve"> </w:t>
      </w:r>
      <w:r w:rsidRPr="00FC5503">
        <w:t xml:space="preserve">1500 mg/day with a Visit 1/Screening </w:t>
      </w:r>
      <w:r>
        <w:t>HbA1c</w:t>
      </w:r>
      <w:r w:rsidRPr="00FC5503">
        <w:t xml:space="preserve"> </w:t>
      </w:r>
      <w:r w:rsidR="002E1032">
        <w:t>≥ </w:t>
      </w:r>
      <w:r w:rsidRPr="00FC5503">
        <w:t xml:space="preserve">7.5% and </w:t>
      </w:r>
      <w:r w:rsidR="003B751A">
        <w:t xml:space="preserve">≤ </w:t>
      </w:r>
      <w:r w:rsidRPr="00FC5503">
        <w:t>9.5% (</w:t>
      </w:r>
      <w:r w:rsidR="002E1032">
        <w:t>≥ </w:t>
      </w:r>
      <w:r w:rsidRPr="00FC5503">
        <w:t xml:space="preserve">58 mmol/mol and </w:t>
      </w:r>
      <w:r w:rsidR="003B751A">
        <w:t xml:space="preserve">≤ </w:t>
      </w:r>
      <w:r w:rsidRPr="00FC5503">
        <w:t xml:space="preserve">80 mmol/mol) </w:t>
      </w:r>
      <w:r w:rsidRPr="00FC5503">
        <w:rPr>
          <w:bCs/>
        </w:rPr>
        <w:t xml:space="preserve">OR </w:t>
      </w:r>
      <w:r w:rsidRPr="00FC5503">
        <w:t>On metformin in combination with a single allowable AHA (</w:t>
      </w:r>
      <w:r w:rsidR="006F000B">
        <w:t>that is,</w:t>
      </w:r>
      <w:r w:rsidRPr="00FC5503">
        <w:t xml:space="preserve"> SUs at &lt;</w:t>
      </w:r>
      <w:r w:rsidR="001F7376">
        <w:t xml:space="preserve"> </w:t>
      </w:r>
      <w:r w:rsidRPr="00FC5503">
        <w:t xml:space="preserve">50% the maximum approved dose in the local country label, DPP-4 inhibitors, meglitinides, or AGIs) with a Visit 1/Screening </w:t>
      </w:r>
      <w:r>
        <w:t>HbA1c</w:t>
      </w:r>
      <w:r w:rsidRPr="00FC5503">
        <w:t xml:space="preserve"> </w:t>
      </w:r>
      <w:r w:rsidR="002E1032">
        <w:t xml:space="preserve">≥ </w:t>
      </w:r>
      <w:r w:rsidRPr="00FC5503">
        <w:t xml:space="preserve">6.5% and </w:t>
      </w:r>
      <w:r w:rsidR="003B751A">
        <w:t xml:space="preserve">≤ </w:t>
      </w:r>
      <w:r w:rsidRPr="00FC5503">
        <w:t>8.5% (</w:t>
      </w:r>
      <w:r w:rsidR="002E1032">
        <w:t>≥ </w:t>
      </w:r>
      <w:r w:rsidRPr="00FC5503">
        <w:t xml:space="preserve">48 mmol/mol and </w:t>
      </w:r>
      <w:r w:rsidR="003B751A">
        <w:t xml:space="preserve">≤ </w:t>
      </w:r>
      <w:r w:rsidRPr="00FC5503">
        <w:t>69 mmol/mol). Other inclusion and exclusion criteria were</w:t>
      </w:r>
      <w:r w:rsidRPr="00DD314F">
        <w:t xml:space="preserve"> similar to those described </w:t>
      </w:r>
      <w:r w:rsidR="002E1032">
        <w:t>previously</w:t>
      </w:r>
      <w:r>
        <w:t xml:space="preserve"> </w:t>
      </w:r>
      <w:r w:rsidRPr="00BA0321">
        <w:t xml:space="preserve">with exception that </w:t>
      </w:r>
      <w:r>
        <w:t xml:space="preserve">subjects with </w:t>
      </w:r>
      <w:r w:rsidRPr="00BA0321">
        <w:t xml:space="preserve">known hypersensitivity or intolerance to </w:t>
      </w:r>
      <w:r>
        <w:t>glimepiride or other sulfonylureas were also excluded</w:t>
      </w:r>
      <w:r w:rsidR="00803C18">
        <w:t>.</w:t>
      </w:r>
    </w:p>
    <w:p w:rsidR="002E5CF1" w:rsidRDefault="002E5CF1" w:rsidP="002E1032">
      <w:pPr>
        <w:pStyle w:val="Heading5"/>
      </w:pPr>
      <w:r>
        <w:t>Study treatments</w:t>
      </w:r>
    </w:p>
    <w:p w:rsidR="002E5CF1" w:rsidRPr="001F7376" w:rsidRDefault="002E5CF1" w:rsidP="002E5CF1">
      <w:pPr>
        <w:autoSpaceDE w:val="0"/>
        <w:autoSpaceDN w:val="0"/>
        <w:adjustRightInd w:val="0"/>
        <w:spacing w:before="0" w:line="240" w:lineRule="auto"/>
      </w:pPr>
      <w:r w:rsidRPr="001F7376">
        <w:t>Subjects underwent a 2</w:t>
      </w:r>
      <w:r w:rsidR="00833C92" w:rsidRPr="001F7376">
        <w:t xml:space="preserve"> </w:t>
      </w:r>
      <w:proofErr w:type="gramStart"/>
      <w:r w:rsidR="00833C92" w:rsidRPr="001F7376">
        <w:t>week</w:t>
      </w:r>
      <w:r w:rsidRPr="001F7376">
        <w:t>,</w:t>
      </w:r>
      <w:proofErr w:type="gramEnd"/>
      <w:r w:rsidRPr="001F7376">
        <w:t xml:space="preserve"> </w:t>
      </w:r>
      <w:r w:rsidR="00FB1E32" w:rsidRPr="001F7376">
        <w:t>single blind</w:t>
      </w:r>
      <w:r w:rsidRPr="001F7376">
        <w:t xml:space="preserve"> placebo run-in period after their metformin dose had been stable for </w:t>
      </w:r>
      <w:r w:rsidR="002E1032" w:rsidRPr="001F7376">
        <w:t xml:space="preserve">≥ </w:t>
      </w:r>
      <w:r w:rsidRPr="001F7376">
        <w:t>8 weeks. Subjects on &lt;</w:t>
      </w:r>
      <w:r w:rsidR="001F7376">
        <w:t xml:space="preserve"> </w:t>
      </w:r>
      <w:r w:rsidRPr="001F7376">
        <w:t xml:space="preserve">1500 mg/day of metformin with an HbA1c of </w:t>
      </w:r>
      <w:r w:rsidR="002E1032" w:rsidRPr="001F7376">
        <w:t xml:space="preserve">≥ </w:t>
      </w:r>
      <w:r w:rsidRPr="001F7376">
        <w:t xml:space="preserve">7.5% and </w:t>
      </w:r>
      <w:r w:rsidR="003B751A" w:rsidRPr="001F7376">
        <w:t xml:space="preserve">≤ </w:t>
      </w:r>
      <w:r w:rsidRPr="001F7376">
        <w:t>9.5% (</w:t>
      </w:r>
      <w:r w:rsidR="002E1032" w:rsidRPr="001F7376">
        <w:t xml:space="preserve">≥ </w:t>
      </w:r>
      <w:r w:rsidRPr="001F7376">
        <w:t xml:space="preserve">58 and </w:t>
      </w:r>
      <w:proofErr w:type="gramStart"/>
      <w:r w:rsidR="003B751A" w:rsidRPr="001F7376">
        <w:t xml:space="preserve">≤ </w:t>
      </w:r>
      <w:r w:rsidRPr="001F7376">
        <w:t>80 mmol/mol</w:t>
      </w:r>
      <w:proofErr w:type="gramEnd"/>
      <w:r w:rsidRPr="001F7376">
        <w:t xml:space="preserve">) received diet/exercise counselling, titrated their dose of metformin to </w:t>
      </w:r>
      <w:r w:rsidR="002E1032" w:rsidRPr="001F7376">
        <w:t xml:space="preserve">≥ </w:t>
      </w:r>
      <w:r w:rsidRPr="001F7376">
        <w:t xml:space="preserve">1500 mg/day, and underwent a metformin dose-stabilisation period </w:t>
      </w:r>
      <w:r w:rsidR="002E1032" w:rsidRPr="001F7376">
        <w:t xml:space="preserve">≥ </w:t>
      </w:r>
      <w:r w:rsidRPr="001F7376">
        <w:t xml:space="preserve">8 weeks in duration. Subjects on any dose of metformin in combination with a single allowable AHA who had an HbA1c of </w:t>
      </w:r>
      <w:r w:rsidR="002E1032" w:rsidRPr="001F7376">
        <w:t xml:space="preserve">≥ </w:t>
      </w:r>
      <w:r w:rsidRPr="001F7376">
        <w:t xml:space="preserve">6.5% and </w:t>
      </w:r>
      <w:r w:rsidR="003B751A" w:rsidRPr="001F7376">
        <w:t xml:space="preserve">≤ </w:t>
      </w:r>
      <w:r w:rsidRPr="001F7376">
        <w:t>8.5% (</w:t>
      </w:r>
      <w:r w:rsidR="002E1032" w:rsidRPr="001F7376">
        <w:t xml:space="preserve">≥ </w:t>
      </w:r>
      <w:r w:rsidRPr="001F7376">
        <w:t xml:space="preserve">48 and </w:t>
      </w:r>
      <w:r w:rsidR="003B751A" w:rsidRPr="001F7376">
        <w:t xml:space="preserve">≤ </w:t>
      </w:r>
      <w:r w:rsidRPr="001F7376">
        <w:t xml:space="preserve">69 mmol/mol) received diet/exercise counselling, discontinued the non-metformin AHA, titrated their dose of metformin to </w:t>
      </w:r>
      <w:r w:rsidR="001F7376">
        <w:t>≥ 1500 </w:t>
      </w:r>
      <w:r w:rsidRPr="001F7376">
        <w:t xml:space="preserve">mg/day (if necessary), and underwent a metformin dose stabilisation period </w:t>
      </w:r>
      <w:r w:rsidR="002E1032" w:rsidRPr="001F7376">
        <w:t xml:space="preserve">≥ </w:t>
      </w:r>
      <w:r w:rsidRPr="001F7376">
        <w:t>8 weeks in duration. Allowable AHAs included sulfonylureas (SUs) administered at &lt;</w:t>
      </w:r>
      <w:r w:rsidR="001F7376">
        <w:t xml:space="preserve"> </w:t>
      </w:r>
      <w:r w:rsidRPr="001F7376">
        <w:t xml:space="preserve">50% the maximum approved dose (per local country label), DPP-4 inhibitors, </w:t>
      </w:r>
      <w:proofErr w:type="spellStart"/>
      <w:proofErr w:type="gramStart"/>
      <w:r w:rsidRPr="001F7376">
        <w:t>meglitinides</w:t>
      </w:r>
      <w:proofErr w:type="spellEnd"/>
      <w:proofErr w:type="gramEnd"/>
      <w:r w:rsidRPr="001F7376">
        <w:t xml:space="preserve"> and alpha-glucosidase inhibitors. The metformin dose stabilisation period was </w:t>
      </w:r>
      <w:r w:rsidR="002E1032" w:rsidRPr="001F7376">
        <w:t xml:space="preserve">≥ </w:t>
      </w:r>
      <w:r w:rsidRPr="001F7376">
        <w:t xml:space="preserve">10 weeks in duration for subjects who discontinued an SU. After the metformin titration (if necessary) and dose-stabilisation periods, subjects with an HbA1c of </w:t>
      </w:r>
      <w:r w:rsidR="002E1032" w:rsidRPr="001F7376">
        <w:t xml:space="preserve">≥ </w:t>
      </w:r>
      <w:r w:rsidRPr="001F7376">
        <w:t xml:space="preserve">7.0 and </w:t>
      </w:r>
      <w:r w:rsidR="003B751A" w:rsidRPr="001F7376">
        <w:t xml:space="preserve">≤ </w:t>
      </w:r>
      <w:r w:rsidRPr="001F7376">
        <w:t>9.0% (</w:t>
      </w:r>
      <w:r w:rsidR="002E1032" w:rsidRPr="001F7376">
        <w:t xml:space="preserve">≥ </w:t>
      </w:r>
      <w:r w:rsidRPr="001F7376">
        <w:t xml:space="preserve">53 and </w:t>
      </w:r>
      <w:r w:rsidR="003B751A" w:rsidRPr="001F7376">
        <w:t xml:space="preserve">≤ </w:t>
      </w:r>
      <w:r w:rsidRPr="001F7376">
        <w:t>75 mmol/mol) entered a 2</w:t>
      </w:r>
      <w:r w:rsidR="00833C92" w:rsidRPr="001F7376">
        <w:t xml:space="preserve"> week</w:t>
      </w:r>
      <w:r w:rsidRPr="001F7376">
        <w:t xml:space="preserve">, </w:t>
      </w:r>
      <w:r w:rsidR="00FB1E32" w:rsidRPr="001F7376">
        <w:t>single blind</w:t>
      </w:r>
      <w:r w:rsidRPr="001F7376">
        <w:t>, placebo run-in period. Subjects who had adequate compliance during the placebo run-in period and who met all other entry criteria were eligible to enter the 104</w:t>
      </w:r>
      <w:r w:rsidR="00833C92" w:rsidRPr="001F7376">
        <w:t xml:space="preserve"> week</w:t>
      </w:r>
      <w:r w:rsidRPr="001F7376">
        <w:t xml:space="preserve"> </w:t>
      </w:r>
      <w:r w:rsidR="00FB1E32" w:rsidRPr="001F7376">
        <w:t>double blind</w:t>
      </w:r>
      <w:r w:rsidRPr="001F7376">
        <w:t xml:space="preserve"> treatment period and randomised in a 1:1:1 ratio to ertugliflozin 5 mg </w:t>
      </w:r>
      <w:r w:rsidR="00337E5F" w:rsidRPr="001F7376">
        <w:t>QD</w:t>
      </w:r>
      <w:r w:rsidRPr="001F7376">
        <w:t>, ertugliflozin</w:t>
      </w:r>
      <w:r w:rsidR="001F7376">
        <w:t xml:space="preserve"> 15 mg </w:t>
      </w:r>
      <w:r w:rsidR="00337E5F" w:rsidRPr="001F7376">
        <w:t>QD</w:t>
      </w:r>
      <w:r w:rsidRPr="001F7376">
        <w:t xml:space="preserve"> or glimepiride. Glimepiride/matching placebo was initiated at 1 mg </w:t>
      </w:r>
      <w:r w:rsidR="00337E5F" w:rsidRPr="001F7376">
        <w:t>QD</w:t>
      </w:r>
      <w:r w:rsidRPr="001F7376">
        <w:t xml:space="preserve"> and titrated up to the maximum approved dose (6 or 8 mg </w:t>
      </w:r>
      <w:r w:rsidR="00337E5F" w:rsidRPr="001F7376">
        <w:t>QD</w:t>
      </w:r>
      <w:r w:rsidRPr="001F7376">
        <w:t xml:space="preserve"> based on the local country label) or maximum tolerated dose. Subjects who met progressively more stringent glycaemic rescue criteria (Table </w:t>
      </w:r>
      <w:r w:rsidR="002E1032" w:rsidRPr="001F7376">
        <w:t>48</w:t>
      </w:r>
      <w:r w:rsidRPr="001F7376">
        <w:t xml:space="preserve">) were to receive </w:t>
      </w:r>
      <w:r w:rsidR="001F7376">
        <w:t>open label</w:t>
      </w:r>
      <w:r w:rsidRPr="001F7376">
        <w:t xml:space="preserve"> sitagliptin in accordance with the local country label. Subjects who had a prior history of hypersensitivity or intolerance to sitagliptin were to be discontinued from study medication. After initiating glycaemic rescue therapy, subjects were to continue the same dose and regimen of their study medication and background metformin (Tables </w:t>
      </w:r>
      <w:r w:rsidR="002E1032" w:rsidRPr="001F7376">
        <w:t>49</w:t>
      </w:r>
      <w:r w:rsidR="00C30A79" w:rsidRPr="001F7376">
        <w:t xml:space="preserve"> and 50</w:t>
      </w:r>
      <w:r w:rsidRPr="001F7376">
        <w:t xml:space="preserve">). Medications prohibited while subjects were receiving study medication during the </w:t>
      </w:r>
      <w:r w:rsidR="00FB1E32" w:rsidRPr="001F7376">
        <w:t>double blind</w:t>
      </w:r>
      <w:r w:rsidRPr="001F7376">
        <w:t xml:space="preserve"> treatment periods is summarised in</w:t>
      </w:r>
      <w:r w:rsidR="00324FFF">
        <w:t xml:space="preserve"> the</w:t>
      </w:r>
      <w:r w:rsidRPr="001F7376">
        <w:t xml:space="preserve"> </w:t>
      </w:r>
      <w:r w:rsidR="00C30A79" w:rsidRPr="001F7376">
        <w:t>footnote</w:t>
      </w:r>
      <w:r w:rsidR="00324FFF">
        <w:t>).</w:t>
      </w:r>
      <w:r w:rsidR="00C30A79" w:rsidRPr="001F7376">
        <w:rPr>
          <w:vertAlign w:val="superscript"/>
        </w:rPr>
        <w:footnoteReference w:id="15"/>
      </w:r>
      <w:r w:rsidRPr="001F7376">
        <w:t xml:space="preserve"> The investigator or subject’s </w:t>
      </w:r>
      <w:r w:rsidRPr="001F7376">
        <w:lastRenderedPageBreak/>
        <w:t xml:space="preserve">physician/health care provider was permitted to make adjustments in the subject’s non-AHA therapies throughout the trial if clinically warranted. Guidance for specific medications which were permitted during the study is summarised in Table </w:t>
      </w:r>
      <w:r w:rsidR="00C30A79" w:rsidRPr="001F7376">
        <w:t>51</w:t>
      </w:r>
      <w:r w:rsidRPr="001F7376">
        <w:t>).</w:t>
      </w:r>
    </w:p>
    <w:p w:rsidR="002E1032" w:rsidRPr="00C738A2" w:rsidRDefault="002E1032" w:rsidP="00C30A79">
      <w:pPr>
        <w:pStyle w:val="Tabletitle"/>
      </w:pPr>
      <w:bookmarkStart w:id="435" w:name="_Ref492028081"/>
      <w:bookmarkStart w:id="436" w:name="_Toc504038445"/>
      <w:r w:rsidRPr="00C738A2">
        <w:t xml:space="preserve">Table </w:t>
      </w:r>
      <w:r w:rsidR="00C30A79">
        <w:t xml:space="preserve">48: </w:t>
      </w:r>
      <w:r w:rsidRPr="00C738A2">
        <w:t>Phase A/Year 1 glycaemic thresholds</w:t>
      </w:r>
      <w:bookmarkEnd w:id="435"/>
      <w:bookmarkEnd w:id="436"/>
    </w:p>
    <w:p w:rsidR="002E1032" w:rsidRPr="00C738A2" w:rsidRDefault="002E1032" w:rsidP="002F6FA8">
      <w:r w:rsidRPr="00C738A2">
        <w:t xml:space="preserve"> </w:t>
      </w:r>
      <w:r w:rsidRPr="00C738A2">
        <w:rPr>
          <w:noProof/>
          <w:lang w:eastAsia="en-AU"/>
        </w:rPr>
        <w:drawing>
          <wp:inline distT="0" distB="0" distL="0" distR="0" wp14:anchorId="4E4245F8" wp14:editId="5F831EAC">
            <wp:extent cx="4633472" cy="2055805"/>
            <wp:effectExtent l="0" t="0" r="0" b="1905"/>
            <wp:docPr id="189" name="Picture 189" descr="Phase A/Year 1 glycaemic thresh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lum bright="-20000" contrast="40000"/>
                      <a:extLst>
                        <a:ext uri="{28A0092B-C50C-407E-A947-70E740481C1C}">
                          <a14:useLocalDpi xmlns:a14="http://schemas.microsoft.com/office/drawing/2010/main" val="0"/>
                        </a:ext>
                      </a:extLst>
                    </a:blip>
                    <a:srcRect/>
                    <a:stretch>
                      <a:fillRect/>
                    </a:stretch>
                  </pic:blipFill>
                  <pic:spPr bwMode="auto">
                    <a:xfrm>
                      <a:off x="0" y="0"/>
                      <a:ext cx="4647236" cy="2061912"/>
                    </a:xfrm>
                    <a:prstGeom prst="rect">
                      <a:avLst/>
                    </a:prstGeom>
                    <a:noFill/>
                    <a:ln>
                      <a:noFill/>
                    </a:ln>
                  </pic:spPr>
                </pic:pic>
              </a:graphicData>
            </a:graphic>
          </wp:inline>
        </w:drawing>
      </w:r>
    </w:p>
    <w:p w:rsidR="002E1032" w:rsidRPr="00C738A2" w:rsidRDefault="002E1032" w:rsidP="00C30A79">
      <w:pPr>
        <w:pStyle w:val="Tabletitle"/>
      </w:pPr>
      <w:bookmarkStart w:id="437" w:name="_Ref492028085"/>
      <w:bookmarkStart w:id="438" w:name="_Toc504038446"/>
      <w:r w:rsidRPr="00C738A2">
        <w:t xml:space="preserve">Table </w:t>
      </w:r>
      <w:r w:rsidR="00C30A79">
        <w:t>49:</w:t>
      </w:r>
      <w:r w:rsidRPr="00C738A2">
        <w:t xml:space="preserve"> Guidelines for run-in management</w:t>
      </w:r>
      <w:bookmarkEnd w:id="437"/>
      <w:bookmarkEnd w:id="438"/>
    </w:p>
    <w:p w:rsidR="002E1032" w:rsidRDefault="002E1032" w:rsidP="002F6FA8">
      <w:r w:rsidRPr="00C738A2">
        <w:rPr>
          <w:noProof/>
          <w:lang w:eastAsia="en-AU"/>
        </w:rPr>
        <w:drawing>
          <wp:inline distT="0" distB="0" distL="0" distR="0" wp14:anchorId="443C95AF" wp14:editId="63473550">
            <wp:extent cx="4717997" cy="2935833"/>
            <wp:effectExtent l="0" t="0" r="6985" b="0"/>
            <wp:docPr id="187" name="Picture 187" descr="Guidelines for run-in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lum bright="-20000" contrast="40000"/>
                      <a:extLst>
                        <a:ext uri="{28A0092B-C50C-407E-A947-70E740481C1C}">
                          <a14:useLocalDpi xmlns:a14="http://schemas.microsoft.com/office/drawing/2010/main" val="0"/>
                        </a:ext>
                      </a:extLst>
                    </a:blip>
                    <a:srcRect/>
                    <a:stretch>
                      <a:fillRect/>
                    </a:stretch>
                  </pic:blipFill>
                  <pic:spPr bwMode="auto">
                    <a:xfrm>
                      <a:off x="0" y="0"/>
                      <a:ext cx="4727269" cy="2941603"/>
                    </a:xfrm>
                    <a:prstGeom prst="rect">
                      <a:avLst/>
                    </a:prstGeom>
                    <a:noFill/>
                    <a:ln>
                      <a:noFill/>
                    </a:ln>
                  </pic:spPr>
                </pic:pic>
              </a:graphicData>
            </a:graphic>
          </wp:inline>
        </w:drawing>
      </w:r>
    </w:p>
    <w:p w:rsidR="002E1032" w:rsidRPr="00C738A2" w:rsidRDefault="002E1032" w:rsidP="00C30A79">
      <w:pPr>
        <w:pStyle w:val="Tabletitle"/>
      </w:pPr>
      <w:bookmarkStart w:id="439" w:name="_Ref492028086"/>
      <w:bookmarkStart w:id="440" w:name="_Ref492028226"/>
      <w:bookmarkStart w:id="441" w:name="_Toc504038447"/>
      <w:r w:rsidRPr="00C738A2">
        <w:lastRenderedPageBreak/>
        <w:t xml:space="preserve">Table </w:t>
      </w:r>
      <w:r w:rsidR="00C30A79">
        <w:t>50</w:t>
      </w:r>
      <w:r w:rsidRPr="00C738A2">
        <w:t>: Trial treatments</w:t>
      </w:r>
      <w:bookmarkEnd w:id="439"/>
      <w:bookmarkEnd w:id="440"/>
      <w:bookmarkEnd w:id="441"/>
    </w:p>
    <w:p w:rsidR="002E1032" w:rsidRDefault="002E1032" w:rsidP="002F6FA8">
      <w:r w:rsidRPr="00C738A2">
        <w:rPr>
          <w:noProof/>
          <w:lang w:eastAsia="en-AU"/>
        </w:rPr>
        <w:drawing>
          <wp:inline distT="0" distB="0" distL="0" distR="0" wp14:anchorId="3DD516A1" wp14:editId="32D1ECCA">
            <wp:extent cx="4372215" cy="4140436"/>
            <wp:effectExtent l="0" t="0" r="0" b="0"/>
            <wp:docPr id="190" name="Picture 190" descr="Trial 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lum bright="-20000" contrast="40000"/>
                      <a:extLst>
                        <a:ext uri="{28A0092B-C50C-407E-A947-70E740481C1C}">
                          <a14:useLocalDpi xmlns:a14="http://schemas.microsoft.com/office/drawing/2010/main" val="0"/>
                        </a:ext>
                      </a:extLst>
                    </a:blip>
                    <a:srcRect/>
                    <a:stretch>
                      <a:fillRect/>
                    </a:stretch>
                  </pic:blipFill>
                  <pic:spPr bwMode="auto">
                    <a:xfrm>
                      <a:off x="0" y="0"/>
                      <a:ext cx="4373158" cy="4141329"/>
                    </a:xfrm>
                    <a:prstGeom prst="rect">
                      <a:avLst/>
                    </a:prstGeom>
                    <a:noFill/>
                    <a:ln>
                      <a:noFill/>
                    </a:ln>
                  </pic:spPr>
                </pic:pic>
              </a:graphicData>
            </a:graphic>
          </wp:inline>
        </w:drawing>
      </w:r>
    </w:p>
    <w:p w:rsidR="00C30A79" w:rsidRDefault="00C30A79" w:rsidP="00C30A79">
      <w:pPr>
        <w:pStyle w:val="Tabletitle"/>
      </w:pPr>
      <w:bookmarkStart w:id="442" w:name="_Ref492028095"/>
      <w:bookmarkStart w:id="443" w:name="_Ref492028223"/>
      <w:bookmarkStart w:id="444" w:name="_Toc504038449"/>
      <w:r w:rsidRPr="00C738A2">
        <w:t xml:space="preserve">Table </w:t>
      </w:r>
      <w:r>
        <w:t>51</w:t>
      </w:r>
      <w:r w:rsidRPr="00C738A2">
        <w:t>:</w:t>
      </w:r>
      <w:r w:rsidR="003B751A">
        <w:t xml:space="preserve"> </w:t>
      </w:r>
      <w:r>
        <w:t>G</w:t>
      </w:r>
      <w:r w:rsidRPr="00C738A2">
        <w:t>uidance for other medications</w:t>
      </w:r>
      <w:bookmarkEnd w:id="442"/>
      <w:bookmarkEnd w:id="443"/>
      <w:bookmarkEnd w:id="444"/>
    </w:p>
    <w:tbl>
      <w:tblPr>
        <w:tblStyle w:val="TableTGAblue"/>
        <w:tblW w:w="0" w:type="auto"/>
        <w:tblLook w:val="04A0" w:firstRow="1" w:lastRow="0" w:firstColumn="1" w:lastColumn="0" w:noHBand="0" w:noVBand="1"/>
      </w:tblPr>
      <w:tblGrid>
        <w:gridCol w:w="9242"/>
      </w:tblGrid>
      <w:tr w:rsidR="008B04DD" w:rsidTr="003436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42" w:type="dxa"/>
          </w:tcPr>
          <w:p w:rsidR="008B04DD" w:rsidRDefault="008B04DD" w:rsidP="003436E7">
            <w:r>
              <w:t>G</w:t>
            </w:r>
            <w:r w:rsidRPr="00C738A2">
              <w:t>uidance for other medications</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Default="008B04DD" w:rsidP="003436E7">
            <w:r w:rsidRPr="00C30A79">
              <w:t>The investigator or subject’s physician/health care provider was permitted to make adjustments in the subject’s non-AHA therapies throughout the trial if clinically warranted. Guidance for specific medications which were permitted during the study is provided below.</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Pr="008B04DD" w:rsidRDefault="008B04DD" w:rsidP="003436E7">
            <w:r w:rsidRPr="00282F2B">
              <w:t>Blood Pressure and Lipid-altering Medications: Concurrent blood pressure and lipid-lowering medications were permitted. Subjects were to be on stable doses of these medications for at least 4 weeks before Visit 4/Day 1. Subjects whose blood pressure or lipid-lowering medications were not stable at Visit 1/Screening were scheduled appropriately to ensure these medications were stable for at least 4 weeks prior to</w:t>
            </w:r>
            <w:r>
              <w:t xml:space="preserve"> Visit </w:t>
            </w:r>
            <w:r w:rsidRPr="00282F2B">
              <w:t>4/Day 1.</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Pr="008B04DD" w:rsidRDefault="008B04DD" w:rsidP="003436E7">
            <w:r w:rsidRPr="00282F2B">
              <w:t>Hormonal Replacement Therapy and Birth Control Medications: Hormone replacement therapy and birth control medications were permitted, but subjects were to be on stable regimens, and were expected to remain on their stable regimen while receiving study medication during the double blind treatment period and for 14 days after the last dose of study medication.</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Pr="008B04DD" w:rsidRDefault="008B04DD" w:rsidP="003436E7">
            <w:r w:rsidRPr="00282F2B">
              <w:t>Thyroid Hormone Replacement Therapy: Thyroid replacement medication (</w:t>
            </w:r>
            <w:r>
              <w:t>for example</w:t>
            </w:r>
            <w:r w:rsidRPr="00282F2B">
              <w:t xml:space="preserve">, thyroxine) was permitted, but subjects were to be on a stable dose for at least 6 weeks prior to Visit 1/Screening. Subjects who met the thyroid stimulating hormone (TSH) exclusion criterion specified could have been re-screened after being on a stable thyroid replacement </w:t>
            </w:r>
            <w:r w:rsidRPr="00282F2B">
              <w:lastRenderedPageBreak/>
              <w:t>regimen for at least 6 weeks.</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Pr="008B04DD" w:rsidRDefault="008B04DD" w:rsidP="003436E7">
            <w:r w:rsidRPr="00282F2B">
              <w:lastRenderedPageBreak/>
              <w:t>Supplements and/or Traditional Medicines: The use of herbal supplements and other natural products was discouraged. Subjects who did not discontinue the use of such supplements prior to Visit 3/Week -2 or combined Visit 2/3 were to be instructed not to change the use or dose of the supplement during the trial. Subjects were to have been instructed not to initiate new supplements during the trial.</w:t>
            </w:r>
          </w:p>
        </w:tc>
      </w:tr>
    </w:tbl>
    <w:p w:rsidR="002E5CF1" w:rsidRDefault="002E1032" w:rsidP="002E1032">
      <w:pPr>
        <w:pStyle w:val="Heading5"/>
      </w:pPr>
      <w:r>
        <w:t>Efficacy variables and outcomes</w:t>
      </w:r>
    </w:p>
    <w:p w:rsidR="002E5CF1" w:rsidRDefault="002E5CF1" w:rsidP="00282F2B">
      <w:r w:rsidRPr="00693A8C">
        <w:t xml:space="preserve">Glycaemic efficacy endpoints included the changes from baseline in </w:t>
      </w:r>
      <w:r>
        <w:t>HbA1c</w:t>
      </w:r>
      <w:r w:rsidRPr="00693A8C">
        <w:t xml:space="preserve"> and FPG at</w:t>
      </w:r>
      <w:r>
        <w:t xml:space="preserve"> </w:t>
      </w:r>
      <w:r w:rsidRPr="00693A8C">
        <w:t>Week 52. Blood pressure and body</w:t>
      </w:r>
      <w:r>
        <w:t xml:space="preserve"> </w:t>
      </w:r>
      <w:r w:rsidRPr="00693A8C">
        <w:t>weight were measured at regular time</w:t>
      </w:r>
      <w:r w:rsidR="00AE3765">
        <w:t>-</w:t>
      </w:r>
      <w:r w:rsidR="002F6FA8">
        <w:t>points during study. HOMA</w:t>
      </w:r>
      <w:r w:rsidR="002F6FA8">
        <w:noBreakHyphen/>
      </w:r>
      <w:r w:rsidRPr="00693A8C">
        <w:t>%</w:t>
      </w:r>
      <w:r>
        <w:t>beta</w:t>
      </w:r>
      <w:r w:rsidR="00282F2B">
        <w:t xml:space="preserve"> is a well-</w:t>
      </w:r>
      <w:r w:rsidR="00282F2B" w:rsidRPr="00693A8C">
        <w:t>accepted</w:t>
      </w:r>
      <w:r w:rsidRPr="00693A8C">
        <w:t xml:space="preserve"> means of assessing fasting </w:t>
      </w:r>
      <w:r>
        <w:t>beta</w:t>
      </w:r>
      <w:r w:rsidRPr="00693A8C">
        <w:t>-cell function, and is calculated</w:t>
      </w:r>
      <w:r>
        <w:t xml:space="preserve"> </w:t>
      </w:r>
      <w:r w:rsidRPr="00693A8C">
        <w:t>using the measured fasting insulin or C-peptide and glucose levels. C-peptide</w:t>
      </w:r>
      <w:r>
        <w:rPr>
          <w:rStyle w:val="FootnoteReference"/>
          <w:rFonts w:asciiTheme="minorHAnsi" w:eastAsiaTheme="minorHAnsi" w:hAnsiTheme="minorHAnsi"/>
        </w:rPr>
        <w:footnoteReference w:id="16"/>
      </w:r>
      <w:r w:rsidRPr="00693A8C">
        <w:t xml:space="preserve"> was chosen to be</w:t>
      </w:r>
      <w:r>
        <w:t xml:space="preserve"> </w:t>
      </w:r>
      <w:r w:rsidRPr="00693A8C">
        <w:t>used for HOMA-%</w:t>
      </w:r>
      <w:r>
        <w:t>beta</w:t>
      </w:r>
      <w:r w:rsidRPr="00693A8C">
        <w:t xml:space="preserve"> calculations in this study.</w:t>
      </w:r>
      <w:r>
        <w:t xml:space="preserve"> </w:t>
      </w:r>
      <w:r w:rsidRPr="00693A8C">
        <w:t xml:space="preserve">The proportion of subjects who received </w:t>
      </w:r>
      <w:r>
        <w:t>g</w:t>
      </w:r>
      <w:r w:rsidRPr="00693A8C">
        <w:t>lyc</w:t>
      </w:r>
      <w:r>
        <w:t>a</w:t>
      </w:r>
      <w:r w:rsidRPr="00693A8C">
        <w:t xml:space="preserve">emic rescue therapy and </w:t>
      </w:r>
      <w:r w:rsidRPr="003D7694">
        <w:t xml:space="preserve">time to initiation of rescue were also assessed. The efficacy endpoints are summarised in Table </w:t>
      </w:r>
      <w:r w:rsidR="003D7694" w:rsidRPr="003D7694">
        <w:t>52</w:t>
      </w:r>
      <w:r w:rsidRPr="003D7694">
        <w:t>. The coefficient of durability (COD), defined as the slope of the time profile of mean change from</w:t>
      </w:r>
      <w:r w:rsidRPr="00693A8C">
        <w:t xml:space="preserve"> baseline, was derived via least squares (LS) from the constrained longitudinal data analysis (cLDA) model, using analysis time points beginning with Week 26. The estimation</w:t>
      </w:r>
      <w:r>
        <w:t xml:space="preserve"> </w:t>
      </w:r>
      <w:r w:rsidRPr="00693A8C">
        <w:t>of COD provides a quantitative assessment for the rate of deterioration of a treatment after</w:t>
      </w:r>
      <w:r>
        <w:t xml:space="preserve"> </w:t>
      </w:r>
      <w:r w:rsidRPr="00693A8C">
        <w:t xml:space="preserve">reaching its peak efficacy. A treatment with larger COD tends to be less </w:t>
      </w:r>
      <w:r>
        <w:t>‘</w:t>
      </w:r>
      <w:r w:rsidRPr="00693A8C">
        <w:t>durable</w:t>
      </w:r>
      <w:r>
        <w:t>’</w:t>
      </w:r>
      <w:r w:rsidRPr="00693A8C">
        <w:t xml:space="preserve"> than a</w:t>
      </w:r>
      <w:r>
        <w:t xml:space="preserve"> </w:t>
      </w:r>
      <w:r w:rsidRPr="00693A8C">
        <w:t>treatment with smaller COD.</w:t>
      </w:r>
    </w:p>
    <w:p w:rsidR="003D7694" w:rsidRPr="00C738A2" w:rsidRDefault="003D7694" w:rsidP="003D7694">
      <w:pPr>
        <w:pStyle w:val="Tabletitle"/>
      </w:pPr>
      <w:bookmarkStart w:id="445" w:name="_Ref492028098"/>
      <w:bookmarkStart w:id="446" w:name="_Toc504038450"/>
      <w:r w:rsidRPr="00C738A2">
        <w:lastRenderedPageBreak/>
        <w:t xml:space="preserve">Table </w:t>
      </w:r>
      <w:r>
        <w:t xml:space="preserve">52: </w:t>
      </w:r>
      <w:r w:rsidRPr="00C738A2">
        <w:t xml:space="preserve">Analysis </w:t>
      </w:r>
      <w:r w:rsidR="00E87FD9">
        <w:t>s</w:t>
      </w:r>
      <w:r w:rsidR="00E87FD9" w:rsidRPr="00C738A2">
        <w:t xml:space="preserve">trategy </w:t>
      </w:r>
      <w:r w:rsidRPr="00C738A2">
        <w:t xml:space="preserve">for </w:t>
      </w:r>
      <w:r w:rsidR="00E87FD9">
        <w:t>e</w:t>
      </w:r>
      <w:r w:rsidR="00E87FD9" w:rsidRPr="00C738A2">
        <w:t xml:space="preserve">fficacy </w:t>
      </w:r>
      <w:bookmarkEnd w:id="445"/>
      <w:bookmarkEnd w:id="446"/>
      <w:r w:rsidR="00E87FD9">
        <w:t>e</w:t>
      </w:r>
      <w:r w:rsidR="00E87FD9" w:rsidRPr="00C738A2">
        <w:t>ndpoints</w:t>
      </w:r>
    </w:p>
    <w:p w:rsidR="003D7694" w:rsidRPr="00C738A2" w:rsidRDefault="003D7694" w:rsidP="002F6FA8">
      <w:r w:rsidRPr="00C738A2">
        <w:rPr>
          <w:noProof/>
          <w:lang w:eastAsia="en-AU"/>
        </w:rPr>
        <w:drawing>
          <wp:inline distT="0" distB="0" distL="0" distR="0" wp14:anchorId="3A75D41B" wp14:editId="5556D7AA">
            <wp:extent cx="3586163" cy="4663644"/>
            <wp:effectExtent l="0" t="0" r="0" b="3810"/>
            <wp:docPr id="191" name="Picture 191" descr="Analysis Strategy for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lum bright="-20000" contrast="40000"/>
                      <a:extLst>
                        <a:ext uri="{28A0092B-C50C-407E-A947-70E740481C1C}">
                          <a14:useLocalDpi xmlns:a14="http://schemas.microsoft.com/office/drawing/2010/main" val="0"/>
                        </a:ext>
                      </a:extLst>
                    </a:blip>
                    <a:srcRect/>
                    <a:stretch>
                      <a:fillRect/>
                    </a:stretch>
                  </pic:blipFill>
                  <pic:spPr bwMode="auto">
                    <a:xfrm>
                      <a:off x="0" y="0"/>
                      <a:ext cx="3597151" cy="4677933"/>
                    </a:xfrm>
                    <a:prstGeom prst="rect">
                      <a:avLst/>
                    </a:prstGeom>
                    <a:noFill/>
                    <a:ln>
                      <a:noFill/>
                    </a:ln>
                  </pic:spPr>
                </pic:pic>
              </a:graphicData>
            </a:graphic>
          </wp:inline>
        </w:drawing>
      </w:r>
    </w:p>
    <w:p w:rsidR="002E5CF1" w:rsidRDefault="003D7694" w:rsidP="003D7694">
      <w:pPr>
        <w:pStyle w:val="Heading5"/>
      </w:pPr>
      <w:r>
        <w:t>Randomisation and blinding</w:t>
      </w:r>
    </w:p>
    <w:p w:rsidR="002E5CF1" w:rsidRPr="003217D5" w:rsidRDefault="002E5CF1" w:rsidP="00282F2B">
      <w:pPr>
        <w:rPr>
          <w:b/>
          <w:color w:val="000000"/>
        </w:rPr>
      </w:pPr>
      <w:r w:rsidRPr="003217D5">
        <w:t xml:space="preserve">A </w:t>
      </w:r>
      <w:r w:rsidR="00FB1E32">
        <w:t>double blind</w:t>
      </w:r>
      <w:r w:rsidRPr="003217D5">
        <w:t>/masking technique was used in this study. Ertugliflozin and glimepiride</w:t>
      </w:r>
      <w:r>
        <w:t xml:space="preserve"> </w:t>
      </w:r>
      <w:r w:rsidRPr="003217D5">
        <w:t>were packaged identically relative to their matching placebos so that the blind/masking was</w:t>
      </w:r>
      <w:r>
        <w:t xml:space="preserve"> </w:t>
      </w:r>
      <w:r w:rsidRPr="003217D5">
        <w:t xml:space="preserve">maintained. </w:t>
      </w:r>
      <w:r w:rsidR="00282F2B">
        <w:t>The subject, the investigator, s</w:t>
      </w:r>
      <w:r w:rsidRPr="003217D5">
        <w:t>ponsor personnel and personnel from the</w:t>
      </w:r>
      <w:r>
        <w:t xml:space="preserve"> </w:t>
      </w:r>
      <w:r w:rsidR="00282F2B">
        <w:t>s</w:t>
      </w:r>
      <w:r w:rsidRPr="003217D5">
        <w:t>ponsors’ designees, Covance and Parexel, who were involved in the treatment or clinical</w:t>
      </w:r>
      <w:r>
        <w:t xml:space="preserve"> </w:t>
      </w:r>
      <w:r w:rsidRPr="003217D5">
        <w:t xml:space="preserve">evaluation of the </w:t>
      </w:r>
      <w:proofErr w:type="gramStart"/>
      <w:r w:rsidRPr="003217D5">
        <w:t>subjects</w:t>
      </w:r>
      <w:proofErr w:type="gramEnd"/>
      <w:r w:rsidRPr="003217D5">
        <w:t xml:space="preserve"> were unaware of treatment group assignments. </w:t>
      </w:r>
      <w:r>
        <w:t>Randomisation</w:t>
      </w:r>
      <w:r w:rsidRPr="003217D5">
        <w:t xml:space="preserve"> occurred centrally using an IVRS/IWRS. Subjects were assigned randomly</w:t>
      </w:r>
      <w:r>
        <w:t xml:space="preserve"> </w:t>
      </w:r>
      <w:r w:rsidRPr="003217D5">
        <w:t xml:space="preserve">in a 1:1:1 ratio to ertugliflozin 5 mg </w:t>
      </w:r>
      <w:r w:rsidR="00337E5F">
        <w:t>QD</w:t>
      </w:r>
      <w:r w:rsidRPr="003217D5">
        <w:t xml:space="preserve">, ertugliflozin 15 mg </w:t>
      </w:r>
      <w:r w:rsidR="00337E5F">
        <w:t>QD</w:t>
      </w:r>
      <w:r w:rsidRPr="003217D5">
        <w:t>, or glimepiride using a</w:t>
      </w:r>
      <w:r>
        <w:t xml:space="preserve"> </w:t>
      </w:r>
      <w:r w:rsidRPr="003217D5">
        <w:t xml:space="preserve">computer-generated </w:t>
      </w:r>
      <w:r>
        <w:t>randomisation</w:t>
      </w:r>
      <w:r w:rsidRPr="003217D5">
        <w:t xml:space="preserve"> schedule</w:t>
      </w:r>
      <w:r>
        <w:t>.</w:t>
      </w:r>
    </w:p>
    <w:p w:rsidR="002E5CF1" w:rsidRDefault="003D7694" w:rsidP="003D7694">
      <w:pPr>
        <w:pStyle w:val="Heading5"/>
      </w:pPr>
      <w:r>
        <w:t>Analysis populations</w:t>
      </w:r>
    </w:p>
    <w:p w:rsidR="002E5CF1" w:rsidRPr="00054E45" w:rsidRDefault="002E5CF1" w:rsidP="00282F2B">
      <w:r w:rsidRPr="00054E45">
        <w:t>The Full Analysis Set (FAS) population was the primary analysis population for all efficacy</w:t>
      </w:r>
      <w:r>
        <w:t xml:space="preserve"> </w:t>
      </w:r>
      <w:r w:rsidRPr="00054E45">
        <w:t>endpoints.</w:t>
      </w:r>
      <w:r>
        <w:t xml:space="preserve"> </w:t>
      </w:r>
      <w:r w:rsidRPr="00054E45">
        <w:t>For analyses that used the cLDA model, the FAS population, defined separately for each</w:t>
      </w:r>
      <w:r>
        <w:t xml:space="preserve"> </w:t>
      </w:r>
      <w:r w:rsidRPr="00054E45">
        <w:t xml:space="preserve">analysis endpoint, consisted of all </w:t>
      </w:r>
      <w:r>
        <w:t>randomised</w:t>
      </w:r>
      <w:r w:rsidRPr="00054E45">
        <w:t xml:space="preserve"> subjects who:</w:t>
      </w:r>
      <w:r>
        <w:t xml:space="preserve"> -R</w:t>
      </w:r>
      <w:r w:rsidRPr="00054E45">
        <w:t>eceived at least one dose of study medication</w:t>
      </w:r>
      <w:r>
        <w:t>; -</w:t>
      </w:r>
      <w:r w:rsidRPr="00054E45">
        <w:t>Had a baseline measurement or a post-</w:t>
      </w:r>
      <w:r>
        <w:t>randomisation</w:t>
      </w:r>
      <w:r w:rsidRPr="00054E45">
        <w:t xml:space="preserve"> measurement for the analysis</w:t>
      </w:r>
      <w:r>
        <w:t xml:space="preserve"> </w:t>
      </w:r>
      <w:r w:rsidRPr="00054E45">
        <w:t>endpoint subsequent to at least one dose of study medication.</w:t>
      </w:r>
    </w:p>
    <w:p w:rsidR="00282F2B" w:rsidRDefault="002E5CF1" w:rsidP="00282F2B">
      <w:r w:rsidRPr="00054E45">
        <w:t>For analyses that used the analysis of covariance (ANCOVA) model, the FAS population</w:t>
      </w:r>
      <w:r>
        <w:t xml:space="preserve"> </w:t>
      </w:r>
      <w:r w:rsidRPr="00054E45">
        <w:t xml:space="preserve">defined separately for each analysis endpoint, consisted of all </w:t>
      </w:r>
      <w:r>
        <w:t>randomised</w:t>
      </w:r>
      <w:r w:rsidRPr="00054E45">
        <w:t xml:space="preserve"> subjects who:</w:t>
      </w:r>
    </w:p>
    <w:p w:rsidR="00282F2B" w:rsidRDefault="002E5CF1" w:rsidP="00282F2B">
      <w:pPr>
        <w:pStyle w:val="ListBullet"/>
      </w:pPr>
      <w:r>
        <w:t>R</w:t>
      </w:r>
      <w:r w:rsidRPr="00054E45">
        <w:t>eceived at least one dose of study medication</w:t>
      </w:r>
      <w:r w:rsidR="00282F2B">
        <w:t>;</w:t>
      </w:r>
    </w:p>
    <w:p w:rsidR="00282F2B" w:rsidRDefault="002E5CF1" w:rsidP="00282F2B">
      <w:pPr>
        <w:pStyle w:val="ListBullet"/>
      </w:pPr>
      <w:r w:rsidRPr="00054E45">
        <w:t>Had baseline data for the analysis endpoint</w:t>
      </w:r>
      <w:r w:rsidR="00282F2B">
        <w:t>;</w:t>
      </w:r>
    </w:p>
    <w:p w:rsidR="002E5CF1" w:rsidRPr="00054E45" w:rsidRDefault="002E5CF1" w:rsidP="00282F2B">
      <w:pPr>
        <w:pStyle w:val="ListBullet"/>
      </w:pPr>
      <w:r>
        <w:lastRenderedPageBreak/>
        <w:t>H</w:t>
      </w:r>
      <w:r w:rsidRPr="00054E45">
        <w:t>ad at least one post-</w:t>
      </w:r>
      <w:r>
        <w:t>randomisation</w:t>
      </w:r>
      <w:r w:rsidRPr="00054E45">
        <w:t xml:space="preserve"> observation for the analysis endpoint subsequent</w:t>
      </w:r>
      <w:r>
        <w:t xml:space="preserve"> </w:t>
      </w:r>
      <w:r w:rsidRPr="00054E45">
        <w:t>to at least one dose of study medication.</w:t>
      </w:r>
    </w:p>
    <w:p w:rsidR="002E5CF1" w:rsidRPr="00FC5503" w:rsidRDefault="002E5CF1" w:rsidP="00282F2B">
      <w:r w:rsidRPr="00054E45">
        <w:t>A seco</w:t>
      </w:r>
      <w:r>
        <w:t>ndary population used for analys</w:t>
      </w:r>
      <w:r w:rsidRPr="00054E45">
        <w:t>ing the primary efficacy endpoint at Week 52 was the</w:t>
      </w:r>
      <w:r>
        <w:t xml:space="preserve"> </w:t>
      </w:r>
      <w:r w:rsidRPr="00054E45">
        <w:t xml:space="preserve">Per Protocol (PP) population. All </w:t>
      </w:r>
      <w:r>
        <w:t>randomised</w:t>
      </w:r>
      <w:r w:rsidRPr="00054E45">
        <w:t xml:space="preserve"> subjects who took at least one dose of study</w:t>
      </w:r>
      <w:r>
        <w:t xml:space="preserve"> </w:t>
      </w:r>
      <w:r w:rsidRPr="00054E45">
        <w:t xml:space="preserve">medication, with a measurement of the analysis endpoint at both baseline and </w:t>
      </w:r>
      <w:r>
        <w:t>d</w:t>
      </w:r>
      <w:r w:rsidRPr="00054E45">
        <w:t>rug compliance</w:t>
      </w:r>
      <w:r>
        <w:t xml:space="preserve"> </w:t>
      </w:r>
      <w:r w:rsidRPr="00054E45">
        <w:t>&lt;</w:t>
      </w:r>
      <w:r w:rsidR="00282F2B">
        <w:t xml:space="preserve"> </w:t>
      </w:r>
      <w:r w:rsidRPr="00054E45">
        <w:t>75%</w:t>
      </w:r>
      <w:r w:rsidR="00282F2B">
        <w:t xml:space="preserve">; </w:t>
      </w:r>
      <w:r>
        <w:t>u</w:t>
      </w:r>
      <w:r w:rsidRPr="00054E45">
        <w:t xml:space="preserve">se of prohibited AHA medications for a total of </w:t>
      </w:r>
      <w:r w:rsidR="002E1032">
        <w:rPr>
          <w:color w:val="000000"/>
        </w:rPr>
        <w:t xml:space="preserve">≥ </w:t>
      </w:r>
      <w:r w:rsidRPr="00054E45">
        <w:t xml:space="preserve">14 days or </w:t>
      </w:r>
      <w:r w:rsidR="002E1032">
        <w:rPr>
          <w:color w:val="000000"/>
        </w:rPr>
        <w:t xml:space="preserve">≥ </w:t>
      </w:r>
      <w:r w:rsidRPr="00054E45">
        <w:t>7 consecutive days</w:t>
      </w:r>
      <w:r>
        <w:t xml:space="preserve"> </w:t>
      </w:r>
      <w:r w:rsidRPr="00054E45">
        <w:t xml:space="preserve">after </w:t>
      </w:r>
      <w:r>
        <w:t>randomisation</w:t>
      </w:r>
      <w:r w:rsidRPr="00054E45">
        <w:t xml:space="preserve"> and within 180 days prior to the analysis time point</w:t>
      </w:r>
      <w:r w:rsidR="00282F2B">
        <w:t xml:space="preserve">; </w:t>
      </w:r>
      <w:r w:rsidRPr="00054E45">
        <w:t xml:space="preserve">Use of pharmacologic doses of corticosteroids for </w:t>
      </w:r>
      <w:r w:rsidR="002E1032">
        <w:rPr>
          <w:color w:val="000000"/>
        </w:rPr>
        <w:t xml:space="preserve">≥ </w:t>
      </w:r>
      <w:r w:rsidRPr="00054E45">
        <w:t>2 consecutive weeks after</w:t>
      </w:r>
      <w:r>
        <w:t xml:space="preserve"> randomisation</w:t>
      </w:r>
      <w:r w:rsidRPr="00054E45">
        <w:t xml:space="preserve"> and within 180 days prior to the analysis </w:t>
      </w:r>
      <w:r w:rsidR="00282F2B">
        <w:t xml:space="preserve">time point; </w:t>
      </w:r>
      <w:r w:rsidRPr="00FC5503">
        <w:t xml:space="preserve">Incorrect </w:t>
      </w:r>
      <w:r w:rsidR="00FB1E32">
        <w:t>double blind</w:t>
      </w:r>
      <w:r w:rsidRPr="00FC5503">
        <w:t xml:space="preserve"> study medication or a change in metformin dose for </w:t>
      </w:r>
      <w:r w:rsidR="002E1032">
        <w:rPr>
          <w:color w:val="000000"/>
        </w:rPr>
        <w:t xml:space="preserve">≥ </w:t>
      </w:r>
      <w:r w:rsidRPr="00FC5503">
        <w:t>14 days, during the last 180 days prior to the analysis time point.</w:t>
      </w:r>
    </w:p>
    <w:p w:rsidR="002E5CF1" w:rsidRPr="00FC5503" w:rsidRDefault="002E5CF1" w:rsidP="00282F2B">
      <w:pPr>
        <w:rPr>
          <w:b/>
          <w:color w:val="000000"/>
        </w:rPr>
      </w:pPr>
      <w:r w:rsidRPr="00FC5503">
        <w:t>A modified FAS (mFAS) population, defined as all subjects in the FAS who did not have any</w:t>
      </w:r>
      <w:r>
        <w:t xml:space="preserve"> </w:t>
      </w:r>
      <w:r w:rsidRPr="00FC5503">
        <w:t>of the protocol deviations defined above, was an additional secondary population. Subjects</w:t>
      </w:r>
      <w:r>
        <w:t xml:space="preserve"> </w:t>
      </w:r>
      <w:r w:rsidRPr="00FC5503">
        <w:t>who discontinued prematurely without a protocol deviation w</w:t>
      </w:r>
      <w:r>
        <w:t>ere</w:t>
      </w:r>
      <w:r w:rsidRPr="00FC5503">
        <w:t xml:space="preserve"> included in the mFAS.</w:t>
      </w:r>
    </w:p>
    <w:p w:rsidR="002E5CF1" w:rsidRPr="00FC5503" w:rsidRDefault="003D7694" w:rsidP="003D7694">
      <w:pPr>
        <w:pStyle w:val="Heading5"/>
      </w:pPr>
      <w:r>
        <w:t>Sample size</w:t>
      </w:r>
    </w:p>
    <w:p w:rsidR="002E5CF1" w:rsidRPr="00FC5503" w:rsidRDefault="002E5CF1" w:rsidP="00282F2B">
      <w:pPr>
        <w:rPr>
          <w:b/>
          <w:color w:val="000000"/>
        </w:rPr>
      </w:pPr>
      <w:r w:rsidRPr="00FC5503">
        <w:t>Approximately 1230 subjects were to be randomised in a 1:1:1 ratio among the 3 treatment</w:t>
      </w:r>
      <w:r>
        <w:t xml:space="preserve"> </w:t>
      </w:r>
      <w:r w:rsidRPr="00FC5503">
        <w:t>groups. A sample size of 410 per arm was equivalent to an effective sample size of 337 per</w:t>
      </w:r>
      <w:r>
        <w:t xml:space="preserve"> </w:t>
      </w:r>
      <w:r w:rsidRPr="00FC5503">
        <w:t>arm at Week 52 in the power calculation for the primary hypothesis test using the cLDA</w:t>
      </w:r>
      <w:r>
        <w:t xml:space="preserve"> </w:t>
      </w:r>
      <w:r w:rsidRPr="00FC5503">
        <w:t>model in the FAS population. This sample size provided 97% power to declare</w:t>
      </w:r>
      <w:r>
        <w:t xml:space="preserve"> </w:t>
      </w:r>
      <w:r w:rsidRPr="00FC5503">
        <w:t xml:space="preserve">non-inferiority in </w:t>
      </w:r>
      <w:r>
        <w:t>HbA1c</w:t>
      </w:r>
      <w:r w:rsidRPr="00FC5503">
        <w:t xml:space="preserve"> reduction at Week 52 between a given ertugliflozin dose and</w:t>
      </w:r>
      <w:r>
        <w:t xml:space="preserve"> </w:t>
      </w:r>
      <w:r w:rsidRPr="00FC5503">
        <w:t>glimepiride, using a non-inferiority margin of 0.3%, assuming the true mean difference in</w:t>
      </w:r>
      <w:r>
        <w:t xml:space="preserve"> HbA1c</w:t>
      </w:r>
      <w:r w:rsidRPr="00FC5503">
        <w:t xml:space="preserve"> is 0% (α</w:t>
      </w:r>
      <w:r w:rsidR="00282F2B">
        <w:t xml:space="preserve"> </w:t>
      </w:r>
      <w:r w:rsidRPr="00FC5503">
        <w:t>=</w:t>
      </w:r>
      <w:r w:rsidR="00282F2B">
        <w:t xml:space="preserve"> </w:t>
      </w:r>
      <w:r w:rsidRPr="00FC5503">
        <w:t>0.05, two-sided test), based on the primary analysis population (FAS). The</w:t>
      </w:r>
      <w:r>
        <w:t xml:space="preserve"> </w:t>
      </w:r>
      <w:r w:rsidRPr="00FC5503">
        <w:t>half-width of the 95% CI was expected to be 0.15%. The probability of meeting the</w:t>
      </w:r>
      <w:r>
        <w:t xml:space="preserve"> </w:t>
      </w:r>
      <w:r w:rsidRPr="00FC5503">
        <w:t>non-inferiority criterion for both ertugliflozin doses in the FAS was 95%.</w:t>
      </w:r>
    </w:p>
    <w:p w:rsidR="002E5CF1" w:rsidRPr="00FC5503" w:rsidRDefault="002E5CF1" w:rsidP="003D7694">
      <w:pPr>
        <w:pStyle w:val="Heading5"/>
      </w:pPr>
      <w:r w:rsidRPr="00FC5503">
        <w:t>Statistical methods</w:t>
      </w:r>
    </w:p>
    <w:p w:rsidR="002E5CF1" w:rsidRPr="004C6A4C" w:rsidRDefault="002E5CF1" w:rsidP="00282F2B">
      <w:r w:rsidRPr="00FC5503">
        <w:t>The primary efficacy analyses compared the efficacy of ertugliflozin relative to glimepiride</w:t>
      </w:r>
      <w:r>
        <w:t xml:space="preserve"> </w:t>
      </w:r>
      <w:r w:rsidRPr="00FC5503">
        <w:t xml:space="preserve">in change from baseline in </w:t>
      </w:r>
      <w:r>
        <w:t>HbA1c</w:t>
      </w:r>
      <w:r w:rsidRPr="00FC5503">
        <w:t xml:space="preserve"> at Week 52. The mean change from baseline in </w:t>
      </w:r>
      <w:r>
        <w:t>HbA1c</w:t>
      </w:r>
      <w:r w:rsidRPr="00FC5503">
        <w:t xml:space="preserve"> at</w:t>
      </w:r>
      <w:r>
        <w:t xml:space="preserve"> </w:t>
      </w:r>
      <w:r w:rsidR="00282F2B">
        <w:t>Week </w:t>
      </w:r>
      <w:r w:rsidRPr="00FC5503">
        <w:t>52 in the ertugliflozin 15 mg group was compared to that in the glimepiride group</w:t>
      </w:r>
      <w:r>
        <w:t xml:space="preserve"> </w:t>
      </w:r>
      <w:r w:rsidRPr="004C6A4C">
        <w:t xml:space="preserve">using the estimated treatment difference via a cLDA model, proposed by Liang and Zeger. Ertugliflozin 15 mg was to be declared non-inferior to glimepiride in terms of </w:t>
      </w:r>
      <w:r>
        <w:t>HbA1c</w:t>
      </w:r>
      <w:r w:rsidRPr="004C6A4C">
        <w:t xml:space="preserve"> reduction</w:t>
      </w:r>
      <w:r>
        <w:t xml:space="preserve"> </w:t>
      </w:r>
      <w:r w:rsidRPr="004C6A4C">
        <w:t>if the upper limit of the two-sided 95% CI for the mean difference</w:t>
      </w:r>
      <w:r>
        <w:t xml:space="preserve"> </w:t>
      </w:r>
      <w:r w:rsidRPr="004C6A4C">
        <w:t xml:space="preserve">between ertugliflozin 15 mg and glimepiride at Week 52 was less than </w:t>
      </w:r>
      <w:r w:rsidR="00282F2B">
        <w:t xml:space="preserve">δ </w:t>
      </w:r>
      <w:r w:rsidRPr="004C6A4C">
        <w:t>=</w:t>
      </w:r>
      <w:r w:rsidR="00282F2B">
        <w:t xml:space="preserve"> </w:t>
      </w:r>
      <w:r w:rsidRPr="004C6A4C">
        <w:t>0.3%.</w:t>
      </w:r>
      <w:r>
        <w:t xml:space="preserve"> </w:t>
      </w:r>
      <w:r w:rsidRPr="004C6A4C">
        <w:t xml:space="preserve">The non-inferiority test for ertugliflozin 5 mg in </w:t>
      </w:r>
      <w:r>
        <w:t>HbA1c</w:t>
      </w:r>
      <w:r w:rsidRPr="004C6A4C">
        <w:t xml:space="preserve"> reduction used the same approach</w:t>
      </w:r>
      <w:r>
        <w:t xml:space="preserve"> </w:t>
      </w:r>
      <w:r w:rsidRPr="004C6A4C">
        <w:t>described above following the multiplicity control strategy. All other continuous efficacy endpoints were analysed using the above cLDA method</w:t>
      </w:r>
      <w:r>
        <w:t xml:space="preserve"> </w:t>
      </w:r>
      <w:r w:rsidRPr="004C6A4C">
        <w:t xml:space="preserve">described for </w:t>
      </w:r>
      <w:r>
        <w:t>HbA1c</w:t>
      </w:r>
      <w:r w:rsidRPr="004C6A4C">
        <w:t>.</w:t>
      </w:r>
    </w:p>
    <w:p w:rsidR="002E5CF1" w:rsidRDefault="002E5CF1" w:rsidP="00282F2B">
      <w:r w:rsidRPr="004C6A4C">
        <w:t>An ANCOVA model was used in the per protocol (PP) population as sensitivity analyses for</w:t>
      </w:r>
      <w:r>
        <w:t xml:space="preserve"> </w:t>
      </w:r>
      <w:r w:rsidRPr="004C6A4C">
        <w:t>the primary and key secondary efficacy endpoints at Week 52. The ANCOVA model</w:t>
      </w:r>
      <w:r>
        <w:t xml:space="preserve"> </w:t>
      </w:r>
      <w:r w:rsidRPr="004C6A4C">
        <w:t>included treatment, prior antihyperglyc</w:t>
      </w:r>
      <w:r>
        <w:t>a</w:t>
      </w:r>
      <w:r w:rsidRPr="004C6A4C">
        <w:t>emic medication, baseline eGFR, and baseline value.</w:t>
      </w:r>
      <w:r w:rsidRPr="004C6A4C">
        <w:rPr>
          <w:color w:val="000000"/>
        </w:rPr>
        <w:t xml:space="preserve"> The ANCOVA model as described above was also used in the FAS population for the</w:t>
      </w:r>
      <w:r>
        <w:rPr>
          <w:color w:val="000000"/>
        </w:rPr>
        <w:t xml:space="preserve"> </w:t>
      </w:r>
      <w:r w:rsidRPr="004C6A4C">
        <w:rPr>
          <w:color w:val="000000"/>
        </w:rPr>
        <w:t>prim</w:t>
      </w:r>
      <w:r w:rsidR="00282F2B">
        <w:rPr>
          <w:color w:val="000000"/>
        </w:rPr>
        <w:t xml:space="preserve">ary efficacy endpoint. The last observation carried </w:t>
      </w:r>
      <w:r w:rsidRPr="004C6A4C">
        <w:rPr>
          <w:color w:val="000000"/>
        </w:rPr>
        <w:t>forward (LOCF) method was used</w:t>
      </w:r>
      <w:r>
        <w:rPr>
          <w:color w:val="000000"/>
        </w:rPr>
        <w:t xml:space="preserve"> </w:t>
      </w:r>
      <w:r w:rsidRPr="004C6A4C">
        <w:rPr>
          <w:color w:val="000000"/>
        </w:rPr>
        <w:t>to impute missing data.</w:t>
      </w:r>
      <w:r>
        <w:rPr>
          <w:color w:val="000000"/>
        </w:rPr>
        <w:t xml:space="preserve"> </w:t>
      </w:r>
      <w:r w:rsidRPr="004C6A4C">
        <w:rPr>
          <w:color w:val="000000"/>
        </w:rPr>
        <w:t>If the size of the modified FAS (mFAS) population differed</w:t>
      </w:r>
      <w:r>
        <w:rPr>
          <w:color w:val="000000"/>
        </w:rPr>
        <w:t xml:space="preserve"> </w:t>
      </w:r>
      <w:r w:rsidRPr="004C6A4C">
        <w:rPr>
          <w:color w:val="000000"/>
        </w:rPr>
        <w:t>from the size of the FAS by &gt;</w:t>
      </w:r>
      <w:r w:rsidR="00282F2B">
        <w:rPr>
          <w:color w:val="000000"/>
        </w:rPr>
        <w:t xml:space="preserve"> </w:t>
      </w:r>
      <w:r w:rsidRPr="004C6A4C">
        <w:rPr>
          <w:color w:val="000000"/>
        </w:rPr>
        <w:t>2% in any treatment group, primary and key secondary</w:t>
      </w:r>
      <w:r>
        <w:rPr>
          <w:color w:val="000000"/>
        </w:rPr>
        <w:t xml:space="preserve"> </w:t>
      </w:r>
      <w:r w:rsidRPr="004C6A4C">
        <w:rPr>
          <w:color w:val="000000"/>
        </w:rPr>
        <w:t>endpoints were to be analysed in the mFAS population using the same cLDA methodology</w:t>
      </w:r>
      <w:r>
        <w:rPr>
          <w:color w:val="000000"/>
        </w:rPr>
        <w:t xml:space="preserve"> </w:t>
      </w:r>
      <w:r w:rsidRPr="004C6A4C">
        <w:rPr>
          <w:color w:val="000000"/>
        </w:rPr>
        <w:t>described for the FAS.</w:t>
      </w:r>
    </w:p>
    <w:p w:rsidR="002E5CF1" w:rsidRPr="004C6A4C" w:rsidRDefault="002E5CF1" w:rsidP="00282F2B">
      <w:pPr>
        <w:rPr>
          <w:color w:val="000000"/>
        </w:rPr>
      </w:pPr>
      <w:r w:rsidRPr="004C6A4C">
        <w:t xml:space="preserve">For the analysis of the percentage of subjects at the </w:t>
      </w:r>
      <w:r>
        <w:t>HbA1c</w:t>
      </w:r>
      <w:r w:rsidRPr="004C6A4C">
        <w:t xml:space="preserve"> goals of &lt;</w:t>
      </w:r>
      <w:r w:rsidR="00282F2B">
        <w:t xml:space="preserve"> </w:t>
      </w:r>
      <w:r w:rsidRPr="004C6A4C">
        <w:t>7.0% and &lt;</w:t>
      </w:r>
      <w:r w:rsidR="00282F2B">
        <w:t xml:space="preserve"> </w:t>
      </w:r>
      <w:r w:rsidRPr="004C6A4C">
        <w:t>6.5% at</w:t>
      </w:r>
      <w:r>
        <w:t xml:space="preserve"> </w:t>
      </w:r>
      <w:r w:rsidR="00282F2B">
        <w:t>Week </w:t>
      </w:r>
      <w:r w:rsidRPr="004C6A4C">
        <w:t xml:space="preserve">52, the </w:t>
      </w:r>
      <w:proofErr w:type="spellStart"/>
      <w:r w:rsidRPr="004C6A4C">
        <w:t>cLDA</w:t>
      </w:r>
      <w:proofErr w:type="spellEnd"/>
      <w:r w:rsidRPr="004C6A4C">
        <w:t xml:space="preserve"> model that was used for the analysis of </w:t>
      </w:r>
      <w:r>
        <w:t>HbA1c</w:t>
      </w:r>
      <w:r w:rsidRPr="004C6A4C">
        <w:t xml:space="preserve"> was used to impute</w:t>
      </w:r>
      <w:r>
        <w:rPr>
          <w:rStyle w:val="FootnoteReference"/>
          <w:rFonts w:asciiTheme="minorHAnsi" w:eastAsiaTheme="minorHAnsi" w:hAnsiTheme="minorHAnsi"/>
        </w:rPr>
        <w:footnoteReference w:id="17"/>
      </w:r>
      <w:r w:rsidRPr="004C6A4C">
        <w:t xml:space="preserve"> missing</w:t>
      </w:r>
      <w:r>
        <w:t xml:space="preserve"> </w:t>
      </w:r>
      <w:r w:rsidRPr="004C6A4C">
        <w:t xml:space="preserve">data for </w:t>
      </w:r>
      <w:r>
        <w:t>HbA1c</w:t>
      </w:r>
      <w:r w:rsidRPr="004C6A4C">
        <w:t xml:space="preserve">. </w:t>
      </w:r>
      <w:r w:rsidRPr="004C6A4C">
        <w:rPr>
          <w:color w:val="000000"/>
        </w:rPr>
        <w:t>To assess the overall b</w:t>
      </w:r>
      <w:r>
        <w:rPr>
          <w:color w:val="000000"/>
        </w:rPr>
        <w:t>enefit of the trial treatment, two composite</w:t>
      </w:r>
      <w:r w:rsidR="00282F2B">
        <w:rPr>
          <w:color w:val="000000"/>
        </w:rPr>
        <w:t xml:space="preserve"> endpoints </w:t>
      </w:r>
      <w:r w:rsidR="00282F2B">
        <w:rPr>
          <w:color w:val="000000"/>
        </w:rPr>
        <w:lastRenderedPageBreak/>
        <w:t>were also analyses:</w:t>
      </w:r>
      <w:r>
        <w:rPr>
          <w:color w:val="000000"/>
        </w:rPr>
        <w:t xml:space="preserve"> (1) t</w:t>
      </w:r>
      <w:r w:rsidRPr="004C6A4C">
        <w:rPr>
          <w:color w:val="000000"/>
        </w:rPr>
        <w:t>he proportion of subjects meeting the</w:t>
      </w:r>
      <w:r>
        <w:rPr>
          <w:color w:val="000000"/>
        </w:rPr>
        <w:t xml:space="preserve"> </w:t>
      </w:r>
      <w:r w:rsidRPr="004C6A4C">
        <w:rPr>
          <w:color w:val="000000"/>
        </w:rPr>
        <w:t xml:space="preserve">composite endpoint of an </w:t>
      </w:r>
      <w:r>
        <w:rPr>
          <w:color w:val="000000"/>
        </w:rPr>
        <w:t>HbA1c</w:t>
      </w:r>
      <w:r w:rsidRPr="004C6A4C">
        <w:rPr>
          <w:color w:val="000000"/>
        </w:rPr>
        <w:t xml:space="preserve"> decrease &gt;</w:t>
      </w:r>
      <w:r w:rsidR="00282F2B">
        <w:rPr>
          <w:color w:val="000000"/>
        </w:rPr>
        <w:t xml:space="preserve"> </w:t>
      </w:r>
      <w:r w:rsidRPr="004C6A4C">
        <w:rPr>
          <w:color w:val="000000"/>
        </w:rPr>
        <w:t xml:space="preserve">0.5% with no AE of symptomatic </w:t>
      </w:r>
      <w:r>
        <w:rPr>
          <w:color w:val="000000"/>
        </w:rPr>
        <w:t xml:space="preserve">hypoglycaemia </w:t>
      </w:r>
      <w:r w:rsidRPr="004C6A4C">
        <w:rPr>
          <w:color w:val="000000"/>
        </w:rPr>
        <w:t>and no weight gain by the end of Week 52</w:t>
      </w:r>
      <w:r w:rsidRPr="00440622">
        <w:rPr>
          <w:color w:val="000000"/>
        </w:rPr>
        <w:t xml:space="preserve"> </w:t>
      </w:r>
      <w:r w:rsidRPr="004C6A4C">
        <w:rPr>
          <w:color w:val="000000"/>
        </w:rPr>
        <w:t>using the Miettinen and Nurminen method in</w:t>
      </w:r>
      <w:r>
        <w:rPr>
          <w:color w:val="000000"/>
        </w:rPr>
        <w:t xml:space="preserve"> </w:t>
      </w:r>
      <w:r w:rsidRPr="004C6A4C">
        <w:rPr>
          <w:color w:val="000000"/>
        </w:rPr>
        <w:t xml:space="preserve">the FAS population for </w:t>
      </w:r>
      <w:r>
        <w:rPr>
          <w:color w:val="000000"/>
        </w:rPr>
        <w:t>HbA1c and body weight; (2)</w:t>
      </w:r>
      <w:r w:rsidRPr="004C6A4C">
        <w:rPr>
          <w:color w:val="000000"/>
        </w:rPr>
        <w:t xml:space="preserve"> the proportion of subjects with an </w:t>
      </w:r>
      <w:r>
        <w:rPr>
          <w:color w:val="000000"/>
        </w:rPr>
        <w:t>HbA1c</w:t>
      </w:r>
      <w:r w:rsidRPr="004C6A4C">
        <w:rPr>
          <w:color w:val="000000"/>
        </w:rPr>
        <w:t xml:space="preserve"> &lt;</w:t>
      </w:r>
      <w:r w:rsidR="00282F2B">
        <w:rPr>
          <w:color w:val="000000"/>
        </w:rPr>
        <w:t xml:space="preserve"> </w:t>
      </w:r>
      <w:r w:rsidRPr="004C6A4C">
        <w:rPr>
          <w:color w:val="000000"/>
        </w:rPr>
        <w:t>7% with no symptomatic</w:t>
      </w:r>
      <w:r>
        <w:rPr>
          <w:color w:val="000000"/>
        </w:rPr>
        <w:t xml:space="preserve"> </w:t>
      </w:r>
      <w:r w:rsidRPr="004C6A4C">
        <w:rPr>
          <w:color w:val="000000"/>
        </w:rPr>
        <w:t>hypoglycaemia at Week 52 was analysed</w:t>
      </w:r>
      <w:r>
        <w:rPr>
          <w:color w:val="000000"/>
        </w:rPr>
        <w:t>. M</w:t>
      </w:r>
      <w:r w:rsidRPr="004C6A4C">
        <w:rPr>
          <w:color w:val="000000"/>
        </w:rPr>
        <w:t>issing data were imputed via</w:t>
      </w:r>
      <w:r>
        <w:rPr>
          <w:color w:val="000000"/>
        </w:rPr>
        <w:t xml:space="preserve"> </w:t>
      </w:r>
      <w:r w:rsidRPr="004C6A4C">
        <w:rPr>
          <w:color w:val="000000"/>
        </w:rPr>
        <w:t>the LOCF method</w:t>
      </w:r>
      <w:r>
        <w:rPr>
          <w:color w:val="000000"/>
        </w:rPr>
        <w:t xml:space="preserve"> f</w:t>
      </w:r>
      <w:r w:rsidRPr="004C6A4C">
        <w:rPr>
          <w:color w:val="000000"/>
        </w:rPr>
        <w:t>or both composite endpoints.</w:t>
      </w:r>
    </w:p>
    <w:p w:rsidR="002E5CF1" w:rsidRPr="004C6A4C" w:rsidRDefault="002E5CF1" w:rsidP="00282F2B">
      <w:pPr>
        <w:rPr>
          <w:b/>
        </w:rPr>
      </w:pPr>
      <w:r w:rsidRPr="004C6A4C">
        <w:t>Durability of the ertugliflozin treatment effect was evaluated by examining the time profile</w:t>
      </w:r>
      <w:r>
        <w:t xml:space="preserve"> </w:t>
      </w:r>
      <w:r w:rsidRPr="004C6A4C">
        <w:t xml:space="preserve">plot of mean change from baseline in </w:t>
      </w:r>
      <w:r>
        <w:t>HbA1c</w:t>
      </w:r>
      <w:r w:rsidRPr="004C6A4C">
        <w:t xml:space="preserve"> from Week 26 to Week 52 for each group. In</w:t>
      </w:r>
      <w:r>
        <w:t xml:space="preserve"> </w:t>
      </w:r>
      <w:r w:rsidRPr="004C6A4C">
        <w:t>addition, the COD, defined as the slope of the time profile of mean change from baseline,</w:t>
      </w:r>
      <w:r>
        <w:t xml:space="preserve"> </w:t>
      </w:r>
      <w:r w:rsidRPr="004C6A4C">
        <w:t>was derived via least squares from the cLDA model, using analysis time points beginning</w:t>
      </w:r>
      <w:r>
        <w:t xml:space="preserve"> </w:t>
      </w:r>
      <w:r w:rsidRPr="004C6A4C">
        <w:t>with Week 26.</w:t>
      </w:r>
    </w:p>
    <w:p w:rsidR="002E5CF1" w:rsidRPr="004C6A4C" w:rsidRDefault="002E5CF1" w:rsidP="003D7694">
      <w:pPr>
        <w:pStyle w:val="Heading5"/>
      </w:pPr>
      <w:r w:rsidRPr="004C6A4C">
        <w:t>Participant flow</w:t>
      </w:r>
    </w:p>
    <w:p w:rsidR="002E5CF1" w:rsidRPr="004C6A4C" w:rsidRDefault="002E5CF1" w:rsidP="00282F2B">
      <w:pPr>
        <w:rPr>
          <w:b/>
        </w:rPr>
      </w:pPr>
      <w:r>
        <w:t xml:space="preserve">Of the </w:t>
      </w:r>
      <w:r w:rsidRPr="000B74D5">
        <w:t xml:space="preserve">2985 subjects </w:t>
      </w:r>
      <w:r>
        <w:t xml:space="preserve">who </w:t>
      </w:r>
      <w:r w:rsidRPr="000B74D5">
        <w:t>were screened</w:t>
      </w:r>
      <w:r>
        <w:t xml:space="preserve">, </w:t>
      </w:r>
      <w:r w:rsidRPr="000B74D5">
        <w:t>1659 subjects were</w:t>
      </w:r>
      <w:r>
        <w:t xml:space="preserve"> </w:t>
      </w:r>
      <w:r w:rsidRPr="000B74D5">
        <w:t xml:space="preserve">excluded due to screen failure </w:t>
      </w:r>
      <w:r>
        <w:t xml:space="preserve">and the most common reasons were </w:t>
      </w:r>
      <w:r w:rsidRPr="000B74D5">
        <w:t xml:space="preserve">not meeting the inclusion criteria for </w:t>
      </w:r>
      <w:r>
        <w:t>HbA1c</w:t>
      </w:r>
      <w:r w:rsidRPr="000B74D5">
        <w:t xml:space="preserve"> at Visit 1 and/or meeting exclusionary</w:t>
      </w:r>
      <w:r>
        <w:t xml:space="preserve"> </w:t>
      </w:r>
      <w:r w:rsidRPr="000B74D5">
        <w:t>laboratory values</w:t>
      </w:r>
      <w:r>
        <w:t>. Overall, 448, 441 and 437 subjects were randomised to ertugliflozin 5 mg, ertugliflozin 15 mg and glimepiride, respectively; o</w:t>
      </w:r>
      <w:r w:rsidRPr="000B74D5">
        <w:t xml:space="preserve">ne </w:t>
      </w:r>
      <w:r>
        <w:t>randomised</w:t>
      </w:r>
      <w:r w:rsidRPr="000B74D5">
        <w:t xml:space="preserve"> subject</w:t>
      </w:r>
      <w:r>
        <w:t xml:space="preserve"> </w:t>
      </w:r>
      <w:r w:rsidRPr="000B74D5">
        <w:t>(ertugliflozin 15 mg group) did not receive treatment. The proportion of subjects who</w:t>
      </w:r>
      <w:r>
        <w:t xml:space="preserve"> </w:t>
      </w:r>
      <w:r w:rsidRPr="000B74D5">
        <w:t xml:space="preserve">discontinued study medication in Phase A was similar in the </w:t>
      </w:r>
      <w:r>
        <w:t xml:space="preserve">ertugliflozin </w:t>
      </w:r>
      <w:r w:rsidRPr="000B74D5">
        <w:t>15 mg and</w:t>
      </w:r>
      <w:r>
        <w:t xml:space="preserve"> </w:t>
      </w:r>
      <w:r w:rsidRPr="000B74D5">
        <w:t>glimepiride groups, and numerically higher in the ertugliflozin 5 mg group</w:t>
      </w:r>
      <w:r>
        <w:t xml:space="preserve"> (24.1%, 18.8% and 20.4% in ertugliflozin 5 mg, 15 mg and glimepiride groups, respectively), </w:t>
      </w:r>
      <w:r w:rsidRPr="000B74D5">
        <w:t>primarily related</w:t>
      </w:r>
      <w:r>
        <w:t xml:space="preserve"> </w:t>
      </w:r>
      <w:r w:rsidRPr="000B74D5">
        <w:t>to discontinuations for hyperglycaemia and non-compliance with study drug</w:t>
      </w:r>
      <w:r>
        <w:t xml:space="preserve">. </w:t>
      </w:r>
      <w:r w:rsidRPr="000B74D5">
        <w:t>The number of</w:t>
      </w:r>
      <w:r>
        <w:t xml:space="preserve"> </w:t>
      </w:r>
      <w:r w:rsidRPr="000B74D5">
        <w:t>subjects who discontinued due to an AE was numerically higher in the ertugliflozin 15 mg</w:t>
      </w:r>
      <w:r>
        <w:t xml:space="preserve"> </w:t>
      </w:r>
      <w:r w:rsidRPr="000B74D5">
        <w:t>group relative to the other 2 groups</w:t>
      </w:r>
      <w:r>
        <w:t xml:space="preserve"> (3.3%, 5% and 3%, respectively)</w:t>
      </w:r>
      <w:r w:rsidR="003D7694">
        <w:t>.</w:t>
      </w:r>
      <w:r>
        <w:t xml:space="preserve"> </w:t>
      </w:r>
      <w:r w:rsidRPr="000B74D5">
        <w:t>A total of 20 subjects were discontinued from the study due to site closure: 14 subjects were</w:t>
      </w:r>
      <w:r>
        <w:t xml:space="preserve"> </w:t>
      </w:r>
      <w:r w:rsidRPr="000B74D5">
        <w:t xml:space="preserve">discontinued at Site 0855, which was closed by the </w:t>
      </w:r>
      <w:r w:rsidR="003D7694">
        <w:t>s</w:t>
      </w:r>
      <w:r w:rsidRPr="000B74D5">
        <w:t>ponsor due to GCP non-compliance</w:t>
      </w:r>
      <w:r>
        <w:t xml:space="preserve"> </w:t>
      </w:r>
      <w:r w:rsidRPr="000B74D5">
        <w:t>issues and 6 subjects were discontinued from sites 0035 and 0559, which</w:t>
      </w:r>
      <w:r>
        <w:t xml:space="preserve"> </w:t>
      </w:r>
      <w:r w:rsidRPr="000B74D5">
        <w:t xml:space="preserve">closed or terminated participation in the study for non GCP-related reasons. Of the 1326 </w:t>
      </w:r>
      <w:r>
        <w:t>randomised</w:t>
      </w:r>
      <w:r w:rsidRPr="000B74D5">
        <w:t xml:space="preserve"> subjects, 1161 (87.6%) completed Phase A </w:t>
      </w:r>
      <w:r>
        <w:t>with similar completion rates in all treatment groups (75.9%, 81% and 79.6%, respectively)</w:t>
      </w:r>
      <w:r w:rsidR="003D7694">
        <w:t>.</w:t>
      </w:r>
    </w:p>
    <w:p w:rsidR="002E5CF1" w:rsidRDefault="002E5CF1" w:rsidP="003D7694">
      <w:pPr>
        <w:pStyle w:val="Comment"/>
      </w:pPr>
      <w:r w:rsidRPr="003D7694">
        <w:rPr>
          <w:b/>
        </w:rPr>
        <w:t>Comment</w:t>
      </w:r>
      <w:r w:rsidRPr="00D555B6">
        <w:t xml:space="preserve">: </w:t>
      </w:r>
      <w:r>
        <w:t>The CSR mentions that besides the 14</w:t>
      </w:r>
      <w:r w:rsidR="003D7694">
        <w:t xml:space="preserve"> subjects from study site 0855 </w:t>
      </w:r>
      <w:r>
        <w:t xml:space="preserve">who discontinued another 3 subjects from study </w:t>
      </w:r>
      <w:r w:rsidR="003D7694">
        <w:t xml:space="preserve">site </w:t>
      </w:r>
      <w:r>
        <w:t xml:space="preserve">0042 were also discontinued. However, it is mentioned that these 17 subjects were still included in analyses. Could the sponsors confirm if inclusion of these subjects from study sites which were non-compliant with GCP guidelines had any impact on interpretation of results from this pivotal </w:t>
      </w:r>
      <w:proofErr w:type="gramStart"/>
      <w:r>
        <w:t>study.</w:t>
      </w:r>
      <w:proofErr w:type="gramEnd"/>
      <w:r>
        <w:t xml:space="preserve"> Could the sponsors also clarify if the 6 subjects who discontinued from study sites 0035 and 0559 due to non-GCP related reasons were inc</w:t>
      </w:r>
      <w:r w:rsidR="00E0280B">
        <w:t xml:space="preserve">luded in the efficacy </w:t>
      </w:r>
      <w:proofErr w:type="gramStart"/>
      <w:r w:rsidR="00E0280B">
        <w:t>analyses.</w:t>
      </w:r>
      <w:proofErr w:type="gramEnd"/>
    </w:p>
    <w:p w:rsidR="002E5CF1" w:rsidRPr="004C6A4C" w:rsidRDefault="002E5CF1" w:rsidP="00E0280B">
      <w:pPr>
        <w:pStyle w:val="Heading5"/>
      </w:pPr>
      <w:r w:rsidRPr="004C6A4C">
        <w:t>Major protocol violations</w:t>
      </w:r>
    </w:p>
    <w:p w:rsidR="002E5CF1" w:rsidRDefault="002E5CF1" w:rsidP="00282F2B">
      <w:r w:rsidRPr="00FD7144">
        <w:t xml:space="preserve">During the conduct of this study, 23 subjects were identified who were </w:t>
      </w:r>
      <w:r>
        <w:t>randomised</w:t>
      </w:r>
      <w:r w:rsidRPr="00FD7144">
        <w:t xml:space="preserve"> at more</w:t>
      </w:r>
      <w:r>
        <w:t xml:space="preserve"> </w:t>
      </w:r>
      <w:r w:rsidRPr="00FD7144">
        <w:t xml:space="preserve">than 1 site in this study, or who were </w:t>
      </w:r>
      <w:r>
        <w:t>randomised</w:t>
      </w:r>
      <w:r w:rsidRPr="00FD7144">
        <w:t xml:space="preserve"> at a site in this study and at least 1</w:t>
      </w:r>
      <w:r>
        <w:t xml:space="preserve"> </w:t>
      </w:r>
      <w:r w:rsidRPr="00FD7144">
        <w:t xml:space="preserve">other site in the ertugliflozin </w:t>
      </w:r>
      <w:r>
        <w:t>Phase III</w:t>
      </w:r>
      <w:r w:rsidRPr="00FD7144">
        <w:t xml:space="preserve"> program. These 23 subjects account for 30</w:t>
      </w:r>
      <w:r>
        <w:t xml:space="preserve"> randomisation</w:t>
      </w:r>
      <w:r w:rsidRPr="00FD7144">
        <w:t>s in this study. All of the multiply-enrolled subjects identified in this study were located in</w:t>
      </w:r>
      <w:r>
        <w:t xml:space="preserve"> </w:t>
      </w:r>
      <w:r w:rsidRPr="00FD7144">
        <w:t>the US in South Florida</w:t>
      </w:r>
      <w:r w:rsidR="00E87FD9">
        <w:t>.</w:t>
      </w:r>
      <w:r>
        <w:rPr>
          <w:rStyle w:val="FootnoteReference"/>
          <w:rFonts w:asciiTheme="minorHAnsi" w:eastAsiaTheme="minorHAnsi" w:hAnsiTheme="minorHAnsi"/>
        </w:rPr>
        <w:footnoteReference w:id="18"/>
      </w:r>
      <w:r w:rsidRPr="00FD7144">
        <w:t xml:space="preserve"> Subjects identified as</w:t>
      </w:r>
      <w:r>
        <w:t xml:space="preserve"> </w:t>
      </w:r>
      <w:r w:rsidRPr="00FD7144">
        <w:t>multiply-enrolled while participating in the study were discontinued from study medication</w:t>
      </w:r>
      <w:r>
        <w:t xml:space="preserve"> and these mu</w:t>
      </w:r>
      <w:r w:rsidRPr="00FD7144">
        <w:t xml:space="preserve">ltiply-enrolled subjects </w:t>
      </w:r>
      <w:r>
        <w:t>we</w:t>
      </w:r>
      <w:r w:rsidRPr="00FD7144">
        <w:t>re reported as</w:t>
      </w:r>
      <w:r>
        <w:t xml:space="preserve"> </w:t>
      </w:r>
      <w:r w:rsidRPr="00FD7144">
        <w:t>major</w:t>
      </w:r>
      <w:r>
        <w:t xml:space="preserve"> </w:t>
      </w:r>
      <w:r w:rsidRPr="00FD7144">
        <w:t>protocol deviators</w:t>
      </w:r>
      <w:r>
        <w:t xml:space="preserve">. </w:t>
      </w:r>
      <w:r w:rsidRPr="00FD7144">
        <w:t>The significant misconduct of these multiply-enrolled subjects</w:t>
      </w:r>
      <w:r>
        <w:t xml:space="preserve"> c</w:t>
      </w:r>
      <w:r w:rsidRPr="00FD7144">
        <w:t>ompromises the integrity of</w:t>
      </w:r>
      <w:r>
        <w:t xml:space="preserve"> </w:t>
      </w:r>
      <w:r w:rsidRPr="00FD7144">
        <w:t>their study data because it is not possible to ascertain the treatment they administered, if any,</w:t>
      </w:r>
      <w:r>
        <w:t xml:space="preserve"> </w:t>
      </w:r>
      <w:r w:rsidRPr="00FD7144">
        <w:t>during the study. Therefore, results from these subjects are excluded from all analyses, as</w:t>
      </w:r>
      <w:r>
        <w:t xml:space="preserve"> </w:t>
      </w:r>
      <w:r w:rsidRPr="00FD7144">
        <w:t>well as from disposition and demographic tabulations. Thirty-five (2.6%) subjects are listed as protocol deviators due to fraudulent behaviour in the</w:t>
      </w:r>
      <w:r>
        <w:t xml:space="preserve"> </w:t>
      </w:r>
      <w:r w:rsidRPr="00FD7144">
        <w:t xml:space="preserve">conduct of </w:t>
      </w:r>
      <w:r w:rsidRPr="00FD7144">
        <w:lastRenderedPageBreak/>
        <w:t>the study, which consisted mostly of subjects unsuccessfully attempting to</w:t>
      </w:r>
      <w:r>
        <w:t xml:space="preserve"> </w:t>
      </w:r>
      <w:r w:rsidRPr="00FD7144">
        <w:t>random</w:t>
      </w:r>
      <w:r>
        <w:t>ise</w:t>
      </w:r>
      <w:r w:rsidRPr="00FD7144">
        <w:t xml:space="preserve"> more than once in this study or other site in the ertugliflozin </w:t>
      </w:r>
      <w:r>
        <w:t>Phase III</w:t>
      </w:r>
      <w:r w:rsidRPr="00FD7144">
        <w:t xml:space="preserve"> program</w:t>
      </w:r>
      <w:r>
        <w:t xml:space="preserve"> </w:t>
      </w:r>
      <w:r w:rsidRPr="00FD7144">
        <w:t>(described above), exceeding the maximum glimepiride dose for the study or country, and</w:t>
      </w:r>
      <w:r>
        <w:t xml:space="preserve"> </w:t>
      </w:r>
      <w:r w:rsidRPr="00FD7144">
        <w:t>missing source documentation for the results of a study procedure</w:t>
      </w:r>
      <w:r>
        <w:t>; incidence was similar across the 3 treatment groups (22%, 2.7% and 3%, respectively).</w:t>
      </w:r>
    </w:p>
    <w:p w:rsidR="002E5CF1" w:rsidRPr="00282F2B" w:rsidRDefault="002E5CF1" w:rsidP="00282F2B">
      <w:pPr>
        <w:rPr>
          <w:iCs/>
        </w:rPr>
      </w:pPr>
      <w:r w:rsidRPr="00FD7144">
        <w:t>Overall, 414 (31.2%) of 1325 subjects who received treatment with study</w:t>
      </w:r>
      <w:r>
        <w:t xml:space="preserve"> </w:t>
      </w:r>
      <w:r w:rsidRPr="00FD7144">
        <w:t>medication were reported to have 1 or more major protocol deviations. The incidences of</w:t>
      </w:r>
      <w:r>
        <w:t xml:space="preserve"> </w:t>
      </w:r>
      <w:r w:rsidRPr="00FD7144">
        <w:t>major protocol deviations by deviation category were generally similar be</w:t>
      </w:r>
      <w:r>
        <w:t>t</w:t>
      </w:r>
      <w:r w:rsidRPr="00FD7144">
        <w:t>ween the</w:t>
      </w:r>
      <w:r>
        <w:t xml:space="preserve"> </w:t>
      </w:r>
      <w:r w:rsidRPr="00FD7144">
        <w:t>3 treatment groups</w:t>
      </w:r>
      <w:r w:rsidRPr="00FD7144">
        <w:rPr>
          <w:i/>
          <w:iCs/>
        </w:rPr>
        <w:t>.</w:t>
      </w:r>
    </w:p>
    <w:p w:rsidR="002E5CF1" w:rsidRDefault="002E5CF1" w:rsidP="00282F2B">
      <w:r w:rsidRPr="00FD7144">
        <w:t>The 3 most common major deviations categories overall were ‘failure to conduct</w:t>
      </w:r>
      <w:r>
        <w:t xml:space="preserve"> </w:t>
      </w:r>
      <w:r w:rsidRPr="00FD7144">
        <w:t>major/</w:t>
      </w:r>
      <w:r>
        <w:t xml:space="preserve"> </w:t>
      </w:r>
      <w:r w:rsidRPr="00FD7144">
        <w:t>significant evaluations’, ‘subjects who did not give appropriate informed consent’, and</w:t>
      </w:r>
      <w:r>
        <w:t xml:space="preserve"> </w:t>
      </w:r>
      <w:r w:rsidRPr="00FD7144">
        <w:t>‘eligibility criteria not met’</w:t>
      </w:r>
      <w:r>
        <w:t xml:space="preserve"> and these deviations we</w:t>
      </w:r>
      <w:r w:rsidRPr="00FD7144">
        <w:t xml:space="preserve">re not expected to affect safety </w:t>
      </w:r>
      <w:r>
        <w:t>o</w:t>
      </w:r>
      <w:r w:rsidRPr="00FD7144">
        <w:t>r efficacy conclusions</w:t>
      </w:r>
      <w:r>
        <w:t xml:space="preserve">. </w:t>
      </w:r>
      <w:r w:rsidRPr="00FD7144">
        <w:t>Other protocol deviations, including those with a potential to meaningfully impact efficacy</w:t>
      </w:r>
      <w:r>
        <w:t xml:space="preserve"> </w:t>
      </w:r>
      <w:r w:rsidRPr="00FD7144">
        <w:t>analyses (</w:t>
      </w:r>
      <w:r w:rsidR="0030125A">
        <w:t>for example</w:t>
      </w:r>
      <w:r w:rsidR="00155D4D">
        <w:t>,</w:t>
      </w:r>
      <w:r w:rsidRPr="00FD7144">
        <w:t xml:space="preserve"> &lt;</w:t>
      </w:r>
      <w:r w:rsidR="00282F2B">
        <w:t xml:space="preserve"> </w:t>
      </w:r>
      <w:r w:rsidRPr="00FD7144">
        <w:t>75% compliance with study medication, taking glycaemic rescue medication</w:t>
      </w:r>
      <w:r>
        <w:t xml:space="preserve"> </w:t>
      </w:r>
      <w:r w:rsidRPr="00FD7144">
        <w:t>without meeting rescue criteria, taking incorrect study medication, and change of background</w:t>
      </w:r>
      <w:r>
        <w:t xml:space="preserve"> </w:t>
      </w:r>
      <w:r w:rsidRPr="00FD7144">
        <w:t>AHA medication) occurred at low incidences across the treatment groups</w:t>
      </w:r>
      <w:r w:rsidR="00E0280B">
        <w:t>.</w:t>
      </w:r>
    </w:p>
    <w:p w:rsidR="002E5CF1" w:rsidRPr="00FD7144" w:rsidRDefault="002E5CF1" w:rsidP="00282F2B">
      <w:r w:rsidRPr="00FD7144">
        <w:t xml:space="preserve">One </w:t>
      </w:r>
      <w:r>
        <w:t>randomised</w:t>
      </w:r>
      <w:r w:rsidRPr="00FD7144">
        <w:t xml:space="preserve"> subject (ertugliflozin 15 mg group) who never</w:t>
      </w:r>
      <w:r>
        <w:t xml:space="preserve"> </w:t>
      </w:r>
      <w:r w:rsidRPr="00FD7144">
        <w:t xml:space="preserve">took a dose of study medication and who did not have </w:t>
      </w:r>
      <w:r>
        <w:t>HbA1c</w:t>
      </w:r>
      <w:r w:rsidRPr="00FD7144">
        <w:t xml:space="preserve"> data at baseline or post-baseline</w:t>
      </w:r>
      <w:r>
        <w:t xml:space="preserve"> </w:t>
      </w:r>
      <w:r w:rsidRPr="00FD7144">
        <w:t xml:space="preserve">was excluded from the FAS population for </w:t>
      </w:r>
      <w:r>
        <w:t>HbA1c</w:t>
      </w:r>
      <w:r w:rsidRPr="00FD7144">
        <w:t xml:space="preserve"> analysis; no other subjects were excluded</w:t>
      </w:r>
      <w:r>
        <w:t xml:space="preserve"> </w:t>
      </w:r>
      <w:r w:rsidRPr="00FD7144">
        <w:t>from this population</w:t>
      </w:r>
      <w:r w:rsidRPr="00FD7144">
        <w:rPr>
          <w:i/>
          <w:iCs/>
        </w:rPr>
        <w:t>.</w:t>
      </w:r>
      <w:r w:rsidRPr="00FD7144">
        <w:t xml:space="preserve"> The proportions of</w:t>
      </w:r>
      <w:r>
        <w:t xml:space="preserve"> </w:t>
      </w:r>
      <w:r w:rsidRPr="00FD7144">
        <w:t>subjects excluded from the cLDA mFAS population were similar across the treatment groups</w:t>
      </w:r>
      <w:r>
        <w:t xml:space="preserve"> </w:t>
      </w:r>
      <w:r w:rsidRPr="00FD7144">
        <w:t>with the most common reason being ‘study medication compliance &lt;</w:t>
      </w:r>
      <w:r w:rsidR="00282F2B">
        <w:t xml:space="preserve"> </w:t>
      </w:r>
      <w:r w:rsidRPr="00FD7144">
        <w:t>75%’. The proportion</w:t>
      </w:r>
      <w:r>
        <w:t xml:space="preserve"> </w:t>
      </w:r>
      <w:r w:rsidRPr="00FD7144">
        <w:t>of subjects excluded from the PP population was higher in the ertugliflozin 5 mg group</w:t>
      </w:r>
      <w:r>
        <w:t xml:space="preserve"> </w:t>
      </w:r>
      <w:r w:rsidRPr="00FD7144">
        <w:t>relative to the ertugliflozi</w:t>
      </w:r>
      <w:r>
        <w:t xml:space="preserve">n 15 mg and glimepiride groups due to </w:t>
      </w:r>
      <w:r w:rsidRPr="00FD7144">
        <w:t xml:space="preserve">numerically larger </w:t>
      </w:r>
      <w:r>
        <w:t>n</w:t>
      </w:r>
      <w:r w:rsidRPr="00FD7144">
        <w:t>umber of subjects in the ertugliflozin 5 mg group who discontinued</w:t>
      </w:r>
      <w:r>
        <w:t xml:space="preserve"> </w:t>
      </w:r>
      <w:r w:rsidRPr="00FD7144">
        <w:t xml:space="preserve">study medication prematurely, and therefore did not have an </w:t>
      </w:r>
      <w:r>
        <w:t>HbA1c</w:t>
      </w:r>
      <w:r w:rsidRPr="00FD7144">
        <w:t xml:space="preserve"> evaluation within the day</w:t>
      </w:r>
      <w:r>
        <w:t xml:space="preserve"> </w:t>
      </w:r>
      <w:r w:rsidRPr="00FD7144">
        <w:t>range attributable to Week 52 (a requirement for inclusion in the PP population)</w:t>
      </w:r>
      <w:r w:rsidR="00E0280B">
        <w:t>.</w:t>
      </w:r>
    </w:p>
    <w:p w:rsidR="002E5CF1" w:rsidRPr="004C6A4C" w:rsidRDefault="002E5CF1" w:rsidP="00B0286E">
      <w:pPr>
        <w:pStyle w:val="Heading5"/>
      </w:pPr>
      <w:r w:rsidRPr="004C6A4C">
        <w:t>Baseline data</w:t>
      </w:r>
    </w:p>
    <w:p w:rsidR="002E5CF1" w:rsidRPr="00282F2B" w:rsidRDefault="002E5CF1" w:rsidP="002E5CF1">
      <w:pPr>
        <w:autoSpaceDE w:val="0"/>
        <w:autoSpaceDN w:val="0"/>
        <w:adjustRightInd w:val="0"/>
        <w:spacing w:before="0" w:line="240" w:lineRule="auto"/>
      </w:pPr>
      <w:r w:rsidRPr="00282F2B">
        <w:t>Baseline demographic and anthropometric characteristics were generally similar between treatment groups except for fewer male subjects in the ertugliflozin 15 mg group (43.4%) relative to the 2 other groups, where approximately 51% of the subjects were male</w:t>
      </w:r>
      <w:r w:rsidR="00E0280B" w:rsidRPr="00282F2B">
        <w:t>.</w:t>
      </w:r>
      <w:r w:rsidRPr="00282F2B">
        <w:t xml:space="preserve"> The</w:t>
      </w:r>
      <w:r w:rsidRPr="007E110E">
        <w:rPr>
          <w:rFonts w:asciiTheme="minorHAnsi" w:eastAsiaTheme="minorHAnsi" w:hAnsiTheme="minorHAnsi"/>
        </w:rPr>
        <w:t xml:space="preserve"> </w:t>
      </w:r>
      <w:r w:rsidRPr="00282F2B">
        <w:t>duration of T2DM was generally similar across treatment groups (approximately 7 years). Subjects eligible to participate in this study were to be on background treatment with metformin alone or in combination with another allowable AHA</w:t>
      </w:r>
      <w:r w:rsidR="00282F2B">
        <w:t>.</w:t>
      </w:r>
      <w:r w:rsidRPr="00282F2B">
        <w:rPr>
          <w:vertAlign w:val="superscript"/>
        </w:rPr>
        <w:footnoteReference w:id="19"/>
      </w:r>
      <w:r w:rsidRPr="00282F2B">
        <w:t xml:space="preserve"> The mean dose of metformin was approximately 2000 mg/day in all treatment groups (Table </w:t>
      </w:r>
      <w:r w:rsidR="00E0280B" w:rsidRPr="00282F2B">
        <w:t>53</w:t>
      </w:r>
      <w:r w:rsidRPr="00282F2B">
        <w:t xml:space="preserve">). Baseline HbA1c, FPG, and eGFR values were similar between groups. The mean HbA1c overall was 7.79%; 58.8% of subjects had baseline HbA1c </w:t>
      </w:r>
      <w:r w:rsidR="002E1032" w:rsidRPr="00282F2B">
        <w:t xml:space="preserve">≥ </w:t>
      </w:r>
      <w:r w:rsidRPr="00282F2B">
        <w:t>7.0% and &lt;</w:t>
      </w:r>
      <w:r w:rsidR="00282F2B">
        <w:t xml:space="preserve"> </w:t>
      </w:r>
      <w:r w:rsidRPr="00282F2B">
        <w:t xml:space="preserve">8.0% (Table </w:t>
      </w:r>
      <w:r w:rsidR="00E0280B" w:rsidRPr="00282F2B">
        <w:t>54</w:t>
      </w:r>
      <w:r w:rsidRPr="00282F2B">
        <w:t xml:space="preserve">). Subjects were required to have a history of T2DM for entry into the study. The other most common categories of medical history conditions by SOC were </w:t>
      </w:r>
      <w:r w:rsidR="00282F2B">
        <w:t>v</w:t>
      </w:r>
      <w:r w:rsidRPr="00282F2B">
        <w:t xml:space="preserve">ascular disorders (74.9%), </w:t>
      </w:r>
      <w:r w:rsidR="00282F2B">
        <w:t>m</w:t>
      </w:r>
      <w:r w:rsidRPr="00282F2B">
        <w:t>etabolism and nutrition disorders (72.8%), hypertension (70.7%), dyslipidaemia (36.2%), obesity (25.0%) and Social Circumstances</w:t>
      </w:r>
      <w:r w:rsidRPr="00282F2B">
        <w:rPr>
          <w:vertAlign w:val="superscript"/>
        </w:rPr>
        <w:footnoteReference w:id="20"/>
      </w:r>
      <w:r w:rsidRPr="00282F2B">
        <w:t xml:space="preserve"> (58.8%) with no clinically important differences among treatment groups</w:t>
      </w:r>
      <w:r w:rsidR="00E0280B" w:rsidRPr="00282F2B">
        <w:t>.</w:t>
      </w:r>
    </w:p>
    <w:p w:rsidR="00E0280B" w:rsidRDefault="00E0280B" w:rsidP="00E0280B">
      <w:pPr>
        <w:pStyle w:val="Tabletitle"/>
      </w:pPr>
      <w:bookmarkStart w:id="447" w:name="_Ref492028120"/>
      <w:bookmarkStart w:id="448" w:name="_Toc504038456"/>
      <w:r w:rsidRPr="00C738A2">
        <w:lastRenderedPageBreak/>
        <w:t xml:space="preserve">Table </w:t>
      </w:r>
      <w:r>
        <w:t>53</w:t>
      </w:r>
      <w:r w:rsidRPr="00C738A2">
        <w:t xml:space="preserve">: </w:t>
      </w:r>
      <w:r>
        <w:t>S</w:t>
      </w:r>
      <w:r w:rsidRPr="00C738A2">
        <w:t xml:space="preserve">ubject characteristics </w:t>
      </w:r>
      <w:r w:rsidR="00E87FD9">
        <w:t>d</w:t>
      </w:r>
      <w:r w:rsidRPr="00C738A2">
        <w:t xml:space="preserve">uration of </w:t>
      </w:r>
      <w:r w:rsidR="00E87FD9">
        <w:t>t</w:t>
      </w:r>
      <w:r w:rsidR="00E87FD9" w:rsidRPr="00C738A2">
        <w:t xml:space="preserve">ype </w:t>
      </w:r>
      <w:r w:rsidRPr="00C738A2">
        <w:t>II diabetes mellitus and background AHA therapy. All subjects treated</w:t>
      </w:r>
      <w:bookmarkEnd w:id="447"/>
      <w:bookmarkEnd w:id="448"/>
    </w:p>
    <w:p w:rsidR="00E0280B" w:rsidRPr="00E0280B" w:rsidRDefault="00E0280B" w:rsidP="00E0280B">
      <w:r>
        <w:rPr>
          <w:noProof/>
          <w:lang w:eastAsia="en-AU"/>
        </w:rPr>
        <w:drawing>
          <wp:inline distT="0" distB="0" distL="0" distR="0" wp14:anchorId="7F9C7603" wp14:editId="30684874">
            <wp:extent cx="5731510" cy="3107630"/>
            <wp:effectExtent l="0" t="0" r="2540" b="0"/>
            <wp:docPr id="29" name="Picture 29" descr="Subject characteristics Duration of Type II diabetes mellitus and background AHA therapy.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BEBA8EAE-BF5A-486C-A8C5-ECC9F3942E4B}">
                          <a14:imgProps xmlns:a14="http://schemas.microsoft.com/office/drawing/2010/main">
                            <a14:imgLayer r:embed="rId90">
                              <a14:imgEffect>
                                <a14:sharpenSoften amount="50000"/>
                              </a14:imgEffect>
                              <a14:imgEffect>
                                <a14:brightnessContrast contrast="-40000"/>
                              </a14:imgEffect>
                            </a14:imgLayer>
                          </a14:imgProps>
                        </a:ext>
                      </a:extLst>
                    </a:blip>
                    <a:stretch>
                      <a:fillRect/>
                    </a:stretch>
                  </pic:blipFill>
                  <pic:spPr>
                    <a:xfrm>
                      <a:off x="0" y="0"/>
                      <a:ext cx="5731510" cy="3107630"/>
                    </a:xfrm>
                    <a:prstGeom prst="rect">
                      <a:avLst/>
                    </a:prstGeom>
                  </pic:spPr>
                </pic:pic>
              </a:graphicData>
            </a:graphic>
          </wp:inline>
        </w:drawing>
      </w:r>
    </w:p>
    <w:p w:rsidR="00E0280B" w:rsidRDefault="00E0280B" w:rsidP="00E0280B">
      <w:pPr>
        <w:pStyle w:val="Tabletitle"/>
      </w:pPr>
      <w:bookmarkStart w:id="449" w:name="_Ref492028123"/>
      <w:bookmarkStart w:id="450" w:name="_Toc504038457"/>
      <w:r w:rsidRPr="00C738A2">
        <w:t xml:space="preserve">Table </w:t>
      </w:r>
      <w:r>
        <w:t>54</w:t>
      </w:r>
      <w:r w:rsidRPr="00C738A2">
        <w:t>:</w:t>
      </w:r>
      <w:r>
        <w:t xml:space="preserve"> Subject characteristics</w:t>
      </w:r>
      <w:r w:rsidRPr="00C738A2">
        <w:t xml:space="preserve"> Baseline </w:t>
      </w:r>
      <w:r w:rsidR="00E87FD9" w:rsidRPr="00C738A2">
        <w:t>A1</w:t>
      </w:r>
      <w:r w:rsidR="00E87FD9">
        <w:t>c</w:t>
      </w:r>
      <w:r w:rsidRPr="00C738A2">
        <w:t xml:space="preserve">, FPG, </w:t>
      </w:r>
      <w:proofErr w:type="spellStart"/>
      <w:r w:rsidRPr="00C738A2">
        <w:t>eGFR</w:t>
      </w:r>
      <w:proofErr w:type="spellEnd"/>
      <w:r w:rsidRPr="00C738A2">
        <w:t xml:space="preserve"> (US units) </w:t>
      </w:r>
      <w:proofErr w:type="gramStart"/>
      <w:r w:rsidRPr="00C738A2">
        <w:t>All</w:t>
      </w:r>
      <w:proofErr w:type="gramEnd"/>
      <w:r w:rsidRPr="00C738A2">
        <w:t xml:space="preserve"> subjects treated</w:t>
      </w:r>
      <w:bookmarkEnd w:id="449"/>
      <w:bookmarkEnd w:id="450"/>
    </w:p>
    <w:p w:rsidR="00E0280B" w:rsidRPr="00E0280B" w:rsidRDefault="00E0280B" w:rsidP="00E0280B">
      <w:r>
        <w:rPr>
          <w:noProof/>
          <w:lang w:eastAsia="en-AU"/>
        </w:rPr>
        <w:drawing>
          <wp:inline distT="0" distB="0" distL="0" distR="0" wp14:anchorId="2BB04B41" wp14:editId="2543D089">
            <wp:extent cx="5632397" cy="3639636"/>
            <wp:effectExtent l="0" t="0" r="6985" b="0"/>
            <wp:docPr id="28" name="Picture 28" descr="Subject characteristics Baseline A1C, FPG, eGFR (US unit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Lst>
                    </a:blip>
                    <a:srcRect l="1743"/>
                    <a:stretch/>
                  </pic:blipFill>
                  <pic:spPr bwMode="auto">
                    <a:xfrm>
                      <a:off x="0" y="0"/>
                      <a:ext cx="5631632" cy="3639141"/>
                    </a:xfrm>
                    <a:prstGeom prst="rect">
                      <a:avLst/>
                    </a:prstGeom>
                    <a:ln>
                      <a:noFill/>
                    </a:ln>
                    <a:extLst>
                      <a:ext uri="{53640926-AAD7-44D8-BBD7-CCE9431645EC}">
                        <a14:shadowObscured xmlns:a14="http://schemas.microsoft.com/office/drawing/2010/main"/>
                      </a:ext>
                    </a:extLst>
                  </pic:spPr>
                </pic:pic>
              </a:graphicData>
            </a:graphic>
          </wp:inline>
        </w:drawing>
      </w:r>
    </w:p>
    <w:p w:rsidR="002E5CF1" w:rsidRDefault="002E5CF1" w:rsidP="00282F2B">
      <w:r w:rsidRPr="007E110E">
        <w:t>Subjects screened for this</w:t>
      </w:r>
      <w:r>
        <w:t xml:space="preserve"> </w:t>
      </w:r>
      <w:r w:rsidRPr="007E110E">
        <w:t>study were to be receiving metformin as monotherapy; therefore, 100% of subjects were</w:t>
      </w:r>
      <w:r>
        <w:t xml:space="preserve"> </w:t>
      </w:r>
      <w:r w:rsidRPr="007E110E">
        <w:t>taking drugs used for diabetes. The other most common prior medication categories were</w:t>
      </w:r>
      <w:r>
        <w:t xml:space="preserve"> </w:t>
      </w:r>
      <w:r w:rsidRPr="007E110E">
        <w:t>agents acting on the renin-angiotensin system (60.8%) and lipid-modifying agents (52.5%)</w:t>
      </w:r>
      <w:r>
        <w:t xml:space="preserve"> with </w:t>
      </w:r>
      <w:r w:rsidRPr="007E110E">
        <w:t>no clinically important differences among treatment groups</w:t>
      </w:r>
      <w:r w:rsidR="00B0286E">
        <w:t>.</w:t>
      </w:r>
      <w:r w:rsidRPr="007E110E">
        <w:t xml:space="preserve"> Following </w:t>
      </w:r>
      <w:r>
        <w:t>randomisation</w:t>
      </w:r>
      <w:r w:rsidRPr="007E110E">
        <w:t>, subjects were to remain on a stable dose of metformin during the</w:t>
      </w:r>
      <w:r>
        <w:t xml:space="preserve"> </w:t>
      </w:r>
      <w:r w:rsidRPr="007E110E">
        <w:t>study; therefore, 100% of subjects were taking drugs used for diabetes. The other most</w:t>
      </w:r>
      <w:r>
        <w:t xml:space="preserve"> </w:t>
      </w:r>
      <w:r w:rsidRPr="007E110E">
        <w:t xml:space="preserve">common concomitant drug therapeutic categories were agents acting on the renin-angiotensin system </w:t>
      </w:r>
      <w:r w:rsidRPr="007E110E">
        <w:lastRenderedPageBreak/>
        <w:t>(61.9%),</w:t>
      </w:r>
      <w:r>
        <w:t xml:space="preserve"> lipid-modifying agents (54.9%)</w:t>
      </w:r>
      <w:r w:rsidRPr="007E110E">
        <w:t xml:space="preserve"> and</w:t>
      </w:r>
      <w:r>
        <w:t xml:space="preserve"> analgesics (37.6%) with </w:t>
      </w:r>
      <w:r w:rsidRPr="007E110E">
        <w:t>no clinically important differences among treatment groups</w:t>
      </w:r>
      <w:r w:rsidR="00B0286E">
        <w:t>.</w:t>
      </w:r>
      <w:r w:rsidRPr="007E110E">
        <w:t xml:space="preserve"> Mean</w:t>
      </w:r>
      <w:r>
        <w:t xml:space="preserve"> </w:t>
      </w:r>
      <w:r w:rsidRPr="007E110E">
        <w:t>compliance with study medication was &gt;96% in all treatment groups</w:t>
      </w:r>
      <w:r w:rsidR="00B0286E">
        <w:t>.</w:t>
      </w:r>
    </w:p>
    <w:p w:rsidR="002E5CF1" w:rsidRPr="004C6A4C" w:rsidRDefault="002E5CF1" w:rsidP="00B0286E">
      <w:pPr>
        <w:pStyle w:val="Heading5"/>
      </w:pPr>
      <w:r w:rsidRPr="004C6A4C">
        <w:t>Primary efficacy results</w:t>
      </w:r>
    </w:p>
    <w:p w:rsidR="002E5CF1" w:rsidRPr="00B0286E" w:rsidRDefault="002E5CF1" w:rsidP="00282F2B">
      <w:r w:rsidRPr="00CD2C6A">
        <w:t>At Week 52, there were</w:t>
      </w:r>
      <w:r>
        <w:t xml:space="preserve"> </w:t>
      </w:r>
      <w:r w:rsidRPr="00CD2C6A">
        <w:t xml:space="preserve">clinically meaningful LS mean reductions from baseline in AIC </w:t>
      </w:r>
      <w:r>
        <w:t xml:space="preserve">in </w:t>
      </w:r>
      <w:r w:rsidRPr="00CD2C6A">
        <w:t>the ertugliflozin 5 mg group (-0.56%), 15 mg</w:t>
      </w:r>
      <w:r>
        <w:t xml:space="preserve"> group (-0.64%)</w:t>
      </w:r>
      <w:r w:rsidRPr="00CD2C6A">
        <w:t xml:space="preserve"> and the glimepiride group (-0.74%)</w:t>
      </w:r>
      <w:r>
        <w:t xml:space="preserve">; </w:t>
      </w:r>
      <w:r w:rsidRPr="00CD2C6A">
        <w:t xml:space="preserve">the mean and median dose </w:t>
      </w:r>
      <w:r>
        <w:t xml:space="preserve">of glimepiride </w:t>
      </w:r>
      <w:r w:rsidRPr="00CD2C6A">
        <w:t>was 3 mg daily. The LS mean</w:t>
      </w:r>
      <w:r>
        <w:t xml:space="preserve"> </w:t>
      </w:r>
      <w:r w:rsidRPr="00CD2C6A">
        <w:t>difference (95% CI) between ertugliflozin 15 mg and glimepiride (ertugliflozin minus</w:t>
      </w:r>
      <w:r>
        <w:t xml:space="preserve"> </w:t>
      </w:r>
      <w:r w:rsidRPr="00CD2C6A">
        <w:t>glimepiride) at Week 52 was 0.10% (-0.02, 0.22). Since the upper bound of the CI around</w:t>
      </w:r>
      <w:r>
        <w:t xml:space="preserve"> </w:t>
      </w:r>
      <w:r w:rsidRPr="00CD2C6A">
        <w:t xml:space="preserve">the treatment difference was less than the non-inferiority margin of 0.3%, </w:t>
      </w:r>
      <w:r w:rsidRPr="00B0286E">
        <w:t xml:space="preserve">ertugliflozin 15 mg met the pre-specified criterion for non-inferiority to glimepiride in reducing HbA1c (Table </w:t>
      </w:r>
      <w:r w:rsidR="00B0286E" w:rsidRPr="00B0286E">
        <w:t>55</w:t>
      </w:r>
      <w:r w:rsidRPr="00B0286E">
        <w:t xml:space="preserve">). The LS mean difference (95% CI) between ertugliflozin 5 mg and glimepiride (ertugliflozin minus glimepiride) at Week 52 was 0.18% (0.06, 0.30) and did not meet the pre-specified criterion for non-inferiority to glimepiride in reducing HbA1c (Table </w:t>
      </w:r>
      <w:r w:rsidR="00B0286E" w:rsidRPr="00B0286E">
        <w:t>55</w:t>
      </w:r>
      <w:r w:rsidRPr="00B0286E">
        <w:t xml:space="preserve">). Since the hypothesis of non-inferiority for the ertugliflozin 5 mg group relative to the glimepiride group was not met (excluding rescue approach), subsequent hypotheses in the testing sequence were not formally tested. The non-inferiority criterion compared to glimepiride was met for both ertugliflozin 15 mg and ertugliflozin 5 mg using the ‘including rescue approach’ (Table </w:t>
      </w:r>
      <w:r w:rsidR="00B0286E" w:rsidRPr="00B0286E">
        <w:t>56</w:t>
      </w:r>
      <w:r w:rsidRPr="00B0286E">
        <w:t>). In the ertugliflozin groups, large reductions in HbA1c at Week 6 were followed by smaller subsequent reductions</w:t>
      </w:r>
      <w:r w:rsidRPr="00CD2C6A">
        <w:t xml:space="preserve"> through Week 12, after which </w:t>
      </w:r>
      <w:r>
        <w:t>HbA1c</w:t>
      </w:r>
      <w:r w:rsidRPr="00CD2C6A">
        <w:t xml:space="preserve"> remained relatively stable in both groups</w:t>
      </w:r>
      <w:r>
        <w:t xml:space="preserve"> </w:t>
      </w:r>
      <w:r w:rsidRPr="00CD2C6A">
        <w:t xml:space="preserve">through Week 52. The point estimates of the reductions in </w:t>
      </w:r>
      <w:r>
        <w:t>HbA1c</w:t>
      </w:r>
      <w:r w:rsidRPr="00CD2C6A">
        <w:t xml:space="preserve"> were numerically greater in</w:t>
      </w:r>
      <w:r>
        <w:t xml:space="preserve"> </w:t>
      </w:r>
      <w:r w:rsidRPr="00CD2C6A">
        <w:t>the ertugliflozin 15 mg group relative to the ertugliflozin 5 mg group at all time points after</w:t>
      </w:r>
      <w:r>
        <w:t xml:space="preserve"> </w:t>
      </w:r>
      <w:r w:rsidRPr="00CD2C6A">
        <w:t xml:space="preserve">Week 12. In the glimepiride group, large reductions in </w:t>
      </w:r>
      <w:r>
        <w:t>HbA1c</w:t>
      </w:r>
      <w:r w:rsidRPr="00CD2C6A">
        <w:t xml:space="preserve"> at Week 6, comparable to those</w:t>
      </w:r>
      <w:r>
        <w:t xml:space="preserve"> </w:t>
      </w:r>
      <w:r w:rsidRPr="00CD2C6A">
        <w:t xml:space="preserve">observed in the ertugliflozin groups, were followed </w:t>
      </w:r>
      <w:r w:rsidRPr="00B0286E">
        <w:t xml:space="preserve">by the apparent nadir reached at Weeks 18 and 26, followed by a progressive rise in HbA1c although the HbA1c levels at week 52 were still lower than those in both ertugliflozin groups (Figure </w:t>
      </w:r>
      <w:r w:rsidR="00B0286E" w:rsidRPr="00B0286E">
        <w:t>14</w:t>
      </w:r>
      <w:r w:rsidRPr="00B0286E">
        <w:t>).</w:t>
      </w:r>
    </w:p>
    <w:p w:rsidR="00B0286E" w:rsidRPr="00C738A2" w:rsidRDefault="00B0286E" w:rsidP="00B0286E">
      <w:pPr>
        <w:pStyle w:val="Tabletitle"/>
      </w:pPr>
      <w:bookmarkStart w:id="451" w:name="_Ref492028135"/>
      <w:bookmarkStart w:id="452" w:name="_Ref492028138"/>
      <w:bookmarkStart w:id="453" w:name="_Toc504038462"/>
      <w:r w:rsidRPr="00C738A2">
        <w:t xml:space="preserve">Table </w:t>
      </w:r>
      <w:r>
        <w:t>55</w:t>
      </w:r>
      <w:r w:rsidRPr="00C738A2">
        <w:t>:</w:t>
      </w:r>
      <w:r>
        <w:t xml:space="preserve"> </w:t>
      </w:r>
      <w:r w:rsidR="00E87FD9">
        <w:t>HbA</w:t>
      </w:r>
      <w:r w:rsidR="00E87FD9" w:rsidRPr="00C738A2">
        <w:t>1</w:t>
      </w:r>
      <w:r w:rsidR="00E87FD9">
        <w:t>c</w:t>
      </w:r>
      <w:r w:rsidR="00E87FD9" w:rsidRPr="00C738A2">
        <w:t xml:space="preserve"> (%)</w:t>
      </w:r>
      <w:r w:rsidR="00E87FD9">
        <w:t>;</w:t>
      </w:r>
      <w:r w:rsidR="00E87FD9" w:rsidRPr="00C738A2">
        <w:t xml:space="preserve"> </w:t>
      </w:r>
      <w:r w:rsidRPr="00C738A2">
        <w:t xml:space="preserve">Change from </w:t>
      </w:r>
      <w:r w:rsidR="00E87FD9">
        <w:t xml:space="preserve">Baseline </w:t>
      </w:r>
      <w:r>
        <w:t>at W</w:t>
      </w:r>
      <w:r w:rsidRPr="00C738A2">
        <w:t>eek 52 cLDA FAS: Excluding rescue approach</w:t>
      </w:r>
      <w:bookmarkEnd w:id="451"/>
      <w:bookmarkEnd w:id="452"/>
      <w:bookmarkEnd w:id="453"/>
    </w:p>
    <w:p w:rsidR="00B0286E" w:rsidRPr="00C738A2" w:rsidRDefault="00B0286E" w:rsidP="002F6FA8">
      <w:r w:rsidRPr="00C738A2">
        <w:rPr>
          <w:noProof/>
          <w:lang w:eastAsia="en-AU"/>
        </w:rPr>
        <w:drawing>
          <wp:inline distT="0" distB="0" distL="0" distR="0" wp14:anchorId="35A3DC08" wp14:editId="6A3CE496">
            <wp:extent cx="5757263" cy="1590595"/>
            <wp:effectExtent l="0" t="0" r="0" b="0"/>
            <wp:docPr id="274" name="Picture 274" descr="HbA1C (%): Change from baseline at week 52.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3">
                      <a:lum bright="-20000" contrast="40000"/>
                      <a:extLst>
                        <a:ext uri="{28A0092B-C50C-407E-A947-70E740481C1C}">
                          <a14:useLocalDpi xmlns:a14="http://schemas.microsoft.com/office/drawing/2010/main" val="0"/>
                        </a:ext>
                      </a:extLst>
                    </a:blip>
                    <a:srcRect/>
                    <a:stretch>
                      <a:fillRect/>
                    </a:stretch>
                  </pic:blipFill>
                  <pic:spPr bwMode="auto">
                    <a:xfrm>
                      <a:off x="0" y="0"/>
                      <a:ext cx="5787330" cy="1598902"/>
                    </a:xfrm>
                    <a:prstGeom prst="rect">
                      <a:avLst/>
                    </a:prstGeom>
                    <a:noFill/>
                    <a:ln>
                      <a:noFill/>
                    </a:ln>
                  </pic:spPr>
                </pic:pic>
              </a:graphicData>
            </a:graphic>
          </wp:inline>
        </w:drawing>
      </w:r>
    </w:p>
    <w:p w:rsidR="00B0286E" w:rsidRPr="00C738A2" w:rsidRDefault="00B0286E" w:rsidP="00B0286E">
      <w:pPr>
        <w:pStyle w:val="Tabletitle"/>
      </w:pPr>
      <w:bookmarkStart w:id="454" w:name="_Ref492028140"/>
      <w:bookmarkStart w:id="455" w:name="_Toc504038463"/>
      <w:r w:rsidRPr="00C738A2">
        <w:t xml:space="preserve">Table </w:t>
      </w:r>
      <w:r>
        <w:t>56</w:t>
      </w:r>
      <w:r w:rsidRPr="00C738A2">
        <w:t>:</w:t>
      </w:r>
      <w:r>
        <w:t xml:space="preserve"> </w:t>
      </w:r>
      <w:r w:rsidR="00E87FD9">
        <w:t>Hb</w:t>
      </w:r>
      <w:r w:rsidR="00E87FD9" w:rsidRPr="00C738A2">
        <w:t>A1</w:t>
      </w:r>
      <w:r w:rsidR="00E87FD9">
        <w:t xml:space="preserve">c (%); </w:t>
      </w:r>
      <w:r>
        <w:t xml:space="preserve">Change from </w:t>
      </w:r>
      <w:r w:rsidR="00E87FD9">
        <w:t xml:space="preserve">Baseline </w:t>
      </w:r>
      <w:r>
        <w:t>at W</w:t>
      </w:r>
      <w:r w:rsidRPr="00C738A2">
        <w:t>eek 52 cLDA FAS: Including rescue approach</w:t>
      </w:r>
      <w:bookmarkEnd w:id="454"/>
      <w:bookmarkEnd w:id="455"/>
    </w:p>
    <w:p w:rsidR="00B0286E" w:rsidRPr="00C738A2" w:rsidRDefault="00B0286E" w:rsidP="002F6FA8">
      <w:r w:rsidRPr="00C738A2">
        <w:rPr>
          <w:noProof/>
          <w:lang w:eastAsia="en-AU"/>
        </w:rPr>
        <w:drawing>
          <wp:inline distT="0" distB="0" distL="0" distR="0" wp14:anchorId="3D1A4BD9" wp14:editId="34DC9940">
            <wp:extent cx="5543550" cy="1481610"/>
            <wp:effectExtent l="0" t="0" r="0" b="4445"/>
            <wp:docPr id="275" name="Picture 275" descr="HbA1c (%); Change from Baseline at Week 52 cLDA FAS: In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4">
                      <a:lum bright="-20000" contrast="40000"/>
                      <a:extLst>
                        <a:ext uri="{28A0092B-C50C-407E-A947-70E740481C1C}">
                          <a14:useLocalDpi xmlns:a14="http://schemas.microsoft.com/office/drawing/2010/main" val="0"/>
                        </a:ext>
                      </a:extLst>
                    </a:blip>
                    <a:srcRect/>
                    <a:stretch>
                      <a:fillRect/>
                    </a:stretch>
                  </pic:blipFill>
                  <pic:spPr bwMode="auto">
                    <a:xfrm>
                      <a:off x="0" y="0"/>
                      <a:ext cx="5541681" cy="1481111"/>
                    </a:xfrm>
                    <a:prstGeom prst="rect">
                      <a:avLst/>
                    </a:prstGeom>
                    <a:noFill/>
                    <a:ln>
                      <a:noFill/>
                    </a:ln>
                  </pic:spPr>
                </pic:pic>
              </a:graphicData>
            </a:graphic>
          </wp:inline>
        </w:drawing>
      </w:r>
    </w:p>
    <w:p w:rsidR="00B0286E" w:rsidRPr="00C738A2" w:rsidRDefault="00B0286E" w:rsidP="00B55E2C">
      <w:pPr>
        <w:pStyle w:val="FigureTitle"/>
      </w:pPr>
      <w:bookmarkStart w:id="456" w:name="_Ref492028143"/>
      <w:bookmarkStart w:id="457" w:name="_Toc504038464"/>
      <w:r w:rsidRPr="00C738A2">
        <w:lastRenderedPageBreak/>
        <w:t xml:space="preserve">Figure </w:t>
      </w:r>
      <w:r>
        <w:t>14</w:t>
      </w:r>
      <w:r w:rsidRPr="00C738A2">
        <w:t xml:space="preserve">: </w:t>
      </w:r>
      <w:r>
        <w:t>Hb</w:t>
      </w:r>
      <w:r w:rsidRPr="00C738A2">
        <w:t>A1</w:t>
      </w:r>
      <w:r w:rsidR="002F6FA8">
        <w:t>c</w:t>
      </w:r>
      <w:r w:rsidRPr="00C738A2">
        <w:t xml:space="preserve"> (%)</w:t>
      </w:r>
      <w:r w:rsidR="00E87FD9">
        <w:t>;</w:t>
      </w:r>
      <w:r w:rsidRPr="00C738A2">
        <w:t xml:space="preserve"> LS Mean change from </w:t>
      </w:r>
      <w:r w:rsidR="00E87FD9">
        <w:t>B</w:t>
      </w:r>
      <w:r w:rsidR="00E87FD9" w:rsidRPr="00C738A2">
        <w:t xml:space="preserve">aseline </w:t>
      </w:r>
      <w:r w:rsidRPr="00C738A2">
        <w:t>over time. cLDA. FAS: Excluding rescue approach</w:t>
      </w:r>
      <w:bookmarkEnd w:id="456"/>
      <w:bookmarkEnd w:id="457"/>
    </w:p>
    <w:p w:rsidR="00B0286E" w:rsidRPr="00C738A2" w:rsidRDefault="00B0286E" w:rsidP="002F6FA8">
      <w:r w:rsidRPr="00C738A2">
        <w:t xml:space="preserve"> </w:t>
      </w:r>
      <w:r w:rsidRPr="00C738A2">
        <w:rPr>
          <w:noProof/>
          <w:lang w:eastAsia="en-AU"/>
        </w:rPr>
        <w:drawing>
          <wp:inline distT="0" distB="0" distL="0" distR="0" wp14:anchorId="0DF008CA" wp14:editId="4C8DED5F">
            <wp:extent cx="3283414" cy="2578894"/>
            <wp:effectExtent l="0" t="0" r="0" b="0"/>
            <wp:docPr id="276" name="Picture 276" descr="HbA1C (%):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5">
                      <a:lum bright="-20000" contrast="40000"/>
                      <a:extLst>
                        <a:ext uri="{28A0092B-C50C-407E-A947-70E740481C1C}">
                          <a14:useLocalDpi xmlns:a14="http://schemas.microsoft.com/office/drawing/2010/main" val="0"/>
                        </a:ext>
                      </a:extLst>
                    </a:blip>
                    <a:srcRect l="4718" t="5296" b="1018"/>
                    <a:stretch/>
                  </pic:blipFill>
                  <pic:spPr bwMode="auto">
                    <a:xfrm>
                      <a:off x="0" y="0"/>
                      <a:ext cx="3283828" cy="2579219"/>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Default="002E5CF1" w:rsidP="001109FF">
      <w:r w:rsidRPr="00685645">
        <w:t xml:space="preserve">Analyses of </w:t>
      </w:r>
      <w:r>
        <w:t>HbA1c</w:t>
      </w:r>
      <w:r w:rsidRPr="00685645">
        <w:t xml:space="preserve"> change from baseline at Week 52 performed using the ANCOVA model in the PP population the ANCOVA model in the FAS population with LOCF and the mFAS population all supported the conclusion from the primary analysis. In addition, in the analysis of change from baseline at Week 52 using the ANCOVA model in the PP population, the non-inferiority criterion for ertugliflozin 5 mg compared to glimepiride was met, but was not met in the 2 other analyses</w:t>
      </w:r>
      <w:r>
        <w:t xml:space="preserve"> </w:t>
      </w:r>
      <w:r w:rsidRPr="00BB0C3D">
        <w:t xml:space="preserve">(Table </w:t>
      </w:r>
      <w:r w:rsidR="00BB0C3D" w:rsidRPr="00BB0C3D">
        <w:t>57</w:t>
      </w:r>
      <w:r w:rsidRPr="00BB0C3D">
        <w:t>).</w:t>
      </w:r>
    </w:p>
    <w:p w:rsidR="002F6FA8" w:rsidRDefault="00BB0C3D" w:rsidP="00BB0C3D">
      <w:pPr>
        <w:pStyle w:val="Tabletitle"/>
      </w:pPr>
      <w:bookmarkStart w:id="458" w:name="_Ref492028145"/>
      <w:bookmarkStart w:id="459" w:name="_Toc504038465"/>
      <w:r>
        <w:lastRenderedPageBreak/>
        <w:t xml:space="preserve">Table 57: Primary efficacy endpoint analyses in the PP- ANCOVA, FAS-(ANCOVA with LOCF and </w:t>
      </w:r>
      <w:proofErr w:type="spellStart"/>
      <w:r>
        <w:t>mFAS</w:t>
      </w:r>
      <w:proofErr w:type="spellEnd"/>
      <w:r>
        <w:t xml:space="preserve"> (</w:t>
      </w:r>
      <w:proofErr w:type="spellStart"/>
      <w:r>
        <w:t>cLDA</w:t>
      </w:r>
      <w:proofErr w:type="spellEnd"/>
      <w:r>
        <w:t>) excluding rescue approach</w:t>
      </w:r>
      <w:bookmarkEnd w:id="458"/>
      <w:bookmarkEnd w:id="459"/>
    </w:p>
    <w:p w:rsidR="00BB0C3D" w:rsidRDefault="00BB0C3D" w:rsidP="002F6FA8">
      <w:r>
        <w:rPr>
          <w:noProof/>
          <w:lang w:eastAsia="en-AU"/>
        </w:rPr>
        <w:drawing>
          <wp:inline distT="0" distB="0" distL="0" distR="0" wp14:anchorId="7BD833FE" wp14:editId="304F995A">
            <wp:extent cx="5731510" cy="5372678"/>
            <wp:effectExtent l="0" t="0" r="2540" b="0"/>
            <wp:docPr id="225" name="Picture 225" descr="Primary efficacy endpoint analyses in the PP- ANCOVA, FAS-(ANCOVA with LOCF and mFAS (cLDA) excluding rescue appro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31510" cy="5372678"/>
                    </a:xfrm>
                    <a:prstGeom prst="rect">
                      <a:avLst/>
                    </a:prstGeom>
                  </pic:spPr>
                </pic:pic>
              </a:graphicData>
            </a:graphic>
          </wp:inline>
        </w:drawing>
      </w:r>
    </w:p>
    <w:p w:rsidR="001109FF" w:rsidRDefault="001109FF" w:rsidP="002E5CF1">
      <w:pPr>
        <w:autoSpaceDE w:val="0"/>
        <w:autoSpaceDN w:val="0"/>
        <w:adjustRightInd w:val="0"/>
        <w:spacing w:before="0" w:line="240" w:lineRule="auto"/>
        <w:rPr>
          <w:rFonts w:asciiTheme="minorHAnsi" w:eastAsiaTheme="minorHAnsi" w:hAnsiTheme="minorHAnsi"/>
        </w:rPr>
      </w:pPr>
      <w:r>
        <w:rPr>
          <w:rStyle w:val="Heading6Char"/>
          <w:rFonts w:eastAsiaTheme="minorHAnsi"/>
        </w:rPr>
        <w:t>Sensitivity analysis</w:t>
      </w:r>
    </w:p>
    <w:p w:rsidR="002E5CF1" w:rsidRDefault="002E5CF1" w:rsidP="001109FF">
      <w:pPr>
        <w:rPr>
          <w:color w:val="000000"/>
        </w:rPr>
      </w:pPr>
      <w:r w:rsidRPr="00CD2C6A">
        <w:t>The proportion of subjects with missing or excluded data at Week 52 was similar in the</w:t>
      </w:r>
      <w:r>
        <w:t xml:space="preserve"> </w:t>
      </w:r>
      <w:r w:rsidRPr="00CD2C6A">
        <w:t>ertugliflozin 15 mg and glimepiride groups (20.5% and 19.5%, respectively) and numerically</w:t>
      </w:r>
      <w:r>
        <w:t xml:space="preserve"> </w:t>
      </w:r>
      <w:r w:rsidRPr="00CD2C6A">
        <w:t>higher in the ertugliflozin 5 mg group (25.0%).</w:t>
      </w:r>
      <w:r>
        <w:t xml:space="preserve"> </w:t>
      </w:r>
      <w:r w:rsidRPr="00CD2C6A">
        <w:t>Sensitivity analyses were performed to assess the impact of missing data on the primary</w:t>
      </w:r>
      <w:r>
        <w:t xml:space="preserve"> </w:t>
      </w:r>
      <w:r w:rsidRPr="00CD2C6A">
        <w:t>analysis</w:t>
      </w:r>
      <w:r w:rsidRPr="00CD2C6A">
        <w:rPr>
          <w:color w:val="000000"/>
        </w:rPr>
        <w:t xml:space="preserve"> Unlike the primary analysis methodology, the</w:t>
      </w:r>
      <w:r>
        <w:rPr>
          <w:color w:val="000000"/>
        </w:rPr>
        <w:t xml:space="preserve"> </w:t>
      </w:r>
      <w:r w:rsidRPr="00CD2C6A">
        <w:rPr>
          <w:color w:val="000000"/>
        </w:rPr>
        <w:t xml:space="preserve">methodology for the sensitivity analyses does not rely on an assumption of </w:t>
      </w:r>
      <w:r>
        <w:rPr>
          <w:color w:val="000000"/>
        </w:rPr>
        <w:t>‘</w:t>
      </w:r>
      <w:r w:rsidRPr="00CD2C6A">
        <w:rPr>
          <w:color w:val="000000"/>
        </w:rPr>
        <w:t>missing at</w:t>
      </w:r>
      <w:r>
        <w:rPr>
          <w:color w:val="000000"/>
        </w:rPr>
        <w:t xml:space="preserve"> </w:t>
      </w:r>
      <w:r w:rsidRPr="00CD2C6A">
        <w:rPr>
          <w:color w:val="000000"/>
        </w:rPr>
        <w:t>random</w:t>
      </w:r>
      <w:r>
        <w:rPr>
          <w:color w:val="000000"/>
        </w:rPr>
        <w:t>’</w:t>
      </w:r>
      <w:r w:rsidR="001109FF">
        <w:rPr>
          <w:color w:val="000000"/>
        </w:rPr>
        <w:t xml:space="preserve"> for missing data. The tipping </w:t>
      </w:r>
      <w:r w:rsidRPr="00CD2C6A">
        <w:rPr>
          <w:color w:val="000000"/>
        </w:rPr>
        <w:t>point analyses in which data collected after initiation</w:t>
      </w:r>
      <w:r>
        <w:rPr>
          <w:color w:val="000000"/>
        </w:rPr>
        <w:t xml:space="preserve"> </w:t>
      </w:r>
      <w:r w:rsidRPr="00CD2C6A">
        <w:rPr>
          <w:color w:val="000000"/>
        </w:rPr>
        <w:t xml:space="preserve">of glycaemic rescue therapy were considered </w:t>
      </w:r>
      <w:r w:rsidRPr="004C4472">
        <w:rPr>
          <w:color w:val="000000"/>
        </w:rPr>
        <w:t xml:space="preserve">missing (Table </w:t>
      </w:r>
      <w:r w:rsidR="00BB0C3D" w:rsidRPr="004C4472">
        <w:rPr>
          <w:color w:val="000000"/>
        </w:rPr>
        <w:t>58</w:t>
      </w:r>
      <w:r w:rsidRPr="004C4472">
        <w:rPr>
          <w:color w:val="000000"/>
        </w:rPr>
        <w:t>) s</w:t>
      </w:r>
      <w:r w:rsidRPr="00CD2C6A">
        <w:rPr>
          <w:color w:val="000000"/>
        </w:rPr>
        <w:t>howed that, to shift</w:t>
      </w:r>
      <w:r>
        <w:rPr>
          <w:color w:val="000000"/>
        </w:rPr>
        <w:t xml:space="preserve"> </w:t>
      </w:r>
      <w:r w:rsidRPr="00CD2C6A">
        <w:rPr>
          <w:color w:val="000000"/>
        </w:rPr>
        <w:t xml:space="preserve">the primary result such that ertugliflozin 15 mg was not non-inferior to glimepiride on </w:t>
      </w:r>
      <w:r>
        <w:rPr>
          <w:color w:val="000000"/>
        </w:rPr>
        <w:t xml:space="preserve">HbA1c </w:t>
      </w:r>
      <w:r w:rsidRPr="00CD2C6A">
        <w:rPr>
          <w:color w:val="000000"/>
        </w:rPr>
        <w:t xml:space="preserve">change from baseline at Week 52, the </w:t>
      </w:r>
      <w:r>
        <w:rPr>
          <w:color w:val="000000"/>
        </w:rPr>
        <w:t>HbA1c</w:t>
      </w:r>
      <w:r w:rsidRPr="00CD2C6A">
        <w:rPr>
          <w:color w:val="000000"/>
        </w:rPr>
        <w:t xml:space="preserve"> change from baseline among subjects in the</w:t>
      </w:r>
      <w:r>
        <w:rPr>
          <w:color w:val="000000"/>
        </w:rPr>
        <w:t xml:space="preserve"> </w:t>
      </w:r>
      <w:r w:rsidRPr="00CD2C6A">
        <w:rPr>
          <w:color w:val="000000"/>
        </w:rPr>
        <w:t>ertugliflozin 15 mg group with missing data would need to have been &gt;</w:t>
      </w:r>
      <w:r w:rsidR="001109FF">
        <w:rPr>
          <w:color w:val="000000"/>
        </w:rPr>
        <w:t xml:space="preserve"> </w:t>
      </w:r>
      <w:r w:rsidRPr="00CD2C6A">
        <w:rPr>
          <w:color w:val="000000"/>
        </w:rPr>
        <w:t>0.4% worse than that</w:t>
      </w:r>
      <w:r>
        <w:rPr>
          <w:color w:val="000000"/>
        </w:rPr>
        <w:t xml:space="preserve"> </w:t>
      </w:r>
      <w:r w:rsidRPr="00CD2C6A">
        <w:rPr>
          <w:color w:val="000000"/>
        </w:rPr>
        <w:t xml:space="preserve">expected under the missing at random assumption, supporting the </w:t>
      </w:r>
      <w:r>
        <w:rPr>
          <w:color w:val="000000"/>
        </w:rPr>
        <w:t xml:space="preserve">robustness of the primary </w:t>
      </w:r>
      <w:r w:rsidRPr="00CD2C6A">
        <w:rPr>
          <w:color w:val="000000"/>
        </w:rPr>
        <w:t>analytic approach.</w:t>
      </w:r>
    </w:p>
    <w:p w:rsidR="00BB0C3D" w:rsidRDefault="00BB0C3D" w:rsidP="00BB0C3D">
      <w:pPr>
        <w:pStyle w:val="Tabletitle"/>
      </w:pPr>
      <w:bookmarkStart w:id="460" w:name="_Ref492028148"/>
      <w:bookmarkStart w:id="461" w:name="_Toc504038466"/>
      <w:r w:rsidRPr="00C738A2">
        <w:lastRenderedPageBreak/>
        <w:t xml:space="preserve">Table </w:t>
      </w:r>
      <w:r>
        <w:t>58</w:t>
      </w:r>
      <w:r w:rsidRPr="00C738A2">
        <w:t>:</w:t>
      </w:r>
      <w:r>
        <w:t xml:space="preserve"> Hb</w:t>
      </w:r>
      <w:r w:rsidRPr="00C738A2">
        <w:t>A1</w:t>
      </w:r>
      <w:r w:rsidR="002F6FA8">
        <w:t>c</w:t>
      </w:r>
      <w:r w:rsidRPr="00C738A2">
        <w:t xml:space="preserve"> </w:t>
      </w:r>
      <w:r w:rsidR="00E87FD9" w:rsidRPr="00C738A2">
        <w:t>(%)</w:t>
      </w:r>
      <w:r w:rsidR="00E87FD9">
        <w:t>;</w:t>
      </w:r>
      <w:r w:rsidR="00E87FD9" w:rsidRPr="00C738A2">
        <w:t xml:space="preserve"> </w:t>
      </w:r>
      <w:r w:rsidRPr="00C738A2">
        <w:t xml:space="preserve">Change from baseline at </w:t>
      </w:r>
      <w:r>
        <w:t>W</w:t>
      </w:r>
      <w:r w:rsidRPr="00C738A2">
        <w:t>eek 52 Tipping point analy</w:t>
      </w:r>
      <w:r w:rsidR="001109FF">
        <w:t>sis missing data approach. FAS e</w:t>
      </w:r>
      <w:r w:rsidRPr="00C738A2">
        <w:t>xcluding rescue approach</w:t>
      </w:r>
      <w:bookmarkEnd w:id="460"/>
      <w:bookmarkEnd w:id="461"/>
    </w:p>
    <w:p w:rsidR="00BB0C3D" w:rsidRPr="00BB0C3D" w:rsidRDefault="00BB0C3D" w:rsidP="00BB0C3D">
      <w:r>
        <w:rPr>
          <w:noProof/>
          <w:lang w:eastAsia="en-AU"/>
        </w:rPr>
        <w:drawing>
          <wp:inline distT="0" distB="0" distL="0" distR="0" wp14:anchorId="78BAD1C2" wp14:editId="320DE4EE">
            <wp:extent cx="5443537" cy="3701140"/>
            <wp:effectExtent l="0" t="0" r="5080" b="0"/>
            <wp:docPr id="226" name="Picture 226" descr="Change from baseline at Week 52 Tipping point analysis missing data approach.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438867" cy="3697965"/>
                    </a:xfrm>
                    <a:prstGeom prst="rect">
                      <a:avLst/>
                    </a:prstGeom>
                  </pic:spPr>
                </pic:pic>
              </a:graphicData>
            </a:graphic>
          </wp:inline>
        </w:drawing>
      </w:r>
    </w:p>
    <w:p w:rsidR="001109FF" w:rsidRDefault="001109FF" w:rsidP="002E5CF1">
      <w:pPr>
        <w:autoSpaceDE w:val="0"/>
        <w:autoSpaceDN w:val="0"/>
        <w:adjustRightInd w:val="0"/>
        <w:spacing w:before="0" w:line="240" w:lineRule="auto"/>
        <w:rPr>
          <w:rFonts w:asciiTheme="minorHAnsi" w:eastAsiaTheme="minorHAnsi" w:hAnsiTheme="minorHAnsi"/>
        </w:rPr>
      </w:pPr>
      <w:r>
        <w:rPr>
          <w:rStyle w:val="Heading6Char"/>
          <w:rFonts w:eastAsiaTheme="minorHAnsi"/>
        </w:rPr>
        <w:t>Subgroup analyses</w:t>
      </w:r>
    </w:p>
    <w:p w:rsidR="002E5CF1" w:rsidRDefault="002E5CF1" w:rsidP="001109FF">
      <w:r w:rsidRPr="00165D1F">
        <w:t>In general, the ertugliflozin responses were consistent within subgroups. In some cases (</w:t>
      </w:r>
      <w:r w:rsidR="0030125A">
        <w:t>for example</w:t>
      </w:r>
      <w:r w:rsidR="00155D4D">
        <w:t>,</w:t>
      </w:r>
      <w:r>
        <w:t xml:space="preserve"> </w:t>
      </w:r>
      <w:r w:rsidRPr="00165D1F">
        <w:t>age, ethnicity, and duration of diabetes subgroup analyses), ertugliflozin</w:t>
      </w:r>
      <w:r w:rsidR="00CA2F4B">
        <w:t xml:space="preserve"> versus</w:t>
      </w:r>
      <w:r w:rsidRPr="00165D1F">
        <w:t xml:space="preserve"> glimepiride</w:t>
      </w:r>
      <w:r>
        <w:t xml:space="preserve"> </w:t>
      </w:r>
      <w:r w:rsidRPr="00165D1F">
        <w:t>differences were the result of differences in the glimepiride response rather than in the</w:t>
      </w:r>
      <w:r>
        <w:t xml:space="preserve"> </w:t>
      </w:r>
      <w:r w:rsidRPr="00165D1F">
        <w:t>ertugliflozin response.</w:t>
      </w:r>
      <w:r>
        <w:t xml:space="preserve"> </w:t>
      </w:r>
      <w:r w:rsidRPr="00165D1F">
        <w:t xml:space="preserve">Numerically larger reductions in </w:t>
      </w:r>
      <w:r>
        <w:t>HbA1c</w:t>
      </w:r>
      <w:r w:rsidRPr="00165D1F">
        <w:t xml:space="preserve"> were observed in </w:t>
      </w:r>
      <w:r>
        <w:t>s</w:t>
      </w:r>
      <w:r w:rsidRPr="00165D1F">
        <w:t>ubgroups with higher versus</w:t>
      </w:r>
      <w:r>
        <w:t xml:space="preserve"> </w:t>
      </w:r>
      <w:r w:rsidRPr="00165D1F">
        <w:t xml:space="preserve">lower baseline </w:t>
      </w:r>
      <w:r>
        <w:t>HbA1c</w:t>
      </w:r>
      <w:r w:rsidRPr="00165D1F">
        <w:t xml:space="preserve"> in each treatment group. However, the treatment differences within</w:t>
      </w:r>
      <w:r>
        <w:t xml:space="preserve"> </w:t>
      </w:r>
      <w:r w:rsidRPr="00165D1F">
        <w:t>these subgroups were consistent with those observed in the main analysis. However, subgroup analyses should be interpreted with caution due to much smaller sample sizes within some subgroups compared to the overall trial sample size</w:t>
      </w:r>
      <w:r w:rsidR="00BB0C3D">
        <w:t>.</w:t>
      </w:r>
    </w:p>
    <w:p w:rsidR="002E5CF1" w:rsidRPr="00165D1F" w:rsidRDefault="002E5CF1" w:rsidP="001109FF">
      <w:pPr>
        <w:rPr>
          <w:b/>
          <w:color w:val="000000"/>
        </w:rPr>
      </w:pPr>
      <w:r w:rsidRPr="00685645">
        <w:rPr>
          <w:color w:val="000000"/>
        </w:rPr>
        <w:t xml:space="preserve">The COD was used to assess durability of treatment with ertugliflozin after reaching peak efficacy. The COD (%/week </w:t>
      </w:r>
      <w:r w:rsidR="00424310">
        <w:rPr>
          <w:color w:val="000000"/>
        </w:rPr>
        <w:t>(</w:t>
      </w:r>
      <w:r w:rsidRPr="00685645">
        <w:rPr>
          <w:color w:val="000000"/>
        </w:rPr>
        <w:t>95% CI</w:t>
      </w:r>
      <w:r w:rsidR="00424310">
        <w:rPr>
          <w:color w:val="000000"/>
        </w:rPr>
        <w:t>)</w:t>
      </w:r>
      <w:r w:rsidRPr="00685645">
        <w:rPr>
          <w:color w:val="000000"/>
        </w:rPr>
        <w:t xml:space="preserve">) of the </w:t>
      </w:r>
      <w:r>
        <w:rPr>
          <w:color w:val="000000"/>
        </w:rPr>
        <w:t>HbA1c</w:t>
      </w:r>
      <w:r w:rsidRPr="00685645">
        <w:rPr>
          <w:color w:val="000000"/>
        </w:rPr>
        <w:t xml:space="preserve"> response between Week 26 and Week 52, was numerically higher in the glimepiride group (0.00700% </w:t>
      </w:r>
      <w:r w:rsidR="00424310">
        <w:rPr>
          <w:color w:val="000000"/>
        </w:rPr>
        <w:t>(</w:t>
      </w:r>
      <w:r w:rsidRPr="00685645">
        <w:rPr>
          <w:color w:val="000000"/>
        </w:rPr>
        <w:t>0.00431, 0.00874</w:t>
      </w:r>
      <w:r w:rsidR="00424310">
        <w:rPr>
          <w:color w:val="000000"/>
        </w:rPr>
        <w:t>)</w:t>
      </w:r>
      <w:r w:rsidRPr="00685645">
        <w:rPr>
          <w:color w:val="000000"/>
        </w:rPr>
        <w:t xml:space="preserve">) compared with the ertugliflozin 5 mg group (-0.00053% </w:t>
      </w:r>
      <w:r w:rsidR="00424310">
        <w:rPr>
          <w:color w:val="000000"/>
        </w:rPr>
        <w:t>(</w:t>
      </w:r>
      <w:r w:rsidRPr="00685645">
        <w:rPr>
          <w:color w:val="000000"/>
        </w:rPr>
        <w:t>- 0.00229, 0.00080</w:t>
      </w:r>
      <w:r w:rsidR="00424310">
        <w:rPr>
          <w:color w:val="000000"/>
        </w:rPr>
        <w:t>)</w:t>
      </w:r>
      <w:r w:rsidRPr="00685645">
        <w:rPr>
          <w:color w:val="000000"/>
        </w:rPr>
        <w:t xml:space="preserve">) and ertugliflozin 15 mg group (0.00019% </w:t>
      </w:r>
      <w:r w:rsidR="00424310">
        <w:rPr>
          <w:color w:val="000000"/>
        </w:rPr>
        <w:t>(</w:t>
      </w:r>
      <w:r w:rsidRPr="00685645">
        <w:rPr>
          <w:color w:val="000000"/>
        </w:rPr>
        <w:t>-0.00182, 0.00136</w:t>
      </w:r>
      <w:r w:rsidR="00424310">
        <w:rPr>
          <w:color w:val="000000"/>
        </w:rPr>
        <w:t>)</w:t>
      </w:r>
      <w:r w:rsidRPr="00685645">
        <w:rPr>
          <w:color w:val="000000"/>
        </w:rPr>
        <w:t xml:space="preserve">), indicating there was a more rapid loss of </w:t>
      </w:r>
      <w:r>
        <w:rPr>
          <w:color w:val="000000"/>
        </w:rPr>
        <w:t>HbA1c</w:t>
      </w:r>
      <w:r w:rsidRPr="00685645">
        <w:rPr>
          <w:color w:val="000000"/>
        </w:rPr>
        <w:t xml:space="preserve"> response in the glimepiride group than in the ertugliflozin groups after Week 26.</w:t>
      </w:r>
    </w:p>
    <w:p w:rsidR="002E5CF1" w:rsidRDefault="002E5CF1" w:rsidP="00A238E0">
      <w:pPr>
        <w:pStyle w:val="Heading5"/>
      </w:pPr>
      <w:r>
        <w:t>Other efficacy results</w:t>
      </w:r>
    </w:p>
    <w:p w:rsidR="002E5CF1" w:rsidRDefault="002E5CF1" w:rsidP="001109FF">
      <w:pPr>
        <w:rPr>
          <w:b/>
        </w:rPr>
      </w:pPr>
      <w:r>
        <w:t>F</w:t>
      </w:r>
      <w:r w:rsidRPr="00C425B3">
        <w:t>ewer subjects in</w:t>
      </w:r>
      <w:r>
        <w:t xml:space="preserve"> </w:t>
      </w:r>
      <w:r w:rsidRPr="00C425B3">
        <w:t xml:space="preserve">the ertugliflozin </w:t>
      </w:r>
      <w:r>
        <w:t xml:space="preserve">5 mg and </w:t>
      </w:r>
      <w:r w:rsidRPr="00C425B3">
        <w:t xml:space="preserve">15 mg groups had a Week 52 </w:t>
      </w:r>
      <w:r>
        <w:t xml:space="preserve">HbA1c </w:t>
      </w:r>
      <w:r w:rsidRPr="00C425B3">
        <w:t>value &lt;7% (&lt;</w:t>
      </w:r>
      <w:r w:rsidR="001109FF">
        <w:t> </w:t>
      </w:r>
      <w:r w:rsidRPr="00C425B3">
        <w:t>53</w:t>
      </w:r>
      <w:r w:rsidR="001109FF">
        <w:t xml:space="preserve"> </w:t>
      </w:r>
      <w:r w:rsidRPr="00C425B3">
        <w:t>mmol/mol) compared with the glimepiride group (</w:t>
      </w:r>
      <w:r>
        <w:t xml:space="preserve">34.4%, 38% and </w:t>
      </w:r>
      <w:r w:rsidRPr="00C425B3">
        <w:t>43.5%</w:t>
      </w:r>
      <w:r>
        <w:t>, respectively</w:t>
      </w:r>
      <w:r w:rsidRPr="00C425B3">
        <w:t>)</w:t>
      </w:r>
      <w:r w:rsidR="00A238E0">
        <w:t>.</w:t>
      </w:r>
      <w:r w:rsidRPr="00C425B3">
        <w:t xml:space="preserve"> The </w:t>
      </w:r>
      <w:r w:rsidR="00FB1E32">
        <w:t>model based</w:t>
      </w:r>
      <w:r w:rsidRPr="00C425B3">
        <w:t xml:space="preserve"> odds of havin</w:t>
      </w:r>
      <w:r>
        <w:t xml:space="preserve">g </w:t>
      </w:r>
      <w:r w:rsidRPr="00C425B3">
        <w:t xml:space="preserve">an </w:t>
      </w:r>
      <w:r>
        <w:t>HbA1c</w:t>
      </w:r>
      <w:r w:rsidRPr="00C425B3">
        <w:t xml:space="preserve"> value &lt;</w:t>
      </w:r>
      <w:r w:rsidR="001109FF">
        <w:t xml:space="preserve"> </w:t>
      </w:r>
      <w:r w:rsidRPr="00C425B3">
        <w:t>7.0% at Week 52, using multiple imputation for subjects with missing Week</w:t>
      </w:r>
      <w:r>
        <w:t xml:space="preserve"> </w:t>
      </w:r>
      <w:r w:rsidRPr="00C425B3">
        <w:t>52 data, were numerically lower in the ertugliflozin 15 mg group and lower in the 5 mg</w:t>
      </w:r>
      <w:r>
        <w:t xml:space="preserve"> </w:t>
      </w:r>
      <w:r w:rsidRPr="00C425B3">
        <w:t xml:space="preserve">group (nominal </w:t>
      </w:r>
      <w:r w:rsidR="00FB1E32">
        <w:t>p = 0</w:t>
      </w:r>
      <w:r w:rsidRPr="00C425B3">
        <w:t>.010) than in the glimepiride group. A similar trend was observed in an</w:t>
      </w:r>
      <w:r>
        <w:t xml:space="preserve"> </w:t>
      </w:r>
      <w:r w:rsidRPr="00C425B3">
        <w:t xml:space="preserve">analyses of subjects with </w:t>
      </w:r>
      <w:r>
        <w:t>HbA1c</w:t>
      </w:r>
      <w:r w:rsidRPr="00C425B3">
        <w:t xml:space="preserve"> &lt;</w:t>
      </w:r>
      <w:r w:rsidR="001109FF">
        <w:t xml:space="preserve"> </w:t>
      </w:r>
      <w:r w:rsidRPr="00C425B3">
        <w:t>6.5% (&lt;</w:t>
      </w:r>
      <w:r w:rsidR="001109FF">
        <w:t xml:space="preserve"> </w:t>
      </w:r>
      <w:r w:rsidRPr="00C425B3">
        <w:t>48 mmol/mol) at Week 52</w:t>
      </w:r>
      <w:r>
        <w:t xml:space="preserve"> (14.1%, 14.1% and 21.7%, respectively)</w:t>
      </w:r>
      <w:r w:rsidR="00A238E0">
        <w:t>.</w:t>
      </w:r>
    </w:p>
    <w:p w:rsidR="002E5CF1" w:rsidRPr="00A238E0" w:rsidRDefault="002E5CF1" w:rsidP="001109FF">
      <w:r w:rsidRPr="00C425B3">
        <w:t>The LS mean reductions from baseline in</w:t>
      </w:r>
      <w:r>
        <w:t xml:space="preserve"> </w:t>
      </w:r>
      <w:r w:rsidRPr="00C425B3">
        <w:t xml:space="preserve">FPG at Week 52 were </w:t>
      </w:r>
      <w:r w:rsidR="001109FF">
        <w:t>greater in the ertugliflozin 15 </w:t>
      </w:r>
      <w:r w:rsidRPr="00C425B3">
        <w:t xml:space="preserve">mg group (nominal </w:t>
      </w:r>
      <w:r w:rsidR="00FB1E32">
        <w:t>p &lt; 0</w:t>
      </w:r>
      <w:r w:rsidRPr="00C425B3">
        <w:t>.001) and</w:t>
      </w:r>
      <w:r>
        <w:t xml:space="preserve"> </w:t>
      </w:r>
      <w:r w:rsidRPr="00C425B3">
        <w:t xml:space="preserve">numerically greater in the ertugliflozin 5 mg group, </w:t>
      </w:r>
      <w:r w:rsidRPr="00C425B3">
        <w:lastRenderedPageBreak/>
        <w:t>relative to the glimepiride group</w:t>
      </w:r>
      <w:r>
        <w:t xml:space="preserve"> (-1.04, -1.32 and 0.90mmol/L, respectively)</w:t>
      </w:r>
      <w:r w:rsidR="00A238E0">
        <w:t>.</w:t>
      </w:r>
      <w:r>
        <w:t xml:space="preserve"> </w:t>
      </w:r>
      <w:r w:rsidRPr="00C425B3">
        <w:t>LS mean changes from baseline in FPG over time, excluding data after initiation of rescue</w:t>
      </w:r>
      <w:r>
        <w:t xml:space="preserve"> </w:t>
      </w:r>
      <w:r w:rsidRPr="00C425B3">
        <w:t>therapy</w:t>
      </w:r>
      <w:r>
        <w:t xml:space="preserve"> showed that i</w:t>
      </w:r>
      <w:r w:rsidRPr="00C425B3">
        <w:t>n the</w:t>
      </w:r>
      <w:r>
        <w:t xml:space="preserve"> </w:t>
      </w:r>
      <w:r w:rsidRPr="00C425B3">
        <w:t>ertugli</w:t>
      </w:r>
      <w:r w:rsidR="001109FF">
        <w:t xml:space="preserve">flozin groups, large dose </w:t>
      </w:r>
      <w:r w:rsidRPr="00C425B3">
        <w:t>related reductions in FPG at Week 6 were followed by</w:t>
      </w:r>
      <w:r>
        <w:t xml:space="preserve"> </w:t>
      </w:r>
      <w:r w:rsidRPr="00C425B3">
        <w:t>generally stable values with some variability, such that the Week 6</w:t>
      </w:r>
      <w:r>
        <w:t xml:space="preserve"> </w:t>
      </w:r>
      <w:r w:rsidRPr="00C425B3">
        <w:t>and Week 52 values were numerically similar. In the glimepiride group, FPG rapidly</w:t>
      </w:r>
      <w:r>
        <w:t xml:space="preserve"> </w:t>
      </w:r>
      <w:r w:rsidRPr="00C425B3">
        <w:t>decreased, reaching a nadir at Week 18, and was followed by a progressive rise through</w:t>
      </w:r>
      <w:r>
        <w:t xml:space="preserve"> </w:t>
      </w:r>
      <w:r w:rsidRPr="00C425B3">
        <w:t>Week 52, so that the change from baseline in FPG was less than that observed in both</w:t>
      </w:r>
      <w:r>
        <w:t xml:space="preserve"> </w:t>
      </w:r>
      <w:r w:rsidRPr="00C425B3">
        <w:t xml:space="preserve">ertugliflozin </w:t>
      </w:r>
      <w:r w:rsidRPr="00A238E0">
        <w:t>groups (Figure</w:t>
      </w:r>
      <w:r w:rsidR="00A238E0" w:rsidRPr="00A238E0">
        <w:t xml:space="preserve"> 15</w:t>
      </w:r>
      <w:r w:rsidRPr="00A238E0">
        <w:t>).</w:t>
      </w:r>
    </w:p>
    <w:p w:rsidR="00A238E0" w:rsidRPr="00C738A2" w:rsidRDefault="00A238E0" w:rsidP="002F6FA8">
      <w:pPr>
        <w:pStyle w:val="FigureTitle"/>
      </w:pPr>
      <w:bookmarkStart w:id="462" w:name="_Ref492028161"/>
      <w:bookmarkStart w:id="463" w:name="_Toc504038472"/>
      <w:r w:rsidRPr="00C738A2">
        <w:t xml:space="preserve">Figure </w:t>
      </w:r>
      <w:r>
        <w:t>15</w:t>
      </w:r>
      <w:r w:rsidRPr="00C738A2">
        <w:t>: FPG (mg/</w:t>
      </w:r>
      <w:proofErr w:type="spellStart"/>
      <w:r w:rsidRPr="00C738A2">
        <w:t>dL</w:t>
      </w:r>
      <w:proofErr w:type="spellEnd"/>
      <w:r w:rsidR="00E87FD9" w:rsidRPr="00C738A2">
        <w:t>)</w:t>
      </w:r>
      <w:r w:rsidR="00E87FD9">
        <w:t>;</w:t>
      </w:r>
      <w:r w:rsidR="00E87FD9" w:rsidRPr="00C738A2">
        <w:t xml:space="preserve"> </w:t>
      </w:r>
      <w:r w:rsidRPr="00C738A2">
        <w:t>LS Mean change fr</w:t>
      </w:r>
      <w:r w:rsidR="001109FF">
        <w:t xml:space="preserve">om </w:t>
      </w:r>
      <w:r w:rsidR="00E87FD9">
        <w:t xml:space="preserve">Baseline </w:t>
      </w:r>
      <w:r w:rsidR="001109FF">
        <w:t xml:space="preserve">over time </w:t>
      </w:r>
      <w:proofErr w:type="spellStart"/>
      <w:r w:rsidR="001109FF">
        <w:t>cLDA</w:t>
      </w:r>
      <w:proofErr w:type="spellEnd"/>
      <w:r w:rsidR="001109FF">
        <w:t xml:space="preserve"> FAS e</w:t>
      </w:r>
      <w:r w:rsidRPr="00C738A2">
        <w:t>xcluding rescue approach</w:t>
      </w:r>
      <w:bookmarkEnd w:id="462"/>
      <w:bookmarkEnd w:id="463"/>
    </w:p>
    <w:p w:rsidR="00A238E0" w:rsidRPr="00C738A2" w:rsidRDefault="00A238E0" w:rsidP="002F6FA8">
      <w:r w:rsidRPr="00C738A2">
        <w:rPr>
          <w:noProof/>
          <w:lang w:eastAsia="en-AU"/>
        </w:rPr>
        <w:drawing>
          <wp:inline distT="0" distB="0" distL="0" distR="0" wp14:anchorId="5A14560D" wp14:editId="59361786">
            <wp:extent cx="4071938" cy="3083388"/>
            <wp:effectExtent l="0" t="0" r="5080" b="3175"/>
            <wp:docPr id="144" name="Picture 144" descr="FPG (mg/dL);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lum bright="-20000" contrast="40000"/>
                      <a:extLst>
                        <a:ext uri="{28A0092B-C50C-407E-A947-70E740481C1C}">
                          <a14:useLocalDpi xmlns:a14="http://schemas.microsoft.com/office/drawing/2010/main" val="0"/>
                        </a:ext>
                      </a:extLst>
                    </a:blip>
                    <a:srcRect/>
                    <a:stretch>
                      <a:fillRect/>
                    </a:stretch>
                  </pic:blipFill>
                  <pic:spPr bwMode="auto">
                    <a:xfrm>
                      <a:off x="0" y="0"/>
                      <a:ext cx="4080709" cy="3090030"/>
                    </a:xfrm>
                    <a:prstGeom prst="rect">
                      <a:avLst/>
                    </a:prstGeom>
                    <a:noFill/>
                    <a:ln>
                      <a:noFill/>
                    </a:ln>
                  </pic:spPr>
                </pic:pic>
              </a:graphicData>
            </a:graphic>
          </wp:inline>
        </w:drawing>
      </w:r>
    </w:p>
    <w:p w:rsidR="002E5CF1" w:rsidRDefault="002E5CF1" w:rsidP="001109FF">
      <w:r>
        <w:t>Compared with glimepiride, t</w:t>
      </w:r>
      <w:r w:rsidRPr="00C425B3">
        <w:t>he LS mean reduction from</w:t>
      </w:r>
      <w:r>
        <w:t xml:space="preserve"> </w:t>
      </w:r>
      <w:r w:rsidRPr="00C425B3">
        <w:t xml:space="preserve">baseline in body weight was significantly greater in the ertugliflozin </w:t>
      </w:r>
      <w:r>
        <w:t xml:space="preserve">5 mg and </w:t>
      </w:r>
      <w:r w:rsidRPr="00C425B3">
        <w:t>15 mg group</w:t>
      </w:r>
      <w:r>
        <w:t>s</w:t>
      </w:r>
      <w:r w:rsidRPr="00C425B3">
        <w:t xml:space="preserve"> </w:t>
      </w:r>
      <w:r>
        <w:t xml:space="preserve">(-3.0, -3.4 and +0.91kg, respectively; </w:t>
      </w:r>
      <w:r w:rsidR="00FB1E32">
        <w:t>p &lt; 0</w:t>
      </w:r>
      <w:r w:rsidRPr="00C425B3">
        <w:t>.001</w:t>
      </w:r>
      <w:r>
        <w:t xml:space="preserve"> for both comparisons</w:t>
      </w:r>
      <w:r w:rsidRPr="00C425B3">
        <w:t>)</w:t>
      </w:r>
      <w:r>
        <w:t xml:space="preserve">. However, the </w:t>
      </w:r>
      <w:r w:rsidRPr="00C425B3">
        <w:t>p-value is considered nominal for</w:t>
      </w:r>
      <w:r>
        <w:t xml:space="preserve"> </w:t>
      </w:r>
      <w:r w:rsidRPr="00C425B3">
        <w:t>the ertugliflozin 5 mg group because formal hypothesis testing was stopped earlier in the</w:t>
      </w:r>
      <w:r>
        <w:t xml:space="preserve"> </w:t>
      </w:r>
      <w:r w:rsidRPr="00C425B3">
        <w:t>testing sequence</w:t>
      </w:r>
      <w:r w:rsidR="00A238E0">
        <w:t>.</w:t>
      </w:r>
      <w:r>
        <w:t xml:space="preserve"> </w:t>
      </w:r>
      <w:r w:rsidRPr="00C425B3">
        <w:t>LS mean changes from baseline in body weight over time, excluding data after initiation of</w:t>
      </w:r>
      <w:r>
        <w:t xml:space="preserve"> rescue therapy showed that i</w:t>
      </w:r>
      <w:r w:rsidRPr="00C425B3">
        <w:t>n the</w:t>
      </w:r>
      <w:r>
        <w:t xml:space="preserve"> </w:t>
      </w:r>
      <w:r w:rsidRPr="00C425B3">
        <w:t>ertugliflozin groups, body weight gradually decreased through Week 26 (ertugliflozin 5 mg)</w:t>
      </w:r>
      <w:r>
        <w:t xml:space="preserve"> </w:t>
      </w:r>
      <w:r w:rsidRPr="00C425B3">
        <w:t xml:space="preserve">and Week 39 (ertugliflozin 15 mg) and then remained stable through Week 52. </w:t>
      </w:r>
      <w:r w:rsidRPr="00A238E0">
        <w:t xml:space="preserve">Small, gradual increases in body weight were observed through Week 52 in the glimepiride group (Figure </w:t>
      </w:r>
      <w:r w:rsidR="00A238E0" w:rsidRPr="00A238E0">
        <w:t>16</w:t>
      </w:r>
      <w:r w:rsidRPr="00A238E0">
        <w:t>).</w:t>
      </w:r>
      <w:r w:rsidRPr="00C425B3">
        <w:rPr>
          <w:b/>
        </w:rPr>
        <w:t xml:space="preserve"> </w:t>
      </w:r>
      <w:r w:rsidRPr="00C425B3">
        <w:t>Analyses of body weight change from baseline at Week 52 performed using the ANCOVA</w:t>
      </w:r>
      <w:r>
        <w:t xml:space="preserve"> </w:t>
      </w:r>
      <w:r w:rsidRPr="00C425B3">
        <w:t>model in the PP population and the mFAS population</w:t>
      </w:r>
      <w:r>
        <w:t xml:space="preserve"> </w:t>
      </w:r>
      <w:r w:rsidRPr="00C425B3">
        <w:t>were consistent with the main analysis</w:t>
      </w:r>
      <w:r w:rsidR="00A238E0">
        <w:t>.</w:t>
      </w:r>
    </w:p>
    <w:p w:rsidR="00A238E0" w:rsidRPr="00C738A2" w:rsidRDefault="00A238E0" w:rsidP="00A238E0">
      <w:pPr>
        <w:pStyle w:val="FigureTitle"/>
      </w:pPr>
      <w:bookmarkStart w:id="464" w:name="_Ref492028166"/>
      <w:bookmarkStart w:id="465" w:name="_Toc504038474"/>
      <w:r w:rsidRPr="00C738A2">
        <w:lastRenderedPageBreak/>
        <w:t xml:space="preserve">Figure </w:t>
      </w:r>
      <w:r>
        <w:t>16</w:t>
      </w:r>
      <w:r w:rsidR="00AE3765">
        <w:t>: Body weight (kg)</w:t>
      </w:r>
      <w:r w:rsidRPr="00C738A2">
        <w:t xml:space="preserve"> LS Mean</w:t>
      </w:r>
      <w:r w:rsidR="00AE3765">
        <w:t xml:space="preserve"> change from baseline over time</w:t>
      </w:r>
      <w:r w:rsidR="001109FF">
        <w:t xml:space="preserve"> </w:t>
      </w:r>
      <w:proofErr w:type="spellStart"/>
      <w:r w:rsidR="001109FF">
        <w:t>cLDA</w:t>
      </w:r>
      <w:proofErr w:type="spellEnd"/>
      <w:r w:rsidR="001109FF">
        <w:t xml:space="preserve"> FAS e</w:t>
      </w:r>
      <w:r w:rsidRPr="00C738A2">
        <w:t>xcluding rescue approach</w:t>
      </w:r>
      <w:bookmarkEnd w:id="464"/>
      <w:bookmarkEnd w:id="465"/>
    </w:p>
    <w:p w:rsidR="00A238E0" w:rsidRPr="00C738A2" w:rsidRDefault="00A238E0" w:rsidP="002F6FA8">
      <w:r w:rsidRPr="00C738A2">
        <w:rPr>
          <w:noProof/>
          <w:lang w:eastAsia="en-AU"/>
        </w:rPr>
        <w:drawing>
          <wp:inline distT="0" distB="0" distL="0" distR="0" wp14:anchorId="0B31519D" wp14:editId="7E14B705">
            <wp:extent cx="3764405" cy="3021806"/>
            <wp:effectExtent l="0" t="0" r="7620" b="7620"/>
            <wp:docPr id="149" name="Picture 149" descr="Body weight (k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9">
                      <a:lum bright="-20000" contrast="40000"/>
                      <a:extLst>
                        <a:ext uri="{28A0092B-C50C-407E-A947-70E740481C1C}">
                          <a14:useLocalDpi xmlns:a14="http://schemas.microsoft.com/office/drawing/2010/main" val="0"/>
                        </a:ext>
                      </a:extLst>
                    </a:blip>
                    <a:srcRect/>
                    <a:stretch>
                      <a:fillRect/>
                    </a:stretch>
                  </pic:blipFill>
                  <pic:spPr bwMode="auto">
                    <a:xfrm>
                      <a:off x="0" y="0"/>
                      <a:ext cx="3763812" cy="3021330"/>
                    </a:xfrm>
                    <a:prstGeom prst="rect">
                      <a:avLst/>
                    </a:prstGeom>
                    <a:noFill/>
                    <a:ln>
                      <a:noFill/>
                    </a:ln>
                  </pic:spPr>
                </pic:pic>
              </a:graphicData>
            </a:graphic>
          </wp:inline>
        </w:drawing>
      </w:r>
    </w:p>
    <w:p w:rsidR="002E5CF1" w:rsidRDefault="002E5CF1" w:rsidP="001109FF">
      <w:r>
        <w:t xml:space="preserve">Compared with glimepiride, the </w:t>
      </w:r>
      <w:r w:rsidRPr="004A339B">
        <w:t>LS mean reductions</w:t>
      </w:r>
      <w:r>
        <w:t xml:space="preserve"> </w:t>
      </w:r>
      <w:r w:rsidRPr="004A339B">
        <w:t xml:space="preserve">from baseline in </w:t>
      </w:r>
      <w:r>
        <w:t xml:space="preserve">sitting SBP </w:t>
      </w:r>
      <w:r w:rsidRPr="004A339B">
        <w:t xml:space="preserve">at Week 52 were greater in the ertugliflozin </w:t>
      </w:r>
      <w:r>
        <w:t xml:space="preserve">5 and </w:t>
      </w:r>
      <w:r w:rsidRPr="004A339B">
        <w:t>15 mg</w:t>
      </w:r>
      <w:r>
        <w:t xml:space="preserve"> </w:t>
      </w:r>
      <w:r w:rsidRPr="004A339B">
        <w:t xml:space="preserve">groups </w:t>
      </w:r>
      <w:r>
        <w:t xml:space="preserve">compared with glimepiride </w:t>
      </w:r>
      <w:r w:rsidRPr="004A339B">
        <w:t>(</w:t>
      </w:r>
      <w:r>
        <w:t xml:space="preserve">-2.3, -3.8 and +0.95 mmHg, respectively; </w:t>
      </w:r>
      <w:r w:rsidRPr="004A339B">
        <w:t xml:space="preserve">nominal </w:t>
      </w:r>
      <w:r w:rsidR="00FB1E32">
        <w:t>p &lt; 0</w:t>
      </w:r>
      <w:r w:rsidRPr="004A339B">
        <w:t>.001 for both comparisons)</w:t>
      </w:r>
      <w:r w:rsidR="00456D22">
        <w:t>.</w:t>
      </w:r>
      <w:r w:rsidRPr="004A339B">
        <w:t xml:space="preserve"> The</w:t>
      </w:r>
      <w:r>
        <w:t xml:space="preserve"> </w:t>
      </w:r>
      <w:r w:rsidRPr="004A339B">
        <w:t>p-values are considered nominal for the ertugliflozin 15 mg and 5 mg comparisons with</w:t>
      </w:r>
      <w:r>
        <w:t xml:space="preserve"> </w:t>
      </w:r>
      <w:r w:rsidRPr="004A339B">
        <w:t>glimepiride because formal hypothesis testing was stopped earlier in the testing sequence.</w:t>
      </w:r>
      <w:r>
        <w:t xml:space="preserve"> </w:t>
      </w:r>
      <w:r w:rsidRPr="004A339B">
        <w:t xml:space="preserve">LS mean change in </w:t>
      </w:r>
      <w:r>
        <w:t xml:space="preserve">SBP </w:t>
      </w:r>
      <w:r w:rsidRPr="004A339B">
        <w:t>over time, excluding data after initiation of rescue</w:t>
      </w:r>
      <w:r>
        <w:t xml:space="preserve"> t</w:t>
      </w:r>
      <w:r w:rsidRPr="004A339B">
        <w:t>herapy</w:t>
      </w:r>
      <w:r>
        <w:t xml:space="preserve"> showed r</w:t>
      </w:r>
      <w:r w:rsidRPr="004A339B">
        <w:t>eductions in</w:t>
      </w:r>
      <w:r>
        <w:t xml:space="preserve"> SBP </w:t>
      </w:r>
      <w:r w:rsidRPr="004A339B">
        <w:t>through Week 12 (ertugliflozin 15 mg) and through Week 18</w:t>
      </w:r>
      <w:r>
        <w:t xml:space="preserve"> </w:t>
      </w:r>
      <w:r w:rsidRPr="004A339B">
        <w:t>(ertugliflozin 5 mg) were followed by small fluctuations, which remained below baseline</w:t>
      </w:r>
      <w:r>
        <w:t xml:space="preserve"> </w:t>
      </w:r>
      <w:r w:rsidRPr="004A339B">
        <w:t xml:space="preserve">through Week 52. The point estimates of the reductions in </w:t>
      </w:r>
      <w:r>
        <w:t xml:space="preserve">SBP </w:t>
      </w:r>
      <w:r w:rsidRPr="004A339B">
        <w:t>were</w:t>
      </w:r>
      <w:r>
        <w:t xml:space="preserve"> </w:t>
      </w:r>
      <w:r w:rsidRPr="004A339B">
        <w:t>numerically greater in the ertugliflozin 15 mg group relative to the ertugliflozin 5 mg group.</w:t>
      </w:r>
      <w:r>
        <w:t xml:space="preserve"> </w:t>
      </w:r>
      <w:r w:rsidRPr="004A339B">
        <w:t xml:space="preserve">In the glimepiride </w:t>
      </w:r>
      <w:r w:rsidRPr="00456D22">
        <w:t xml:space="preserve">group, small increases in SBP were observed at Week 12 and remained stable through Week 52 (Figure </w:t>
      </w:r>
      <w:r w:rsidR="00456D22" w:rsidRPr="00456D22">
        <w:t>17</w:t>
      </w:r>
      <w:r w:rsidRPr="00456D22">
        <w:t>). Analyses</w:t>
      </w:r>
      <w:r w:rsidRPr="004A339B">
        <w:t xml:space="preserve"> of </w:t>
      </w:r>
      <w:r>
        <w:t xml:space="preserve">SBP </w:t>
      </w:r>
      <w:r w:rsidRPr="004A339B">
        <w:t>change from baseline at Week 52 performed using the</w:t>
      </w:r>
      <w:r>
        <w:t xml:space="preserve"> </w:t>
      </w:r>
      <w:r w:rsidRPr="004A339B">
        <w:t>ANCOVA model in the PP population and the mFAS population</w:t>
      </w:r>
      <w:r>
        <w:t xml:space="preserve"> </w:t>
      </w:r>
      <w:r w:rsidRPr="004A339B">
        <w:t>were consistent with the main analysis.</w:t>
      </w:r>
    </w:p>
    <w:p w:rsidR="00456D22" w:rsidRPr="00C738A2" w:rsidRDefault="00456D22" w:rsidP="00456D22">
      <w:pPr>
        <w:pStyle w:val="FigureTitle"/>
      </w:pPr>
      <w:bookmarkStart w:id="466" w:name="_Ref492028174"/>
      <w:bookmarkStart w:id="467" w:name="_Toc504038477"/>
      <w:r w:rsidRPr="00C738A2">
        <w:lastRenderedPageBreak/>
        <w:t xml:space="preserve">Figure </w:t>
      </w:r>
      <w:r>
        <w:t>17</w:t>
      </w:r>
      <w:r w:rsidRPr="00C738A2">
        <w:t>:</w:t>
      </w:r>
      <w:r>
        <w:t xml:space="preserve"> </w:t>
      </w:r>
      <w:r w:rsidRPr="00C738A2">
        <w:t>Sitting systolic BP (mmHg</w:t>
      </w:r>
      <w:r w:rsidR="00E87FD9" w:rsidRPr="00C738A2">
        <w:t>)</w:t>
      </w:r>
      <w:r w:rsidR="00E87FD9">
        <w:t>;</w:t>
      </w:r>
      <w:r w:rsidR="00E87FD9" w:rsidRPr="00C738A2">
        <w:t xml:space="preserve"> </w:t>
      </w:r>
      <w:r w:rsidRPr="00C738A2">
        <w:t xml:space="preserve">LS Mean change from baseline over time. </w:t>
      </w:r>
      <w:proofErr w:type="gramStart"/>
      <w:r w:rsidRPr="00C738A2">
        <w:t>cLDA</w:t>
      </w:r>
      <w:proofErr w:type="gramEnd"/>
      <w:r w:rsidRPr="00C738A2">
        <w:t xml:space="preserve"> FAS: excluding rescue approach</w:t>
      </w:r>
      <w:bookmarkEnd w:id="466"/>
      <w:bookmarkEnd w:id="467"/>
    </w:p>
    <w:p w:rsidR="00456D22" w:rsidRPr="00C738A2" w:rsidRDefault="003B751A" w:rsidP="002F6FA8">
      <w:r>
        <w:t xml:space="preserve"> </w:t>
      </w:r>
      <w:r w:rsidR="00456D22" w:rsidRPr="00C738A2">
        <w:rPr>
          <w:noProof/>
          <w:lang w:eastAsia="en-AU"/>
        </w:rPr>
        <w:drawing>
          <wp:inline distT="0" distB="0" distL="0" distR="0" wp14:anchorId="7BBE237D" wp14:editId="4864692C">
            <wp:extent cx="3657135" cy="3088982"/>
            <wp:effectExtent l="0" t="0" r="635" b="0"/>
            <wp:docPr id="163" name="Picture 163" descr="Sitting systolic BP (mmH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a:lum bright="-20000" contrast="40000"/>
                      <a:extLst>
                        <a:ext uri="{28A0092B-C50C-407E-A947-70E740481C1C}">
                          <a14:useLocalDpi xmlns:a14="http://schemas.microsoft.com/office/drawing/2010/main" val="0"/>
                        </a:ext>
                      </a:extLst>
                    </a:blip>
                    <a:srcRect/>
                    <a:stretch>
                      <a:fillRect/>
                    </a:stretch>
                  </pic:blipFill>
                  <pic:spPr bwMode="auto">
                    <a:xfrm>
                      <a:off x="0" y="0"/>
                      <a:ext cx="3663137" cy="3094052"/>
                    </a:xfrm>
                    <a:prstGeom prst="rect">
                      <a:avLst/>
                    </a:prstGeom>
                    <a:noFill/>
                    <a:ln>
                      <a:noFill/>
                    </a:ln>
                  </pic:spPr>
                </pic:pic>
              </a:graphicData>
            </a:graphic>
          </wp:inline>
        </w:drawing>
      </w:r>
    </w:p>
    <w:p w:rsidR="002E5CF1" w:rsidRPr="00796F02" w:rsidRDefault="002E5CF1" w:rsidP="001109FF">
      <w:pPr>
        <w:rPr>
          <w:b/>
        </w:rPr>
      </w:pPr>
      <w:r>
        <w:t xml:space="preserve">Similarly, </w:t>
      </w:r>
      <w:r w:rsidRPr="00D47C98">
        <w:t>LS mean reductions</w:t>
      </w:r>
      <w:r>
        <w:t xml:space="preserve"> </w:t>
      </w:r>
      <w:r w:rsidRPr="00D47C98">
        <w:t xml:space="preserve">from baseline in </w:t>
      </w:r>
      <w:r>
        <w:t xml:space="preserve">sitting DBP </w:t>
      </w:r>
      <w:r w:rsidRPr="00D47C98">
        <w:t xml:space="preserve">at Week 52 were greater in the ertugliflozin </w:t>
      </w:r>
      <w:r>
        <w:t xml:space="preserve">5 and 15 mg groups </w:t>
      </w:r>
      <w:r w:rsidRPr="00D47C98">
        <w:t>th</w:t>
      </w:r>
      <w:r>
        <w:t xml:space="preserve">an in the glimepiride group </w:t>
      </w:r>
      <w:r w:rsidRPr="00796F02">
        <w:t>(</w:t>
      </w:r>
      <w:r>
        <w:t xml:space="preserve">-0.92, -1.22 and +0.32mmHg, respectively; </w:t>
      </w:r>
      <w:r w:rsidRPr="00796F02">
        <w:t xml:space="preserve">nominal </w:t>
      </w:r>
      <w:r w:rsidR="00FB1E32">
        <w:t>p = 0</w:t>
      </w:r>
      <w:r w:rsidRPr="00796F02">
        <w:t>.015</w:t>
      </w:r>
      <w:r>
        <w:t xml:space="preserve"> and </w:t>
      </w:r>
      <w:r w:rsidR="00FB1E32">
        <w:t>p = 0</w:t>
      </w:r>
      <w:r w:rsidRPr="00796F02">
        <w:t>.002, respectively).</w:t>
      </w:r>
      <w:r w:rsidR="001109FF">
        <w:t xml:space="preserve"> Reductions in DBP through Week </w:t>
      </w:r>
      <w:r w:rsidRPr="00796F02">
        <w:t xml:space="preserve">18 in the ertugliflozin </w:t>
      </w:r>
      <w:proofErr w:type="gramStart"/>
      <w:r w:rsidRPr="00796F02">
        <w:t>groups,</w:t>
      </w:r>
      <w:proofErr w:type="gramEnd"/>
      <w:r w:rsidRPr="00796F02">
        <w:t xml:space="preserve"> were followed by small fluctuations which remained below baseline through Week 52. The point estimates of the reductions in DBP were similar in the ertugliflozin 5 mg and 15 mg groups. In the glimepiride group, small increases in DBP were observed at Week 18 and remained stable through Week 52</w:t>
      </w:r>
      <w:r w:rsidR="00456D22">
        <w:t>.</w:t>
      </w:r>
    </w:p>
    <w:p w:rsidR="002E5CF1" w:rsidRPr="00727549" w:rsidRDefault="002E5CF1" w:rsidP="001109FF">
      <w:r w:rsidRPr="00796F02">
        <w:t>The cumulative percentage of subjects who received glycaemic rescue medication through Week 52 was low in each of the 3 treatment groups</w:t>
      </w:r>
      <w:r>
        <w:t xml:space="preserve">, but was </w:t>
      </w:r>
      <w:r w:rsidRPr="00796F02">
        <w:t>numerically higher in the ertugliflozin 5 mg group</w:t>
      </w:r>
      <w:r>
        <w:t xml:space="preserve"> </w:t>
      </w:r>
      <w:r w:rsidRPr="00796F02">
        <w:t>(5.6</w:t>
      </w:r>
      <w:r w:rsidRPr="00727549">
        <w:t xml:space="preserve">%) and similar in the ertugliflozin 15 mg group (3.6%) and glimepiride (3.2%) groups (Figure </w:t>
      </w:r>
      <w:r w:rsidR="00727549" w:rsidRPr="00727549">
        <w:t>18).</w:t>
      </w:r>
    </w:p>
    <w:p w:rsidR="00727549" w:rsidRPr="00C738A2" w:rsidRDefault="00727549" w:rsidP="00727549">
      <w:pPr>
        <w:pStyle w:val="FigureTitle"/>
      </w:pPr>
      <w:bookmarkStart w:id="468" w:name="_Ref492028181"/>
      <w:bookmarkStart w:id="469" w:name="_Toc504038480"/>
      <w:r w:rsidRPr="00C738A2">
        <w:lastRenderedPageBreak/>
        <w:t xml:space="preserve">Figure </w:t>
      </w:r>
      <w:r>
        <w:t>18</w:t>
      </w:r>
      <w:r w:rsidRPr="00C738A2">
        <w:t>:</w:t>
      </w:r>
      <w:r>
        <w:t xml:space="preserve"> </w:t>
      </w:r>
      <w:r w:rsidRPr="00C738A2">
        <w:t xml:space="preserve">Cumulative percentage of subjects with </w:t>
      </w:r>
      <w:r>
        <w:t>glycaemic</w:t>
      </w:r>
      <w:r w:rsidRPr="00C738A2">
        <w:t xml:space="preserve"> rescue therapy</w:t>
      </w:r>
      <w:r w:rsidR="00E87FD9">
        <w:t>;</w:t>
      </w:r>
      <w:r w:rsidR="00E87FD9" w:rsidRPr="00C738A2">
        <w:t xml:space="preserve"> </w:t>
      </w:r>
      <w:r w:rsidRPr="00C738A2">
        <w:t xml:space="preserve">Kaplan-Meier </w:t>
      </w:r>
      <w:r w:rsidR="00E87FD9">
        <w:t>c</w:t>
      </w:r>
      <w:r w:rsidRPr="00C738A2">
        <w:t>urves</w:t>
      </w:r>
      <w:r w:rsidR="00E87FD9">
        <w:t>:</w:t>
      </w:r>
      <w:r w:rsidRPr="00C738A2">
        <w:t xml:space="preserve"> All subjects treated</w:t>
      </w:r>
      <w:bookmarkEnd w:id="468"/>
      <w:bookmarkEnd w:id="469"/>
    </w:p>
    <w:p w:rsidR="00727549" w:rsidRPr="00C738A2" w:rsidRDefault="00727549" w:rsidP="002F6FA8">
      <w:pPr>
        <w:rPr>
          <w:rFonts w:ascii="Calibri" w:hAnsi="Calibri" w:cs="Calibri"/>
          <w:sz w:val="20"/>
          <w:szCs w:val="20"/>
        </w:rPr>
      </w:pPr>
      <w:r>
        <w:rPr>
          <w:noProof/>
          <w:lang w:eastAsia="en-AU"/>
        </w:rPr>
        <w:drawing>
          <wp:inline distT="0" distB="0" distL="0" distR="0" wp14:anchorId="4F239314" wp14:editId="22CE34CB">
            <wp:extent cx="4525896" cy="4994539"/>
            <wp:effectExtent l="0" t="0" r="8255" b="0"/>
            <wp:docPr id="227" name="Picture 227" descr="Cumulative percentage of subjects with glycaemic rescue therapy; Kaplan-Meier curve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extLst>
                        <a:ext uri="{BEBA8EAE-BF5A-486C-A8C5-ECC9F3942E4B}">
                          <a14:imgProps xmlns:a14="http://schemas.microsoft.com/office/drawing/2010/main">
                            <a14:imgLayer r:embed="rId102">
                              <a14:imgEffect>
                                <a14:sharpenSoften amount="50000"/>
                              </a14:imgEffect>
                            </a14:imgLayer>
                          </a14:imgProps>
                        </a:ext>
                      </a:extLst>
                    </a:blip>
                    <a:srcRect l="1997" t="2109"/>
                    <a:stretch/>
                  </pic:blipFill>
                  <pic:spPr bwMode="auto">
                    <a:xfrm>
                      <a:off x="0" y="0"/>
                      <a:ext cx="4533194" cy="5002593"/>
                    </a:xfrm>
                    <a:prstGeom prst="rect">
                      <a:avLst/>
                    </a:prstGeom>
                    <a:ln>
                      <a:noFill/>
                    </a:ln>
                    <a:extLst>
                      <a:ext uri="{53640926-AAD7-44D8-BBD7-CCE9431645EC}">
                        <a14:shadowObscured xmlns:a14="http://schemas.microsoft.com/office/drawing/2010/main"/>
                      </a:ext>
                    </a:extLst>
                  </pic:spPr>
                </pic:pic>
              </a:graphicData>
            </a:graphic>
          </wp:inline>
        </w:drawing>
      </w:r>
    </w:p>
    <w:p w:rsidR="002E5CF1" w:rsidRDefault="002E5CF1" w:rsidP="001109FF">
      <w:r>
        <w:t xml:space="preserve">The </w:t>
      </w:r>
      <w:r w:rsidRPr="00796F02">
        <w:t>proportion of</w:t>
      </w:r>
      <w:r>
        <w:t xml:space="preserve"> s</w:t>
      </w:r>
      <w:r w:rsidRPr="00796F02">
        <w:t>ubjects who met th</w:t>
      </w:r>
      <w:r>
        <w:t>e</w:t>
      </w:r>
      <w:r w:rsidRPr="00796F02">
        <w:t xml:space="preserve"> </w:t>
      </w:r>
      <w:r>
        <w:t xml:space="preserve">composite </w:t>
      </w:r>
      <w:r w:rsidRPr="00796F02">
        <w:t xml:space="preserve">endpoint </w:t>
      </w:r>
      <w:r>
        <w:t xml:space="preserve">of </w:t>
      </w:r>
      <w:r w:rsidRPr="00796F02">
        <w:t>&gt;0.5% decrease from</w:t>
      </w:r>
      <w:r>
        <w:t xml:space="preserve"> </w:t>
      </w:r>
      <w:r w:rsidRPr="00796F02">
        <w:t xml:space="preserve">baseline in </w:t>
      </w:r>
      <w:r>
        <w:t>HbA1c</w:t>
      </w:r>
      <w:r w:rsidRPr="00796F02">
        <w:t xml:space="preserve"> at Week 52, no symptomatic hypoglycaemia between baseline and Week 52,</w:t>
      </w:r>
      <w:r>
        <w:t xml:space="preserve"> </w:t>
      </w:r>
      <w:r w:rsidRPr="00796F02">
        <w:t>and no increase in body weight at Week 52, excluding data after initiation of rescue therapy w</w:t>
      </w:r>
      <w:r>
        <w:t>as</w:t>
      </w:r>
      <w:r w:rsidRPr="00796F02">
        <w:t xml:space="preserve"> higher in the ertugliflozin </w:t>
      </w:r>
      <w:r>
        <w:t xml:space="preserve">5 mg and 15 mg </w:t>
      </w:r>
      <w:r w:rsidRPr="00796F02">
        <w:t>groups rel</w:t>
      </w:r>
      <w:r>
        <w:t>ative to the glimepiride group (</w:t>
      </w:r>
      <w:r w:rsidRPr="00796F02">
        <w:t>45.5%</w:t>
      </w:r>
      <w:r>
        <w:t>, 48.5% and 21.4%, respectively;</w:t>
      </w:r>
      <w:r w:rsidRPr="00586F14">
        <w:t xml:space="preserve"> </w:t>
      </w:r>
      <w:r w:rsidRPr="00796F02">
        <w:t xml:space="preserve">nominal </w:t>
      </w:r>
      <w:r w:rsidR="00FB1E32">
        <w:t>p &lt; 0</w:t>
      </w:r>
      <w:r w:rsidRPr="00796F02">
        <w:t>.001 for both</w:t>
      </w:r>
      <w:r>
        <w:t xml:space="preserve"> c</w:t>
      </w:r>
      <w:r w:rsidRPr="00796F02">
        <w:t>omparisons)</w:t>
      </w:r>
      <w:r>
        <w:t>.</w:t>
      </w:r>
      <w:r w:rsidRPr="00796F02">
        <w:t xml:space="preserve"> Results for the corresponding analysis including data after initiation of rescue therapy </w:t>
      </w:r>
      <w:r w:rsidR="00710DBA">
        <w:t xml:space="preserve">were also similar. </w:t>
      </w:r>
      <w:r w:rsidRPr="00796F02">
        <w:t xml:space="preserve">However, analysis of </w:t>
      </w:r>
      <w:r>
        <w:t xml:space="preserve">the other composite endpoint of </w:t>
      </w:r>
      <w:r w:rsidRPr="00796F02">
        <w:t xml:space="preserve">subjects who had </w:t>
      </w:r>
      <w:r w:rsidR="00FB1E32">
        <w:t>HbA1c &lt; 7.0%</w:t>
      </w:r>
      <w:r w:rsidRPr="00796F02">
        <w:t xml:space="preserve"> at Week 52 and</w:t>
      </w:r>
      <w:r>
        <w:t xml:space="preserve"> </w:t>
      </w:r>
      <w:r w:rsidRPr="00796F02">
        <w:t>no symptomatic hypoglycaemia from baseline through Week 52, excluding data after</w:t>
      </w:r>
      <w:r>
        <w:t xml:space="preserve"> </w:t>
      </w:r>
      <w:r w:rsidRPr="00796F02">
        <w:t>initiation of rescue therapy</w:t>
      </w:r>
      <w:r>
        <w:t xml:space="preserve"> failed to show any benefits of ertugliflozin over glimepiride (39.7%, 42.4% and 42%, respectively)</w:t>
      </w:r>
      <w:r w:rsidRPr="00796F02">
        <w:t>. Results for the corresponding analysis, including</w:t>
      </w:r>
      <w:r>
        <w:t xml:space="preserve"> </w:t>
      </w:r>
      <w:r w:rsidRPr="00796F02">
        <w:t>data after initiation of rescue therapy</w:t>
      </w:r>
      <w:r>
        <w:t xml:space="preserve"> were also similar</w:t>
      </w:r>
      <w:r w:rsidR="00710DBA">
        <w:t>.</w:t>
      </w:r>
    </w:p>
    <w:p w:rsidR="00803C18" w:rsidRDefault="002E5CF1" w:rsidP="001109FF">
      <w:r w:rsidRPr="00323A69">
        <w:t>Results for the analysis of change from baseline in HOMA-%</w:t>
      </w:r>
      <w:r>
        <w:t>beta</w:t>
      </w:r>
      <w:r w:rsidRPr="00323A69">
        <w:t xml:space="preserve"> at Week 52 showed that the LS mean increases from baseline at Week 52 were smaller in the ertugliflozin 15 mg and 5 mg groups than in the glimepiride group (nominal </w:t>
      </w:r>
      <w:r w:rsidR="00FB1E32">
        <w:t>p = 0</w:t>
      </w:r>
      <w:r w:rsidRPr="00323A69">
        <w:t xml:space="preserve">.042 and </w:t>
      </w:r>
      <w:r w:rsidR="00FB1E32">
        <w:t>p = 0</w:t>
      </w:r>
      <w:r w:rsidRPr="00323A69">
        <w:t xml:space="preserve">.008, respectively). Large mean reductions in proinsulin levels were observed in both ertugliflozin groups at Week 52 compared with a mean increase in the glimepiride group (nominal </w:t>
      </w:r>
      <w:r w:rsidR="00FB1E32">
        <w:t>p &lt; 0</w:t>
      </w:r>
      <w:r w:rsidRPr="00323A69">
        <w:t>.001 for both comparisons). A mean reduction in C-peptide and proinsulin/C-peptide ratio (%) at Week 52 was observed in both ertugliflozin groups (and numerically larger with the 1</w:t>
      </w:r>
      <w:r>
        <w:t>5 mg</w:t>
      </w:r>
      <w:r w:rsidRPr="00323A69">
        <w:t xml:space="preserve"> dose compared to the </w:t>
      </w:r>
      <w:r>
        <w:t>5 mg</w:t>
      </w:r>
      <w:r w:rsidRPr="00323A69">
        <w:t xml:space="preserve"> dose) compared with a mean increase in the glimepiride group (nominal </w:t>
      </w:r>
      <w:r w:rsidR="00FB1E32">
        <w:lastRenderedPageBreak/>
        <w:t>p &lt; 0</w:t>
      </w:r>
      <w:r w:rsidRPr="00323A69">
        <w:t xml:space="preserve">.001 for both comparisons). The reduction in proinsulin relative to C-peptide suggests that ertugliflozin reduces beta cell </w:t>
      </w:r>
      <w:r>
        <w:t>‘</w:t>
      </w:r>
      <w:r w:rsidRPr="00323A69">
        <w:t>stress</w:t>
      </w:r>
      <w:r>
        <w:t>’</w:t>
      </w:r>
      <w:r w:rsidRPr="00323A69">
        <w:t xml:space="preserve"> or </w:t>
      </w:r>
      <w:r>
        <w:t>‘</w:t>
      </w:r>
      <w:r w:rsidRPr="00323A69">
        <w:t>unloads</w:t>
      </w:r>
      <w:r>
        <w:t>’</w:t>
      </w:r>
      <w:r w:rsidRPr="00323A69">
        <w:t xml:space="preserve"> the beta cell, and this may be reflected in the improvement in fasting insulin secretion, as shown by the rise in HOMA-%</w:t>
      </w:r>
      <w:r>
        <w:t>beta</w:t>
      </w:r>
      <w:r w:rsidRPr="00323A69">
        <w:t xml:space="preserve"> at Week 52 with ertugliflozin. HOMA-%</w:t>
      </w:r>
      <w:r>
        <w:t>beta</w:t>
      </w:r>
      <w:r w:rsidRPr="00323A69">
        <w:t xml:space="preserve"> also increased in the glimepiride group, associated with a relatively smaller reduction in the proinsulin/C-peptide ratio, consistent with the mechanism of SU action to directly stimulate insulin release</w:t>
      </w:r>
      <w:r w:rsidR="00803C18">
        <w:t>.</w:t>
      </w:r>
    </w:p>
    <w:p w:rsidR="002E5CF1" w:rsidRDefault="002E5CF1" w:rsidP="00710DBA">
      <w:pPr>
        <w:pStyle w:val="Heading5"/>
      </w:pPr>
      <w:r>
        <w:t>Evaluator commentary</w:t>
      </w:r>
    </w:p>
    <w:p w:rsidR="002E5CF1" w:rsidRDefault="002E5CF1" w:rsidP="007677A2">
      <w:r w:rsidRPr="00A91778">
        <w:t>Combination</w:t>
      </w:r>
      <w:r>
        <w:t xml:space="preserve"> </w:t>
      </w:r>
      <w:r w:rsidRPr="00A91778">
        <w:t>therapy with metformin and an SU is a commonly used treatment regimen in subjects with</w:t>
      </w:r>
      <w:r>
        <w:t xml:space="preserve"> </w:t>
      </w:r>
      <w:r w:rsidRPr="00A91778">
        <w:t>T2DM. Although widely used, SUs are associated with the side effects of hypoglycaemia and</w:t>
      </w:r>
      <w:r>
        <w:t xml:space="preserve"> </w:t>
      </w:r>
      <w:r w:rsidRPr="00A91778">
        <w:t>body weight gain.</w:t>
      </w:r>
      <w:r>
        <w:t xml:space="preserve"> </w:t>
      </w:r>
      <w:r w:rsidRPr="00A91778">
        <w:t xml:space="preserve">This </w:t>
      </w:r>
      <w:proofErr w:type="gramStart"/>
      <w:r w:rsidRPr="00A91778">
        <w:t>multicentre,</w:t>
      </w:r>
      <w:proofErr w:type="gramEnd"/>
      <w:r w:rsidRPr="00A91778">
        <w:t xml:space="preserve"> </w:t>
      </w:r>
      <w:r>
        <w:t>randomised</w:t>
      </w:r>
      <w:r w:rsidRPr="00A91778">
        <w:t xml:space="preserve">, </w:t>
      </w:r>
      <w:r w:rsidR="00FB1E32">
        <w:t>double blind</w:t>
      </w:r>
      <w:r w:rsidR="007677A2">
        <w:t xml:space="preserve">, active controlled, parallel </w:t>
      </w:r>
      <w:r w:rsidRPr="00A91778">
        <w:t>group clinical trial</w:t>
      </w:r>
      <w:r>
        <w:t xml:space="preserve"> </w:t>
      </w:r>
      <w:r w:rsidRPr="00A91778">
        <w:t xml:space="preserve">compared the efficacy of ertugliflozin to glimepiride in </w:t>
      </w:r>
      <w:r>
        <w:t xml:space="preserve">1326 </w:t>
      </w:r>
      <w:r w:rsidRPr="00A91778">
        <w:t>subjects with T2DM and</w:t>
      </w:r>
      <w:r>
        <w:t xml:space="preserve"> </w:t>
      </w:r>
      <w:r w:rsidRPr="00A91778">
        <w:t>inadequate glycaemic control on a stable dose of metformin monotherapy (</w:t>
      </w:r>
      <w:r w:rsidR="002E1032">
        <w:rPr>
          <w:color w:val="000000"/>
        </w:rPr>
        <w:t xml:space="preserve">≥ </w:t>
      </w:r>
      <w:r w:rsidRPr="00A91778">
        <w:t>1500 mg/day).</w:t>
      </w:r>
      <w:r>
        <w:t xml:space="preserve"> </w:t>
      </w:r>
      <w:r w:rsidRPr="00A91778">
        <w:t>The primary efficacy objective was to assess the non-inferiority of treatment with</w:t>
      </w:r>
      <w:r>
        <w:t xml:space="preserve"> </w:t>
      </w:r>
      <w:r w:rsidRPr="00A91778">
        <w:t xml:space="preserve">ertugliflozin 15 mg to glimepiride on </w:t>
      </w:r>
      <w:r>
        <w:t>HbA1c</w:t>
      </w:r>
      <w:r w:rsidRPr="00A91778">
        <w:t xml:space="preserve"> after 52 weeks (Phase A). A separate CSR</w:t>
      </w:r>
      <w:r>
        <w:t xml:space="preserve"> </w:t>
      </w:r>
      <w:r w:rsidRPr="00A91778">
        <w:t>including results from Phase B (Weeks 52 to 104) will be prepared at the end of the study</w:t>
      </w:r>
      <w:r>
        <w:t xml:space="preserve"> and was not included in present submission</w:t>
      </w:r>
      <w:r w:rsidRPr="00A91778">
        <w:t>.</w:t>
      </w:r>
    </w:p>
    <w:p w:rsidR="00803C18" w:rsidRDefault="002E5CF1" w:rsidP="007677A2">
      <w:r w:rsidRPr="00A91778">
        <w:t>The study population was representative of patients with T2DM with baseline hyperglycaemia</w:t>
      </w:r>
      <w:r>
        <w:t xml:space="preserve"> </w:t>
      </w:r>
      <w:r w:rsidRPr="00A91778">
        <w:t>and intact renal function, and included a range of ethnic/racial backgrounds. Subjects had a</w:t>
      </w:r>
      <w:r>
        <w:t xml:space="preserve"> </w:t>
      </w:r>
      <w:r w:rsidRPr="00A91778">
        <w:t xml:space="preserve">mean duration of T2DM of approximately 7.5 years, mean baseline </w:t>
      </w:r>
      <w:r>
        <w:t>HbA1c</w:t>
      </w:r>
      <w:r w:rsidRPr="00A91778">
        <w:t xml:space="preserve"> of 7.79%, and a</w:t>
      </w:r>
      <w:r>
        <w:t xml:space="preserve"> </w:t>
      </w:r>
      <w:r w:rsidRPr="00A91778">
        <w:t>mean baseline eGFR of 87.2 mL/min/1.73 m</w:t>
      </w:r>
      <w:r w:rsidRPr="007323C1">
        <w:rPr>
          <w:vertAlign w:val="superscript"/>
        </w:rPr>
        <w:t>2</w:t>
      </w:r>
      <w:r w:rsidRPr="00A91778">
        <w:t>. The median metformin dose at entry was</w:t>
      </w:r>
      <w:r>
        <w:t xml:space="preserve"> </w:t>
      </w:r>
      <w:r w:rsidRPr="00A91778">
        <w:t>2000 mg/day</w:t>
      </w:r>
      <w:r w:rsidR="00803C18">
        <w:t>.</w:t>
      </w:r>
    </w:p>
    <w:p w:rsidR="002E5CF1" w:rsidRPr="00323A69" w:rsidRDefault="002E5CF1" w:rsidP="007677A2">
      <w:pPr>
        <w:rPr>
          <w:color w:val="000000"/>
        </w:rPr>
      </w:pPr>
      <w:r w:rsidRPr="00323A69">
        <w:t xml:space="preserve">Ertugliflozin 15 mg met the pre-specified criteria for non-inferiority to glimepiride (where the mean glimepiride dose was 3.0 mg daily) for </w:t>
      </w:r>
      <w:r>
        <w:t>HbA1c</w:t>
      </w:r>
      <w:r w:rsidRPr="00323A69">
        <w:t xml:space="preserve"> reduction at 52 weeks of treatment. A clinically meaningful reduction from baseline in </w:t>
      </w:r>
      <w:r>
        <w:t>HbA1c</w:t>
      </w:r>
      <w:r w:rsidRPr="00323A69">
        <w:t xml:space="preserve"> at Week 52 was observed with the 5 mg dose of ertugliflozin; however, this did not meet the non-inferiority requirements relative to glimepiride. The </w:t>
      </w:r>
      <w:r>
        <w:t>HbA1c</w:t>
      </w:r>
      <w:r w:rsidRPr="00323A69">
        <w:t xml:space="preserve"> reductions observed in both ertugliflozin groups were evident by Week 6 and glycaemic efficacy was durable through Week 52. Although the Week 52 </w:t>
      </w:r>
      <w:r>
        <w:t>HbA1c</w:t>
      </w:r>
      <w:r w:rsidRPr="00323A69">
        <w:t xml:space="preserve"> reductions in the ertugliflozin groups were numerically smaller relative to glimepiride, the reduction in FPG was numerically greater with both ertugliflozin doses compared with glimepiride at Week 52. Ertugliflozin 15 mg and 5 mg resulted in greater reduction in body weight and in sitting SBP relative to the glimepiride group, but the differences were not formally tested. </w:t>
      </w:r>
      <w:r w:rsidRPr="00323A69">
        <w:rPr>
          <w:color w:val="000000"/>
        </w:rPr>
        <w:t xml:space="preserve">The COD (of the </w:t>
      </w:r>
      <w:r>
        <w:rPr>
          <w:color w:val="000000"/>
        </w:rPr>
        <w:t>HbA1c</w:t>
      </w:r>
      <w:r w:rsidRPr="00323A69">
        <w:rPr>
          <w:color w:val="000000"/>
        </w:rPr>
        <w:t xml:space="preserve"> response between Week 26 and Week 52) was used to assess durability of treatment with ertugliflozin after reaching peak efficacy</w:t>
      </w:r>
      <w:r>
        <w:rPr>
          <w:color w:val="000000"/>
        </w:rPr>
        <w:t xml:space="preserve"> and it was </w:t>
      </w:r>
      <w:r w:rsidRPr="00323A69">
        <w:rPr>
          <w:color w:val="000000"/>
        </w:rPr>
        <w:t>numerically higher in the glimepiride group compared with the ertugliflozin 5 mg</w:t>
      </w:r>
      <w:r>
        <w:rPr>
          <w:color w:val="000000"/>
        </w:rPr>
        <w:t xml:space="preserve"> </w:t>
      </w:r>
      <w:r w:rsidRPr="00323A69">
        <w:rPr>
          <w:color w:val="000000"/>
        </w:rPr>
        <w:t>and 1</w:t>
      </w:r>
      <w:r>
        <w:rPr>
          <w:color w:val="000000"/>
        </w:rPr>
        <w:t>5 mg</w:t>
      </w:r>
      <w:r w:rsidRPr="00323A69">
        <w:rPr>
          <w:color w:val="000000"/>
        </w:rPr>
        <w:t xml:space="preserve"> groups indicating there was a more rapid loss of </w:t>
      </w:r>
      <w:r>
        <w:rPr>
          <w:color w:val="000000"/>
        </w:rPr>
        <w:t>HbA1c</w:t>
      </w:r>
      <w:r w:rsidRPr="00323A69">
        <w:rPr>
          <w:color w:val="000000"/>
        </w:rPr>
        <w:t xml:space="preserve"> response in the glimepiride group than in the ertugliflozin groups after Week 26.</w:t>
      </w:r>
    </w:p>
    <w:p w:rsidR="002E5CF1" w:rsidRDefault="002E5CF1" w:rsidP="007677A2">
      <w:r>
        <w:t>Overall, results from this study provided evidence to support us</w:t>
      </w:r>
      <w:r w:rsidR="007677A2">
        <w:t>e of ertugliflozin (5 mg and 15 </w:t>
      </w:r>
      <w:r>
        <w:t xml:space="preserve">mg) as add-on to metformin with similar reductions in HbA1c to glimepiride for the 15 mg ertugliflozin dose, but greater improvements in body weight and SBP with both ertugliflozin doses compared with glimepiride, although these differences were </w:t>
      </w:r>
      <w:r w:rsidRPr="00A91778">
        <w:t>not tested formally since prior hypotheses in the ordered sequence were not met</w:t>
      </w:r>
      <w:r>
        <w:t>. Evidence for long term maintenance of efficacy beyond 52 weeks was n</w:t>
      </w:r>
      <w:r w:rsidR="007677A2">
        <w:t xml:space="preserve">ot provided as Phase B (week 52 to </w:t>
      </w:r>
      <w:r>
        <w:t>104); the sponsor states that these results will be submitted later.</w:t>
      </w:r>
    </w:p>
    <w:p w:rsidR="002E5CF1" w:rsidRDefault="00E87FD9" w:rsidP="00710DBA">
      <w:pPr>
        <w:pStyle w:val="Heading4"/>
      </w:pPr>
      <w:bookmarkStart w:id="470" w:name="_Ref492031548"/>
      <w:bookmarkStart w:id="471" w:name="_Ref492031568"/>
      <w:bookmarkStart w:id="472" w:name="_Toc504038156"/>
      <w:r>
        <w:t xml:space="preserve">Study </w:t>
      </w:r>
      <w:r w:rsidR="002E5CF1">
        <w:t>P005/1019: Add-on to metformin</w:t>
      </w:r>
      <w:bookmarkEnd w:id="470"/>
      <w:bookmarkEnd w:id="471"/>
      <w:bookmarkEnd w:id="472"/>
    </w:p>
    <w:p w:rsidR="002E5CF1" w:rsidRDefault="00710DBA" w:rsidP="00710DBA">
      <w:pPr>
        <w:pStyle w:val="Heading5"/>
      </w:pPr>
      <w:r>
        <w:t>Study design, objectives</w:t>
      </w:r>
    </w:p>
    <w:p w:rsidR="002E5CF1" w:rsidRPr="00541DF7" w:rsidRDefault="002E5CF1" w:rsidP="007677A2">
      <w:r w:rsidRPr="00541DF7">
        <w:t xml:space="preserve">The purpose of this </w:t>
      </w:r>
      <w:r>
        <w:t>randomised</w:t>
      </w:r>
      <w:r w:rsidRPr="00541DF7">
        <w:t xml:space="preserve">, </w:t>
      </w:r>
      <w:r w:rsidR="00FB1E32">
        <w:t>double blind</w:t>
      </w:r>
      <w:r w:rsidRPr="00541DF7">
        <w:t xml:space="preserve">, parallel-group, factorial study was to evaluate </w:t>
      </w:r>
      <w:r>
        <w:t>t</w:t>
      </w:r>
      <w:r w:rsidRPr="00541DF7">
        <w:t xml:space="preserve">he efficacy </w:t>
      </w:r>
      <w:r>
        <w:t xml:space="preserve">and safety </w:t>
      </w:r>
      <w:r w:rsidRPr="00541DF7">
        <w:t>of the addition of dual</w:t>
      </w:r>
      <w:r>
        <w:t xml:space="preserve"> </w:t>
      </w:r>
      <w:r w:rsidRPr="00541DF7">
        <w:t>combination therapy with ertugliflozin and sitagliptin compared with the addition of</w:t>
      </w:r>
      <w:r>
        <w:t xml:space="preserve"> </w:t>
      </w:r>
      <w:r w:rsidRPr="00541DF7">
        <w:t>ertugliflozin alone or sitagliptin alone, in subjects with T2DM and inadequate glycaemic</w:t>
      </w:r>
      <w:r>
        <w:t xml:space="preserve"> </w:t>
      </w:r>
      <w:r w:rsidRPr="00541DF7">
        <w:t>control on metformin monotherapy over 26 weeks (Phase A period). This study was also</w:t>
      </w:r>
      <w:r>
        <w:t xml:space="preserve"> </w:t>
      </w:r>
      <w:r w:rsidRPr="00541DF7">
        <w:t>designed to evaluate longer-term safety and efficacy of ertugliflozin and sitagliptin</w:t>
      </w:r>
      <w:r>
        <w:t xml:space="preserve"> </w:t>
      </w:r>
      <w:r w:rsidRPr="00541DF7">
        <w:t>combination therapy over 52 weeks (26</w:t>
      </w:r>
      <w:r w:rsidR="00833C92">
        <w:t xml:space="preserve"> week</w:t>
      </w:r>
      <w:r w:rsidRPr="00541DF7">
        <w:t xml:space="preserve"> Phase A and 26</w:t>
      </w:r>
      <w:r w:rsidR="00833C92">
        <w:t xml:space="preserve"> week</w:t>
      </w:r>
      <w:r w:rsidRPr="00541DF7">
        <w:t xml:space="preserve"> Phase B periods).</w:t>
      </w:r>
      <w:r>
        <w:t xml:space="preserve"> </w:t>
      </w:r>
      <w:r w:rsidRPr="00541DF7">
        <w:lastRenderedPageBreak/>
        <w:t>Results from Phase A are presented in this CSR. A separate CSR including results from Phase B will be prepared at the end of the study.</w:t>
      </w:r>
    </w:p>
    <w:p w:rsidR="002E5CF1" w:rsidRPr="003D1833" w:rsidRDefault="002E5CF1" w:rsidP="007677A2">
      <w:r w:rsidRPr="00541DF7">
        <w:t xml:space="preserve">Subjects on </w:t>
      </w:r>
      <w:r w:rsidR="002E1032">
        <w:rPr>
          <w:color w:val="000000"/>
        </w:rPr>
        <w:t xml:space="preserve">≥ </w:t>
      </w:r>
      <w:r w:rsidRPr="00541DF7">
        <w:t xml:space="preserve">1500 mg/day of metformin for </w:t>
      </w:r>
      <w:r w:rsidR="002E1032">
        <w:rPr>
          <w:color w:val="000000"/>
        </w:rPr>
        <w:t xml:space="preserve">≥ </w:t>
      </w:r>
      <w:r w:rsidRPr="00541DF7">
        <w:t xml:space="preserve">8 weeks with an </w:t>
      </w:r>
      <w:r>
        <w:t>HbA1c</w:t>
      </w:r>
      <w:r w:rsidRPr="00541DF7">
        <w:t xml:space="preserve"> of </w:t>
      </w:r>
      <w:r w:rsidR="002E1032">
        <w:rPr>
          <w:color w:val="000000"/>
        </w:rPr>
        <w:t xml:space="preserve">≥ </w:t>
      </w:r>
      <w:r w:rsidRPr="00541DF7">
        <w:t xml:space="preserve">7.5 and </w:t>
      </w:r>
      <w:r w:rsidR="003B751A">
        <w:t xml:space="preserve">≤ </w:t>
      </w:r>
      <w:r w:rsidRPr="00541DF7">
        <w:t>11% (</w:t>
      </w:r>
      <w:r w:rsidR="002E1032">
        <w:rPr>
          <w:color w:val="000000"/>
        </w:rPr>
        <w:t xml:space="preserve">≥ </w:t>
      </w:r>
      <w:r w:rsidRPr="00541DF7">
        <w:t xml:space="preserve">58 and </w:t>
      </w:r>
      <w:r w:rsidR="003B751A">
        <w:t xml:space="preserve">≤ </w:t>
      </w:r>
      <w:r w:rsidRPr="00541DF7">
        <w:t>97 mmol/mol) at screening were eligible to directly enter a 2</w:t>
      </w:r>
      <w:r w:rsidR="00833C92">
        <w:t xml:space="preserve"> week</w:t>
      </w:r>
      <w:r w:rsidRPr="00541DF7">
        <w:t xml:space="preserve">, </w:t>
      </w:r>
      <w:r w:rsidR="00FB1E32">
        <w:t>single blind</w:t>
      </w:r>
      <w:r w:rsidRPr="00541DF7">
        <w:t xml:space="preserve">, </w:t>
      </w:r>
      <w:proofErr w:type="gramStart"/>
      <w:r w:rsidRPr="00541DF7">
        <w:t>placebo</w:t>
      </w:r>
      <w:proofErr w:type="gramEnd"/>
      <w:r w:rsidRPr="00541DF7">
        <w:t xml:space="preserve"> run-in period. Subjects on </w:t>
      </w:r>
      <w:r w:rsidR="002E1032">
        <w:rPr>
          <w:color w:val="000000"/>
        </w:rPr>
        <w:t xml:space="preserve">≥ </w:t>
      </w:r>
      <w:r w:rsidRPr="00541DF7">
        <w:t>1500 mg/day of metformin for &lt;</w:t>
      </w:r>
      <w:r w:rsidR="007677A2">
        <w:t xml:space="preserve"> </w:t>
      </w:r>
      <w:r w:rsidRPr="00541DF7">
        <w:t xml:space="preserve">8 weeks with an </w:t>
      </w:r>
      <w:r>
        <w:t>HbA1c</w:t>
      </w:r>
      <w:r w:rsidRPr="00541DF7">
        <w:t xml:space="preserve"> of </w:t>
      </w:r>
      <w:r w:rsidR="002E1032">
        <w:rPr>
          <w:color w:val="000000"/>
        </w:rPr>
        <w:t xml:space="preserve">≥ </w:t>
      </w:r>
      <w:r w:rsidRPr="00541DF7">
        <w:t xml:space="preserve">7.5 and </w:t>
      </w:r>
      <w:r w:rsidR="003B751A">
        <w:t xml:space="preserve">≤ </w:t>
      </w:r>
      <w:r w:rsidRPr="00541DF7">
        <w:t>11% (</w:t>
      </w:r>
      <w:r w:rsidR="002E1032">
        <w:rPr>
          <w:color w:val="000000"/>
        </w:rPr>
        <w:t xml:space="preserve">≥ </w:t>
      </w:r>
      <w:r w:rsidRPr="00541DF7">
        <w:t xml:space="preserve">58 and </w:t>
      </w:r>
      <w:r w:rsidR="003B751A">
        <w:t xml:space="preserve">≤ </w:t>
      </w:r>
      <w:r w:rsidRPr="00541DF7">
        <w:t>97 mmol/mol) at screening received</w:t>
      </w:r>
      <w:r>
        <w:t xml:space="preserve"> </w:t>
      </w:r>
      <w:r w:rsidRPr="00541DF7">
        <w:t>diet/exercise counselling and entered a</w:t>
      </w:r>
      <w:r w:rsidRPr="003D1833">
        <w:t xml:space="preserve"> 2</w:t>
      </w:r>
      <w:r w:rsidR="00833C92">
        <w:t xml:space="preserve"> week</w:t>
      </w:r>
      <w:r w:rsidRPr="003D1833">
        <w:t xml:space="preserve">, </w:t>
      </w:r>
      <w:r w:rsidR="00FB1E32">
        <w:t>single blind</w:t>
      </w:r>
      <w:r w:rsidRPr="003D1833">
        <w:t>, placebo</w:t>
      </w:r>
      <w:r>
        <w:t xml:space="preserve"> </w:t>
      </w:r>
      <w:r w:rsidRPr="003D1833">
        <w:t xml:space="preserve">run-in period after their metformin dose had been stable for </w:t>
      </w:r>
      <w:r w:rsidR="002E1032">
        <w:rPr>
          <w:color w:val="000000"/>
        </w:rPr>
        <w:t xml:space="preserve">≥ </w:t>
      </w:r>
      <w:r w:rsidRPr="003D1833">
        <w:t>8 weeks.</w:t>
      </w:r>
    </w:p>
    <w:p w:rsidR="002E5CF1" w:rsidRDefault="002E5CF1" w:rsidP="007677A2">
      <w:r w:rsidRPr="003D1833">
        <w:t xml:space="preserve">Subjects on &lt;1500 mg/day of metformin with an </w:t>
      </w:r>
      <w:r>
        <w:t>HbA1c</w:t>
      </w:r>
      <w:r w:rsidRPr="003D1833">
        <w:t xml:space="preserve"> of </w:t>
      </w:r>
      <w:r w:rsidR="002E1032">
        <w:rPr>
          <w:color w:val="000000"/>
        </w:rPr>
        <w:t xml:space="preserve">≥ </w:t>
      </w:r>
      <w:r w:rsidRPr="003D1833">
        <w:t>8.0 and</w:t>
      </w:r>
      <w:r>
        <w:t xml:space="preserve"> </w:t>
      </w:r>
      <w:r w:rsidR="003B751A">
        <w:t xml:space="preserve">≤ </w:t>
      </w:r>
      <w:r w:rsidRPr="003D1833">
        <w:t>11.5% (</w:t>
      </w:r>
      <w:r w:rsidR="002E1032">
        <w:rPr>
          <w:color w:val="000000"/>
        </w:rPr>
        <w:t xml:space="preserve">≥ </w:t>
      </w:r>
      <w:r w:rsidRPr="003D1833">
        <w:t xml:space="preserve">64 and </w:t>
      </w:r>
      <w:r w:rsidR="003B751A">
        <w:t xml:space="preserve">≤ </w:t>
      </w:r>
      <w:r w:rsidRPr="003D1833">
        <w:t>102 mmol/mol) entered a diet/exercise run-in and</w:t>
      </w:r>
      <w:r>
        <w:t xml:space="preserve"> </w:t>
      </w:r>
      <w:r w:rsidRPr="003D1833">
        <w:t>metformin titration (</w:t>
      </w:r>
      <w:r w:rsidR="003B751A">
        <w:t xml:space="preserve">≤ </w:t>
      </w:r>
      <w:r w:rsidR="007677A2">
        <w:t xml:space="preserve">4 weeks)/dose </w:t>
      </w:r>
      <w:r w:rsidRPr="003D1833">
        <w:t>stabil</w:t>
      </w:r>
      <w:r>
        <w:t>isa</w:t>
      </w:r>
      <w:r w:rsidRPr="003D1833">
        <w:t>tion (</w:t>
      </w:r>
      <w:r w:rsidR="002E1032">
        <w:rPr>
          <w:color w:val="000000"/>
        </w:rPr>
        <w:t xml:space="preserve">≥ </w:t>
      </w:r>
      <w:r w:rsidRPr="003D1833">
        <w:t>8 weeks) period.</w:t>
      </w:r>
      <w:r>
        <w:t xml:space="preserve"> </w:t>
      </w:r>
      <w:r w:rsidRPr="003D1833">
        <w:t>After the metformin ti</w:t>
      </w:r>
      <w:r w:rsidR="007677A2">
        <w:t xml:space="preserve">tration (if necessary) and dose </w:t>
      </w:r>
      <w:r w:rsidRPr="003D1833">
        <w:t>stabil</w:t>
      </w:r>
      <w:r>
        <w:t>isa</w:t>
      </w:r>
      <w:r w:rsidRPr="003D1833">
        <w:t>tion</w:t>
      </w:r>
      <w:r>
        <w:t xml:space="preserve"> </w:t>
      </w:r>
      <w:r w:rsidRPr="003D1833">
        <w:t xml:space="preserve">periods, subjects who had an </w:t>
      </w:r>
      <w:r>
        <w:t>HbA1c</w:t>
      </w:r>
      <w:r w:rsidRPr="003D1833">
        <w:t xml:space="preserve"> of </w:t>
      </w:r>
      <w:r w:rsidR="002E1032">
        <w:rPr>
          <w:color w:val="000000"/>
        </w:rPr>
        <w:t xml:space="preserve">≥ </w:t>
      </w:r>
      <w:r w:rsidRPr="003D1833">
        <w:t xml:space="preserve">7.5 and </w:t>
      </w:r>
      <w:r w:rsidR="003B751A">
        <w:t xml:space="preserve">≤ </w:t>
      </w:r>
      <w:r w:rsidRPr="003D1833">
        <w:t>11% (</w:t>
      </w:r>
      <w:r w:rsidR="002E1032">
        <w:rPr>
          <w:color w:val="000000"/>
        </w:rPr>
        <w:t xml:space="preserve">≥ </w:t>
      </w:r>
      <w:r w:rsidRPr="003D1833">
        <w:t xml:space="preserve">58 and </w:t>
      </w:r>
      <w:r w:rsidR="003B751A">
        <w:t xml:space="preserve">≤ </w:t>
      </w:r>
      <w:r w:rsidRPr="003D1833">
        <w:t>97</w:t>
      </w:r>
      <w:r>
        <w:t xml:space="preserve"> </w:t>
      </w:r>
      <w:r w:rsidRPr="003D1833">
        <w:t>mmol/mol) entered a 2</w:t>
      </w:r>
      <w:r w:rsidR="00833C92">
        <w:t xml:space="preserve"> week</w:t>
      </w:r>
      <w:r w:rsidRPr="003D1833">
        <w:t xml:space="preserve">, </w:t>
      </w:r>
      <w:r w:rsidR="00FB1E32">
        <w:t>single blind</w:t>
      </w:r>
      <w:r w:rsidRPr="003D1833">
        <w:t>, placebo run-in period.</w:t>
      </w:r>
      <w:r>
        <w:t xml:space="preserve"> </w:t>
      </w:r>
      <w:r w:rsidRPr="003D1833">
        <w:t>Subjects with adequate compliance during the placebo run-in and who</w:t>
      </w:r>
      <w:r>
        <w:t xml:space="preserve"> </w:t>
      </w:r>
      <w:r w:rsidRPr="003D1833">
        <w:t>met all other entry criteria were eligible to enter the 52</w:t>
      </w:r>
      <w:r w:rsidR="00833C92">
        <w:t xml:space="preserve"> week</w:t>
      </w:r>
      <w:r w:rsidRPr="003D1833">
        <w:t xml:space="preserve"> </w:t>
      </w:r>
      <w:r w:rsidR="00FB1E32">
        <w:t>double blind</w:t>
      </w:r>
      <w:r>
        <w:t xml:space="preserve"> </w:t>
      </w:r>
      <w:r w:rsidRPr="003D1833">
        <w:t xml:space="preserve">treatment period and were </w:t>
      </w:r>
      <w:r>
        <w:t>randomised</w:t>
      </w:r>
      <w:r w:rsidRPr="003D1833">
        <w:t xml:space="preserve"> in an equal ratio to 1 of 5</w:t>
      </w:r>
      <w:r>
        <w:t xml:space="preserve"> </w:t>
      </w:r>
      <w:r w:rsidRPr="003D1833">
        <w:t>groups:</w:t>
      </w:r>
      <w:r>
        <w:t xml:space="preserve"> (1) </w:t>
      </w:r>
      <w:r w:rsidRPr="003D1833">
        <w:t xml:space="preserve">ertugliflozin 5 mg </w:t>
      </w:r>
      <w:r w:rsidR="00337E5F">
        <w:t>QD</w:t>
      </w:r>
      <w:r w:rsidR="007677A2">
        <w:t>,</w:t>
      </w:r>
      <w:r>
        <w:t xml:space="preserve"> </w:t>
      </w:r>
      <w:r w:rsidRPr="00710DBA">
        <w:t xml:space="preserve">sitagliptin 100 mg </w:t>
      </w:r>
      <w:r w:rsidR="00337E5F" w:rsidRPr="00710DBA">
        <w:t>QD</w:t>
      </w:r>
      <w:r w:rsidRPr="00710DBA">
        <w:t xml:space="preserve"> (E5/S100), (2) ertugliflozin 15 mg </w:t>
      </w:r>
      <w:r w:rsidR="00337E5F" w:rsidRPr="00710DBA">
        <w:t>QD</w:t>
      </w:r>
      <w:r w:rsidRPr="00710DBA">
        <w:t xml:space="preserve"> + sitagliptin 100 mg </w:t>
      </w:r>
      <w:r w:rsidR="00337E5F" w:rsidRPr="00710DBA">
        <w:t>QD</w:t>
      </w:r>
      <w:r w:rsidRPr="00710DBA">
        <w:t xml:space="preserve"> (E15/S100), (3) ertugliflozin 5 mg </w:t>
      </w:r>
      <w:r w:rsidR="00337E5F" w:rsidRPr="00710DBA">
        <w:t>QD</w:t>
      </w:r>
      <w:r w:rsidRPr="00710DBA">
        <w:t xml:space="preserve"> (E5), (4) ertugliflozin 15 mg </w:t>
      </w:r>
      <w:r w:rsidR="00337E5F" w:rsidRPr="00710DBA">
        <w:t>QD</w:t>
      </w:r>
      <w:r w:rsidRPr="00710DBA">
        <w:t xml:space="preserve"> (E15) and (5) sitagliptin 100 mg </w:t>
      </w:r>
      <w:r w:rsidR="00337E5F" w:rsidRPr="00710DBA">
        <w:t>QD</w:t>
      </w:r>
      <w:r w:rsidRPr="00710DBA">
        <w:t xml:space="preserve"> (S100) (Figure </w:t>
      </w:r>
      <w:r w:rsidR="00710DBA" w:rsidRPr="00710DBA">
        <w:t>19</w:t>
      </w:r>
      <w:r w:rsidRPr="00710DBA">
        <w:t>).</w:t>
      </w:r>
      <w:r>
        <w:t xml:space="preserve"> </w:t>
      </w:r>
      <w:r w:rsidRPr="003D1833">
        <w:t>Subjects who met progressively more stringent glycaemic rescue</w:t>
      </w:r>
      <w:r>
        <w:t xml:space="preserve"> </w:t>
      </w:r>
      <w:r w:rsidRPr="003D1833">
        <w:t xml:space="preserve">criteria during the </w:t>
      </w:r>
      <w:r w:rsidR="00FB1E32">
        <w:t>double blind</w:t>
      </w:r>
      <w:r w:rsidRPr="003D1833">
        <w:t xml:space="preserve"> treatment period were to receive</w:t>
      </w:r>
      <w:r>
        <w:t xml:space="preserve"> </w:t>
      </w:r>
      <w:r w:rsidR="001F7376">
        <w:t>open label</w:t>
      </w:r>
      <w:r w:rsidRPr="003D1833">
        <w:t xml:space="preserve"> glimepiride (or insulin glargine if the investigator</w:t>
      </w:r>
      <w:r>
        <w:t xml:space="preserve"> </w:t>
      </w:r>
      <w:r w:rsidRPr="003D1833">
        <w:t>considered use of glimepiride to be inappropriate for the subject).</w:t>
      </w:r>
      <w:r>
        <w:t xml:space="preserve"> </w:t>
      </w:r>
      <w:r w:rsidRPr="003D1833">
        <w:t>After initiating glycaemic rescue therapy, subjects were to continue the</w:t>
      </w:r>
      <w:r>
        <w:t xml:space="preserve"> </w:t>
      </w:r>
      <w:r w:rsidRPr="003D1833">
        <w:t>same dose and regimen of their study medication and background</w:t>
      </w:r>
      <w:r>
        <w:t xml:space="preserve"> </w:t>
      </w:r>
      <w:r w:rsidRPr="003D1833">
        <w:t>metformin.</w:t>
      </w:r>
    </w:p>
    <w:p w:rsidR="00710DBA" w:rsidRDefault="00710DBA" w:rsidP="00710DBA">
      <w:pPr>
        <w:pStyle w:val="FigureTitle"/>
      </w:pPr>
      <w:r w:rsidRPr="00710DBA">
        <w:t xml:space="preserve">Figure </w:t>
      </w:r>
      <w:r>
        <w:t>19</w:t>
      </w:r>
      <w:r w:rsidRPr="00710DBA">
        <w:t>:</w:t>
      </w:r>
      <w:r>
        <w:t xml:space="preserve"> </w:t>
      </w:r>
      <w:r w:rsidRPr="00710DBA">
        <w:t>Study P005/1019 Overview of study design</w:t>
      </w:r>
    </w:p>
    <w:p w:rsidR="00710DBA" w:rsidRPr="003D1833" w:rsidRDefault="00710DBA" w:rsidP="002F6FA8">
      <w:pPr>
        <w:rPr>
          <w:rFonts w:asciiTheme="minorHAnsi" w:eastAsiaTheme="minorHAnsi" w:hAnsiTheme="minorHAnsi"/>
          <w:b/>
          <w:color w:val="000000"/>
        </w:rPr>
      </w:pPr>
      <w:r w:rsidRPr="00DE7072">
        <w:rPr>
          <w:noProof/>
          <w:lang w:eastAsia="en-AU"/>
        </w:rPr>
        <w:drawing>
          <wp:inline distT="0" distB="0" distL="0" distR="0" wp14:anchorId="5BCC1102" wp14:editId="3EB55B95">
            <wp:extent cx="5609345" cy="4161497"/>
            <wp:effectExtent l="0" t="0" r="0" b="0"/>
            <wp:docPr id="207" name="Picture 207" descr="Study P005/1019 Overview of study design&#10;Subjects on &lt;1500 mg/day of metformin with an HbA1c of ≥ 8.0 and ≤ 11.5% (≥ 64 and ≤ 102 mmol/mol) entered a diet/exercise run-in and metformin titration (≤ 4 weeks)/dose stabilisation (≥ 8 weeks) period. After the metformin titration (if necessary) and dose stabilisation periods, subjects who had an HbA1c of ≥ 7.5 and ≤ 11% (≥ 58 and ≤ 97 mmol/mol) entered a 2 week, single blind, placebo run-in period. Subjects with adequate compliance during the placebo run-in and who met all other entry criteria were eligible to enter the 52 week double blind treatment period and were randomised in an equal ratio to 1 of 5 groups: (1) ertugliflozin 5 mg QD, sitagliptin 100 mg QD (E5/S100), (2) ertugliflozin 15 mg QD + sitagliptin 100 mg QD (E15/S100), (3) ertugliflozin 5 mg QD (E5), (4) ertugliflozin 15 mg QD (E15) and (5) sitagliptin 100 mg QD (S100) (Figure 19). Subjects who met progressively more stringent glycaemic rescue criteria during the double blind treatment period were to receive open label glimepiride (or insulin glargine if the investigator considered use of glimepiride to be inappropriate for the subject). After initiating glycaemic rescue therapy, subjects were to continue the same dose and regimen of their study medication and background metfor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a:lum bright="-20000" contrast="40000"/>
                      <a:extLst>
                        <a:ext uri="{28A0092B-C50C-407E-A947-70E740481C1C}">
                          <a14:useLocalDpi xmlns:a14="http://schemas.microsoft.com/office/drawing/2010/main" val="0"/>
                        </a:ext>
                      </a:extLst>
                    </a:blip>
                    <a:srcRect l="2012" t="3903"/>
                    <a:stretch/>
                  </pic:blipFill>
                  <pic:spPr bwMode="auto">
                    <a:xfrm>
                      <a:off x="0" y="0"/>
                      <a:ext cx="5616195" cy="4166579"/>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Default="002E5CF1" w:rsidP="007677A2">
      <w:r w:rsidRPr="00541DF7">
        <w:t xml:space="preserve">The primary objectives </w:t>
      </w:r>
      <w:r>
        <w:t xml:space="preserve">were to assess the following after 26 weeks </w:t>
      </w:r>
      <w:r w:rsidRPr="00541DF7">
        <w:t>in subjects with T2DM and inadequate glycaemic co</w:t>
      </w:r>
      <w:r>
        <w:t xml:space="preserve">ntrol on metformin </w:t>
      </w:r>
      <w:r w:rsidR="002E1032">
        <w:rPr>
          <w:color w:val="000000"/>
        </w:rPr>
        <w:t xml:space="preserve">≥ </w:t>
      </w:r>
      <w:r>
        <w:t>1500 mg/day</w:t>
      </w:r>
      <w:r w:rsidRPr="00541DF7">
        <w:t>:</w:t>
      </w:r>
    </w:p>
    <w:p w:rsidR="00803C18" w:rsidRDefault="002E5CF1" w:rsidP="00710DBA">
      <w:pPr>
        <w:pStyle w:val="ListBullet"/>
      </w:pPr>
      <w:r>
        <w:lastRenderedPageBreak/>
        <w:t>HbA1c</w:t>
      </w:r>
      <w:r w:rsidRPr="00541DF7">
        <w:t>-lowering efficacy of the addition of ertugliflozin</w:t>
      </w:r>
      <w:r>
        <w:t xml:space="preserve"> </w:t>
      </w:r>
      <w:r w:rsidRPr="00541DF7">
        <w:t>15 mg once daily (</w:t>
      </w:r>
      <w:r w:rsidR="00337E5F">
        <w:t>QD</w:t>
      </w:r>
      <w:r w:rsidRPr="00541DF7">
        <w:t xml:space="preserve">) plus sitagliptin 100 mg </w:t>
      </w:r>
      <w:r w:rsidR="00337E5F">
        <w:t>QD</w:t>
      </w:r>
      <w:r w:rsidRPr="00541DF7">
        <w:t xml:space="preserve"> compared with the addition of</w:t>
      </w:r>
      <w:r>
        <w:t xml:space="preserve"> </w:t>
      </w:r>
      <w:r w:rsidRPr="00541DF7">
        <w:t xml:space="preserve">sitagliptin 100 mg </w:t>
      </w:r>
      <w:r w:rsidR="00337E5F">
        <w:t>QD</w:t>
      </w:r>
      <w:r w:rsidRPr="00541DF7">
        <w:t xml:space="preserve"> alone and also compared with addition of</w:t>
      </w:r>
      <w:r>
        <w:t xml:space="preserve"> ertugliflozin 15 </w:t>
      </w:r>
      <w:r w:rsidR="00730F18">
        <w:t>mg QD</w:t>
      </w:r>
      <w:r>
        <w:t xml:space="preserve"> alone</w:t>
      </w:r>
      <w:r w:rsidR="00803C18">
        <w:t>.</w:t>
      </w:r>
    </w:p>
    <w:p w:rsidR="002E5CF1" w:rsidRPr="00541DF7" w:rsidRDefault="002E5CF1" w:rsidP="00710DBA">
      <w:pPr>
        <w:pStyle w:val="ListBullet"/>
      </w:pPr>
      <w:r>
        <w:t>HbA1c</w:t>
      </w:r>
      <w:r w:rsidRPr="00541DF7">
        <w:t>-lowering efficacy of the addition of ertugliflozin 5 mg once daily (</w:t>
      </w:r>
      <w:r w:rsidR="00337E5F">
        <w:t>QD</w:t>
      </w:r>
      <w:r w:rsidRPr="00541DF7">
        <w:t xml:space="preserve">) plus sitagliptin 100 mg </w:t>
      </w:r>
      <w:r w:rsidR="00337E5F">
        <w:t>QD</w:t>
      </w:r>
      <w:r w:rsidRPr="00541DF7">
        <w:t xml:space="preserve"> compared with the addition of sitagliptin 100 mg </w:t>
      </w:r>
      <w:r w:rsidR="00337E5F">
        <w:t>QD</w:t>
      </w:r>
      <w:r w:rsidRPr="00541DF7">
        <w:t xml:space="preserve"> alone and also compared with addition of ertugliflozin </w:t>
      </w:r>
      <w:r>
        <w:t xml:space="preserve">5 </w:t>
      </w:r>
      <w:r w:rsidR="00730F18">
        <w:t>mg QD</w:t>
      </w:r>
      <w:r w:rsidRPr="00541DF7">
        <w:t xml:space="preserve"> alone.</w:t>
      </w:r>
    </w:p>
    <w:p w:rsidR="002E5CF1" w:rsidRPr="00541DF7" w:rsidRDefault="00710DBA" w:rsidP="00710DBA">
      <w:pPr>
        <w:pStyle w:val="ListBullet"/>
      </w:pPr>
      <w:r>
        <w:t>T</w:t>
      </w:r>
      <w:r w:rsidR="002E5CF1" w:rsidRPr="00541DF7">
        <w:t xml:space="preserve">he safety and tolerability of the addition of ertugliflozin plus sitagliptin 100 mg </w:t>
      </w:r>
      <w:r w:rsidR="00337E5F">
        <w:t>QD</w:t>
      </w:r>
      <w:r w:rsidR="002E5CF1" w:rsidRPr="00541DF7">
        <w:t xml:space="preserve">, ertugliflozin alone, and sitagliptin 100 mg </w:t>
      </w:r>
      <w:r w:rsidR="00337E5F">
        <w:t>QD</w:t>
      </w:r>
      <w:r w:rsidR="002E5CF1" w:rsidRPr="00541DF7">
        <w:t xml:space="preserve"> alone.</w:t>
      </w:r>
    </w:p>
    <w:p w:rsidR="002E5CF1" w:rsidRDefault="002E5CF1" w:rsidP="00710DBA">
      <w:pPr>
        <w:pStyle w:val="ListBullet"/>
      </w:pPr>
      <w:r w:rsidRPr="00541DF7">
        <w:t xml:space="preserve">The secondary objectives </w:t>
      </w:r>
      <w:r>
        <w:t xml:space="preserve">were to assess the following after 26 weeks </w:t>
      </w:r>
      <w:r w:rsidRPr="00541DF7">
        <w:t>in subjects with T2DM and inadequate glycaemic co</w:t>
      </w:r>
      <w:r>
        <w:t xml:space="preserve">ntrol on metformin </w:t>
      </w:r>
      <w:r w:rsidR="002E1032">
        <w:rPr>
          <w:color w:val="000000"/>
        </w:rPr>
        <w:t xml:space="preserve">≥ </w:t>
      </w:r>
      <w:r>
        <w:t>1500 mg/day</w:t>
      </w:r>
      <w:r w:rsidRPr="00541DF7">
        <w:t>:</w:t>
      </w:r>
    </w:p>
    <w:p w:rsidR="002E5CF1" w:rsidRPr="00541DF7" w:rsidRDefault="00710DBA" w:rsidP="00710DBA">
      <w:pPr>
        <w:pStyle w:val="ListBullet"/>
      </w:pPr>
      <w:r>
        <w:t>B</w:t>
      </w:r>
      <w:r w:rsidR="002E5CF1" w:rsidRPr="00541DF7">
        <w:t xml:space="preserve">ody weight lowering efficacy of the addition of ertugliflozin plus sitagliptin 100 mg </w:t>
      </w:r>
      <w:r w:rsidR="00337E5F">
        <w:t>QD</w:t>
      </w:r>
      <w:r w:rsidR="002E5CF1" w:rsidRPr="00541DF7">
        <w:t xml:space="preserve"> compared with the addition of sitagliptin 100 mg </w:t>
      </w:r>
      <w:r w:rsidR="00337E5F">
        <w:t>QD</w:t>
      </w:r>
      <w:r w:rsidR="002E5CF1" w:rsidRPr="00541DF7">
        <w:t xml:space="preserve"> alone:</w:t>
      </w:r>
    </w:p>
    <w:p w:rsidR="00803C18" w:rsidRDefault="007677A2" w:rsidP="00710DBA">
      <w:pPr>
        <w:pStyle w:val="ListBullet"/>
      </w:pPr>
      <w:r>
        <w:t xml:space="preserve">FPG </w:t>
      </w:r>
      <w:r w:rsidR="002E5CF1" w:rsidRPr="00541DF7">
        <w:t xml:space="preserve">lowering efficacy of the addition of ertugliflozin plus sitagliptin 100 mg </w:t>
      </w:r>
      <w:r w:rsidR="00337E5F">
        <w:t>QD</w:t>
      </w:r>
      <w:r w:rsidR="002E5CF1" w:rsidRPr="00541DF7">
        <w:t xml:space="preserve"> compared with the addition of ertugliflozin alone and sitagliptin 100 mg </w:t>
      </w:r>
      <w:r w:rsidR="00337E5F">
        <w:t>QD</w:t>
      </w:r>
      <w:r w:rsidR="002E5CF1" w:rsidRPr="00541DF7">
        <w:t xml:space="preserve"> alone</w:t>
      </w:r>
      <w:r w:rsidR="00803C18">
        <w:t>.</w:t>
      </w:r>
    </w:p>
    <w:p w:rsidR="00803C18" w:rsidRDefault="00710DBA" w:rsidP="00710DBA">
      <w:pPr>
        <w:pStyle w:val="ListBullet"/>
      </w:pPr>
      <w:r>
        <w:t>C</w:t>
      </w:r>
      <w:r w:rsidR="002E5CF1" w:rsidRPr="00541DF7">
        <w:t xml:space="preserve">hange from baseline SBP and DBP with the addition of ertugliflozin plus sitagliptin 100 mg </w:t>
      </w:r>
      <w:r w:rsidR="00337E5F">
        <w:t>QD</w:t>
      </w:r>
      <w:r w:rsidR="002E5CF1" w:rsidRPr="00541DF7">
        <w:t xml:space="preserve"> compared with the addition of sitagliptin 100 mg </w:t>
      </w:r>
      <w:r w:rsidR="00337E5F">
        <w:t>QD</w:t>
      </w:r>
      <w:r w:rsidR="002E5CF1" w:rsidRPr="00541DF7">
        <w:t xml:space="preserve"> alone</w:t>
      </w:r>
      <w:r w:rsidR="00803C18">
        <w:t>.</w:t>
      </w:r>
    </w:p>
    <w:p w:rsidR="002E5CF1" w:rsidRPr="00541DF7" w:rsidRDefault="00710DBA" w:rsidP="00710DBA">
      <w:pPr>
        <w:pStyle w:val="ListBullet"/>
      </w:pPr>
      <w:r>
        <w:t>T</w:t>
      </w:r>
      <w:r w:rsidR="002E5CF1" w:rsidRPr="00541DF7">
        <w:t xml:space="preserve">he proportion of subjects at target </w:t>
      </w:r>
      <w:r w:rsidR="002E5CF1">
        <w:t>HbA1c</w:t>
      </w:r>
      <w:r w:rsidR="002E5CF1" w:rsidRPr="00541DF7">
        <w:t xml:space="preserve"> control (</w:t>
      </w:r>
      <w:r w:rsidR="00FB1E32">
        <w:t>HbA1c &lt; 7.0%</w:t>
      </w:r>
      <w:r w:rsidR="002E5CF1">
        <w:t xml:space="preserve"> </w:t>
      </w:r>
      <w:r w:rsidR="00424310">
        <w:t>(</w:t>
      </w:r>
      <w:r w:rsidR="002E5CF1" w:rsidRPr="00541DF7">
        <w:t>&lt;</w:t>
      </w:r>
      <w:r w:rsidR="007677A2">
        <w:t xml:space="preserve"> </w:t>
      </w:r>
      <w:r w:rsidR="002E5CF1" w:rsidRPr="00541DF7">
        <w:t>53 mmol/mol</w:t>
      </w:r>
      <w:r w:rsidR="00424310">
        <w:t>)</w:t>
      </w:r>
      <w:r w:rsidR="002E5CF1" w:rsidRPr="00541DF7">
        <w:t xml:space="preserve">) with the addition of ertugliflozin plus sitagliptin 100 mg </w:t>
      </w:r>
      <w:r w:rsidR="00337E5F">
        <w:t>QD</w:t>
      </w:r>
      <w:r w:rsidR="002E5CF1">
        <w:t xml:space="preserve"> </w:t>
      </w:r>
      <w:r w:rsidR="002E5CF1" w:rsidRPr="00541DF7">
        <w:t xml:space="preserve">compared with the addition of ertugliflozin alone and sitagliptin 100 mg </w:t>
      </w:r>
      <w:r w:rsidR="00337E5F">
        <w:t>QD</w:t>
      </w:r>
      <w:r w:rsidR="002E5CF1" w:rsidRPr="00541DF7">
        <w:t xml:space="preserve"> alone.</w:t>
      </w:r>
    </w:p>
    <w:p w:rsidR="002E5CF1" w:rsidRPr="00541DF7" w:rsidRDefault="00710DBA" w:rsidP="00710DBA">
      <w:pPr>
        <w:pStyle w:val="ListBullet"/>
      </w:pPr>
      <w:r>
        <w:t>T</w:t>
      </w:r>
      <w:r w:rsidR="002E5CF1" w:rsidRPr="00541DF7">
        <w:t>he efficacy of the addition of ertugliflozin plus sitagliptin</w:t>
      </w:r>
      <w:r w:rsidR="002E5CF1">
        <w:t xml:space="preserve"> </w:t>
      </w:r>
      <w:r w:rsidR="002E5CF1" w:rsidRPr="00541DF7">
        <w:t xml:space="preserve">100 mg </w:t>
      </w:r>
      <w:r w:rsidR="00337E5F">
        <w:t>QD</w:t>
      </w:r>
      <w:r w:rsidR="002E5CF1" w:rsidRPr="00541DF7">
        <w:t xml:space="preserve"> compared with the addition of sitagliptin 100 mg </w:t>
      </w:r>
      <w:r w:rsidR="00337E5F">
        <w:t>QD</w:t>
      </w:r>
      <w:r w:rsidR="002E5CF1" w:rsidRPr="00541DF7">
        <w:t xml:space="preserve"> alone and</w:t>
      </w:r>
      <w:r w:rsidR="002E5CF1">
        <w:t xml:space="preserve"> </w:t>
      </w:r>
      <w:r w:rsidR="002E5CF1" w:rsidRPr="00541DF7">
        <w:t>ertugliflozin alone on the proportion of subjects who initiate glycaemic rescue</w:t>
      </w:r>
      <w:r w:rsidR="002E5CF1">
        <w:t xml:space="preserve"> </w:t>
      </w:r>
      <w:r w:rsidR="002E5CF1" w:rsidRPr="00541DF7">
        <w:t>medication and time to rescue.</w:t>
      </w:r>
    </w:p>
    <w:p w:rsidR="00803C18" w:rsidRDefault="002E5CF1" w:rsidP="007677A2">
      <w:r w:rsidRPr="00BF154F">
        <w:t>Other objectives in the subset of subjects who undergo a frequently-sampled mixed meal tolerance test (MMTT), after 26 weeks were to assess the effect on a dynamic measure of beta cell function, indices</w:t>
      </w:r>
      <w:r w:rsidR="007677A2">
        <w:t xml:space="preserve"> of insulin resistance and on 2 </w:t>
      </w:r>
      <w:r w:rsidRPr="00BF154F">
        <w:t>hour post-prandial glucose and on total</w:t>
      </w:r>
      <w:r w:rsidR="007677A2">
        <w:t xml:space="preserve"> and incremental glucose AUC (0 to </w:t>
      </w:r>
      <w:r w:rsidRPr="00BF154F">
        <w:t xml:space="preserve">180) during an MMTT with the addition of ertugliflozin plus sitagliptin 100 mg </w:t>
      </w:r>
      <w:r w:rsidR="00337E5F">
        <w:t>QD</w:t>
      </w:r>
      <w:r w:rsidRPr="00BF154F">
        <w:t xml:space="preserve"> compared with the addition of ertugliflozin alone and sitag</w:t>
      </w:r>
      <w:r w:rsidR="007677A2">
        <w:t>liptin 100 mg </w:t>
      </w:r>
      <w:r w:rsidR="00337E5F">
        <w:t>QD</w:t>
      </w:r>
      <w:r w:rsidRPr="00BF154F">
        <w:t xml:space="preserve"> alone</w:t>
      </w:r>
      <w:r>
        <w:t xml:space="preserve">. </w:t>
      </w:r>
      <w:r w:rsidRPr="003D1833">
        <w:t xml:space="preserve">The trial was conducted </w:t>
      </w:r>
      <w:r>
        <w:t>from 29 April 2014 to 11 Nov</w:t>
      </w:r>
      <w:r w:rsidR="007677A2">
        <w:t>ember</w:t>
      </w:r>
      <w:r>
        <w:t xml:space="preserve"> 2015 (end of Phase A) </w:t>
      </w:r>
      <w:r w:rsidRPr="003D1833">
        <w:t>in 21 coun</w:t>
      </w:r>
      <w:r>
        <w:t>tries, including 242 trial centres</w:t>
      </w:r>
      <w:r w:rsidR="007677A2">
        <w:t>.</w:t>
      </w:r>
      <w:r>
        <w:rPr>
          <w:rStyle w:val="FootnoteReference"/>
          <w:rFonts w:asciiTheme="minorHAnsi" w:eastAsiaTheme="minorHAnsi" w:hAnsiTheme="minorHAnsi"/>
        </w:rPr>
        <w:footnoteReference w:id="21"/>
      </w:r>
    </w:p>
    <w:p w:rsidR="002E5CF1" w:rsidRDefault="00710DBA" w:rsidP="00710DBA">
      <w:pPr>
        <w:pStyle w:val="Heading5"/>
      </w:pPr>
      <w:r>
        <w:t>Inclusion exclusion criteria</w:t>
      </w:r>
    </w:p>
    <w:p w:rsidR="002E5CF1" w:rsidRPr="00BA0321" w:rsidRDefault="002E5CF1" w:rsidP="007677A2">
      <w:r w:rsidRPr="00BA0321">
        <w:t xml:space="preserve">The main inclusion criteria were be </w:t>
      </w:r>
      <w:r w:rsidR="002E1032">
        <w:t xml:space="preserve">≥ </w:t>
      </w:r>
      <w:r w:rsidRPr="00BA0321">
        <w:t xml:space="preserve">18 years of age, BMI </w:t>
      </w:r>
      <w:r w:rsidR="007677A2">
        <w:t xml:space="preserve">≥ </w:t>
      </w:r>
      <w:r w:rsidRPr="00BA0321">
        <w:t>18</w:t>
      </w:r>
      <w:r w:rsidR="007677A2">
        <w:t xml:space="preserve"> </w:t>
      </w:r>
      <w:r w:rsidRPr="00BA0321">
        <w:t>kg/m</w:t>
      </w:r>
      <w:r w:rsidRPr="00BA0321">
        <w:rPr>
          <w:vertAlign w:val="superscript"/>
        </w:rPr>
        <w:t>2</w:t>
      </w:r>
      <w:r w:rsidRPr="00BA0321">
        <w:t xml:space="preserve"> with diagnosis of T2DM in accordance with A</w:t>
      </w:r>
      <w:r>
        <w:t>DA</w:t>
      </w:r>
      <w:r w:rsidRPr="00BA0321">
        <w:t xml:space="preserve"> guidelines and meeting o</w:t>
      </w:r>
      <w:r w:rsidR="007677A2">
        <w:t xml:space="preserve">ne of the following criteria: </w:t>
      </w:r>
      <w:r w:rsidRPr="00BA0321">
        <w:t>On metformin monotherapy (</w:t>
      </w:r>
      <w:r w:rsidR="002E1032">
        <w:t xml:space="preserve">≥ </w:t>
      </w:r>
      <w:r w:rsidRPr="00BA0321">
        <w:t xml:space="preserve">1500 mg/day) for </w:t>
      </w:r>
      <w:r w:rsidR="002E1032">
        <w:t xml:space="preserve">≥ </w:t>
      </w:r>
      <w:r w:rsidRPr="00BA0321">
        <w:t xml:space="preserve">8 weeks with a Visit 1/Screening </w:t>
      </w:r>
      <w:r>
        <w:t>HbA1c</w:t>
      </w:r>
      <w:r w:rsidRPr="00BA0321">
        <w:t xml:space="preserve"> </w:t>
      </w:r>
      <w:r w:rsidR="002E1032">
        <w:t xml:space="preserve">≥ </w:t>
      </w:r>
      <w:r w:rsidRPr="00BA0321">
        <w:t xml:space="preserve">7.5% and </w:t>
      </w:r>
      <w:r w:rsidR="007677A2">
        <w:t>≤ </w:t>
      </w:r>
      <w:r w:rsidRPr="00BA0321">
        <w:t>11.0% (</w:t>
      </w:r>
      <w:r w:rsidR="002E1032">
        <w:t xml:space="preserve">≥ </w:t>
      </w:r>
      <w:r w:rsidRPr="00BA0321">
        <w:t xml:space="preserve">58 mmol/mol and </w:t>
      </w:r>
      <w:r w:rsidR="003B751A">
        <w:t xml:space="preserve">≤ </w:t>
      </w:r>
      <w:r w:rsidRPr="00BA0321">
        <w:t>97 mmol/mol) OR -On metformin monotherapy (</w:t>
      </w:r>
      <w:r w:rsidR="007677A2">
        <w:t>≥ 1500 </w:t>
      </w:r>
      <w:r w:rsidRPr="00BA0321">
        <w:t>mg/day) for &lt;</w:t>
      </w:r>
      <w:r w:rsidR="007677A2">
        <w:t xml:space="preserve"> </w:t>
      </w:r>
      <w:r w:rsidRPr="00BA0321">
        <w:t xml:space="preserve">8 weeks with a Visit 1/Screening </w:t>
      </w:r>
      <w:r>
        <w:t>HbA1c</w:t>
      </w:r>
      <w:r w:rsidRPr="00BA0321">
        <w:t xml:space="preserve"> </w:t>
      </w:r>
      <w:r w:rsidR="002E1032">
        <w:t xml:space="preserve">≥ </w:t>
      </w:r>
      <w:r w:rsidRPr="00BA0321">
        <w:t xml:space="preserve">7.5% and </w:t>
      </w:r>
      <w:r w:rsidR="003B751A">
        <w:t xml:space="preserve">≤ </w:t>
      </w:r>
      <w:r w:rsidRPr="00BA0321">
        <w:t>11.0% (</w:t>
      </w:r>
      <w:r w:rsidR="007677A2">
        <w:t>≥ 58 </w:t>
      </w:r>
      <w:r w:rsidRPr="00BA0321">
        <w:t xml:space="preserve">mmol/mol and </w:t>
      </w:r>
      <w:r w:rsidR="003B751A">
        <w:t xml:space="preserve">≤ </w:t>
      </w:r>
      <w:r w:rsidRPr="00BA0321">
        <w:t>97 mmol/mol) OR -On metformin monotherapy &lt;</w:t>
      </w:r>
      <w:r w:rsidR="007677A2">
        <w:t xml:space="preserve"> </w:t>
      </w:r>
      <w:r w:rsidRPr="00BA0321">
        <w:t xml:space="preserve">1500 mg/day with a Visit 1/Screening </w:t>
      </w:r>
      <w:r>
        <w:t>HbA1c</w:t>
      </w:r>
      <w:r w:rsidRPr="00BA0321">
        <w:t xml:space="preserve"> </w:t>
      </w:r>
      <w:r w:rsidR="002E1032">
        <w:t xml:space="preserve">≥ </w:t>
      </w:r>
      <w:r w:rsidRPr="00BA0321">
        <w:t xml:space="preserve">8.0% and </w:t>
      </w:r>
      <w:r w:rsidR="003B751A">
        <w:t xml:space="preserve">≤ </w:t>
      </w:r>
      <w:r w:rsidRPr="00BA0321">
        <w:t>11.5% (</w:t>
      </w:r>
      <w:r w:rsidR="002E1032">
        <w:t xml:space="preserve">≥ </w:t>
      </w:r>
      <w:r w:rsidRPr="00BA0321">
        <w:t xml:space="preserve">64 mmol/mol and </w:t>
      </w:r>
      <w:r w:rsidR="003B751A">
        <w:t xml:space="preserve">≤ </w:t>
      </w:r>
      <w:r w:rsidRPr="00BA0321">
        <w:t>102 mmol/mol).</w:t>
      </w:r>
      <w:r>
        <w:t xml:space="preserve"> Other inclusion criteria were &gt;</w:t>
      </w:r>
      <w:r w:rsidR="007677A2">
        <w:t xml:space="preserve"> </w:t>
      </w:r>
      <w:r>
        <w:t xml:space="preserve">80% compliance with the placebo run-in medication (as determined by site-performed pill count). </w:t>
      </w:r>
      <w:r w:rsidRPr="00BA0321">
        <w:t xml:space="preserve">Other inclusion and exclusion </w:t>
      </w:r>
      <w:r>
        <w:t>c</w:t>
      </w:r>
      <w:r w:rsidRPr="00BA0321">
        <w:t>riteria were similar to those dis</w:t>
      </w:r>
      <w:r w:rsidR="007677A2">
        <w:t>cussed in section 7.2.1.2</w:t>
      </w:r>
      <w:r>
        <w:t xml:space="preserve"> </w:t>
      </w:r>
      <w:r w:rsidRPr="00BA0321">
        <w:t xml:space="preserve">with exception that </w:t>
      </w:r>
      <w:r>
        <w:t xml:space="preserve">subjects with </w:t>
      </w:r>
      <w:r w:rsidRPr="00BA0321">
        <w:t>known hypersensitivity or intolerance to any SGLT2 inhibitor or sitagliptin</w:t>
      </w:r>
      <w:r>
        <w:t xml:space="preserve"> were also excluded.</w:t>
      </w:r>
    </w:p>
    <w:p w:rsidR="002E5CF1" w:rsidRDefault="002E5CF1" w:rsidP="00AB4867">
      <w:pPr>
        <w:pStyle w:val="Heading5"/>
      </w:pPr>
      <w:r>
        <w:t>Study treatments</w:t>
      </w:r>
    </w:p>
    <w:p w:rsidR="00AB4867" w:rsidRPr="00AB4867" w:rsidRDefault="002E5CF1" w:rsidP="007677A2">
      <w:r w:rsidRPr="00847266">
        <w:t xml:space="preserve">Treatments used in the study are </w:t>
      </w:r>
      <w:r w:rsidRPr="00AB4867">
        <w:t xml:space="preserve">summarised in Table </w:t>
      </w:r>
      <w:r w:rsidR="00AB4867" w:rsidRPr="00AB4867">
        <w:t>59.</w:t>
      </w:r>
    </w:p>
    <w:p w:rsidR="00AB4867" w:rsidRPr="00DE7072" w:rsidRDefault="00AB4867" w:rsidP="00AB4867">
      <w:pPr>
        <w:pStyle w:val="Tabletitle"/>
      </w:pPr>
      <w:bookmarkStart w:id="473" w:name="_Ref492028195"/>
      <w:bookmarkStart w:id="474" w:name="_Toc504038485"/>
      <w:r w:rsidRPr="00DE7072">
        <w:lastRenderedPageBreak/>
        <w:t xml:space="preserve">Table </w:t>
      </w:r>
      <w:r>
        <w:t>59</w:t>
      </w:r>
      <w:r w:rsidRPr="00DE7072">
        <w:t>:</w:t>
      </w:r>
      <w:r>
        <w:t xml:space="preserve"> </w:t>
      </w:r>
      <w:r w:rsidRPr="00DE7072">
        <w:t>Trial treatments</w:t>
      </w:r>
      <w:bookmarkEnd w:id="473"/>
      <w:bookmarkEnd w:id="474"/>
    </w:p>
    <w:p w:rsidR="00AB4867" w:rsidRPr="00DE7072" w:rsidRDefault="00AB4867" w:rsidP="002F6FA8">
      <w:r w:rsidRPr="00DE7072">
        <w:rPr>
          <w:noProof/>
          <w:lang w:eastAsia="en-AU"/>
        </w:rPr>
        <w:drawing>
          <wp:inline distT="0" distB="0" distL="0" distR="0" wp14:anchorId="4E874582" wp14:editId="36827906">
            <wp:extent cx="4224527" cy="5009990"/>
            <wp:effectExtent l="0" t="0" r="5080" b="635"/>
            <wp:docPr id="210" name="Picture 210" descr="Trial 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lum bright="-20000" contrast="40000"/>
                      <a:extLst>
                        <a:ext uri="{28A0092B-C50C-407E-A947-70E740481C1C}">
                          <a14:useLocalDpi xmlns:a14="http://schemas.microsoft.com/office/drawing/2010/main" val="0"/>
                        </a:ext>
                      </a:extLst>
                    </a:blip>
                    <a:srcRect/>
                    <a:stretch>
                      <a:fillRect/>
                    </a:stretch>
                  </pic:blipFill>
                  <pic:spPr bwMode="auto">
                    <a:xfrm>
                      <a:off x="0" y="0"/>
                      <a:ext cx="4225378" cy="5010999"/>
                    </a:xfrm>
                    <a:prstGeom prst="rect">
                      <a:avLst/>
                    </a:prstGeom>
                    <a:noFill/>
                    <a:ln>
                      <a:noFill/>
                    </a:ln>
                  </pic:spPr>
                </pic:pic>
              </a:graphicData>
            </a:graphic>
          </wp:inline>
        </w:drawing>
      </w:r>
    </w:p>
    <w:p w:rsidR="002E5CF1" w:rsidRDefault="002E5CF1" w:rsidP="007677A2">
      <w:r w:rsidRPr="00847266">
        <w:t xml:space="preserve">During the placebo run-in and </w:t>
      </w:r>
      <w:r w:rsidR="00FB1E32">
        <w:t>double blind</w:t>
      </w:r>
      <w:r w:rsidRPr="00847266">
        <w:t xml:space="preserve"> treatment periods, subjects were to take 3 oral</w:t>
      </w:r>
      <w:r>
        <w:t xml:space="preserve"> </w:t>
      </w:r>
      <w:r w:rsidRPr="00847266">
        <w:t>tablets of study medication once daily in the morning, including ertugliflozin 5 mg or</w:t>
      </w:r>
      <w:r>
        <w:t xml:space="preserve"> </w:t>
      </w:r>
      <w:r w:rsidRPr="00847266">
        <w:t>matching placebo tablet, ertugliflozin 10 mg or matching placebo tablet, and sitagliptin</w:t>
      </w:r>
      <w:r>
        <w:t xml:space="preserve"> </w:t>
      </w:r>
      <w:r w:rsidRPr="00847266">
        <w:t>100 mg or matching placebo tablet.</w:t>
      </w:r>
      <w:r>
        <w:t xml:space="preserve"> </w:t>
      </w:r>
      <w:r w:rsidRPr="00847266">
        <w:t xml:space="preserve">The first doses of </w:t>
      </w:r>
      <w:r w:rsidR="00FB1E32">
        <w:t>single blind</w:t>
      </w:r>
      <w:r w:rsidRPr="00847266">
        <w:t xml:space="preserve"> matching placebo for ertugliflozin and matching placebo for</w:t>
      </w:r>
      <w:r>
        <w:t xml:space="preserve"> </w:t>
      </w:r>
      <w:r w:rsidRPr="00847266">
        <w:t xml:space="preserve">sitagliptin were </w:t>
      </w:r>
      <w:r w:rsidRPr="000612CF">
        <w:t xml:space="preserve">to be administered at the trial site as witnessed doses at Visit 3/Week -2 or combined Visit 2/3. </w:t>
      </w:r>
      <w:r w:rsidRPr="000612CF">
        <w:rPr>
          <w:color w:val="000000"/>
        </w:rPr>
        <w:t xml:space="preserve">During the </w:t>
      </w:r>
      <w:r w:rsidR="00FB1E32">
        <w:rPr>
          <w:color w:val="000000"/>
        </w:rPr>
        <w:t>double blind</w:t>
      </w:r>
      <w:r w:rsidRPr="000612CF">
        <w:rPr>
          <w:color w:val="000000"/>
        </w:rPr>
        <w:t xml:space="preserve"> treatment period, subjects who met progressively more stringent</w:t>
      </w:r>
      <w:r>
        <w:rPr>
          <w:color w:val="000000"/>
        </w:rPr>
        <w:t xml:space="preserve"> </w:t>
      </w:r>
      <w:r w:rsidRPr="000612CF">
        <w:rPr>
          <w:color w:val="000000"/>
        </w:rPr>
        <w:t xml:space="preserve">glycaemic rescue </w:t>
      </w:r>
      <w:r w:rsidRPr="00AB4867">
        <w:rPr>
          <w:color w:val="000000"/>
        </w:rPr>
        <w:t xml:space="preserve">criteria (Table </w:t>
      </w:r>
      <w:r w:rsidR="00AB4867" w:rsidRPr="00AB4867">
        <w:rPr>
          <w:color w:val="000000"/>
        </w:rPr>
        <w:t>60</w:t>
      </w:r>
      <w:r w:rsidRPr="00AB4867">
        <w:rPr>
          <w:color w:val="000000"/>
        </w:rPr>
        <w:t>) we</w:t>
      </w:r>
      <w:r w:rsidRPr="000612CF">
        <w:rPr>
          <w:color w:val="000000"/>
        </w:rPr>
        <w:t xml:space="preserve">re to receive </w:t>
      </w:r>
      <w:r w:rsidR="001F7376">
        <w:rPr>
          <w:color w:val="000000"/>
        </w:rPr>
        <w:t>open label</w:t>
      </w:r>
      <w:r w:rsidRPr="000612CF">
        <w:rPr>
          <w:color w:val="000000"/>
        </w:rPr>
        <w:t xml:space="preserve"> glimepiride rescue</w:t>
      </w:r>
      <w:r>
        <w:rPr>
          <w:color w:val="000000"/>
        </w:rPr>
        <w:t xml:space="preserve"> </w:t>
      </w:r>
      <w:r w:rsidRPr="000612CF">
        <w:rPr>
          <w:color w:val="000000"/>
        </w:rPr>
        <w:t xml:space="preserve">medication (or insulin glargine, if </w:t>
      </w:r>
      <w:r w:rsidR="001F7376">
        <w:rPr>
          <w:color w:val="000000"/>
        </w:rPr>
        <w:t>open label</w:t>
      </w:r>
      <w:r w:rsidRPr="000612CF">
        <w:rPr>
          <w:color w:val="000000"/>
        </w:rPr>
        <w:t xml:space="preserve"> glimepiride was not considered appropriate).</w:t>
      </w:r>
      <w:r>
        <w:rPr>
          <w:color w:val="000000"/>
        </w:rPr>
        <w:t xml:space="preserve"> </w:t>
      </w:r>
      <w:r w:rsidRPr="000612CF">
        <w:t xml:space="preserve">The first doses of </w:t>
      </w:r>
      <w:r w:rsidR="00FB1E32">
        <w:t>double blind</w:t>
      </w:r>
      <w:r w:rsidRPr="000612CF">
        <w:t xml:space="preserve"> ertugliflozin or matching placebo and sitagliptin or matching placebo were to be administered at the trial site as witnessed doses at Visit 4/Day 1. Subsequent dosing was to be performed once daily by the subject at approximately the same time each day in the morning without regard to timing of meal administration (except where noted below for the MMTT).</w:t>
      </w:r>
      <w:r w:rsidRPr="00847266">
        <w:t xml:space="preserve"> On the days of clinic visits, subjects were to take their study medication,</w:t>
      </w:r>
      <w:r>
        <w:t xml:space="preserve"> </w:t>
      </w:r>
      <w:r w:rsidRPr="00847266">
        <w:t>as well as background metformin and glimepiride (or insulin glargine) rescue therapy (if</w:t>
      </w:r>
      <w:r>
        <w:t xml:space="preserve"> </w:t>
      </w:r>
      <w:r w:rsidRPr="00847266">
        <w:t>applicable), after all study procedures were completed. However, for the subset of subjects</w:t>
      </w:r>
      <w:r>
        <w:t xml:space="preserve"> </w:t>
      </w:r>
      <w:r w:rsidRPr="00847266">
        <w:t>participating in the MMTT, at Visit 8/Week 26 (or Rescue/Discontinuation Visit occurring in</w:t>
      </w:r>
      <w:r>
        <w:t xml:space="preserve"> </w:t>
      </w:r>
      <w:r w:rsidRPr="00847266">
        <w:t>Phase A), study medication was taken as part of the MMTT on the day of the visit</w:t>
      </w:r>
      <w:r w:rsidR="00AB4867">
        <w:t>.</w:t>
      </w:r>
    </w:p>
    <w:p w:rsidR="00AB4867" w:rsidRPr="00DE7072" w:rsidRDefault="00AB4867" w:rsidP="00AB4867">
      <w:pPr>
        <w:pStyle w:val="Tabletitle"/>
      </w:pPr>
      <w:bookmarkStart w:id="475" w:name="_Ref492028202"/>
      <w:bookmarkStart w:id="476" w:name="_Toc504038486"/>
      <w:r w:rsidRPr="00DE7072">
        <w:lastRenderedPageBreak/>
        <w:t xml:space="preserve">Table </w:t>
      </w:r>
      <w:r>
        <w:t>60</w:t>
      </w:r>
      <w:r w:rsidRPr="00DE7072">
        <w:t>: Glycaemic thresholds for rescue</w:t>
      </w:r>
      <w:bookmarkEnd w:id="475"/>
      <w:bookmarkEnd w:id="476"/>
    </w:p>
    <w:p w:rsidR="00AB4867" w:rsidRPr="00DE7072" w:rsidRDefault="00AB4867" w:rsidP="007A1A22">
      <w:r w:rsidRPr="00DE7072">
        <w:rPr>
          <w:noProof/>
          <w:lang w:eastAsia="en-AU"/>
        </w:rPr>
        <w:drawing>
          <wp:inline distT="0" distB="0" distL="0" distR="0" wp14:anchorId="4669AB21" wp14:editId="5ED6E38F">
            <wp:extent cx="5731510" cy="1697962"/>
            <wp:effectExtent l="0" t="0" r="2540" b="0"/>
            <wp:docPr id="214" name="Picture 214" descr="Glycaemic thresholds for resc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1697962"/>
                    </a:xfrm>
                    <a:prstGeom prst="rect">
                      <a:avLst/>
                    </a:prstGeom>
                    <a:noFill/>
                    <a:ln>
                      <a:noFill/>
                    </a:ln>
                  </pic:spPr>
                </pic:pic>
              </a:graphicData>
            </a:graphic>
          </wp:inline>
        </w:drawing>
      </w:r>
    </w:p>
    <w:p w:rsidR="002E5CF1" w:rsidRPr="003217D5" w:rsidRDefault="002E5CF1" w:rsidP="007677A2">
      <w:pPr>
        <w:rPr>
          <w:b/>
          <w:color w:val="000000"/>
        </w:rPr>
      </w:pPr>
      <w:r w:rsidRPr="003217D5">
        <w:t>The investigator or subject’s physician/health care provider was permitted to make</w:t>
      </w:r>
      <w:r>
        <w:t xml:space="preserve"> </w:t>
      </w:r>
      <w:r w:rsidRPr="003217D5">
        <w:t>adjustments in the subject’s non-AHA therapies throughout the trial if clinically warranted.</w:t>
      </w:r>
      <w:r>
        <w:t xml:space="preserve"> </w:t>
      </w:r>
      <w:r w:rsidRPr="003217D5">
        <w:t>Guidance for specific medications which w</w:t>
      </w:r>
      <w:r w:rsidR="007D33B0">
        <w:t>ere permitted during the study wa</w:t>
      </w:r>
      <w:r w:rsidRPr="003217D5">
        <w:t>s summarised</w:t>
      </w:r>
      <w:r w:rsidR="007D33B0">
        <w:t>.</w:t>
      </w:r>
    </w:p>
    <w:p w:rsidR="002E5CF1" w:rsidRDefault="007D33B0" w:rsidP="007D33B0">
      <w:pPr>
        <w:pStyle w:val="Heading5"/>
      </w:pPr>
      <w:r>
        <w:t>Efficacy variables and outcomes</w:t>
      </w:r>
    </w:p>
    <w:p w:rsidR="002E5CF1" w:rsidRDefault="002E5CF1" w:rsidP="007677A2">
      <w:r w:rsidRPr="001B5D81">
        <w:t xml:space="preserve">Glycaemic efficacy endpoints included the changes from baseline in </w:t>
      </w:r>
      <w:r>
        <w:t>HbA1c</w:t>
      </w:r>
      <w:r w:rsidRPr="001B5D81">
        <w:t xml:space="preserve"> and FPG at</w:t>
      </w:r>
      <w:r>
        <w:t xml:space="preserve"> </w:t>
      </w:r>
      <w:r w:rsidRPr="001B5D81">
        <w:t>Week 26. Blood pressure and body weight were measured at regular time</w:t>
      </w:r>
      <w:r w:rsidR="00AE3765">
        <w:t>-</w:t>
      </w:r>
      <w:r w:rsidRPr="001B5D81">
        <w:t>points during study. The</w:t>
      </w:r>
      <w:r>
        <w:t xml:space="preserve"> p</w:t>
      </w:r>
      <w:r w:rsidRPr="001B5D81">
        <w:t xml:space="preserve">roportion of subjects who received glycaemic rescue therapy and time to initiation of rescue were </w:t>
      </w:r>
      <w:r>
        <w:t xml:space="preserve">also </w:t>
      </w:r>
      <w:r w:rsidRPr="001B5D81">
        <w:t>assessed</w:t>
      </w:r>
      <w:r w:rsidR="007D33B0">
        <w:t>.</w:t>
      </w:r>
    </w:p>
    <w:p w:rsidR="002E5CF1" w:rsidRPr="00887C0F" w:rsidRDefault="002E5CF1" w:rsidP="007677A2">
      <w:r w:rsidRPr="001B5D81">
        <w:t>Efficacy Parameters Derived from the MMTT</w:t>
      </w:r>
      <w:r>
        <w:t xml:space="preserve">: </w:t>
      </w:r>
      <w:r w:rsidRPr="001B5D81">
        <w:t>This study included a frequently sampled MMTT at Visit 4/Day 1 and Visit 8/Week 26 (or</w:t>
      </w:r>
      <w:r>
        <w:t xml:space="preserve"> </w:t>
      </w:r>
      <w:r w:rsidRPr="001B5D81">
        <w:t>Rescue or Discontinuation Visit occurring in Phase A) for a subset of subjects who consented</w:t>
      </w:r>
      <w:r>
        <w:t xml:space="preserve"> </w:t>
      </w:r>
      <w:r w:rsidRPr="001B5D81">
        <w:t>to participate. Blood samples (for measurement of glucose, insulin, and C-peptide) were</w:t>
      </w:r>
      <w:r>
        <w:t xml:space="preserve"> </w:t>
      </w:r>
      <w:r w:rsidRPr="001B5D81">
        <w:t>collected at the following time points relative to the start of the meal: -30, 0, 15, 30, 60, 90,</w:t>
      </w:r>
      <w:r>
        <w:t xml:space="preserve"> </w:t>
      </w:r>
      <w:r w:rsidRPr="001B5D81">
        <w:t xml:space="preserve">120, and 180 minutes. Subjects were to take their </w:t>
      </w:r>
      <w:r w:rsidR="00FB1E32">
        <w:t>double blind</w:t>
      </w:r>
      <w:r w:rsidRPr="001B5D81">
        <w:t xml:space="preserve"> study medication and</w:t>
      </w:r>
      <w:r>
        <w:t xml:space="preserve"> </w:t>
      </w:r>
      <w:r w:rsidRPr="001B5D81">
        <w:t>backg</w:t>
      </w:r>
      <w:r w:rsidR="007677A2">
        <w:t xml:space="preserve">round metformin approximately 1 </w:t>
      </w:r>
      <w:r w:rsidRPr="001B5D81">
        <w:t>hour before consuming the standard meal</w:t>
      </w:r>
      <w:r w:rsidR="00E87FD9">
        <w:t>;</w:t>
      </w:r>
      <w:r>
        <w:rPr>
          <w:rStyle w:val="FootnoteReference"/>
          <w:rFonts w:asciiTheme="minorHAnsi" w:eastAsiaTheme="minorHAnsi" w:hAnsiTheme="minorHAnsi"/>
        </w:rPr>
        <w:footnoteReference w:id="22"/>
      </w:r>
      <w:r w:rsidRPr="001B5D81">
        <w:t xml:space="preserve"> at Visit</w:t>
      </w:r>
      <w:r>
        <w:t xml:space="preserve"> </w:t>
      </w:r>
      <w:r w:rsidRPr="001B5D81">
        <w:t xml:space="preserve">8/Week 26 (or Rescue or Discontinuation Visit occurring in Phase A); </w:t>
      </w:r>
      <w:r w:rsidR="00FB1E32">
        <w:t>double blind</w:t>
      </w:r>
      <w:r w:rsidRPr="001B5D81">
        <w:t xml:space="preserve"> study</w:t>
      </w:r>
      <w:r>
        <w:t xml:space="preserve"> </w:t>
      </w:r>
      <w:r w:rsidRPr="001B5D81">
        <w:t xml:space="preserve">medication and background metformin were not administered prior to the </w:t>
      </w:r>
      <w:r w:rsidRPr="00887C0F">
        <w:t>MMTT procedure at Visit 4/Day 1. Urine was also collected during the MMTT to assess UGE.</w:t>
      </w:r>
    </w:p>
    <w:p w:rsidR="002E5CF1" w:rsidRPr="00330DBF" w:rsidRDefault="002E5CF1" w:rsidP="007677A2">
      <w:r w:rsidRPr="00887C0F">
        <w:rPr>
          <w:color w:val="000000"/>
        </w:rPr>
        <w:t>Efficacy and safety endpoints that were evaluated for within- and/or between-treatment</w:t>
      </w:r>
      <w:r>
        <w:rPr>
          <w:color w:val="000000"/>
        </w:rPr>
        <w:t xml:space="preserve"> </w:t>
      </w:r>
      <w:r w:rsidRPr="00887C0F">
        <w:rPr>
          <w:color w:val="000000"/>
        </w:rPr>
        <w:t xml:space="preserve">differences are </w:t>
      </w:r>
      <w:r>
        <w:rPr>
          <w:color w:val="000000"/>
        </w:rPr>
        <w:t xml:space="preserve">summarised </w:t>
      </w:r>
      <w:r w:rsidRPr="007D33B0">
        <w:rPr>
          <w:color w:val="000000"/>
        </w:rPr>
        <w:t xml:space="preserve">in Table </w:t>
      </w:r>
      <w:r w:rsidR="007D33B0" w:rsidRPr="007D33B0">
        <w:rPr>
          <w:color w:val="000000"/>
        </w:rPr>
        <w:t>61</w:t>
      </w:r>
      <w:r w:rsidRPr="007D33B0">
        <w:rPr>
          <w:color w:val="000000"/>
        </w:rPr>
        <w:t>. The</w:t>
      </w:r>
      <w:r w:rsidRPr="00887C0F">
        <w:rPr>
          <w:color w:val="000000"/>
        </w:rPr>
        <w:t xml:space="preserve"> baseline value was defined as the Visit 4/Day 1 (</w:t>
      </w:r>
      <w:r>
        <w:rPr>
          <w:color w:val="000000"/>
        </w:rPr>
        <w:t>Randomisation</w:t>
      </w:r>
      <w:r w:rsidRPr="00887C0F">
        <w:rPr>
          <w:color w:val="000000"/>
        </w:rPr>
        <w:t>) measurement</w:t>
      </w:r>
      <w:r w:rsidR="00E87FD9">
        <w:rPr>
          <w:color w:val="000000"/>
        </w:rPr>
        <w:t>.</w:t>
      </w:r>
      <w:r>
        <w:rPr>
          <w:rStyle w:val="FootnoteReference"/>
          <w:rFonts w:asciiTheme="minorHAnsi" w:eastAsiaTheme="minorHAnsi" w:hAnsiTheme="minorHAnsi"/>
          <w:color w:val="000000"/>
        </w:rPr>
        <w:footnoteReference w:id="23"/>
      </w:r>
      <w:r w:rsidRPr="00887C0F">
        <w:rPr>
          <w:color w:val="000000"/>
        </w:rPr>
        <w:t xml:space="preserve"> For eGFR, if the baseline value was not</w:t>
      </w:r>
      <w:r>
        <w:rPr>
          <w:color w:val="000000"/>
        </w:rPr>
        <w:t xml:space="preserve"> </w:t>
      </w:r>
      <w:r w:rsidRPr="00887C0F">
        <w:rPr>
          <w:color w:val="000000"/>
        </w:rPr>
        <w:t>available, the last available pre-</w:t>
      </w:r>
      <w:r>
        <w:rPr>
          <w:color w:val="000000"/>
        </w:rPr>
        <w:t>randomisation</w:t>
      </w:r>
      <w:r w:rsidRPr="00887C0F">
        <w:rPr>
          <w:color w:val="000000"/>
        </w:rPr>
        <w:t xml:space="preserve"> measurement was used as the baseline value.</w:t>
      </w:r>
      <w:r>
        <w:rPr>
          <w:color w:val="000000"/>
        </w:rPr>
        <w:t xml:space="preserve"> </w:t>
      </w:r>
      <w:r w:rsidRPr="00887C0F">
        <w:rPr>
          <w:color w:val="000000"/>
        </w:rPr>
        <w:t>The primary time point of the trial was Week 26.</w:t>
      </w:r>
      <w:r w:rsidRPr="00330DBF">
        <w:rPr>
          <w:rFonts w:ascii="Times New Roman" w:hAnsi="Times New Roman"/>
          <w:sz w:val="24"/>
          <w:szCs w:val="24"/>
        </w:rPr>
        <w:t xml:space="preserve"> </w:t>
      </w:r>
      <w:r w:rsidRPr="00330DBF">
        <w:t>Analyses of efficacy endpoints were performed for the following treatment comparisons:</w:t>
      </w:r>
    </w:p>
    <w:p w:rsidR="00803C18" w:rsidRPr="007677A2" w:rsidRDefault="002E5CF1" w:rsidP="007677A2">
      <w:pPr>
        <w:pStyle w:val="ListBullet"/>
      </w:pPr>
      <w:r w:rsidRPr="007677A2">
        <w:t>E15/S100 group versus the S100 group and versus the E15 group separately (E15/S100 versus only the S100 group for body weight and SBP and DBP)</w:t>
      </w:r>
      <w:r w:rsidR="00803C18" w:rsidRPr="007677A2">
        <w:t>.</w:t>
      </w:r>
    </w:p>
    <w:p w:rsidR="002E5CF1" w:rsidRPr="007677A2" w:rsidRDefault="002E5CF1" w:rsidP="007677A2">
      <w:pPr>
        <w:pStyle w:val="ListBullet"/>
      </w:pPr>
      <w:r w:rsidRPr="007677A2">
        <w:t>E5/S100 group versus the S100 group and versus the E5 group separately (E5/S100 versus only the S100 group for body weight and SBP and DBP).</w:t>
      </w:r>
    </w:p>
    <w:p w:rsidR="007D33B0" w:rsidRPr="00DE7072" w:rsidRDefault="007D33B0" w:rsidP="007D33B0">
      <w:pPr>
        <w:pStyle w:val="Tabletitle"/>
      </w:pPr>
      <w:bookmarkStart w:id="477" w:name="_Ref492028233"/>
      <w:bookmarkStart w:id="478" w:name="_Toc504038487"/>
      <w:r w:rsidRPr="00DE7072">
        <w:lastRenderedPageBreak/>
        <w:t xml:space="preserve">Table </w:t>
      </w:r>
      <w:r>
        <w:t>61</w:t>
      </w:r>
      <w:r w:rsidRPr="00DE7072">
        <w:t>:</w:t>
      </w:r>
      <w:r>
        <w:t xml:space="preserve"> </w:t>
      </w:r>
      <w:r w:rsidRPr="00DE7072">
        <w:t>Analysis strategy for efficacy endpoints</w:t>
      </w:r>
      <w:bookmarkEnd w:id="477"/>
      <w:bookmarkEnd w:id="478"/>
    </w:p>
    <w:p w:rsidR="007D33B0" w:rsidRPr="00DE7072" w:rsidRDefault="007D33B0" w:rsidP="007A1A22">
      <w:r w:rsidRPr="00DE7072">
        <w:t xml:space="preserve"> </w:t>
      </w:r>
      <w:r w:rsidRPr="00DE7072">
        <w:rPr>
          <w:noProof/>
          <w:lang w:eastAsia="en-AU"/>
        </w:rPr>
        <w:drawing>
          <wp:inline distT="0" distB="0" distL="0" distR="0" wp14:anchorId="74E4C53B" wp14:editId="076F51F0">
            <wp:extent cx="4939264" cy="4648200"/>
            <wp:effectExtent l="0" t="0" r="0" b="0"/>
            <wp:docPr id="218" name="Picture 218" descr="Analysis strategy for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lum bright="-20000" contrast="40000"/>
                      <a:extLst>
                        <a:ext uri="{28A0092B-C50C-407E-A947-70E740481C1C}">
                          <a14:useLocalDpi xmlns:a14="http://schemas.microsoft.com/office/drawing/2010/main" val="0"/>
                        </a:ext>
                      </a:extLst>
                    </a:blip>
                    <a:srcRect/>
                    <a:stretch>
                      <a:fillRect/>
                    </a:stretch>
                  </pic:blipFill>
                  <pic:spPr bwMode="auto">
                    <a:xfrm>
                      <a:off x="0" y="0"/>
                      <a:ext cx="4943301" cy="4651999"/>
                    </a:xfrm>
                    <a:prstGeom prst="rect">
                      <a:avLst/>
                    </a:prstGeom>
                    <a:noFill/>
                    <a:ln>
                      <a:noFill/>
                    </a:ln>
                  </pic:spPr>
                </pic:pic>
              </a:graphicData>
            </a:graphic>
          </wp:inline>
        </w:drawing>
      </w:r>
    </w:p>
    <w:p w:rsidR="002E5CF1" w:rsidRDefault="002E5CF1" w:rsidP="007D33B0">
      <w:pPr>
        <w:pStyle w:val="Heading5"/>
      </w:pPr>
      <w:r>
        <w:t>Randomisation and blinding</w:t>
      </w:r>
    </w:p>
    <w:p w:rsidR="002E5CF1" w:rsidRPr="000612CF" w:rsidRDefault="002E5CF1" w:rsidP="007677A2">
      <w:pPr>
        <w:rPr>
          <w:b/>
          <w:color w:val="000000"/>
        </w:rPr>
      </w:pPr>
      <w:r w:rsidRPr="000612CF">
        <w:t xml:space="preserve">A </w:t>
      </w:r>
      <w:r w:rsidR="00FB1E32">
        <w:t>double blind</w:t>
      </w:r>
      <w:r w:rsidRPr="000612CF">
        <w:t>/masking technique was used in this study. Ertugliflozin and sitagliptin were</w:t>
      </w:r>
      <w:r>
        <w:t xml:space="preserve"> </w:t>
      </w:r>
      <w:r w:rsidRPr="000612CF">
        <w:t>packaged identically relative to their matching placebos so that blinding/masking was</w:t>
      </w:r>
      <w:r>
        <w:t xml:space="preserve"> </w:t>
      </w:r>
      <w:r w:rsidRPr="000612CF">
        <w:t>maintained. The subject, the investigator, Sponsor personnel, and personnel from the</w:t>
      </w:r>
      <w:r>
        <w:t xml:space="preserve"> </w:t>
      </w:r>
      <w:r w:rsidR="007D33B0">
        <w:t>s</w:t>
      </w:r>
      <w:r w:rsidRPr="000612CF">
        <w:t>ponsors’ designees, Covance and Parexel, who were involved in the treatment or clinical</w:t>
      </w:r>
      <w:r>
        <w:t xml:space="preserve"> </w:t>
      </w:r>
      <w:r w:rsidRPr="000612CF">
        <w:t>evaluation of the</w:t>
      </w:r>
      <w:r>
        <w:t xml:space="preserve"> </w:t>
      </w:r>
      <w:proofErr w:type="gramStart"/>
      <w:r w:rsidRPr="000612CF">
        <w:t>subjects</w:t>
      </w:r>
      <w:proofErr w:type="gramEnd"/>
      <w:r w:rsidRPr="000612CF">
        <w:t xml:space="preserve"> were unaware of treatment group assignments. An external DMC monitored unblinded interim data from this trial and other </w:t>
      </w:r>
      <w:r>
        <w:t>Phase III</w:t>
      </w:r>
      <w:r w:rsidRPr="000612CF">
        <w:t xml:space="preserve"> trials in</w:t>
      </w:r>
      <w:r>
        <w:t xml:space="preserve"> </w:t>
      </w:r>
      <w:r w:rsidRPr="000612CF">
        <w:t xml:space="preserve">the ertugliflozin development </w:t>
      </w:r>
      <w:r>
        <w:t>p</w:t>
      </w:r>
      <w:r w:rsidRPr="000612CF">
        <w:t>rogram.</w:t>
      </w:r>
      <w:r>
        <w:t xml:space="preserve"> </w:t>
      </w:r>
      <w:r w:rsidRPr="000612CF">
        <w:t>Subjects’ treatment assignments were unblinded at the completion of the 26</w:t>
      </w:r>
      <w:r w:rsidR="00833C92">
        <w:t xml:space="preserve"> week</w:t>
      </w:r>
      <w:r w:rsidRPr="000612CF">
        <w:t xml:space="preserve"> Phase A</w:t>
      </w:r>
      <w:r>
        <w:t xml:space="preserve"> </w:t>
      </w:r>
      <w:r w:rsidRPr="000612CF">
        <w:t>portion of this study (defined as database lock) to permit authoring of this CSR. Personnel</w:t>
      </w:r>
      <w:r>
        <w:t xml:space="preserve"> </w:t>
      </w:r>
      <w:r w:rsidRPr="000612CF">
        <w:t>associated with the conduct of the trial at Covance, as well as trial site personnel and</w:t>
      </w:r>
      <w:r>
        <w:t xml:space="preserve"> </w:t>
      </w:r>
      <w:r w:rsidRPr="000612CF">
        <w:t>subjects, remained blinded until after the 26</w:t>
      </w:r>
      <w:r w:rsidR="00833C92">
        <w:t xml:space="preserve"> week</w:t>
      </w:r>
      <w:r w:rsidRPr="000612CF">
        <w:t xml:space="preserve"> Phase B portion of this study completed</w:t>
      </w:r>
      <w:r>
        <w:t>.</w:t>
      </w:r>
    </w:p>
    <w:p w:rsidR="002E5CF1" w:rsidRPr="000612CF" w:rsidRDefault="002E5CF1" w:rsidP="007677A2">
      <w:pPr>
        <w:rPr>
          <w:b/>
          <w:color w:val="000000"/>
        </w:rPr>
      </w:pPr>
      <w:r>
        <w:t>Randomisation</w:t>
      </w:r>
      <w:r w:rsidRPr="000612CF">
        <w:t xml:space="preserve"> occurred centrally using an IVRS/IWRS. Subjects were assigned randomly</w:t>
      </w:r>
      <w:r>
        <w:t xml:space="preserve"> </w:t>
      </w:r>
      <w:r w:rsidRPr="000612CF">
        <w:t xml:space="preserve">using a computer-generated </w:t>
      </w:r>
      <w:r>
        <w:t>randomisation</w:t>
      </w:r>
      <w:r w:rsidRPr="000612CF">
        <w:t xml:space="preserve"> schedule to 1 of the following 5 treatment groups</w:t>
      </w:r>
      <w:r>
        <w:t xml:space="preserve"> </w:t>
      </w:r>
      <w:r w:rsidRPr="000612CF">
        <w:t>(1:1:1:1:1 ratio):</w:t>
      </w:r>
      <w:r w:rsidRPr="000612CF">
        <w:rPr>
          <w:rFonts w:cs="Symbol"/>
        </w:rPr>
        <w:t xml:space="preserve"> </w:t>
      </w:r>
      <w:r w:rsidRPr="000612CF">
        <w:t xml:space="preserve">ertugliflozin 5 mg </w:t>
      </w:r>
      <w:r w:rsidR="00337E5F">
        <w:t>QD</w:t>
      </w:r>
      <w:r w:rsidRPr="000612CF">
        <w:t xml:space="preserve"> + sitagliptin 100 mg </w:t>
      </w:r>
      <w:r w:rsidR="00337E5F">
        <w:t>QD</w:t>
      </w:r>
      <w:r w:rsidRPr="000612CF">
        <w:t xml:space="preserve"> (E5/S100 group)</w:t>
      </w:r>
      <w:r>
        <w:t xml:space="preserve">; </w:t>
      </w:r>
      <w:r w:rsidRPr="000612CF">
        <w:t xml:space="preserve">ertugliflozin 15 mg </w:t>
      </w:r>
      <w:r w:rsidR="00337E5F">
        <w:t>QD</w:t>
      </w:r>
      <w:r w:rsidRPr="000612CF">
        <w:t xml:space="preserve"> + sitagliptin 100 mg </w:t>
      </w:r>
      <w:r w:rsidR="00337E5F">
        <w:t>QD</w:t>
      </w:r>
      <w:r w:rsidRPr="000612CF">
        <w:t xml:space="preserve"> (E15/S100 group)</w:t>
      </w:r>
      <w:r>
        <w:t xml:space="preserve">; </w:t>
      </w:r>
      <w:r w:rsidRPr="000612CF">
        <w:t xml:space="preserve">ertugliflozin 5 mg </w:t>
      </w:r>
      <w:r w:rsidR="00337E5F">
        <w:t>QD</w:t>
      </w:r>
      <w:r w:rsidRPr="000612CF">
        <w:t xml:space="preserve"> (E5 group)</w:t>
      </w:r>
      <w:r>
        <w:rPr>
          <w:rFonts w:cs="Symbol"/>
        </w:rPr>
        <w:t xml:space="preserve">; </w:t>
      </w:r>
      <w:r w:rsidRPr="000612CF">
        <w:t xml:space="preserve">ertugliflozin 15 mg </w:t>
      </w:r>
      <w:r w:rsidR="00337E5F">
        <w:t>QD</w:t>
      </w:r>
      <w:r w:rsidRPr="000612CF">
        <w:t xml:space="preserve"> (E15 group)</w:t>
      </w:r>
      <w:r>
        <w:t xml:space="preserve">; </w:t>
      </w:r>
      <w:r w:rsidRPr="000612CF">
        <w:t xml:space="preserve">sitagliptin 100 mg </w:t>
      </w:r>
      <w:r w:rsidR="00337E5F">
        <w:t>QD</w:t>
      </w:r>
      <w:r w:rsidRPr="000612CF">
        <w:t xml:space="preserve"> (S100 group). </w:t>
      </w:r>
      <w:r>
        <w:t>Randomisation</w:t>
      </w:r>
      <w:r w:rsidRPr="000612CF">
        <w:t xml:space="preserve"> was stratified by participation in the MMTT (yes/no).</w:t>
      </w:r>
    </w:p>
    <w:p w:rsidR="002E5CF1" w:rsidRDefault="007D33B0" w:rsidP="007D33B0">
      <w:pPr>
        <w:pStyle w:val="Heading5"/>
      </w:pPr>
      <w:r>
        <w:t>Analysis populations</w:t>
      </w:r>
    </w:p>
    <w:p w:rsidR="002E5CF1" w:rsidRPr="00887C0F" w:rsidRDefault="002E5CF1" w:rsidP="007677A2">
      <w:r w:rsidRPr="00887C0F">
        <w:t>The Full Analysis Set (FAS) population was the primary analysis population for most</w:t>
      </w:r>
      <w:r>
        <w:t xml:space="preserve"> </w:t>
      </w:r>
      <w:r w:rsidRPr="00887C0F">
        <w:t>efficacy endpoints.</w:t>
      </w:r>
      <w:r>
        <w:t xml:space="preserve"> </w:t>
      </w:r>
      <w:r w:rsidRPr="00887C0F">
        <w:t>For analyses that used the constrained longitudinal data analysis (cLDA) model, the FAS</w:t>
      </w:r>
      <w:r>
        <w:t xml:space="preserve"> </w:t>
      </w:r>
      <w:r w:rsidRPr="00887C0F">
        <w:t xml:space="preserve">population, defined separately for each analysis endpoint, consisted of all </w:t>
      </w:r>
      <w:r>
        <w:t xml:space="preserve">randomised </w:t>
      </w:r>
      <w:r w:rsidRPr="00887C0F">
        <w:lastRenderedPageBreak/>
        <w:t>subjects who:</w:t>
      </w:r>
      <w:r>
        <w:t xml:space="preserve"> - </w:t>
      </w:r>
      <w:r w:rsidRPr="00887C0F">
        <w:t>received at le</w:t>
      </w:r>
      <w:r>
        <w:t>ast one dose of study treatment; -</w:t>
      </w:r>
      <w:r w:rsidRPr="00887C0F">
        <w:t>had a baseline measurement or a post-</w:t>
      </w:r>
      <w:r>
        <w:t>randomisation</w:t>
      </w:r>
      <w:r w:rsidRPr="00887C0F">
        <w:t xml:space="preserve"> measurement for the analysis</w:t>
      </w:r>
      <w:r>
        <w:t xml:space="preserve"> </w:t>
      </w:r>
      <w:r w:rsidRPr="00887C0F">
        <w:t>endpoint subsequent to at least one dose of study treatment.</w:t>
      </w:r>
    </w:p>
    <w:p w:rsidR="002E5CF1" w:rsidRPr="00887C0F" w:rsidRDefault="002E5CF1" w:rsidP="007677A2">
      <w:r w:rsidRPr="00887C0F">
        <w:t>For analyses that used the analysis of covariance (ANCOVA) model, the FAS population</w:t>
      </w:r>
      <w:r>
        <w:t xml:space="preserve"> </w:t>
      </w:r>
      <w:r w:rsidRPr="00887C0F">
        <w:t xml:space="preserve">defined separately for each analysis endpoint, consisted of all </w:t>
      </w:r>
      <w:r>
        <w:t>randomised</w:t>
      </w:r>
      <w:r w:rsidRPr="00887C0F">
        <w:t xml:space="preserve"> subjects who:</w:t>
      </w:r>
      <w:r>
        <w:t xml:space="preserve"> -</w:t>
      </w:r>
      <w:r w:rsidRPr="00887C0F">
        <w:t>received at least one dose of study treatment;</w:t>
      </w:r>
      <w:r>
        <w:t xml:space="preserve"> -</w:t>
      </w:r>
      <w:r w:rsidRPr="00887C0F">
        <w:t>had measurements for the analysis endpoint both at baseline and at one or more</w:t>
      </w:r>
      <w:r>
        <w:t xml:space="preserve"> </w:t>
      </w:r>
      <w:r w:rsidRPr="00887C0F">
        <w:t>post-baseline time points.</w:t>
      </w:r>
      <w:r>
        <w:t xml:space="preserve"> </w:t>
      </w:r>
      <w:r w:rsidRPr="00887C0F">
        <w:t>Analyses of the proportions of subjects requiring rescue medication and time to rescue w</w:t>
      </w:r>
      <w:r>
        <w:t xml:space="preserve">as </w:t>
      </w:r>
      <w:r w:rsidRPr="00887C0F">
        <w:t>performed in the All Subjects Treated population.</w:t>
      </w:r>
    </w:p>
    <w:p w:rsidR="002E5CF1" w:rsidRPr="00887C0F" w:rsidRDefault="002E5CF1" w:rsidP="007677A2">
      <w:pPr>
        <w:rPr>
          <w:b/>
          <w:color w:val="000000"/>
        </w:rPr>
      </w:pPr>
      <w:r w:rsidRPr="00887C0F">
        <w:t>Data obtained after the initiation of rescue therapy were censored (</w:t>
      </w:r>
      <w:r w:rsidR="006F000B">
        <w:t>that is,</w:t>
      </w:r>
      <w:r w:rsidRPr="00887C0F">
        <w:t xml:space="preserve"> treated as missing)</w:t>
      </w:r>
      <w:r>
        <w:t xml:space="preserve"> </w:t>
      </w:r>
      <w:r w:rsidRPr="00887C0F">
        <w:t>from the primary analyses of efficacy endpoints. Additional analyses inclusive of post</w:t>
      </w:r>
      <w:r w:rsidR="007D33B0">
        <w:t xml:space="preserve"> </w:t>
      </w:r>
      <w:r w:rsidRPr="00887C0F">
        <w:t>rescue</w:t>
      </w:r>
      <w:r>
        <w:t xml:space="preserve"> </w:t>
      </w:r>
      <w:r w:rsidRPr="00887C0F">
        <w:t xml:space="preserve">data were conducted for most endpoints. </w:t>
      </w:r>
      <w:r>
        <w:t xml:space="preserve">However, </w:t>
      </w:r>
      <w:r w:rsidRPr="00887C0F">
        <w:t xml:space="preserve">analyses including data after the initiation of rescue therapy should be interpreted with caution </w:t>
      </w:r>
      <w:r>
        <w:t>fo</w:t>
      </w:r>
      <w:r w:rsidRPr="00887C0F">
        <w:t xml:space="preserve">r endpoints such as </w:t>
      </w:r>
      <w:r>
        <w:t>HbA1c</w:t>
      </w:r>
      <w:r w:rsidRPr="00887C0F">
        <w:t xml:space="preserve"> and FPG</w:t>
      </w:r>
      <w:r>
        <w:t xml:space="preserve">. </w:t>
      </w:r>
      <w:r w:rsidRPr="00887C0F">
        <w:t>The All Subjects as Treated (</w:t>
      </w:r>
      <w:proofErr w:type="gramStart"/>
      <w:r w:rsidRPr="00887C0F">
        <w:t>ASaT</w:t>
      </w:r>
      <w:proofErr w:type="gramEnd"/>
      <w:r w:rsidRPr="00887C0F">
        <w:t>)</w:t>
      </w:r>
      <w:r>
        <w:rPr>
          <w:rStyle w:val="FootnoteReference"/>
          <w:rFonts w:asciiTheme="minorHAnsi" w:eastAsiaTheme="minorHAnsi" w:hAnsiTheme="minorHAnsi"/>
        </w:rPr>
        <w:footnoteReference w:id="24"/>
      </w:r>
      <w:r w:rsidRPr="00887C0F">
        <w:t xml:space="preserve"> population was used for the analysis of safety data in this</w:t>
      </w:r>
      <w:r>
        <w:t xml:space="preserve"> </w:t>
      </w:r>
      <w:r w:rsidRPr="00887C0F">
        <w:t>trial.</w:t>
      </w:r>
    </w:p>
    <w:p w:rsidR="002E5CF1" w:rsidRDefault="002E5CF1" w:rsidP="007D33B0">
      <w:pPr>
        <w:pStyle w:val="Heading5"/>
      </w:pPr>
      <w:r>
        <w:t>Sample size</w:t>
      </w:r>
    </w:p>
    <w:p w:rsidR="002E5CF1" w:rsidRPr="0025269C" w:rsidRDefault="002E5CF1" w:rsidP="007677A2">
      <w:pPr>
        <w:rPr>
          <w:b/>
          <w:color w:val="000000"/>
        </w:rPr>
      </w:pPr>
      <w:r w:rsidRPr="0025269C">
        <w:t xml:space="preserve">With a sample size of 1250 subjects </w:t>
      </w:r>
      <w:r>
        <w:t>randomised</w:t>
      </w:r>
      <w:r w:rsidRPr="0025269C">
        <w:t xml:space="preserve"> equally among the 5 treatment arms,</w:t>
      </w:r>
      <w:r>
        <w:t xml:space="preserve"> </w:t>
      </w:r>
      <w:r w:rsidRPr="0025269C">
        <w:t>250 subjects per arm was calculated to provide approximately 94% power to detect a</w:t>
      </w:r>
      <w:r>
        <w:t xml:space="preserve"> </w:t>
      </w:r>
      <w:r w:rsidRPr="0025269C">
        <w:t xml:space="preserve">difference in </w:t>
      </w:r>
      <w:r>
        <w:t>HbA1c</w:t>
      </w:r>
      <w:r w:rsidRPr="0025269C">
        <w:t xml:space="preserve"> of 0.4% for each of the pairwise comparisons at a given ertugliflozin dose</w:t>
      </w:r>
      <w:r>
        <w:t xml:space="preserve"> </w:t>
      </w:r>
      <w:r w:rsidRPr="0025269C">
        <w:t>level assuming an SD of 1.2% based on a 2-sided test at a 5% level of significance. The</w:t>
      </w:r>
      <w:r>
        <w:t xml:space="preserve"> </w:t>
      </w:r>
      <w:r w:rsidRPr="0025269C">
        <w:t>power for success for both pairwise comparisons at a given ertugliflozin dose level was</w:t>
      </w:r>
      <w:r>
        <w:t xml:space="preserve"> </w:t>
      </w:r>
      <w:r w:rsidRPr="0025269C">
        <w:t>approximately 89%.</w:t>
      </w:r>
    </w:p>
    <w:p w:rsidR="002E5CF1" w:rsidRDefault="002E5CF1" w:rsidP="007D33B0">
      <w:pPr>
        <w:pStyle w:val="Heading5"/>
      </w:pPr>
      <w:r>
        <w:t>Statistical methods</w:t>
      </w:r>
    </w:p>
    <w:p w:rsidR="002E5CF1" w:rsidRPr="00887C0F" w:rsidRDefault="007677A2" w:rsidP="007677A2">
      <w:r>
        <w:t xml:space="preserve">The following between </w:t>
      </w:r>
      <w:r w:rsidR="002E5CF1" w:rsidRPr="00887C0F">
        <w:t>group comparisons were made for Phase A:</w:t>
      </w:r>
    </w:p>
    <w:p w:rsidR="002E5CF1" w:rsidRPr="00887C0F" w:rsidRDefault="002E5CF1" w:rsidP="007D33B0">
      <w:pPr>
        <w:pStyle w:val="ListBullet"/>
      </w:pPr>
      <w:r w:rsidRPr="00887C0F">
        <w:t>Ertugliflozin 15 mg plus sitagliptin 100 mg</w:t>
      </w:r>
      <w:r w:rsidR="00CA2F4B">
        <w:t xml:space="preserve"> versus</w:t>
      </w:r>
      <w:r w:rsidRPr="00887C0F">
        <w:t xml:space="preserve"> sitagliptin 100 mg</w:t>
      </w:r>
      <w:r>
        <w:t xml:space="preserve"> (E15/S100</w:t>
      </w:r>
      <w:r w:rsidR="00337E5F">
        <w:t xml:space="preserve"> versus </w:t>
      </w:r>
      <w:r>
        <w:t>S100)</w:t>
      </w:r>
    </w:p>
    <w:p w:rsidR="002E5CF1" w:rsidRPr="00887C0F" w:rsidRDefault="002E5CF1" w:rsidP="007D33B0">
      <w:pPr>
        <w:pStyle w:val="ListBullet"/>
      </w:pPr>
      <w:r>
        <w:t>Er</w:t>
      </w:r>
      <w:r w:rsidRPr="00887C0F">
        <w:t>tugliflozin 15 mg plus sitagliptin 100 mg</w:t>
      </w:r>
      <w:r w:rsidR="00CA2F4B">
        <w:t xml:space="preserve"> versus</w:t>
      </w:r>
      <w:r w:rsidRPr="00887C0F">
        <w:t xml:space="preserve"> ertugliflozin 15 mg</w:t>
      </w:r>
      <w:r>
        <w:t xml:space="preserve"> (E15/S100</w:t>
      </w:r>
      <w:r w:rsidR="00337E5F">
        <w:t xml:space="preserve"> versus </w:t>
      </w:r>
      <w:r>
        <w:t>E15)</w:t>
      </w:r>
    </w:p>
    <w:p w:rsidR="002E5CF1" w:rsidRPr="00887C0F" w:rsidRDefault="002E5CF1" w:rsidP="007D33B0">
      <w:pPr>
        <w:pStyle w:val="ListBullet"/>
      </w:pPr>
      <w:r w:rsidRPr="00887C0F">
        <w:t>Ertugliflozin 5 mg plus sitagliptin 100 mg</w:t>
      </w:r>
      <w:r w:rsidR="00CA2F4B">
        <w:t xml:space="preserve"> versus</w:t>
      </w:r>
      <w:r w:rsidRPr="00887C0F">
        <w:t xml:space="preserve"> sitagliptin 100 mg</w:t>
      </w:r>
      <w:r>
        <w:t xml:space="preserve"> (E5/S100</w:t>
      </w:r>
      <w:r w:rsidR="00337E5F">
        <w:t xml:space="preserve"> versus </w:t>
      </w:r>
      <w:r>
        <w:t>S100)</w:t>
      </w:r>
    </w:p>
    <w:p w:rsidR="002E5CF1" w:rsidRPr="00887C0F" w:rsidRDefault="002E5CF1" w:rsidP="007D33B0">
      <w:pPr>
        <w:pStyle w:val="ListBullet"/>
      </w:pPr>
      <w:r w:rsidRPr="00887C0F">
        <w:t>Ertugliflozin 5 mg plus sitaglipti</w:t>
      </w:r>
      <w:r>
        <w:t>n 100 mg</w:t>
      </w:r>
      <w:r w:rsidR="00CA2F4B">
        <w:t xml:space="preserve"> versus</w:t>
      </w:r>
      <w:r>
        <w:t xml:space="preserve"> ertugliflozin 5 mg (E5/S100</w:t>
      </w:r>
      <w:r w:rsidR="00337E5F">
        <w:t xml:space="preserve"> versus </w:t>
      </w:r>
      <w:r>
        <w:t>E5)</w:t>
      </w:r>
    </w:p>
    <w:p w:rsidR="002E5CF1" w:rsidRPr="00887C0F" w:rsidRDefault="002E5CF1" w:rsidP="007677A2">
      <w:pPr>
        <w:rPr>
          <w:b/>
          <w:color w:val="000000"/>
        </w:rPr>
      </w:pPr>
      <w:r w:rsidRPr="00887C0F">
        <w:t>The primary efficacy analyses compared the efficacy of the combination of ertugliflozin and</w:t>
      </w:r>
      <w:r>
        <w:t xml:space="preserve"> </w:t>
      </w:r>
      <w:r w:rsidRPr="00887C0F">
        <w:t xml:space="preserve">sitagliptin relative to sitagliptin alone and ertugliflozin alone in change from baseline in </w:t>
      </w:r>
      <w:r>
        <w:t xml:space="preserve">HbA1c </w:t>
      </w:r>
      <w:r w:rsidRPr="00887C0F">
        <w:t xml:space="preserve">at Week 26. The mean change from baseline in </w:t>
      </w:r>
      <w:r>
        <w:t>HbA1c</w:t>
      </w:r>
      <w:r w:rsidRPr="00887C0F">
        <w:t xml:space="preserve"> at Week 26 for the combination of ertugliflozin and sitagliptin group was compared to the mean changes in the individual groups using the estimated treatment differences via a cLDA model, proposed by Liang and Zeger. As a supportive analysis, an ANCOVA model in the FAS population was also used for the primary efficacy endpoint. The ANCOVA model included treatment, baseline eGFR and baseline value. The last observation carried forward (LOCF) method was used to impute missing data. To explore the impact of missing data on the conclusions of the primary analysis, a detailed accounting of missing data was provided for the primary endpoint. Sensitivity analyses were</w:t>
      </w:r>
      <w:r>
        <w:t xml:space="preserve"> </w:t>
      </w:r>
      <w:r w:rsidRPr="00887C0F">
        <w:t xml:space="preserve">performed that did not rely on the </w:t>
      </w:r>
      <w:r>
        <w:t>‘</w:t>
      </w:r>
      <w:r w:rsidRPr="00887C0F">
        <w:t>missing at random</w:t>
      </w:r>
      <w:r>
        <w:t>’</w:t>
      </w:r>
      <w:r w:rsidRPr="00887C0F">
        <w:t xml:space="preserve"> assumption underlying the primary</w:t>
      </w:r>
      <w:r>
        <w:t xml:space="preserve"> </w:t>
      </w:r>
      <w:r w:rsidRPr="00887C0F">
        <w:t>methodology. These analyses include a tipping-point analysis and a jump-to-reference (J2R) analysis</w:t>
      </w:r>
      <w:r>
        <w:t>.</w:t>
      </w:r>
    </w:p>
    <w:p w:rsidR="00803C18" w:rsidRDefault="002E5CF1" w:rsidP="007677A2">
      <w:r w:rsidRPr="00887C0F">
        <w:lastRenderedPageBreak/>
        <w:t xml:space="preserve">For the analysis of the percentage of subjects at the </w:t>
      </w:r>
      <w:r>
        <w:t>HbA1c</w:t>
      </w:r>
      <w:r w:rsidRPr="00887C0F">
        <w:t xml:space="preserve"> goals of &lt;</w:t>
      </w:r>
      <w:r w:rsidR="007677A2">
        <w:t xml:space="preserve"> </w:t>
      </w:r>
      <w:r w:rsidRPr="00887C0F">
        <w:t>7.0% at Week 26, the</w:t>
      </w:r>
      <w:r>
        <w:t xml:space="preserve"> </w:t>
      </w:r>
      <w:r w:rsidRPr="00887C0F">
        <w:t xml:space="preserve">cLDA model that was used for the analysis of </w:t>
      </w:r>
      <w:r>
        <w:t>HbA1c</w:t>
      </w:r>
      <w:r w:rsidRPr="00887C0F">
        <w:t xml:space="preserve"> was used to impute missing data</w:t>
      </w:r>
      <w:r>
        <w:rPr>
          <w:rStyle w:val="FootnoteReference"/>
          <w:rFonts w:asciiTheme="minorHAnsi" w:eastAsiaTheme="minorHAnsi" w:hAnsiTheme="minorHAnsi"/>
        </w:rPr>
        <w:footnoteReference w:id="25"/>
      </w:r>
      <w:r w:rsidRPr="00887C0F">
        <w:t xml:space="preserve"> for </w:t>
      </w:r>
      <w:r>
        <w:t>HbA1c</w:t>
      </w:r>
      <w:r w:rsidRPr="00887C0F">
        <w:t>.</w:t>
      </w:r>
      <w:r>
        <w:t xml:space="preserve"> </w:t>
      </w:r>
      <w:r w:rsidRPr="00887C0F">
        <w:t>To estimate the odds ratio, each of the imputed</w:t>
      </w:r>
      <w:r>
        <w:t xml:space="preserve"> </w:t>
      </w:r>
      <w:r w:rsidRPr="00887C0F">
        <w:t>data sets was analysed by logistic</w:t>
      </w:r>
      <w:r>
        <w:t xml:space="preserve"> </w:t>
      </w:r>
      <w:r w:rsidRPr="00887C0F">
        <w:t xml:space="preserve">regression. The logistic regression model included terms for treatment and baseline </w:t>
      </w:r>
      <w:r>
        <w:t>HbA1c.</w:t>
      </w:r>
      <w:r w:rsidRPr="00887C0F">
        <w:t xml:space="preserve"> The same logistic</w:t>
      </w:r>
      <w:r>
        <w:t xml:space="preserve"> </w:t>
      </w:r>
      <w:r w:rsidRPr="00887C0F">
        <w:t xml:space="preserve">regression model was also used to analyse the percentages of subjects at </w:t>
      </w:r>
      <w:r>
        <w:t>HbA1c</w:t>
      </w:r>
      <w:r w:rsidRPr="00887C0F">
        <w:t xml:space="preserve"> goals in a</w:t>
      </w:r>
      <w:r>
        <w:t xml:space="preserve"> </w:t>
      </w:r>
      <w:r w:rsidRPr="00887C0F">
        <w:t>sensitivity analysis where all subjects with missing Week 26 data were treated as not being at</w:t>
      </w:r>
      <w:r>
        <w:t xml:space="preserve"> </w:t>
      </w:r>
      <w:r w:rsidRPr="00887C0F">
        <w:t xml:space="preserve">goal, regardless of the final observed </w:t>
      </w:r>
      <w:r>
        <w:t>HbA1c</w:t>
      </w:r>
      <w:r w:rsidRPr="00887C0F">
        <w:t xml:space="preserve"> value.</w:t>
      </w:r>
      <w:r>
        <w:t xml:space="preserve"> </w:t>
      </w:r>
      <w:r w:rsidRPr="00887C0F">
        <w:t>A time-to-rescue analysis was also performed</w:t>
      </w:r>
      <w:r>
        <w:t xml:space="preserve"> and t</w:t>
      </w:r>
      <w:r w:rsidRPr="00887C0F">
        <w:t>he proportion of subjects rescued in each</w:t>
      </w:r>
      <w:r>
        <w:t xml:space="preserve"> </w:t>
      </w:r>
      <w:r w:rsidRPr="00887C0F">
        <w:t xml:space="preserve">treatment group was </w:t>
      </w:r>
      <w:r>
        <w:t>summarise</w:t>
      </w:r>
      <w:r w:rsidRPr="00887C0F">
        <w:t>d. Plots of the Kaplan-Meier estimate of the distribution of</w:t>
      </w:r>
      <w:r>
        <w:t xml:space="preserve"> </w:t>
      </w:r>
      <w:r w:rsidRPr="00887C0F">
        <w:t>the time-to-rescue were provided for each treatment arm, and log-rank tests comparing the</w:t>
      </w:r>
      <w:r>
        <w:t xml:space="preserve"> </w:t>
      </w:r>
      <w:r w:rsidRPr="00887C0F">
        <w:t>time-to-rescue distribution of the combination of ertugliflozin and sitagliptin at a specific</w:t>
      </w:r>
      <w:r>
        <w:t xml:space="preserve"> </w:t>
      </w:r>
      <w:r w:rsidRPr="00887C0F">
        <w:t>dose level versus each component were conducted. In this analysis, subjects were censored</w:t>
      </w:r>
      <w:r>
        <w:t xml:space="preserve"> </w:t>
      </w:r>
      <w:r w:rsidRPr="00887C0F">
        <w:t>at the time of discontinuation or bariatric surgery</w:t>
      </w:r>
      <w:r w:rsidR="00803C18">
        <w:t>.</w:t>
      </w:r>
    </w:p>
    <w:p w:rsidR="002E5CF1" w:rsidRDefault="002E5CF1" w:rsidP="007677A2">
      <w:r w:rsidRPr="0025269C">
        <w:rPr>
          <w:color w:val="000000"/>
        </w:rPr>
        <w:t>The primary and key secondary hypotheses were tested using an ordered testing procedure</w:t>
      </w:r>
      <w:r>
        <w:rPr>
          <w:color w:val="000000"/>
        </w:rPr>
        <w:t xml:space="preserve"> </w:t>
      </w:r>
      <w:r w:rsidRPr="0025269C">
        <w:rPr>
          <w:color w:val="000000"/>
        </w:rPr>
        <w:t>combin</w:t>
      </w:r>
      <w:r>
        <w:rPr>
          <w:color w:val="000000"/>
        </w:rPr>
        <w:t xml:space="preserve">ed with the Hochberg procedure. </w:t>
      </w:r>
      <w:r w:rsidRPr="0025269C">
        <w:rPr>
          <w:color w:val="000000"/>
        </w:rPr>
        <w:t xml:space="preserve">The ordered testing procedure included the tests of </w:t>
      </w:r>
      <w:r>
        <w:rPr>
          <w:color w:val="000000"/>
        </w:rPr>
        <w:t>HbA1c</w:t>
      </w:r>
      <w:r w:rsidRPr="0025269C">
        <w:rPr>
          <w:color w:val="000000"/>
        </w:rPr>
        <w:t xml:space="preserve">, body weight, FPG, </w:t>
      </w:r>
      <w:r>
        <w:rPr>
          <w:color w:val="000000"/>
        </w:rPr>
        <w:t xml:space="preserve">SBP </w:t>
      </w:r>
      <w:r w:rsidRPr="0025269C">
        <w:rPr>
          <w:color w:val="000000"/>
        </w:rPr>
        <w:t xml:space="preserve">and proportion of subjects with </w:t>
      </w:r>
      <w:r>
        <w:rPr>
          <w:color w:val="000000"/>
        </w:rPr>
        <w:t>HbA1c</w:t>
      </w:r>
      <w:r w:rsidRPr="0025269C">
        <w:rPr>
          <w:color w:val="000000"/>
        </w:rPr>
        <w:t>&lt;</w:t>
      </w:r>
      <w:r w:rsidR="007677A2">
        <w:rPr>
          <w:color w:val="000000"/>
        </w:rPr>
        <w:t xml:space="preserve"> </w:t>
      </w:r>
      <w:r w:rsidRPr="0025269C">
        <w:rPr>
          <w:color w:val="000000"/>
        </w:rPr>
        <w:t>7.0%, all using α</w:t>
      </w:r>
      <w:r w:rsidR="007677A2">
        <w:rPr>
          <w:color w:val="000000"/>
        </w:rPr>
        <w:t xml:space="preserve"> </w:t>
      </w:r>
      <w:r w:rsidRPr="0025269C">
        <w:rPr>
          <w:color w:val="000000"/>
        </w:rPr>
        <w:t>=</w:t>
      </w:r>
      <w:r w:rsidR="007677A2">
        <w:rPr>
          <w:color w:val="000000"/>
        </w:rPr>
        <w:t xml:space="preserve"> </w:t>
      </w:r>
      <w:r w:rsidRPr="0025269C">
        <w:rPr>
          <w:color w:val="000000"/>
        </w:rPr>
        <w:t>0.05 (2-sided). If the success criterion was achieved for at least one of the preceding two</w:t>
      </w:r>
      <w:r>
        <w:rPr>
          <w:color w:val="000000"/>
        </w:rPr>
        <w:t xml:space="preserve"> </w:t>
      </w:r>
      <w:r w:rsidRPr="0025269C">
        <w:rPr>
          <w:color w:val="000000"/>
        </w:rPr>
        <w:t>tests, then testing continued with the ertugliflozin 5 mg + sitagliptin 100 mg group, starting</w:t>
      </w:r>
      <w:r>
        <w:rPr>
          <w:color w:val="000000"/>
        </w:rPr>
        <w:t xml:space="preserve"> </w:t>
      </w:r>
      <w:r w:rsidRPr="0025269C">
        <w:rPr>
          <w:color w:val="000000"/>
        </w:rPr>
        <w:t>with the final α level (0.05 or 0.025) adjusted as per the outcome of the ertugliflozin 15 mg +</w:t>
      </w:r>
      <w:r>
        <w:rPr>
          <w:color w:val="000000"/>
        </w:rPr>
        <w:t xml:space="preserve"> </w:t>
      </w:r>
      <w:r w:rsidRPr="0025269C">
        <w:rPr>
          <w:color w:val="000000"/>
        </w:rPr>
        <w:t>sitagliptin 100 mg group testing.</w:t>
      </w:r>
      <w:r>
        <w:rPr>
          <w:color w:val="000000"/>
        </w:rPr>
        <w:t xml:space="preserve"> </w:t>
      </w:r>
      <w:r w:rsidRPr="0025269C">
        <w:rPr>
          <w:color w:val="000000"/>
        </w:rPr>
        <w:t xml:space="preserve">The multiplicity adjustment strategy and testing order is </w:t>
      </w:r>
      <w:r w:rsidRPr="009174D7">
        <w:rPr>
          <w:color w:val="000000"/>
        </w:rPr>
        <w:t xml:space="preserve">described in Table </w:t>
      </w:r>
      <w:r w:rsidR="009174D7" w:rsidRPr="009174D7">
        <w:rPr>
          <w:color w:val="000000"/>
        </w:rPr>
        <w:t>62</w:t>
      </w:r>
      <w:r w:rsidRPr="009174D7">
        <w:rPr>
          <w:color w:val="000000"/>
        </w:rPr>
        <w:t>.</w:t>
      </w:r>
      <w:r>
        <w:rPr>
          <w:color w:val="000000"/>
        </w:rPr>
        <w:t xml:space="preserve"> </w:t>
      </w:r>
      <w:r w:rsidRPr="0025269C">
        <w:t>To assess whether the treatment effect at Week 26 was</w:t>
      </w:r>
      <w:r>
        <w:t xml:space="preserve"> </w:t>
      </w:r>
      <w:r w:rsidRPr="0025269C">
        <w:t>consistent across various</w:t>
      </w:r>
      <w:r>
        <w:t xml:space="preserve"> </w:t>
      </w:r>
      <w:r w:rsidRPr="0025269C">
        <w:t>subgroups,</w:t>
      </w:r>
      <w:r>
        <w:t xml:space="preserve"> </w:t>
      </w:r>
      <w:r w:rsidRPr="0025269C">
        <w:t>the estimate of the between-group treatment effect (with a nominal 95% CI) for the primary</w:t>
      </w:r>
      <w:r>
        <w:t xml:space="preserve"> </w:t>
      </w:r>
      <w:r w:rsidRPr="0025269C">
        <w:t>endpoint was estimated and plotted within each category of the following classification</w:t>
      </w:r>
      <w:r>
        <w:t xml:space="preserve"> variables</w:t>
      </w:r>
      <w:r w:rsidR="00045857">
        <w:t>.</w:t>
      </w:r>
      <w:r>
        <w:rPr>
          <w:rStyle w:val="FootnoteReference"/>
          <w:rFonts w:asciiTheme="minorHAnsi" w:eastAsiaTheme="minorHAnsi" w:hAnsiTheme="minorHAnsi"/>
        </w:rPr>
        <w:footnoteReference w:id="26"/>
      </w:r>
      <w:proofErr w:type="gramStart"/>
      <w:r>
        <w:t>:</w:t>
      </w:r>
      <w:proofErr w:type="gramEnd"/>
      <w:r w:rsidR="00045857">
        <w:t xml:space="preserve">1) </w:t>
      </w:r>
      <w:r w:rsidRPr="0025269C">
        <w:t xml:space="preserve">Baseline </w:t>
      </w:r>
      <w:r>
        <w:t>HbA1c</w:t>
      </w:r>
      <w:r w:rsidRPr="0025269C">
        <w:t xml:space="preserve"> levels: by categories: &lt;</w:t>
      </w:r>
      <w:r w:rsidR="007677A2">
        <w:t xml:space="preserve"> </w:t>
      </w:r>
      <w:r w:rsidRPr="0025269C">
        <w:t xml:space="preserve">8.0%; </w:t>
      </w:r>
      <w:r w:rsidR="002E1032">
        <w:rPr>
          <w:color w:val="000000"/>
        </w:rPr>
        <w:t xml:space="preserve">≥ </w:t>
      </w:r>
      <w:r w:rsidRPr="0025269C">
        <w:t>8.0% and &lt;</w:t>
      </w:r>
      <w:r w:rsidR="007677A2">
        <w:t xml:space="preserve"> </w:t>
      </w:r>
      <w:r w:rsidRPr="0025269C">
        <w:t xml:space="preserve">9%; </w:t>
      </w:r>
      <w:r w:rsidR="002E1032">
        <w:rPr>
          <w:color w:val="000000"/>
        </w:rPr>
        <w:t xml:space="preserve">≥ </w:t>
      </w:r>
      <w:r w:rsidRPr="0025269C">
        <w:t>9% and &lt;10%;</w:t>
      </w:r>
      <w:r>
        <w:t xml:space="preserve"> </w:t>
      </w:r>
      <w:r w:rsidR="007677A2">
        <w:rPr>
          <w:color w:val="000000"/>
        </w:rPr>
        <w:t>≥ </w:t>
      </w:r>
      <w:r w:rsidRPr="0025269C">
        <w:t>10%</w:t>
      </w:r>
      <w:r w:rsidR="00045857">
        <w:t>;</w:t>
      </w:r>
      <w:r>
        <w:t xml:space="preserve"> </w:t>
      </w:r>
      <w:r w:rsidR="00045857">
        <w:t xml:space="preserve">2) </w:t>
      </w:r>
      <w:r w:rsidRPr="0025269C">
        <w:t xml:space="preserve">Age categories: </w:t>
      </w:r>
      <w:r w:rsidR="003B751A">
        <w:t xml:space="preserve">≤ </w:t>
      </w:r>
      <w:r w:rsidRPr="0025269C">
        <w:t>or &gt; median age</w:t>
      </w:r>
      <w:r w:rsidR="00045857">
        <w:t>;</w:t>
      </w:r>
      <w:r>
        <w:t xml:space="preserve"> </w:t>
      </w:r>
      <w:r w:rsidR="00045857">
        <w:t>3)</w:t>
      </w:r>
      <w:r w:rsidRPr="0025269C">
        <w:t xml:space="preserve"> Gender (female; male)</w:t>
      </w:r>
      <w:r w:rsidR="00045857">
        <w:t>;</w:t>
      </w:r>
      <w:r>
        <w:t xml:space="preserve"> </w:t>
      </w:r>
      <w:r w:rsidR="00045857">
        <w:t>4)</w:t>
      </w:r>
      <w:r w:rsidRPr="0025269C">
        <w:t xml:space="preserve"> Race (White, Asian, Other)</w:t>
      </w:r>
      <w:r>
        <w:t xml:space="preserve"> </w:t>
      </w:r>
      <w:r w:rsidRPr="0025269C">
        <w:t>• Ethnicity (Hispanic or Latino, Not Hispanic or Latino)</w:t>
      </w:r>
      <w:r w:rsidR="007D33B0">
        <w:t>.</w:t>
      </w:r>
    </w:p>
    <w:p w:rsidR="007D33B0" w:rsidRPr="00DE7072" w:rsidRDefault="007D33B0" w:rsidP="009174D7">
      <w:pPr>
        <w:pStyle w:val="Tabletitle"/>
      </w:pPr>
      <w:bookmarkStart w:id="479" w:name="_Ref492028238"/>
      <w:bookmarkStart w:id="480" w:name="_Toc504038488"/>
      <w:r w:rsidRPr="00DE7072">
        <w:lastRenderedPageBreak/>
        <w:t xml:space="preserve">Table </w:t>
      </w:r>
      <w:r w:rsidR="009174D7">
        <w:t xml:space="preserve">62: </w:t>
      </w:r>
      <w:r w:rsidRPr="00DE7072">
        <w:t>Multiplicity adjustment strategy</w:t>
      </w:r>
      <w:bookmarkEnd w:id="479"/>
      <w:bookmarkEnd w:id="480"/>
    </w:p>
    <w:p w:rsidR="007D33B0" w:rsidRPr="00DE7072" w:rsidRDefault="007D33B0" w:rsidP="007A1A22">
      <w:r w:rsidRPr="00DE7072">
        <w:t xml:space="preserve"> </w:t>
      </w:r>
      <w:r w:rsidRPr="00DE7072">
        <w:rPr>
          <w:noProof/>
          <w:lang w:eastAsia="en-AU"/>
        </w:rPr>
        <w:drawing>
          <wp:inline distT="0" distB="0" distL="0" distR="0" wp14:anchorId="54A70E12" wp14:editId="27D3B6FC">
            <wp:extent cx="5019675" cy="3420081"/>
            <wp:effectExtent l="0" t="0" r="0" b="9525"/>
            <wp:docPr id="222" name="Picture 222" descr="Multiplicity adjustment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lum bright="-20000" contrast="40000"/>
                      <a:extLst>
                        <a:ext uri="{28A0092B-C50C-407E-A947-70E740481C1C}">
                          <a14:useLocalDpi xmlns:a14="http://schemas.microsoft.com/office/drawing/2010/main" val="0"/>
                        </a:ext>
                      </a:extLst>
                    </a:blip>
                    <a:srcRect/>
                    <a:stretch>
                      <a:fillRect/>
                    </a:stretch>
                  </pic:blipFill>
                  <pic:spPr bwMode="auto">
                    <a:xfrm>
                      <a:off x="0" y="0"/>
                      <a:ext cx="5019456" cy="3419932"/>
                    </a:xfrm>
                    <a:prstGeom prst="rect">
                      <a:avLst/>
                    </a:prstGeom>
                    <a:noFill/>
                    <a:ln>
                      <a:noFill/>
                    </a:ln>
                  </pic:spPr>
                </pic:pic>
              </a:graphicData>
            </a:graphic>
          </wp:inline>
        </w:drawing>
      </w:r>
    </w:p>
    <w:p w:rsidR="002E5CF1" w:rsidRDefault="002E5CF1" w:rsidP="007D33B0">
      <w:pPr>
        <w:pStyle w:val="Heading5"/>
      </w:pPr>
      <w:r>
        <w:t>Participant flow</w:t>
      </w:r>
    </w:p>
    <w:p w:rsidR="002E5CF1" w:rsidRPr="0075649D" w:rsidRDefault="002E5CF1" w:rsidP="007677A2">
      <w:pPr>
        <w:rPr>
          <w:b/>
        </w:rPr>
      </w:pPr>
      <w:r>
        <w:t xml:space="preserve">Overall, 1349 of the </w:t>
      </w:r>
      <w:r w:rsidRPr="0018338E">
        <w:t xml:space="preserve">2582 </w:t>
      </w:r>
      <w:r>
        <w:t xml:space="preserve">screened </w:t>
      </w:r>
      <w:r w:rsidRPr="0018338E">
        <w:t>subjects were</w:t>
      </w:r>
      <w:r>
        <w:t xml:space="preserve"> </w:t>
      </w:r>
      <w:r w:rsidRPr="0018338E">
        <w:t>excluded during screening</w:t>
      </w:r>
      <w:r>
        <w:t xml:space="preserve"> mainly due to </w:t>
      </w:r>
      <w:r w:rsidRPr="0018338E">
        <w:t>screen</w:t>
      </w:r>
      <w:r>
        <w:t xml:space="preserve"> </w:t>
      </w:r>
      <w:r w:rsidRPr="0018338E">
        <w:t>failure</w:t>
      </w:r>
      <w:r>
        <w:t xml:space="preserve">; </w:t>
      </w:r>
      <w:r w:rsidRPr="0018338E">
        <w:t>most common reasons for screen failure were not meeting the inclusion criteria</w:t>
      </w:r>
      <w:r>
        <w:t xml:space="preserve"> </w:t>
      </w:r>
      <w:r w:rsidRPr="0018338E">
        <w:t xml:space="preserve">for </w:t>
      </w:r>
      <w:r>
        <w:t>HbA1c</w:t>
      </w:r>
      <w:r w:rsidRPr="0018338E">
        <w:t xml:space="preserve"> at Visit 1 and/or meeting exclusionary laboratory values. The remaining 1233 subjects were </w:t>
      </w:r>
      <w:r>
        <w:t>randomised</w:t>
      </w:r>
      <w:r w:rsidRPr="0018338E">
        <w:t xml:space="preserve"> at 204 sites in 21 countries. The number of</w:t>
      </w:r>
      <w:r>
        <w:t xml:space="preserve"> randomised</w:t>
      </w:r>
      <w:r w:rsidRPr="0018338E">
        <w:t xml:space="preserve"> subjects was balanced across the 5 treatment groups. One </w:t>
      </w:r>
      <w:r>
        <w:t>randomised</w:t>
      </w:r>
      <w:r w:rsidRPr="0018338E">
        <w:t xml:space="preserve"> subject</w:t>
      </w:r>
      <w:r>
        <w:t xml:space="preserve"> </w:t>
      </w:r>
      <w:r w:rsidRPr="0018338E">
        <w:t>(E15/S100 group) did not receive treatment. The proportion of subjects who discontinued</w:t>
      </w:r>
      <w:r>
        <w:t xml:space="preserve"> </w:t>
      </w:r>
      <w:r w:rsidRPr="0018338E">
        <w:t>study medication in Phase A was numerically higher in the S100 group relative to the 4</w:t>
      </w:r>
      <w:r>
        <w:t xml:space="preserve"> </w:t>
      </w:r>
      <w:r w:rsidRPr="0018338E">
        <w:t xml:space="preserve">ertugliflozin-treated groups </w:t>
      </w:r>
      <w:r>
        <w:t xml:space="preserve">(7%, 9.4%, 6.8%, 8.9% and 10.5% in the E5, E15, S100, E5/S100 and E15/S100 groups, respectively) </w:t>
      </w:r>
      <w:r w:rsidRPr="0018338E">
        <w:t>primarily due to a small increase in the proportion of subjects in</w:t>
      </w:r>
      <w:r>
        <w:t xml:space="preserve"> </w:t>
      </w:r>
      <w:r w:rsidRPr="0018338E">
        <w:t>the S100 group who discontinued for withdrawal by subject. The most common reason for</w:t>
      </w:r>
      <w:r>
        <w:t xml:space="preserve"> </w:t>
      </w:r>
      <w:r w:rsidRPr="0018338E">
        <w:t xml:space="preserve">study medication </w:t>
      </w:r>
      <w:r w:rsidRPr="0075649D">
        <w:t>discontinuation in each treatment group was withdrawal by subject. A numerically higher proportion of subjects in the E15/S100 group discontinued study medication for an AE; other reasons for study medication discontinuation were generally similar between groups</w:t>
      </w:r>
      <w:r w:rsidR="009174D7">
        <w:t>.</w:t>
      </w:r>
      <w:r>
        <w:t xml:space="preserve"> </w:t>
      </w:r>
      <w:r w:rsidRPr="0075649D">
        <w:t>Of the 105 subjects who discontinued study medication in Phase A, 66 subjects discontinued</w:t>
      </w:r>
      <w:r>
        <w:t xml:space="preserve"> </w:t>
      </w:r>
      <w:r w:rsidRPr="0075649D">
        <w:t>from the study (11, 14, 10, 12, and 19 subjects in the E5/S100, E15/S100, E5, E15, and S100</w:t>
      </w:r>
      <w:r>
        <w:t xml:space="preserve"> </w:t>
      </w:r>
      <w:r w:rsidRPr="0075649D">
        <w:t>groups, respectively).</w:t>
      </w:r>
    </w:p>
    <w:p w:rsidR="002E5CF1" w:rsidRDefault="002E5CF1" w:rsidP="009174D7">
      <w:pPr>
        <w:pStyle w:val="Heading5"/>
      </w:pPr>
      <w:r>
        <w:t>Major protocol violations</w:t>
      </w:r>
    </w:p>
    <w:p w:rsidR="007677A2" w:rsidRDefault="002E5CF1" w:rsidP="002E5CF1">
      <w:pPr>
        <w:autoSpaceDE w:val="0"/>
        <w:autoSpaceDN w:val="0"/>
        <w:adjustRightInd w:val="0"/>
        <w:spacing w:before="0" w:line="240" w:lineRule="auto"/>
      </w:pPr>
      <w:r w:rsidRPr="007677A2">
        <w:t>During the conduct of this study, 37 subjects</w:t>
      </w:r>
      <w:r w:rsidR="00045857">
        <w:t>;</w:t>
      </w:r>
      <w:r w:rsidRPr="00E7616B">
        <w:rPr>
          <w:vertAlign w:val="superscript"/>
        </w:rPr>
        <w:footnoteReference w:id="27"/>
      </w:r>
      <w:r w:rsidRPr="007677A2">
        <w:t xml:space="preserve"> were multiply-randomised</w:t>
      </w:r>
      <w:r w:rsidR="00045857">
        <w:t>;</w:t>
      </w:r>
      <w:r w:rsidRPr="007677A2">
        <w:rPr>
          <w:vertAlign w:val="superscript"/>
        </w:rPr>
        <w:footnoteReference w:id="28"/>
      </w:r>
      <w:r w:rsidRPr="007677A2">
        <w:t xml:space="preserve"> and reported as major protocol deviators. The significant misconduct of these multiply-enrolled subjects</w:t>
      </w:r>
      <w:r w:rsidRPr="0075649D">
        <w:rPr>
          <w:rFonts w:asciiTheme="minorHAnsi" w:eastAsiaTheme="minorHAnsi" w:hAnsiTheme="minorHAnsi"/>
          <w:color w:val="000000"/>
        </w:rPr>
        <w:t xml:space="preserve"> </w:t>
      </w:r>
      <w:r w:rsidRPr="007677A2">
        <w:lastRenderedPageBreak/>
        <w:t>compromises the integrity of their study data and hence results from these subjects were excluded from all analyses, as well as from disposition and demographic tabulations.</w:t>
      </w:r>
    </w:p>
    <w:p w:rsidR="002E5CF1" w:rsidRPr="007677A2" w:rsidRDefault="002E5CF1" w:rsidP="002E5CF1">
      <w:pPr>
        <w:autoSpaceDE w:val="0"/>
        <w:autoSpaceDN w:val="0"/>
        <w:adjustRightInd w:val="0"/>
        <w:spacing w:before="0" w:line="240" w:lineRule="auto"/>
      </w:pPr>
      <w:r w:rsidRPr="007677A2">
        <w:t>Excluding multiply-randomised subjects, 1232 subjects were randomised into the study and received study medication and 23.6% (291/1232) were reported to have 1 or more major deviations. The incidences of major deviations, overall by deviation category, were generally similar between the 5 treatment groups, except in the E15/S100 group which had a slightly lower incidence of overall deviations primarily due to fewer subjects for whom failure to conduct major/significant evaluations occurred and fewer informed consent errors. The most common category of major deviations across the 5 treatment groups was ‘failure to conduct major/significant evaluations’</w:t>
      </w:r>
      <w:r w:rsidR="009174D7" w:rsidRPr="007677A2">
        <w:t>.</w:t>
      </w:r>
      <w:r w:rsidRPr="007677A2">
        <w:t xml:space="preserve"> Within this category, failure to conduct ECGs at scheduled visits and errors in collection of laboratory parameters occurred most frequently. These deviations were not expected to affect safety or efficacy conclusions. Other protocol deviations, including those with a potential to meaningfully impact efficacy analyses (</w:t>
      </w:r>
      <w:r w:rsidR="0030125A" w:rsidRPr="007677A2">
        <w:t>for example</w:t>
      </w:r>
      <w:r w:rsidR="00155D4D" w:rsidRPr="007677A2">
        <w:t>,</w:t>
      </w:r>
      <w:r w:rsidRPr="007677A2">
        <w:t xml:space="preserve"> &lt;</w:t>
      </w:r>
      <w:r w:rsidR="007677A2">
        <w:t xml:space="preserve"> </w:t>
      </w:r>
      <w:r w:rsidRPr="007677A2">
        <w:t>75% compliance with study medication, taking glycaemic rescue medication without meeting rescue criteria, taking incorrect study medication, and change of background AHA medication) occurred at low incidences across the treatment groups.</w:t>
      </w:r>
    </w:p>
    <w:p w:rsidR="002E5CF1" w:rsidRDefault="002E5CF1" w:rsidP="009174D7">
      <w:pPr>
        <w:pStyle w:val="Heading5"/>
      </w:pPr>
      <w:r>
        <w:t>Baseline data</w:t>
      </w:r>
    </w:p>
    <w:p w:rsidR="002E5CF1" w:rsidRPr="002F6AB4" w:rsidRDefault="002E5CF1" w:rsidP="007677A2">
      <w:pPr>
        <w:rPr>
          <w:b/>
          <w:color w:val="000000"/>
        </w:rPr>
      </w:pPr>
      <w:r w:rsidRPr="002F6AB4">
        <w:t>Baseline demographic</w:t>
      </w:r>
      <w:r>
        <w:t xml:space="preserve"> </w:t>
      </w:r>
      <w:r w:rsidRPr="002F6AB4">
        <w:t>and anthropometric characteristics and the distribution of subjects by stratification factor</w:t>
      </w:r>
      <w:r>
        <w:t xml:space="preserve"> </w:t>
      </w:r>
      <w:r w:rsidRPr="002F6AB4">
        <w:t>were generally similar between treatment groups except for small differences in the</w:t>
      </w:r>
      <w:r>
        <w:t xml:space="preserve"> </w:t>
      </w:r>
      <w:r w:rsidRPr="002F6AB4">
        <w:t>distribution of subjects by race and a higher percentage of male subjects in the S100 group</w:t>
      </w:r>
      <w:r w:rsidR="009174D7">
        <w:t>.</w:t>
      </w:r>
      <w:r w:rsidRPr="002F6AB4">
        <w:t xml:space="preserve"> Forty (3.2%) </w:t>
      </w:r>
      <w:r>
        <w:t>randomised</w:t>
      </w:r>
      <w:r w:rsidRPr="002F6AB4">
        <w:t xml:space="preserve"> subjects were incorrectly stratified across the 5</w:t>
      </w:r>
      <w:r w:rsidR="007677A2">
        <w:t> </w:t>
      </w:r>
      <w:r w:rsidRPr="002F6AB4">
        <w:t>treatment groups, including 33 (2.7%) subjects who were reported as participating in the</w:t>
      </w:r>
      <w:r>
        <w:t xml:space="preserve"> </w:t>
      </w:r>
      <w:r w:rsidRPr="002F6AB4">
        <w:t>MMTT, but who did not, and 7 (0.6%) subjects who were reported as not participating in the MMTT, but who did so. Mis-stratification had no impact on the statistical analyses because</w:t>
      </w:r>
      <w:r>
        <w:t xml:space="preserve"> </w:t>
      </w:r>
      <w:r w:rsidRPr="002F6AB4">
        <w:t>the MMTT stratum was not a covariate in the models.</w:t>
      </w:r>
      <w:r w:rsidRPr="002F6AB4">
        <w:rPr>
          <w:color w:val="000000"/>
        </w:rPr>
        <w:t xml:space="preserve"> The duration of</w:t>
      </w:r>
      <w:r>
        <w:rPr>
          <w:color w:val="000000"/>
        </w:rPr>
        <w:t xml:space="preserve"> </w:t>
      </w:r>
      <w:r w:rsidRPr="002F6AB4">
        <w:rPr>
          <w:color w:val="000000"/>
        </w:rPr>
        <w:t>T2DM was generally similar across treatment groups (approximately 7 years)</w:t>
      </w:r>
      <w:r w:rsidR="009174D7">
        <w:rPr>
          <w:color w:val="000000"/>
        </w:rPr>
        <w:t>.</w:t>
      </w:r>
      <w:r>
        <w:rPr>
          <w:color w:val="000000"/>
        </w:rPr>
        <w:t xml:space="preserve"> </w:t>
      </w:r>
      <w:r w:rsidRPr="002F6AB4">
        <w:rPr>
          <w:color w:val="000000"/>
        </w:rPr>
        <w:t>One subject</w:t>
      </w:r>
      <w:r>
        <w:rPr>
          <w:color w:val="000000"/>
        </w:rPr>
        <w:t xml:space="preserve"> </w:t>
      </w:r>
      <w:r w:rsidRPr="002F6AB4">
        <w:rPr>
          <w:color w:val="000000"/>
        </w:rPr>
        <w:t>in the E5 group received treatment with dual AHA therapy at</w:t>
      </w:r>
      <w:r>
        <w:rPr>
          <w:color w:val="000000"/>
        </w:rPr>
        <w:t xml:space="preserve"> </w:t>
      </w:r>
      <w:r w:rsidRPr="002F6AB4">
        <w:rPr>
          <w:color w:val="000000"/>
        </w:rPr>
        <w:t>screening; however, the subject was actually on metformin monotherapy at screening. The</w:t>
      </w:r>
      <w:r>
        <w:rPr>
          <w:color w:val="000000"/>
        </w:rPr>
        <w:t xml:space="preserve"> </w:t>
      </w:r>
      <w:r w:rsidRPr="002F6AB4">
        <w:rPr>
          <w:color w:val="000000"/>
        </w:rPr>
        <w:t>second therapy was a rescue treatment which was started post-</w:t>
      </w:r>
      <w:r>
        <w:rPr>
          <w:color w:val="000000"/>
        </w:rPr>
        <w:t>randomisation</w:t>
      </w:r>
      <w:r w:rsidRPr="002F6AB4">
        <w:rPr>
          <w:color w:val="000000"/>
        </w:rPr>
        <w:t xml:space="preserve"> but an incorrect start date was recorded.</w:t>
      </w:r>
      <w:r w:rsidRPr="002F6AB4">
        <w:t xml:space="preserve"> The median dose of metformin was 2000 mg/day in all treatment groups. Baseline </w:t>
      </w:r>
      <w:r>
        <w:t>HbA1c</w:t>
      </w:r>
      <w:r w:rsidRPr="002F6AB4">
        <w:t>, FPG, and eGFR values were similar</w:t>
      </w:r>
      <w:r>
        <w:t xml:space="preserve"> </w:t>
      </w:r>
      <w:r w:rsidRPr="002F6AB4">
        <w:t xml:space="preserve">between groups. The mean </w:t>
      </w:r>
      <w:r>
        <w:t>HbA1c</w:t>
      </w:r>
      <w:r w:rsidRPr="002F6AB4">
        <w:t xml:space="preserve"> overall was 8.55%; approximately 70% of subjects had</w:t>
      </w:r>
      <w:r>
        <w:t xml:space="preserve"> </w:t>
      </w:r>
      <w:r w:rsidRPr="002F6AB4">
        <w:t xml:space="preserve">baseline </w:t>
      </w:r>
      <w:r>
        <w:t>HbA1c</w:t>
      </w:r>
      <w:r w:rsidRPr="002F6AB4">
        <w:t xml:space="preserve"> </w:t>
      </w:r>
      <w:r w:rsidR="002E1032">
        <w:rPr>
          <w:color w:val="000000"/>
        </w:rPr>
        <w:t xml:space="preserve">≥ </w:t>
      </w:r>
      <w:r w:rsidRPr="002F6AB4">
        <w:t>8%</w:t>
      </w:r>
      <w:r w:rsidR="009174D7">
        <w:t>.</w:t>
      </w:r>
      <w:r w:rsidRPr="002F6AB4">
        <w:t xml:space="preserve"> </w:t>
      </w:r>
      <w:r>
        <w:t>Besides T2DM, t</w:t>
      </w:r>
      <w:r w:rsidRPr="002F6AB4">
        <w:t>he other most common</w:t>
      </w:r>
      <w:r>
        <w:t xml:space="preserve"> </w:t>
      </w:r>
      <w:r w:rsidRPr="002F6AB4">
        <w:t xml:space="preserve">categories of medical history conditions by SOC were </w:t>
      </w:r>
      <w:r w:rsidR="007677A2">
        <w:t>v</w:t>
      </w:r>
      <w:r w:rsidRPr="002F6AB4">
        <w:t>ascular disorders (63.9%</w:t>
      </w:r>
      <w:r>
        <w:t xml:space="preserve">), </w:t>
      </w:r>
      <w:r w:rsidRPr="002F6AB4">
        <w:t>Metabolism and nutrition disorders (63.1%)</w:t>
      </w:r>
      <w:r w:rsidRPr="003E6B64">
        <w:t xml:space="preserve"> </w:t>
      </w:r>
      <w:r>
        <w:t xml:space="preserve">and </w:t>
      </w:r>
      <w:r w:rsidRPr="002F6AB4">
        <w:t>Social Circumstances</w:t>
      </w:r>
      <w:r>
        <w:rPr>
          <w:rStyle w:val="FootnoteReference"/>
          <w:rFonts w:asciiTheme="minorHAnsi" w:eastAsiaTheme="minorHAnsi" w:hAnsiTheme="minorHAnsi"/>
        </w:rPr>
        <w:footnoteReference w:id="29"/>
      </w:r>
      <w:r w:rsidRPr="002F6AB4">
        <w:t xml:space="preserve"> (78.2%)</w:t>
      </w:r>
      <w:r>
        <w:t xml:space="preserve">. </w:t>
      </w:r>
      <w:r w:rsidRPr="002F6AB4">
        <w:t>The most common specific medical history conditions, unrelated to circumcision status, were hypertension (61.1%) obesity (24.4%), and dyslipidaemia (23.7%)</w:t>
      </w:r>
      <w:r>
        <w:t xml:space="preserve"> with </w:t>
      </w:r>
      <w:r w:rsidRPr="002F6AB4">
        <w:t>no clinically important differences among treatment groups</w:t>
      </w:r>
      <w:r w:rsidR="009174D7">
        <w:rPr>
          <w:b/>
        </w:rPr>
        <w:t>.</w:t>
      </w:r>
      <w:r w:rsidRPr="002F6AB4">
        <w:t xml:space="preserve"> Subjects screened for this</w:t>
      </w:r>
      <w:r>
        <w:t xml:space="preserve"> </w:t>
      </w:r>
      <w:r w:rsidRPr="002F6AB4">
        <w:t>study were to be receiving metformin as monotherapy; therefore, 100% of subjects were</w:t>
      </w:r>
      <w:r>
        <w:t xml:space="preserve"> </w:t>
      </w:r>
      <w:r w:rsidRPr="002F6AB4">
        <w:t>taking drugs used for diabetes. The other most common prior medication categories were</w:t>
      </w:r>
      <w:r>
        <w:t xml:space="preserve"> </w:t>
      </w:r>
      <w:r w:rsidRPr="002F6AB4">
        <w:t>agents acting on the renin-angiotensin system (53.7%) and lipid-modifying agents (43.8%)</w:t>
      </w:r>
      <w:r>
        <w:t xml:space="preserve"> with </w:t>
      </w:r>
      <w:r w:rsidRPr="002F6AB4">
        <w:t>no clinically important differences among treatment groups</w:t>
      </w:r>
      <w:r w:rsidR="009174D7">
        <w:t>.</w:t>
      </w:r>
      <w:r w:rsidRPr="002F6AB4">
        <w:t xml:space="preserve"> Following </w:t>
      </w:r>
      <w:r>
        <w:t>randomisation</w:t>
      </w:r>
      <w:r w:rsidRPr="002F6AB4">
        <w:t>, subjects were to remain on a stable dose of metformin during the</w:t>
      </w:r>
      <w:r>
        <w:t xml:space="preserve"> </w:t>
      </w:r>
      <w:r w:rsidRPr="002F6AB4">
        <w:t>study; therefore, 100% of subjects were taking drugs used for diabetes. The other most</w:t>
      </w:r>
      <w:r>
        <w:t xml:space="preserve"> </w:t>
      </w:r>
      <w:r w:rsidRPr="002F6AB4">
        <w:t>common concomitant drug therapeutic categories were agents acting on the renin-angiotensin</w:t>
      </w:r>
      <w:r>
        <w:t xml:space="preserve"> </w:t>
      </w:r>
      <w:r w:rsidR="007677A2">
        <w:t xml:space="preserve">system (54.8%), lipid </w:t>
      </w:r>
      <w:r w:rsidRPr="002F6AB4">
        <w:t>modifying agents (46.3%)</w:t>
      </w:r>
      <w:r>
        <w:t xml:space="preserve"> and analgesics (28.7%) with </w:t>
      </w:r>
      <w:r w:rsidRPr="002F6AB4">
        <w:t>no</w:t>
      </w:r>
      <w:r>
        <w:t xml:space="preserve"> </w:t>
      </w:r>
      <w:r w:rsidRPr="002F6AB4">
        <w:t>clinically important differences among treatment groups</w:t>
      </w:r>
      <w:r w:rsidR="009174D7">
        <w:t>.</w:t>
      </w:r>
      <w:r w:rsidRPr="002F6AB4">
        <w:t xml:space="preserve"> </w:t>
      </w:r>
      <w:r w:rsidRPr="00330DBF">
        <w:t xml:space="preserve">Mean compliance with study medication was </w:t>
      </w:r>
      <w:r w:rsidR="002E1032">
        <w:rPr>
          <w:color w:val="000000"/>
        </w:rPr>
        <w:t xml:space="preserve">≥ </w:t>
      </w:r>
      <w:r w:rsidRPr="00330DBF">
        <w:t>98% in all treatment groups</w:t>
      </w:r>
      <w:r w:rsidR="009174D7">
        <w:t>.</w:t>
      </w:r>
    </w:p>
    <w:p w:rsidR="002E5CF1" w:rsidRDefault="002E5CF1" w:rsidP="009174D7">
      <w:pPr>
        <w:pStyle w:val="Heading5"/>
      </w:pPr>
      <w:r>
        <w:t>Primary efficacy results</w:t>
      </w:r>
    </w:p>
    <w:p w:rsidR="002E5CF1" w:rsidRPr="00960172" w:rsidRDefault="002E5CF1" w:rsidP="007677A2">
      <w:r w:rsidRPr="00C50D01">
        <w:t xml:space="preserve">The LS mean reductions from baseline in </w:t>
      </w:r>
      <w:r>
        <w:t>HbA1c</w:t>
      </w:r>
      <w:r w:rsidRPr="00C50D01">
        <w:t xml:space="preserve"> at Week 26 were significantly</w:t>
      </w:r>
      <w:r>
        <w:t xml:space="preserve"> </w:t>
      </w:r>
      <w:r w:rsidRPr="00C50D01">
        <w:t xml:space="preserve">greater in the E15/S100 </w:t>
      </w:r>
      <w:r>
        <w:t xml:space="preserve">group </w:t>
      </w:r>
      <w:r w:rsidRPr="00C50D01">
        <w:t>relative to the individual component treatment</w:t>
      </w:r>
      <w:r>
        <w:t xml:space="preserve"> </w:t>
      </w:r>
      <w:r w:rsidRPr="00C50D01">
        <w:t xml:space="preserve">groups (S100 group and E15 </w:t>
      </w:r>
      <w:r w:rsidRPr="00C50D01">
        <w:lastRenderedPageBreak/>
        <w:t>group), and in the E5/S100 group relative to the individual</w:t>
      </w:r>
      <w:r>
        <w:t xml:space="preserve"> </w:t>
      </w:r>
      <w:r w:rsidRPr="00C50D01">
        <w:t xml:space="preserve">component treatment groups (S100 group and E5 group) </w:t>
      </w:r>
      <w:r>
        <w:t xml:space="preserve">(-1.02, -1.08, -1.05, -1.49 and -1.52 </w:t>
      </w:r>
      <w:r>
        <w:rPr>
          <w:color w:val="000000"/>
        </w:rPr>
        <w:t xml:space="preserve">in the E5, E15, S100, E5/S100 and E15/S100 groups, </w:t>
      </w:r>
      <w:r w:rsidRPr="00960172">
        <w:rPr>
          <w:color w:val="000000"/>
        </w:rPr>
        <w:t>respectively</w:t>
      </w:r>
      <w:r w:rsidRPr="00960172">
        <w:t xml:space="preserve">; </w:t>
      </w:r>
      <w:r w:rsidR="00FB1E32">
        <w:t>p &lt; 0</w:t>
      </w:r>
      <w:r w:rsidRPr="00960172">
        <w:t xml:space="preserve">.001 for all pre-specified comparisons)(Table </w:t>
      </w:r>
      <w:r w:rsidR="00960172" w:rsidRPr="00960172">
        <w:t>63</w:t>
      </w:r>
      <w:r w:rsidRPr="00960172">
        <w:t xml:space="preserve">). Large reductions in HbA1c in all treatment groups at Week 6 were followed by smaller subsequent reductions through Week 26. The point estimates of the reductions in HbA1c were numerically greater in the E15/S100 and E5/S100 groups relative to the 3 other treatment groups at each time point (Figure </w:t>
      </w:r>
      <w:r w:rsidR="00960172" w:rsidRPr="00960172">
        <w:t>20</w:t>
      </w:r>
      <w:r w:rsidRPr="00960172">
        <w:t>)</w:t>
      </w:r>
      <w:r w:rsidR="00960172" w:rsidRPr="00960172">
        <w:t>.</w:t>
      </w:r>
    </w:p>
    <w:p w:rsidR="002E5CF1" w:rsidRDefault="002E5CF1" w:rsidP="007677A2">
      <w:r w:rsidRPr="00960172">
        <w:t>The analysis of HbA1c change</w:t>
      </w:r>
      <w:r w:rsidRPr="00801F96">
        <w:t xml:space="preserve"> from baseline at Week 26 performed using ANCOVA/</w:t>
      </w:r>
      <w:proofErr w:type="gramStart"/>
      <w:r w:rsidRPr="00801F96">
        <w:t>LOCF,</w:t>
      </w:r>
      <w:proofErr w:type="gramEnd"/>
      <w:r>
        <w:t xml:space="preserve"> </w:t>
      </w:r>
      <w:r w:rsidRPr="00801F96">
        <w:t>excluding data after initiation of glycemic rescue therapy supported the conclusion from the primary analysis</w:t>
      </w:r>
      <w:r w:rsidRPr="002756A6">
        <w:t>.</w:t>
      </w:r>
      <w:r>
        <w:t xml:space="preserve"> </w:t>
      </w:r>
      <w:r w:rsidRPr="00C50D01">
        <w:t>Sensitivity analyses were performed to assess the impact of missing data on the primary</w:t>
      </w:r>
      <w:r>
        <w:t xml:space="preserve"> </w:t>
      </w:r>
      <w:r w:rsidRPr="00C50D01">
        <w:t>analysis results</w:t>
      </w:r>
      <w:r>
        <w:t>.</w:t>
      </w:r>
      <w:r w:rsidRPr="00C50D01">
        <w:t xml:space="preserve"> In the J2R analyses, LS mean reductions in </w:t>
      </w:r>
      <w:r>
        <w:t>HbA1c</w:t>
      </w:r>
      <w:r w:rsidRPr="00C50D01">
        <w:t xml:space="preserve"> at Week 26 were</w:t>
      </w:r>
      <w:r>
        <w:t xml:space="preserve"> </w:t>
      </w:r>
      <w:r w:rsidRPr="00C50D01">
        <w:t xml:space="preserve">greater in the E15/S100 and E5/S100 groups relative to </w:t>
      </w:r>
      <w:r w:rsidRPr="00960172">
        <w:t>individual component treatment groups at corresponding dose strengths (</w:t>
      </w:r>
      <w:r w:rsidR="00FB1E32">
        <w:t>p &lt; 0</w:t>
      </w:r>
      <w:r w:rsidRPr="00960172">
        <w:t xml:space="preserve">.0001 for all comparisons) (Table </w:t>
      </w:r>
      <w:r w:rsidR="00960172" w:rsidRPr="00960172">
        <w:t>64</w:t>
      </w:r>
      <w:r w:rsidRPr="00960172">
        <w:t xml:space="preserve">). The tipping-point analyses in which data collected after initiation of glycaemic rescue therapy were considered missing showed that, to shift the primary result to a non-significant result, the HbA1c change from baseline among subjects in the E15/S100 and E5/S100 groups with missing data would need to have been substantially worse than that expected under the missing at random assumption (over 3.2% and over 2.7% for E15/S100 and E5/S100 groups, respectively, compared to either ertugliflozin or sitagliptin) (Table </w:t>
      </w:r>
      <w:r w:rsidR="00960172" w:rsidRPr="00960172">
        <w:t>65</w:t>
      </w:r>
      <w:r w:rsidRPr="00960172">
        <w:t>). An analysis of change from baseline in HbA1c at Week 26, including data after initiation of glycaemic rescue therapy</w:t>
      </w:r>
      <w:r>
        <w:t xml:space="preserve"> (which </w:t>
      </w:r>
      <w:r w:rsidRPr="00C50D01">
        <w:t>included more subjects</w:t>
      </w:r>
      <w:r>
        <w:t xml:space="preserve"> </w:t>
      </w:r>
      <w:r w:rsidRPr="00C50D01">
        <w:t xml:space="preserve">with </w:t>
      </w:r>
      <w:r>
        <w:t>HbA1c</w:t>
      </w:r>
      <w:r w:rsidRPr="00C50D01">
        <w:t xml:space="preserve"> data at Week 26, particu</w:t>
      </w:r>
      <w:r>
        <w:t xml:space="preserve">larly in the E5 and S100 groups) also showed </w:t>
      </w:r>
      <w:r w:rsidRPr="00C50D01">
        <w:t xml:space="preserve">results </w:t>
      </w:r>
      <w:r>
        <w:t xml:space="preserve">which were </w:t>
      </w:r>
      <w:r w:rsidRPr="00C50D01">
        <w:t>consistent</w:t>
      </w:r>
      <w:r>
        <w:t xml:space="preserve"> </w:t>
      </w:r>
      <w:r w:rsidRPr="00C50D01">
        <w:t>with the primary analysis.</w:t>
      </w:r>
    </w:p>
    <w:p w:rsidR="00960172" w:rsidRPr="00DE7072" w:rsidRDefault="00960172" w:rsidP="00960172">
      <w:pPr>
        <w:pStyle w:val="Tabletitle"/>
      </w:pPr>
      <w:bookmarkStart w:id="481" w:name="_Ref492028266"/>
      <w:bookmarkStart w:id="482" w:name="_Toc504038498"/>
      <w:r w:rsidRPr="00DE7072">
        <w:t xml:space="preserve">Table </w:t>
      </w:r>
      <w:r>
        <w:t>63</w:t>
      </w:r>
      <w:r w:rsidRPr="00DE7072">
        <w:t xml:space="preserve">: </w:t>
      </w:r>
      <w:r>
        <w:t>Hb</w:t>
      </w:r>
      <w:r w:rsidRPr="00DE7072">
        <w:t>A1</w:t>
      </w:r>
      <w:r w:rsidR="00045857">
        <w:t>c</w:t>
      </w:r>
      <w:r w:rsidRPr="00DE7072">
        <w:t xml:space="preserve"> (%)</w:t>
      </w:r>
      <w:r w:rsidR="00045857">
        <w:t>;</w:t>
      </w:r>
      <w:r w:rsidRPr="00DE7072">
        <w:t xml:space="preserve"> Change from </w:t>
      </w:r>
      <w:r w:rsidR="00045857">
        <w:t>B</w:t>
      </w:r>
      <w:r w:rsidR="00045857" w:rsidRPr="00DE7072">
        <w:t xml:space="preserve">aseline </w:t>
      </w:r>
      <w:r w:rsidRPr="00DE7072">
        <w:t xml:space="preserve">at </w:t>
      </w:r>
      <w:r w:rsidR="00686AEA">
        <w:t>Week 26</w:t>
      </w:r>
      <w:r w:rsidRPr="00DE7072">
        <w:t>. cLDA. FAS: Excluding rescue approach</w:t>
      </w:r>
      <w:bookmarkEnd w:id="481"/>
      <w:bookmarkEnd w:id="482"/>
    </w:p>
    <w:p w:rsidR="00960172" w:rsidRPr="00DE7072" w:rsidRDefault="00960172" w:rsidP="007A1A22">
      <w:r w:rsidRPr="00DE7072">
        <w:rPr>
          <w:noProof/>
          <w:lang w:eastAsia="en-AU"/>
        </w:rPr>
        <w:drawing>
          <wp:inline distT="0" distB="0" distL="0" distR="0" wp14:anchorId="001FB15A" wp14:editId="5AE367F7">
            <wp:extent cx="5701553" cy="1864080"/>
            <wp:effectExtent l="0" t="0" r="0" b="3175"/>
            <wp:docPr id="308" name="Picture 308" descr="HbA1C (%): Change from baseline at week 26.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8">
                      <a:lum bright="-20000" contrast="40000"/>
                      <a:extLst>
                        <a:ext uri="{28A0092B-C50C-407E-A947-70E740481C1C}">
                          <a14:useLocalDpi xmlns:a14="http://schemas.microsoft.com/office/drawing/2010/main" val="0"/>
                        </a:ext>
                      </a:extLst>
                    </a:blip>
                    <a:srcRect/>
                    <a:stretch>
                      <a:fillRect/>
                    </a:stretch>
                  </pic:blipFill>
                  <pic:spPr bwMode="auto">
                    <a:xfrm>
                      <a:off x="0" y="0"/>
                      <a:ext cx="5698791" cy="1863177"/>
                    </a:xfrm>
                    <a:prstGeom prst="rect">
                      <a:avLst/>
                    </a:prstGeom>
                    <a:noFill/>
                    <a:ln>
                      <a:noFill/>
                    </a:ln>
                  </pic:spPr>
                </pic:pic>
              </a:graphicData>
            </a:graphic>
          </wp:inline>
        </w:drawing>
      </w:r>
    </w:p>
    <w:p w:rsidR="00960172" w:rsidRPr="00DE7072" w:rsidRDefault="00960172" w:rsidP="00D646A8">
      <w:pPr>
        <w:pStyle w:val="FigureTitle"/>
      </w:pPr>
      <w:bookmarkStart w:id="483" w:name="_Ref492028295"/>
      <w:bookmarkStart w:id="484" w:name="_Toc504038499"/>
      <w:r w:rsidRPr="00DE7072">
        <w:lastRenderedPageBreak/>
        <w:t xml:space="preserve">Figure </w:t>
      </w:r>
      <w:r>
        <w:t>20</w:t>
      </w:r>
      <w:r w:rsidRPr="00DE7072">
        <w:t>:</w:t>
      </w:r>
      <w:r>
        <w:t xml:space="preserve"> Hb</w:t>
      </w:r>
      <w:r w:rsidRPr="00DE7072">
        <w:t>A1</w:t>
      </w:r>
      <w:r w:rsidR="00045857">
        <w:t>c</w:t>
      </w:r>
      <w:r w:rsidRPr="00DE7072">
        <w:t xml:space="preserve"> (%): LS mean change from </w:t>
      </w:r>
      <w:r w:rsidR="00045857">
        <w:t>B</w:t>
      </w:r>
      <w:r w:rsidR="00045857" w:rsidRPr="00DE7072">
        <w:t xml:space="preserve">aseline </w:t>
      </w:r>
      <w:r w:rsidRPr="00DE7072">
        <w:t>over time. cLDA FAS: Excluding rescue approach</w:t>
      </w:r>
      <w:bookmarkEnd w:id="483"/>
      <w:bookmarkEnd w:id="484"/>
    </w:p>
    <w:p w:rsidR="00960172" w:rsidRPr="00DE7072" w:rsidRDefault="00960172" w:rsidP="007A1A22">
      <w:r w:rsidRPr="00DE7072">
        <w:t xml:space="preserve"> </w:t>
      </w:r>
      <w:r w:rsidRPr="00DE7072">
        <w:rPr>
          <w:noProof/>
          <w:lang w:eastAsia="en-AU"/>
        </w:rPr>
        <w:drawing>
          <wp:inline distT="0" distB="0" distL="0" distR="0" wp14:anchorId="61185741" wp14:editId="7DD84FBF">
            <wp:extent cx="4825573" cy="3577695"/>
            <wp:effectExtent l="0" t="0" r="0" b="3810"/>
            <wp:docPr id="309" name="Picture 309" descr="HbA1C (%):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9">
                      <a:lum bright="-20000" contrast="40000"/>
                      <a:extLst>
                        <a:ext uri="{28A0092B-C50C-407E-A947-70E740481C1C}">
                          <a14:useLocalDpi xmlns:a14="http://schemas.microsoft.com/office/drawing/2010/main" val="0"/>
                        </a:ext>
                      </a:extLst>
                    </a:blip>
                    <a:srcRect/>
                    <a:stretch>
                      <a:fillRect/>
                    </a:stretch>
                  </pic:blipFill>
                  <pic:spPr bwMode="auto">
                    <a:xfrm>
                      <a:off x="0" y="0"/>
                      <a:ext cx="4825673" cy="3577769"/>
                    </a:xfrm>
                    <a:prstGeom prst="rect">
                      <a:avLst/>
                    </a:prstGeom>
                    <a:noFill/>
                    <a:ln>
                      <a:noFill/>
                    </a:ln>
                  </pic:spPr>
                </pic:pic>
              </a:graphicData>
            </a:graphic>
          </wp:inline>
        </w:drawing>
      </w:r>
    </w:p>
    <w:p w:rsidR="00960172" w:rsidRPr="00DE7072" w:rsidRDefault="00960172" w:rsidP="00960172">
      <w:pPr>
        <w:pStyle w:val="Tabletitle"/>
      </w:pPr>
      <w:bookmarkStart w:id="485" w:name="_Ref492030471"/>
      <w:bookmarkStart w:id="486" w:name="_Toc504038500"/>
      <w:r w:rsidRPr="00DE7072">
        <w:t xml:space="preserve">Table </w:t>
      </w:r>
      <w:r>
        <w:t xml:space="preserve">64: </w:t>
      </w:r>
      <w:r w:rsidRPr="00DE7072">
        <w:t>Sensitivity analysis</w:t>
      </w:r>
      <w:r w:rsidR="005A3437">
        <w:t>;</w:t>
      </w:r>
      <w:r w:rsidRPr="00DE7072">
        <w:t xml:space="preserve"> J2R analysis</w:t>
      </w:r>
      <w:bookmarkEnd w:id="485"/>
      <w:bookmarkEnd w:id="486"/>
    </w:p>
    <w:p w:rsidR="00960172" w:rsidRDefault="00960172" w:rsidP="007A1A22">
      <w:r w:rsidRPr="00DE7072">
        <w:rPr>
          <w:noProof/>
          <w:lang w:eastAsia="en-AU"/>
        </w:rPr>
        <w:drawing>
          <wp:inline distT="0" distB="0" distL="0" distR="0" wp14:anchorId="6E784B3E" wp14:editId="17EB8947">
            <wp:extent cx="5731510" cy="1976120"/>
            <wp:effectExtent l="0" t="0" r="2540" b="5080"/>
            <wp:docPr id="310" name="Picture 310" descr="Sensitivity analysis J2R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1976120"/>
                    </a:xfrm>
                    <a:prstGeom prst="rect">
                      <a:avLst/>
                    </a:prstGeom>
                    <a:noFill/>
                    <a:ln>
                      <a:noFill/>
                    </a:ln>
                  </pic:spPr>
                </pic:pic>
              </a:graphicData>
            </a:graphic>
          </wp:inline>
        </w:drawing>
      </w:r>
    </w:p>
    <w:p w:rsidR="00960172" w:rsidRDefault="00960172" w:rsidP="00960172">
      <w:pPr>
        <w:pStyle w:val="Tabletitle"/>
      </w:pPr>
      <w:r w:rsidRPr="00DE7072">
        <w:lastRenderedPageBreak/>
        <w:t xml:space="preserve">Table </w:t>
      </w:r>
      <w:r>
        <w:t xml:space="preserve">64 </w:t>
      </w:r>
      <w:r w:rsidR="005A3437">
        <w:t>(</w:t>
      </w:r>
      <w:r>
        <w:t>continued</w:t>
      </w:r>
      <w:r w:rsidR="005A3437">
        <w:t>)</w:t>
      </w:r>
      <w:r>
        <w:t xml:space="preserve">: </w:t>
      </w:r>
      <w:r w:rsidRPr="00DE7072">
        <w:t>Sensitivity analysis</w:t>
      </w:r>
      <w:r w:rsidR="005A3437">
        <w:t>;</w:t>
      </w:r>
      <w:r w:rsidRPr="00DE7072">
        <w:t xml:space="preserve"> J2R analysis</w:t>
      </w:r>
    </w:p>
    <w:p w:rsidR="00960172" w:rsidRPr="00960172" w:rsidRDefault="00960172" w:rsidP="007A1A22">
      <w:r>
        <w:rPr>
          <w:noProof/>
          <w:lang w:eastAsia="en-AU"/>
        </w:rPr>
        <w:drawing>
          <wp:inline distT="0" distB="0" distL="0" distR="0" wp14:anchorId="41FE3718" wp14:editId="50946670">
            <wp:extent cx="5731510" cy="3831416"/>
            <wp:effectExtent l="0" t="0" r="2540" b="0"/>
            <wp:docPr id="228" name="Picture 228" descr="Sensitivity analysis J2R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731510" cy="3831416"/>
                    </a:xfrm>
                    <a:prstGeom prst="rect">
                      <a:avLst/>
                    </a:prstGeom>
                  </pic:spPr>
                </pic:pic>
              </a:graphicData>
            </a:graphic>
          </wp:inline>
        </w:drawing>
      </w:r>
    </w:p>
    <w:p w:rsidR="00960172" w:rsidRPr="00DE7072" w:rsidRDefault="00960172" w:rsidP="00960172">
      <w:pPr>
        <w:pStyle w:val="Tabletitle"/>
      </w:pPr>
      <w:bookmarkStart w:id="487" w:name="_Ref492030472"/>
      <w:bookmarkStart w:id="488" w:name="_Toc504038501"/>
      <w:r w:rsidRPr="00DE7072">
        <w:t xml:space="preserve">Table </w:t>
      </w:r>
      <w:r>
        <w:t>65</w:t>
      </w:r>
      <w:r w:rsidRPr="00DE7072">
        <w:t>: Sensitivity analysis</w:t>
      </w:r>
      <w:r w:rsidR="005A3437">
        <w:t>;</w:t>
      </w:r>
      <w:r w:rsidRPr="00DE7072">
        <w:t xml:space="preserve"> Tipping point analysis</w:t>
      </w:r>
      <w:bookmarkEnd w:id="487"/>
      <w:bookmarkEnd w:id="488"/>
    </w:p>
    <w:p w:rsidR="00960172" w:rsidRDefault="00960172" w:rsidP="007A1A22">
      <w:r w:rsidRPr="00DE7072">
        <w:rPr>
          <w:noProof/>
          <w:lang w:eastAsia="en-AU"/>
        </w:rPr>
        <w:drawing>
          <wp:inline distT="0" distB="0" distL="0" distR="0" wp14:anchorId="682AC4E8" wp14:editId="4BD0D98A">
            <wp:extent cx="5731510" cy="2248209"/>
            <wp:effectExtent l="0" t="0" r="2540" b="0"/>
            <wp:docPr id="313" name="Picture 313" descr="Sensitivity analysis: Tipping poin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2248209"/>
                    </a:xfrm>
                    <a:prstGeom prst="rect">
                      <a:avLst/>
                    </a:prstGeom>
                    <a:noFill/>
                    <a:ln>
                      <a:noFill/>
                    </a:ln>
                  </pic:spPr>
                </pic:pic>
              </a:graphicData>
            </a:graphic>
          </wp:inline>
        </w:drawing>
      </w:r>
    </w:p>
    <w:p w:rsidR="00960172" w:rsidRPr="00DE7072" w:rsidRDefault="00960172" w:rsidP="00960172">
      <w:pPr>
        <w:pStyle w:val="Tabletitle"/>
      </w:pPr>
      <w:r w:rsidRPr="00DE7072">
        <w:lastRenderedPageBreak/>
        <w:t xml:space="preserve">Table </w:t>
      </w:r>
      <w:r>
        <w:t xml:space="preserve">65 </w:t>
      </w:r>
      <w:r w:rsidR="005A3437">
        <w:t>(</w:t>
      </w:r>
      <w:r>
        <w:t>continued</w:t>
      </w:r>
      <w:r w:rsidR="005A3437">
        <w:t>)</w:t>
      </w:r>
      <w:r w:rsidRPr="00DE7072">
        <w:t>: Sensitivity analysis</w:t>
      </w:r>
      <w:r w:rsidR="005A3437">
        <w:t>;</w:t>
      </w:r>
      <w:r w:rsidRPr="00DE7072">
        <w:t xml:space="preserve"> Tipping point analysis</w:t>
      </w:r>
    </w:p>
    <w:p w:rsidR="00960172" w:rsidRPr="00DE7072" w:rsidRDefault="00960172" w:rsidP="007A1A22">
      <w:pPr>
        <w:rPr>
          <w:rFonts w:ascii="Calibri" w:hAnsi="Calibri" w:cs="Calibri"/>
          <w:sz w:val="20"/>
          <w:szCs w:val="20"/>
        </w:rPr>
      </w:pPr>
      <w:r>
        <w:rPr>
          <w:noProof/>
          <w:lang w:eastAsia="en-AU"/>
        </w:rPr>
        <w:drawing>
          <wp:inline distT="0" distB="0" distL="0" distR="0" wp14:anchorId="26365422" wp14:editId="0D465D65">
            <wp:extent cx="5731510" cy="4574798"/>
            <wp:effectExtent l="0" t="0" r="2540" b="0"/>
            <wp:docPr id="229" name="Picture 229" descr="Sensitivity analysis: Tipping poin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Lst>
                    </a:blip>
                    <a:stretch>
                      <a:fillRect/>
                    </a:stretch>
                  </pic:blipFill>
                  <pic:spPr>
                    <a:xfrm>
                      <a:off x="0" y="0"/>
                      <a:ext cx="5731510" cy="4574798"/>
                    </a:xfrm>
                    <a:prstGeom prst="rect">
                      <a:avLst/>
                    </a:prstGeom>
                  </pic:spPr>
                </pic:pic>
              </a:graphicData>
            </a:graphic>
          </wp:inline>
        </w:drawing>
      </w:r>
    </w:p>
    <w:p w:rsidR="007677A2" w:rsidRDefault="007677A2" w:rsidP="002E5CF1">
      <w:pPr>
        <w:autoSpaceDE w:val="0"/>
        <w:autoSpaceDN w:val="0"/>
        <w:adjustRightInd w:val="0"/>
        <w:spacing w:before="0" w:line="240" w:lineRule="auto"/>
        <w:rPr>
          <w:rFonts w:asciiTheme="minorHAnsi" w:eastAsiaTheme="minorHAnsi" w:hAnsiTheme="minorHAnsi"/>
        </w:rPr>
      </w:pPr>
      <w:r>
        <w:rPr>
          <w:rStyle w:val="Heading6Char"/>
          <w:rFonts w:eastAsiaTheme="minorHAnsi"/>
        </w:rPr>
        <w:t>Subgroup analysis</w:t>
      </w:r>
    </w:p>
    <w:p w:rsidR="002E5CF1" w:rsidRPr="006D4F11" w:rsidRDefault="002E5CF1" w:rsidP="007677A2">
      <w:pPr>
        <w:rPr>
          <w:b/>
          <w:color w:val="000000"/>
        </w:rPr>
      </w:pPr>
      <w:r w:rsidRPr="006D4F11">
        <w:t xml:space="preserve">In general, the improvements in </w:t>
      </w:r>
      <w:r>
        <w:t>HbA1c</w:t>
      </w:r>
      <w:r w:rsidRPr="006D4F11">
        <w:t xml:space="preserve"> were greater in the E15/S100 and E5/S100 groups</w:t>
      </w:r>
      <w:r>
        <w:t xml:space="preserve"> </w:t>
      </w:r>
      <w:r w:rsidRPr="006D4F11">
        <w:t>relative to the individual component treatment groups (at corresponding dose strengths)</w:t>
      </w:r>
      <w:r>
        <w:t xml:space="preserve"> </w:t>
      </w:r>
      <w:r w:rsidRPr="006D4F11">
        <w:t xml:space="preserve">across the subgroups evaluated. Numerically larger reductions in </w:t>
      </w:r>
      <w:r>
        <w:t>HbA1c</w:t>
      </w:r>
      <w:r w:rsidRPr="006D4F11">
        <w:t xml:space="preserve"> were observed in the</w:t>
      </w:r>
      <w:r>
        <w:t xml:space="preserve"> </w:t>
      </w:r>
      <w:r w:rsidRPr="006D4F11">
        <w:t xml:space="preserve">subgroups with higher versus lower baseline </w:t>
      </w:r>
      <w:r>
        <w:t>HbA1c</w:t>
      </w:r>
      <w:r w:rsidRPr="006D4F11">
        <w:t xml:space="preserve"> in each treatment group. In the entire</w:t>
      </w:r>
      <w:r>
        <w:t xml:space="preserve"> </w:t>
      </w:r>
      <w:r w:rsidRPr="006D4F11">
        <w:t xml:space="preserve">FAS, there was no notable numerical difference in </w:t>
      </w:r>
      <w:r>
        <w:t>HbA1c</w:t>
      </w:r>
      <w:r w:rsidRPr="006D4F11">
        <w:t>-lowering with E15/S100 relative to</w:t>
      </w:r>
      <w:r>
        <w:t xml:space="preserve"> </w:t>
      </w:r>
      <w:r w:rsidRPr="006D4F11">
        <w:t xml:space="preserve">E5/S100; in the by-baseline </w:t>
      </w:r>
      <w:r>
        <w:t>HbA1c</w:t>
      </w:r>
      <w:r w:rsidRPr="006D4F11">
        <w:t xml:space="preserve"> subgroups, numerically greater </w:t>
      </w:r>
      <w:r>
        <w:t>HbA1c</w:t>
      </w:r>
      <w:r w:rsidRPr="006D4F11">
        <w:t xml:space="preserve"> reductions were</w:t>
      </w:r>
      <w:r>
        <w:t xml:space="preserve"> </w:t>
      </w:r>
      <w:r w:rsidRPr="006D4F11">
        <w:t>observed in the E15/S100 group relative to the E5/S100 group for subjects with higher</w:t>
      </w:r>
      <w:r>
        <w:t xml:space="preserve"> </w:t>
      </w:r>
      <w:r w:rsidRPr="006D4F11">
        <w:t xml:space="preserve">baseline </w:t>
      </w:r>
      <w:r>
        <w:t>HbA1c</w:t>
      </w:r>
      <w:r w:rsidRPr="006D4F11">
        <w:t xml:space="preserve"> values (</w:t>
      </w:r>
      <w:r w:rsidR="002E1032">
        <w:rPr>
          <w:color w:val="000000"/>
        </w:rPr>
        <w:t xml:space="preserve">≥ </w:t>
      </w:r>
      <w:r w:rsidRPr="006D4F11">
        <w:t>9 to &lt;</w:t>
      </w:r>
      <w:r w:rsidR="007677A2">
        <w:t xml:space="preserve"> </w:t>
      </w:r>
      <w:r w:rsidRPr="006D4F11">
        <w:t xml:space="preserve">10% and </w:t>
      </w:r>
      <w:r w:rsidR="002E1032">
        <w:rPr>
          <w:color w:val="000000"/>
        </w:rPr>
        <w:t xml:space="preserve">≥ </w:t>
      </w:r>
      <w:r w:rsidRPr="006D4F11">
        <w:t xml:space="preserve">10%). Otherwise, no meaningful differences in </w:t>
      </w:r>
      <w:r>
        <w:t xml:space="preserve">HbA1c </w:t>
      </w:r>
      <w:r w:rsidRPr="006D4F11">
        <w:t>redu</w:t>
      </w:r>
      <w:r>
        <w:t>ction by subgroup were observed</w:t>
      </w:r>
      <w:r w:rsidR="008F4CA2">
        <w:t>.</w:t>
      </w:r>
    </w:p>
    <w:p w:rsidR="002E5CF1" w:rsidRDefault="002E5CF1" w:rsidP="008F4CA2">
      <w:pPr>
        <w:pStyle w:val="Heading5"/>
      </w:pPr>
      <w:r>
        <w:t>Other efficacy results</w:t>
      </w:r>
    </w:p>
    <w:p w:rsidR="002E5CF1" w:rsidRDefault="002E5CF1" w:rsidP="007677A2">
      <w:r w:rsidRPr="00E37C28">
        <w:t xml:space="preserve">The </w:t>
      </w:r>
      <w:r w:rsidR="00FB1E32">
        <w:t>model based</w:t>
      </w:r>
      <w:r>
        <w:t xml:space="preserve"> </w:t>
      </w:r>
      <w:r w:rsidRPr="00E37C28">
        <w:t xml:space="preserve">probability of having an </w:t>
      </w:r>
      <w:r>
        <w:t>HbA1c</w:t>
      </w:r>
      <w:r w:rsidRPr="00E37C28">
        <w:t xml:space="preserve"> value &lt;</w:t>
      </w:r>
      <w:r w:rsidR="007677A2">
        <w:t xml:space="preserve"> </w:t>
      </w:r>
      <w:r w:rsidRPr="00E37C28">
        <w:t>7.0% at Week 26, using multiple imputation for</w:t>
      </w:r>
      <w:r>
        <w:t xml:space="preserve"> </w:t>
      </w:r>
      <w:r w:rsidRPr="00E37C28">
        <w:t>subjects with missing Week 26 data, were significantly greater in the E15/S100 and E5/S100</w:t>
      </w:r>
      <w:r>
        <w:t xml:space="preserve"> </w:t>
      </w:r>
      <w:r w:rsidRPr="00E37C28">
        <w:t>groups relative to the individual component treatment groups at corresponding dose strengths</w:t>
      </w:r>
      <w:r>
        <w:t xml:space="preserve"> </w:t>
      </w:r>
      <w:r w:rsidRPr="00E37C28">
        <w:t>(</w:t>
      </w:r>
      <w:r>
        <w:t>26%, 32%, 33%, 52% and 49%</w:t>
      </w:r>
      <w:r w:rsidRPr="00EB055C">
        <w:rPr>
          <w:color w:val="000000"/>
        </w:rPr>
        <w:t xml:space="preserve"> </w:t>
      </w:r>
      <w:r>
        <w:rPr>
          <w:color w:val="000000"/>
        </w:rPr>
        <w:t>in the E5, E15, S100, E5/S100 and E15/S100 groups, respectively</w:t>
      </w:r>
      <w:r>
        <w:t xml:space="preserve">; </w:t>
      </w:r>
      <w:r w:rsidR="00FB1E32">
        <w:t>p &lt; 0</w:t>
      </w:r>
      <w:r>
        <w:t>.001 for all comparisons)</w:t>
      </w:r>
      <w:r w:rsidR="008F4CA2">
        <w:t>.</w:t>
      </w:r>
    </w:p>
    <w:p w:rsidR="002E5CF1" w:rsidRPr="00A448CD" w:rsidRDefault="002E5CF1" w:rsidP="007677A2">
      <w:r w:rsidRPr="00D072A8">
        <w:t>The LS mean reductions from baseline in</w:t>
      </w:r>
      <w:r>
        <w:t xml:space="preserve"> </w:t>
      </w:r>
      <w:r w:rsidRPr="00D072A8">
        <w:t>FPG at Week 26 were significantly greater in the E15/S100 and E5/S100 groups relative to</w:t>
      </w:r>
      <w:r>
        <w:t xml:space="preserve"> </w:t>
      </w:r>
      <w:r w:rsidRPr="00D072A8">
        <w:t>the individual component treatment groups at corresponding dose strengths</w:t>
      </w:r>
      <w:r>
        <w:t xml:space="preserve"> </w:t>
      </w:r>
      <w:r>
        <w:rPr>
          <w:color w:val="000000"/>
        </w:rPr>
        <w:t>in the E5, E15, S100, E5/S100 and E15/S100 groups, respectively</w:t>
      </w:r>
      <w:r>
        <w:t>; -1.98, -2.05, -1.42, -2.44 and -2.70mmol/L, respectively)</w:t>
      </w:r>
      <w:r w:rsidRPr="00D072A8">
        <w:t xml:space="preserve"> (</w:t>
      </w:r>
      <w:r w:rsidR="00FB1E32">
        <w:t>p = 0</w:t>
      </w:r>
      <w:r w:rsidRPr="00D072A8">
        <w:t>.004 for</w:t>
      </w:r>
      <w:r>
        <w:t xml:space="preserve"> </w:t>
      </w:r>
      <w:r w:rsidRPr="00D072A8">
        <w:t xml:space="preserve">E5/S100 versus E5; </w:t>
      </w:r>
      <w:r w:rsidR="00FB1E32">
        <w:t>p &lt; 0</w:t>
      </w:r>
      <w:r w:rsidRPr="00D072A8">
        <w:t>.001 for all other comparisons)</w:t>
      </w:r>
      <w:r w:rsidR="008F4CA2">
        <w:t>.</w:t>
      </w:r>
      <w:r w:rsidRPr="00D072A8">
        <w:t xml:space="preserve"> Large reductions</w:t>
      </w:r>
      <w:r>
        <w:t xml:space="preserve"> </w:t>
      </w:r>
      <w:r w:rsidRPr="00D072A8">
        <w:t xml:space="preserve">in FPG in all treatment groups </w:t>
      </w:r>
      <w:r w:rsidRPr="00D072A8">
        <w:lastRenderedPageBreak/>
        <w:t>at Week 6 were followed by small subsequent reductions through Week 26. At each time point, the</w:t>
      </w:r>
      <w:r>
        <w:t xml:space="preserve"> </w:t>
      </w:r>
      <w:r w:rsidRPr="00D072A8">
        <w:t>magnitude of the reductions in FPG was numerically greater in the E15/S100 and E5/S100</w:t>
      </w:r>
      <w:r>
        <w:t xml:space="preserve"> </w:t>
      </w:r>
      <w:r w:rsidRPr="00D072A8">
        <w:t xml:space="preserve">groups than in </w:t>
      </w:r>
      <w:r w:rsidRPr="00A448CD">
        <w:t xml:space="preserve">the 3 other groups, and </w:t>
      </w:r>
      <w:r w:rsidR="00AE3765" w:rsidRPr="00A448CD">
        <w:t>was</w:t>
      </w:r>
      <w:r w:rsidRPr="00A448CD">
        <w:t xml:space="preserve"> numerically greater in the E5 and E15 groups than in the S100 group (Figure </w:t>
      </w:r>
      <w:r w:rsidR="00A448CD" w:rsidRPr="00A448CD">
        <w:t>21).</w:t>
      </w:r>
    </w:p>
    <w:p w:rsidR="00A448CD" w:rsidRPr="00DE7072" w:rsidRDefault="00A448CD" w:rsidP="007A1A22">
      <w:pPr>
        <w:pStyle w:val="FigureTitle"/>
      </w:pPr>
      <w:bookmarkStart w:id="489" w:name="_Ref492030476"/>
      <w:bookmarkStart w:id="490" w:name="_Toc504038506"/>
      <w:r w:rsidRPr="00DE7072">
        <w:t xml:space="preserve">Figure </w:t>
      </w:r>
      <w:r>
        <w:t>21</w:t>
      </w:r>
      <w:r w:rsidRPr="00DE7072">
        <w:t>:</w:t>
      </w:r>
      <w:r>
        <w:t xml:space="preserve"> </w:t>
      </w:r>
      <w:r w:rsidRPr="00DE7072">
        <w:t>FPG (mg/dL) LS Mean chan</w:t>
      </w:r>
      <w:r w:rsidR="00AE3765">
        <w:t xml:space="preserve">ge from </w:t>
      </w:r>
      <w:r w:rsidR="005A3437">
        <w:t xml:space="preserve">Baseline </w:t>
      </w:r>
      <w:r w:rsidR="00AE3765">
        <w:t>over time</w:t>
      </w:r>
      <w:r w:rsidR="005A3437">
        <w:t>;</w:t>
      </w:r>
      <w:r w:rsidR="00AE3765">
        <w:t xml:space="preserve"> </w:t>
      </w:r>
      <w:proofErr w:type="spellStart"/>
      <w:r w:rsidR="00AE3765">
        <w:t>cLDA</w:t>
      </w:r>
      <w:proofErr w:type="spellEnd"/>
      <w:r w:rsidR="007677A2">
        <w:t xml:space="preserve"> FAS e</w:t>
      </w:r>
      <w:r w:rsidRPr="00DE7072">
        <w:t>xcluding rescue approach</w:t>
      </w:r>
      <w:bookmarkEnd w:id="489"/>
      <w:bookmarkEnd w:id="490"/>
    </w:p>
    <w:p w:rsidR="00A448CD" w:rsidRPr="00DE7072" w:rsidRDefault="00A448CD" w:rsidP="007A1A22">
      <w:r w:rsidRPr="00DE7072">
        <w:rPr>
          <w:noProof/>
          <w:lang w:eastAsia="en-AU"/>
        </w:rPr>
        <w:drawing>
          <wp:inline distT="0" distB="0" distL="0" distR="0" wp14:anchorId="5F799247" wp14:editId="55ED9C89">
            <wp:extent cx="4452393" cy="3171825"/>
            <wp:effectExtent l="0" t="0" r="5715" b="0"/>
            <wp:docPr id="325" name="Picture 325" descr="FPG (mg/dL):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lum bright="-20000" contrast="40000"/>
                      <a:extLst>
                        <a:ext uri="{28A0092B-C50C-407E-A947-70E740481C1C}">
                          <a14:useLocalDpi xmlns:a14="http://schemas.microsoft.com/office/drawing/2010/main" val="0"/>
                        </a:ext>
                      </a:extLst>
                    </a:blip>
                    <a:srcRect/>
                    <a:stretch>
                      <a:fillRect/>
                    </a:stretch>
                  </pic:blipFill>
                  <pic:spPr bwMode="auto">
                    <a:xfrm>
                      <a:off x="0" y="0"/>
                      <a:ext cx="4457703" cy="3175608"/>
                    </a:xfrm>
                    <a:prstGeom prst="rect">
                      <a:avLst/>
                    </a:prstGeom>
                    <a:noFill/>
                    <a:ln>
                      <a:noFill/>
                    </a:ln>
                  </pic:spPr>
                </pic:pic>
              </a:graphicData>
            </a:graphic>
          </wp:inline>
        </w:drawing>
      </w:r>
    </w:p>
    <w:p w:rsidR="002E5CF1" w:rsidRPr="00A448CD" w:rsidRDefault="002E5CF1" w:rsidP="007677A2">
      <w:r w:rsidRPr="00836932">
        <w:t>The LS mean reductions from</w:t>
      </w:r>
      <w:r>
        <w:t xml:space="preserve"> </w:t>
      </w:r>
      <w:r w:rsidRPr="00836932">
        <w:t>baseline in body weight were significantly greater in the</w:t>
      </w:r>
      <w:r>
        <w:t xml:space="preserve"> E</w:t>
      </w:r>
      <w:r w:rsidRPr="00836932">
        <w:t>15/S100 and E5/S100 groups</w:t>
      </w:r>
      <w:r>
        <w:t xml:space="preserve"> </w:t>
      </w:r>
      <w:r w:rsidRPr="00836932">
        <w:t>relative to the S100 group (</w:t>
      </w:r>
      <w:r>
        <w:t xml:space="preserve">-2.7, -3.7, -0.7, -2.5 and -2.9kg, respectively; </w:t>
      </w:r>
      <w:r w:rsidR="00FB1E32">
        <w:t>p &lt; 0</w:t>
      </w:r>
      <w:r w:rsidRPr="00836932">
        <w:t>.001 for both comparisons)</w:t>
      </w:r>
      <w:r w:rsidR="00A448CD">
        <w:t>.</w:t>
      </w:r>
      <w:r>
        <w:t xml:space="preserve"> </w:t>
      </w:r>
      <w:r w:rsidRPr="00836932">
        <w:t>Initial</w:t>
      </w:r>
      <w:r>
        <w:t xml:space="preserve"> </w:t>
      </w:r>
      <w:r w:rsidRPr="00836932">
        <w:t>reductions in body weight in the 4 ertugliflozin-treated groups at Week 6 (first scheduled</w:t>
      </w:r>
      <w:r>
        <w:t xml:space="preserve"> </w:t>
      </w:r>
      <w:r w:rsidRPr="00836932">
        <w:t>post-</w:t>
      </w:r>
      <w:r>
        <w:t>randomisation</w:t>
      </w:r>
      <w:r w:rsidRPr="00836932">
        <w:t xml:space="preserve"> assessment) were followed by further subsequent reductions at each time</w:t>
      </w:r>
      <w:r>
        <w:t xml:space="preserve"> </w:t>
      </w:r>
      <w:r w:rsidRPr="00836932">
        <w:t>point through Week 26.</w:t>
      </w:r>
      <w:r>
        <w:t xml:space="preserve"> </w:t>
      </w:r>
      <w:r w:rsidRPr="00836932">
        <w:t>A small reduction from baseline in body weight at Week 26 was seen in the S100 group. The</w:t>
      </w:r>
      <w:r>
        <w:t xml:space="preserve"> </w:t>
      </w:r>
      <w:r w:rsidRPr="00836932">
        <w:t xml:space="preserve">magnitude of the decrease in body </w:t>
      </w:r>
      <w:r w:rsidRPr="00A448CD">
        <w:t xml:space="preserve">weight was numerically greater in the E15 group than in the 4 other groups at each time point (Figure </w:t>
      </w:r>
      <w:r w:rsidR="00A448CD" w:rsidRPr="00A448CD">
        <w:t>22).</w:t>
      </w:r>
    </w:p>
    <w:p w:rsidR="00A448CD" w:rsidRPr="00DE7072" w:rsidRDefault="00A448CD" w:rsidP="00A448CD">
      <w:pPr>
        <w:pStyle w:val="FigureTitle"/>
      </w:pPr>
      <w:bookmarkStart w:id="491" w:name="_Ref492030478"/>
      <w:bookmarkStart w:id="492" w:name="_Toc504038508"/>
      <w:r w:rsidRPr="00DE7072">
        <w:lastRenderedPageBreak/>
        <w:t xml:space="preserve">Figure </w:t>
      </w:r>
      <w:r>
        <w:t xml:space="preserve">22: </w:t>
      </w:r>
      <w:r w:rsidRPr="00DE7072">
        <w:t xml:space="preserve">Body weight (kg) LS Mean change from baseline over time. </w:t>
      </w:r>
      <w:proofErr w:type="spellStart"/>
      <w:proofErr w:type="gramStart"/>
      <w:r w:rsidRPr="00DE7072">
        <w:t>cLDA</w:t>
      </w:r>
      <w:proofErr w:type="spellEnd"/>
      <w:proofErr w:type="gramEnd"/>
      <w:r w:rsidR="005A3437">
        <w:t>;</w:t>
      </w:r>
      <w:r w:rsidRPr="00DE7072">
        <w:t xml:space="preserve"> FAS: Excluding rescue approach</w:t>
      </w:r>
      <w:bookmarkEnd w:id="491"/>
      <w:bookmarkEnd w:id="492"/>
    </w:p>
    <w:p w:rsidR="00A448CD" w:rsidRPr="00DE7072" w:rsidRDefault="00A448CD" w:rsidP="007A1A22">
      <w:r w:rsidRPr="00DE7072">
        <w:t xml:space="preserve"> </w:t>
      </w:r>
      <w:r w:rsidRPr="00DE7072">
        <w:rPr>
          <w:noProof/>
          <w:lang w:eastAsia="en-AU"/>
        </w:rPr>
        <w:drawing>
          <wp:inline distT="0" distB="0" distL="0" distR="0" wp14:anchorId="179B1F72" wp14:editId="35120C91">
            <wp:extent cx="4039698" cy="2921794"/>
            <wp:effectExtent l="0" t="0" r="0" b="0"/>
            <wp:docPr id="327" name="Picture 327" descr="Body weight (k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16">
                      <a:extLst>
                        <a:ext uri="{28A0092B-C50C-407E-A947-70E740481C1C}">
                          <a14:useLocalDpi xmlns:a14="http://schemas.microsoft.com/office/drawing/2010/main" val="0"/>
                        </a:ext>
                      </a:extLst>
                    </a:blip>
                    <a:srcRect b="3869"/>
                    <a:stretch/>
                  </pic:blipFill>
                  <pic:spPr bwMode="auto">
                    <a:xfrm>
                      <a:off x="0" y="0"/>
                      <a:ext cx="4047610" cy="2927517"/>
                    </a:xfrm>
                    <a:prstGeom prst="rect">
                      <a:avLst/>
                    </a:prstGeom>
                    <a:noFill/>
                    <a:ln>
                      <a:noFill/>
                    </a:ln>
                    <a:extLst>
                      <a:ext uri="{53640926-AAD7-44D8-BBD7-CCE9431645EC}">
                        <a14:shadowObscured xmlns:a14="http://schemas.microsoft.com/office/drawing/2010/main"/>
                      </a:ext>
                    </a:extLst>
                  </pic:spPr>
                </pic:pic>
              </a:graphicData>
            </a:graphic>
          </wp:inline>
        </w:drawing>
      </w:r>
    </w:p>
    <w:p w:rsidR="002E5CF1" w:rsidRPr="00A448CD" w:rsidRDefault="002E5CF1" w:rsidP="007677A2">
      <w:r w:rsidRPr="00836932">
        <w:t>Decreases from baseline in sitting SBP were significantly greater in the E15/S100 and E5/S100 groups relative to the S100 group (</w:t>
      </w:r>
      <w:r>
        <w:t>-3.9, -3.7, -0.7, -3.4 and -3.7</w:t>
      </w:r>
      <w:r w:rsidR="007677A2">
        <w:t xml:space="preserve"> </w:t>
      </w:r>
      <w:r>
        <w:t xml:space="preserve">mmHg, respectively; </w:t>
      </w:r>
      <w:r w:rsidR="00FB1E32">
        <w:t>p = 0</w:t>
      </w:r>
      <w:r w:rsidRPr="00836932">
        <w:t xml:space="preserve">.002 and </w:t>
      </w:r>
      <w:r w:rsidR="00FB1E32">
        <w:t>p = 0</w:t>
      </w:r>
      <w:r w:rsidRPr="00836932">
        <w:t>.005, respectively)</w:t>
      </w:r>
      <w:r w:rsidR="00A448CD">
        <w:t>.</w:t>
      </w:r>
      <w:r>
        <w:t xml:space="preserve"> </w:t>
      </w:r>
      <w:r w:rsidRPr="00836932">
        <w:t xml:space="preserve">Reductions in SBP were observed in the 4 ertugliflozin-treated groups at Week 6, with subsequent further reductions seen at Week 26. Small reductions in SBP at each time point through Week 18 in the S100 group were followed by an increase toward baseline at Week 26. The magnitudes of the reductions in SBP at Week 26 were similar in the 4 ertugliflozin-treated </w:t>
      </w:r>
      <w:r w:rsidRPr="00A448CD">
        <w:t xml:space="preserve">groups (Figure </w:t>
      </w:r>
      <w:r w:rsidR="00A448CD" w:rsidRPr="00A448CD">
        <w:t>23</w:t>
      </w:r>
      <w:r w:rsidRPr="00A448CD">
        <w:t>). The LS mean reductions from baseline in DBP at Week 26 were numerically greater in the E15/S100 and E5/S100 groups than in the S100 group. The magnitude of reductions i</w:t>
      </w:r>
      <w:r w:rsidR="007677A2">
        <w:t>n DBP in the four ertugliflozin</w:t>
      </w:r>
      <w:r w:rsidRPr="00A448CD">
        <w:t xml:space="preserve"> treated groups was small and varied over time. There was essentially no change from baseline in DBP in the S100 group through Week 26 (Figure </w:t>
      </w:r>
      <w:r w:rsidR="00A448CD" w:rsidRPr="00A448CD">
        <w:t>24</w:t>
      </w:r>
      <w:r w:rsidRPr="00A448CD">
        <w:t>).</w:t>
      </w:r>
    </w:p>
    <w:p w:rsidR="00A448CD" w:rsidRPr="00DE7072" w:rsidRDefault="00A448CD" w:rsidP="00A448CD">
      <w:pPr>
        <w:pStyle w:val="FigureTitle"/>
      </w:pPr>
      <w:bookmarkStart w:id="493" w:name="_Ref492030481"/>
      <w:bookmarkStart w:id="494" w:name="_Toc504038510"/>
      <w:r w:rsidRPr="00DE7072">
        <w:t xml:space="preserve">Figure </w:t>
      </w:r>
      <w:r>
        <w:t>23</w:t>
      </w:r>
      <w:r w:rsidRPr="00DE7072">
        <w:t>:</w:t>
      </w:r>
      <w:r>
        <w:t xml:space="preserve"> </w:t>
      </w:r>
      <w:r w:rsidRPr="00DE7072">
        <w:t>Sitting systolic BP (mmHg)</w:t>
      </w:r>
      <w:r w:rsidR="005A3437">
        <w:t>;</w:t>
      </w:r>
      <w:r w:rsidRPr="00DE7072">
        <w:t xml:space="preserve"> LS Mean chang</w:t>
      </w:r>
      <w:r w:rsidR="007677A2">
        <w:t xml:space="preserve">e from baseline over time. </w:t>
      </w:r>
      <w:proofErr w:type="spellStart"/>
      <w:proofErr w:type="gramStart"/>
      <w:r w:rsidR="007677A2">
        <w:t>cLDA</w:t>
      </w:r>
      <w:proofErr w:type="spellEnd"/>
      <w:proofErr w:type="gramEnd"/>
      <w:r w:rsidRPr="00DE7072">
        <w:t xml:space="preserve"> FAS: Excluding rescue approach.</w:t>
      </w:r>
      <w:bookmarkEnd w:id="493"/>
      <w:bookmarkEnd w:id="494"/>
    </w:p>
    <w:p w:rsidR="00A448CD" w:rsidRPr="00DE7072" w:rsidRDefault="00A448CD" w:rsidP="007A1A22">
      <w:r w:rsidRPr="00DE7072">
        <w:rPr>
          <w:noProof/>
          <w:lang w:eastAsia="en-AU"/>
        </w:rPr>
        <w:drawing>
          <wp:inline distT="0" distB="0" distL="0" distR="0" wp14:anchorId="1078DA57" wp14:editId="075CEFE9">
            <wp:extent cx="3555203" cy="2607469"/>
            <wp:effectExtent l="0" t="0" r="7620" b="2540"/>
            <wp:docPr id="329" name="Picture 329" descr="Sitting systolic BP (mmH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7">
                      <a:lum bright="-20000" contrast="40000"/>
                      <a:extLst>
                        <a:ext uri="{28A0092B-C50C-407E-A947-70E740481C1C}">
                          <a14:useLocalDpi xmlns:a14="http://schemas.microsoft.com/office/drawing/2010/main" val="0"/>
                        </a:ext>
                      </a:extLst>
                    </a:blip>
                    <a:srcRect/>
                    <a:stretch>
                      <a:fillRect/>
                    </a:stretch>
                  </pic:blipFill>
                  <pic:spPr bwMode="auto">
                    <a:xfrm>
                      <a:off x="0" y="0"/>
                      <a:ext cx="3558433" cy="2609838"/>
                    </a:xfrm>
                    <a:prstGeom prst="rect">
                      <a:avLst/>
                    </a:prstGeom>
                    <a:noFill/>
                    <a:ln>
                      <a:noFill/>
                    </a:ln>
                  </pic:spPr>
                </pic:pic>
              </a:graphicData>
            </a:graphic>
          </wp:inline>
        </w:drawing>
      </w:r>
    </w:p>
    <w:p w:rsidR="00A448CD" w:rsidRPr="00DE7072" w:rsidRDefault="00A448CD" w:rsidP="004C4472">
      <w:pPr>
        <w:pStyle w:val="FigureTitle"/>
      </w:pPr>
      <w:bookmarkStart w:id="495" w:name="_Ref492030482"/>
      <w:bookmarkStart w:id="496" w:name="_Toc504038511"/>
      <w:r w:rsidRPr="00DE7072">
        <w:lastRenderedPageBreak/>
        <w:t xml:space="preserve">Figure </w:t>
      </w:r>
      <w:r>
        <w:t>24</w:t>
      </w:r>
      <w:r w:rsidRPr="00DE7072">
        <w:t>:</w:t>
      </w:r>
      <w:r>
        <w:t xml:space="preserve"> </w:t>
      </w:r>
      <w:r w:rsidRPr="00DE7072">
        <w:t>Sitting diastolic BP (mmHg)</w:t>
      </w:r>
      <w:r w:rsidR="005A3437">
        <w:t>;</w:t>
      </w:r>
      <w:r w:rsidRPr="00DE7072">
        <w:t xml:space="preserve"> LS Mean change from </w:t>
      </w:r>
      <w:r w:rsidR="005A3437">
        <w:t>B</w:t>
      </w:r>
      <w:r w:rsidRPr="00DE7072">
        <w:t xml:space="preserve">aseline over time </w:t>
      </w:r>
      <w:proofErr w:type="spellStart"/>
      <w:r w:rsidRPr="00DE7072">
        <w:t>cLDA</w:t>
      </w:r>
      <w:proofErr w:type="spellEnd"/>
      <w:r w:rsidRPr="00DE7072">
        <w:t xml:space="preserve"> FAS excluding rescue approach</w:t>
      </w:r>
      <w:bookmarkEnd w:id="495"/>
      <w:bookmarkEnd w:id="496"/>
    </w:p>
    <w:p w:rsidR="00A448CD" w:rsidRDefault="00A448CD" w:rsidP="007A1A22">
      <w:pPr>
        <w:rPr>
          <w:rFonts w:asciiTheme="minorHAnsi" w:eastAsiaTheme="minorHAnsi" w:hAnsiTheme="minorHAnsi"/>
          <w:color w:val="000000"/>
        </w:rPr>
      </w:pPr>
      <w:r w:rsidRPr="00DE7072">
        <w:rPr>
          <w:noProof/>
          <w:lang w:eastAsia="en-AU"/>
        </w:rPr>
        <w:drawing>
          <wp:inline distT="0" distB="0" distL="0" distR="0" wp14:anchorId="136C68E2" wp14:editId="41005229">
            <wp:extent cx="4310220" cy="3036094"/>
            <wp:effectExtent l="0" t="0" r="0" b="0"/>
            <wp:docPr id="330" name="Picture 330" descr="Sitting diastolic BP (mmHg): LS Mean change from baseline over time. cLDA. FAS: excluding rescu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8">
                      <a:lum bright="-20000" contrast="40000"/>
                      <a:extLst>
                        <a:ext uri="{28A0092B-C50C-407E-A947-70E740481C1C}">
                          <a14:useLocalDpi xmlns:a14="http://schemas.microsoft.com/office/drawing/2010/main" val="0"/>
                        </a:ext>
                      </a:extLst>
                    </a:blip>
                    <a:srcRect/>
                    <a:stretch>
                      <a:fillRect/>
                    </a:stretch>
                  </pic:blipFill>
                  <pic:spPr bwMode="auto">
                    <a:xfrm>
                      <a:off x="0" y="0"/>
                      <a:ext cx="4312603" cy="3037772"/>
                    </a:xfrm>
                    <a:prstGeom prst="rect">
                      <a:avLst/>
                    </a:prstGeom>
                    <a:noFill/>
                    <a:ln>
                      <a:noFill/>
                    </a:ln>
                  </pic:spPr>
                </pic:pic>
              </a:graphicData>
            </a:graphic>
          </wp:inline>
        </w:drawing>
      </w:r>
    </w:p>
    <w:p w:rsidR="002E5CF1" w:rsidRDefault="002E5CF1" w:rsidP="007677A2">
      <w:r w:rsidRPr="00836932">
        <w:t>The percentages of subjects who received glycaemic rescue medication</w:t>
      </w:r>
      <w:r>
        <w:t xml:space="preserve"> </w:t>
      </w:r>
      <w:r w:rsidRPr="00836932">
        <w:t>through Week 26 in the E15/S100 and E5/S100 groups were lower than in the individual</w:t>
      </w:r>
      <w:r>
        <w:t xml:space="preserve"> </w:t>
      </w:r>
      <w:r w:rsidRPr="00836932">
        <w:t xml:space="preserve">component treatment groups at corresponding dose strengths </w:t>
      </w:r>
      <w:r>
        <w:t>(</w:t>
      </w:r>
      <w:r w:rsidRPr="00836932">
        <w:t xml:space="preserve">nominal </w:t>
      </w:r>
      <w:r w:rsidR="00FB1E32">
        <w:t>p &lt; 0</w:t>
      </w:r>
      <w:r w:rsidRPr="00836932">
        <w:t>.05 for all</w:t>
      </w:r>
      <w:r>
        <w:t xml:space="preserve"> </w:t>
      </w:r>
      <w:r w:rsidRPr="00836932">
        <w:t>comparisons). Similar proportions of subjects received glycaemic rescue medication in the E5</w:t>
      </w:r>
      <w:r>
        <w:t xml:space="preserve"> </w:t>
      </w:r>
      <w:r w:rsidRPr="00836932">
        <w:t>and S100 groups (6.4% and 6.5%, respectively) and in the E5/S100 and E15 groups (2.5%</w:t>
      </w:r>
      <w:r>
        <w:t xml:space="preserve"> </w:t>
      </w:r>
      <w:r w:rsidRPr="00836932">
        <w:t>and 2.8%); no subjects were rescued in the E15/S100 group</w:t>
      </w:r>
      <w:r w:rsidR="006F660B">
        <w:t>.</w:t>
      </w:r>
      <w:r>
        <w:t xml:space="preserve"> </w:t>
      </w:r>
      <w:r w:rsidRPr="00836932">
        <w:t>A graphical</w:t>
      </w:r>
      <w:r>
        <w:t xml:space="preserve"> </w:t>
      </w:r>
      <w:r w:rsidRPr="00836932">
        <w:t xml:space="preserve">display of the Kaplan-Meier estimates for cumulative percentage of subjects rescued is </w:t>
      </w:r>
      <w:r w:rsidRPr="006F660B">
        <w:t>in Figure</w:t>
      </w:r>
      <w:r w:rsidR="006F660B" w:rsidRPr="006F660B">
        <w:t xml:space="preserve"> 25</w:t>
      </w:r>
      <w:r w:rsidRPr="006F660B">
        <w:t>. Sparse</w:t>
      </w:r>
      <w:r w:rsidRPr="00836932">
        <w:t xml:space="preserve"> data at later time</w:t>
      </w:r>
      <w:r w:rsidR="006F660B">
        <w:t>-</w:t>
      </w:r>
      <w:r w:rsidRPr="00836932">
        <w:t>points resulted in larger estimates of the cumulative</w:t>
      </w:r>
      <w:r>
        <w:t xml:space="preserve"> </w:t>
      </w:r>
      <w:r w:rsidRPr="00836932">
        <w:t>percentages of subjects after Week 26 in some treatment groups.</w:t>
      </w:r>
    </w:p>
    <w:p w:rsidR="006F660B" w:rsidRPr="00DE7072" w:rsidRDefault="006F660B" w:rsidP="004C4472">
      <w:pPr>
        <w:pStyle w:val="FigureTitle"/>
      </w:pPr>
      <w:bookmarkStart w:id="497" w:name="_Ref492030484"/>
      <w:bookmarkStart w:id="498" w:name="_Toc504038513"/>
      <w:r w:rsidRPr="00DE7072">
        <w:lastRenderedPageBreak/>
        <w:t xml:space="preserve">Figure </w:t>
      </w:r>
      <w:r>
        <w:t>25</w:t>
      </w:r>
      <w:r w:rsidRPr="00DE7072">
        <w:t>:</w:t>
      </w:r>
      <w:r>
        <w:t xml:space="preserve"> </w:t>
      </w:r>
      <w:r w:rsidRPr="00DE7072">
        <w:t xml:space="preserve">Cumulative percentage of subjects with glycaemic rescue therapy. Kaplan-Meier </w:t>
      </w:r>
      <w:r w:rsidR="005A3437">
        <w:t>c</w:t>
      </w:r>
      <w:r w:rsidRPr="00DE7072">
        <w:t>urves</w:t>
      </w:r>
      <w:r w:rsidR="005A3437">
        <w:t>;</w:t>
      </w:r>
      <w:r w:rsidRPr="00DE7072">
        <w:t xml:space="preserve"> </w:t>
      </w:r>
      <w:proofErr w:type="gramStart"/>
      <w:r w:rsidRPr="00DE7072">
        <w:t>All</w:t>
      </w:r>
      <w:proofErr w:type="gramEnd"/>
      <w:r w:rsidRPr="00DE7072">
        <w:t xml:space="preserve"> subjects treated</w:t>
      </w:r>
      <w:bookmarkEnd w:id="497"/>
      <w:bookmarkEnd w:id="498"/>
    </w:p>
    <w:p w:rsidR="006F660B" w:rsidRPr="006F660B" w:rsidRDefault="006F660B" w:rsidP="007A1A22">
      <w:r w:rsidRPr="00DE7072">
        <w:t xml:space="preserve"> </w:t>
      </w:r>
      <w:r w:rsidRPr="00DE7072">
        <w:rPr>
          <w:noProof/>
          <w:lang w:eastAsia="en-AU"/>
        </w:rPr>
        <w:drawing>
          <wp:inline distT="0" distB="0" distL="0" distR="0" wp14:anchorId="445CC13E" wp14:editId="356E32E7">
            <wp:extent cx="4075250" cy="3764756"/>
            <wp:effectExtent l="0" t="0" r="1905" b="7620"/>
            <wp:docPr id="333" name="Picture 333" descr="Cumulative percentage of subjects with glycaemic rescue therapy. Kaplan-Meier Curves All subjec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9">
                      <a:lum bright="-20000" contrast="40000"/>
                      <a:extLst>
                        <a:ext uri="{28A0092B-C50C-407E-A947-70E740481C1C}">
                          <a14:useLocalDpi xmlns:a14="http://schemas.microsoft.com/office/drawing/2010/main" val="0"/>
                        </a:ext>
                      </a:extLst>
                    </a:blip>
                    <a:srcRect/>
                    <a:stretch>
                      <a:fillRect/>
                    </a:stretch>
                  </pic:blipFill>
                  <pic:spPr bwMode="auto">
                    <a:xfrm>
                      <a:off x="0" y="0"/>
                      <a:ext cx="4080085" cy="3769223"/>
                    </a:xfrm>
                    <a:prstGeom prst="rect">
                      <a:avLst/>
                    </a:prstGeom>
                    <a:noFill/>
                    <a:ln>
                      <a:noFill/>
                    </a:ln>
                  </pic:spPr>
                </pic:pic>
              </a:graphicData>
            </a:graphic>
          </wp:inline>
        </w:drawing>
      </w:r>
    </w:p>
    <w:p w:rsidR="00803C18" w:rsidRDefault="002E5CF1" w:rsidP="007677A2">
      <w:r w:rsidRPr="009B356F">
        <w:t>Measurements of plasma glucose, insulin, and</w:t>
      </w:r>
      <w:r>
        <w:t xml:space="preserve"> </w:t>
      </w:r>
      <w:r w:rsidRPr="009B356F">
        <w:t>C-peptide collected in the fasted state and during the MMTT were used to assess parameters</w:t>
      </w:r>
      <w:r>
        <w:t xml:space="preserve"> </w:t>
      </w:r>
      <w:r w:rsidRPr="009B356F">
        <w:t>of insulin secretion and insulin sensitivity in a subset of subjects. Mean glucose decreased by</w:t>
      </w:r>
      <w:r>
        <w:t xml:space="preserve"> 43%, 43%, 22%, 43% and 56% </w:t>
      </w:r>
      <w:r>
        <w:rPr>
          <w:color w:val="000000"/>
        </w:rPr>
        <w:t xml:space="preserve">in the E5, E15, S100, E5/S100 and E15/S100 groups, respectively. </w:t>
      </w:r>
      <w:r w:rsidRPr="009B356F">
        <w:t>There were no meaningful changes</w:t>
      </w:r>
      <w:r>
        <w:t xml:space="preserve"> </w:t>
      </w:r>
      <w:r w:rsidRPr="009B356F">
        <w:t xml:space="preserve">from baseline in insulin or C-peptide in any group. The LS mean reductions from baseline in </w:t>
      </w:r>
      <w:r w:rsidR="00730F18">
        <w:t>2 h PPG</w:t>
      </w:r>
      <w:r>
        <w:t xml:space="preserve"> </w:t>
      </w:r>
      <w:r w:rsidR="007677A2">
        <w:t>at Week </w:t>
      </w:r>
      <w:r w:rsidRPr="009B356F">
        <w:t>26 were similar across the treatment groups, except for the E15/S100 group, where</w:t>
      </w:r>
      <w:r>
        <w:t xml:space="preserve"> </w:t>
      </w:r>
      <w:r w:rsidRPr="009B356F">
        <w:t>larger reductions were observed relative to the S100 and E15 groups (nominal p-values for</w:t>
      </w:r>
      <w:r>
        <w:t xml:space="preserve"> </w:t>
      </w:r>
      <w:r w:rsidRPr="009B356F">
        <w:t>comparison to S100 and to E15 were &lt;</w:t>
      </w:r>
      <w:r w:rsidR="007677A2">
        <w:t xml:space="preserve"> </w:t>
      </w:r>
      <w:r w:rsidRPr="009B356F">
        <w:t>0.001 and 0.006, respectively)</w:t>
      </w:r>
      <w:r w:rsidR="006F660B">
        <w:t>.</w:t>
      </w:r>
      <w:r w:rsidRPr="009B356F">
        <w:t xml:space="preserve"> Decreases in total glucose AUC at Week 26 were observed across all</w:t>
      </w:r>
      <w:r>
        <w:t xml:space="preserve"> </w:t>
      </w:r>
      <w:r w:rsidRPr="009B356F">
        <w:t>treatment groups</w:t>
      </w:r>
      <w:r>
        <w:t xml:space="preserve"> although reductions were greater </w:t>
      </w:r>
      <w:r w:rsidRPr="009B356F">
        <w:t xml:space="preserve">in the E15/S100 group </w:t>
      </w:r>
      <w:r>
        <w:t xml:space="preserve">compared to </w:t>
      </w:r>
      <w:r w:rsidRPr="009B356F">
        <w:t xml:space="preserve">the E15 and S100 groups (nominal </w:t>
      </w:r>
      <w:r w:rsidR="00FB1E32">
        <w:t>p = 0</w:t>
      </w:r>
      <w:r w:rsidRPr="009B356F">
        <w:t xml:space="preserve">.004 and </w:t>
      </w:r>
      <w:r w:rsidR="007677A2">
        <w:t>p </w:t>
      </w:r>
      <w:r w:rsidR="00FB1E32">
        <w:t>&lt; 0</w:t>
      </w:r>
      <w:r w:rsidRPr="009B356F">
        <w:t>.001,</w:t>
      </w:r>
      <w:r>
        <w:t xml:space="preserve"> </w:t>
      </w:r>
      <w:r w:rsidRPr="009B356F">
        <w:t>respectively); the decreases in total glucose AUC in the E5/S100 group were modestly</w:t>
      </w:r>
      <w:r>
        <w:t xml:space="preserve"> </w:t>
      </w:r>
      <w:r w:rsidRPr="009B356F">
        <w:t>numerically larger than seen in the E5 and S100 groups</w:t>
      </w:r>
      <w:r w:rsidRPr="009B356F">
        <w:rPr>
          <w:b/>
        </w:rPr>
        <w:t>.</w:t>
      </w:r>
      <w:r w:rsidRPr="009B356F">
        <w:t xml:space="preserve"> </w:t>
      </w:r>
      <w:r>
        <w:t>D</w:t>
      </w:r>
      <w:r w:rsidRPr="009B356F">
        <w:t>ecreases in</w:t>
      </w:r>
      <w:r w:rsidR="007C5FC9">
        <w:t xml:space="preserve"> </w:t>
      </w:r>
      <w:r>
        <w:t>i</w:t>
      </w:r>
      <w:r w:rsidRPr="009B356F">
        <w:t>ncremental glucose AUC</w:t>
      </w:r>
      <w:r w:rsidR="006F660B">
        <w:rPr>
          <w:vertAlign w:val="subscript"/>
        </w:rPr>
        <w:t>0</w:t>
      </w:r>
      <w:r w:rsidR="006F660B">
        <w:rPr>
          <w:vertAlign w:val="subscript"/>
        </w:rPr>
        <w:noBreakHyphen/>
        <w:t>3h</w:t>
      </w:r>
      <w:r w:rsidRPr="009B356F">
        <w:t xml:space="preserve"> at Week 26 were observed across all</w:t>
      </w:r>
      <w:r>
        <w:t xml:space="preserve"> </w:t>
      </w:r>
      <w:r w:rsidRPr="009B356F">
        <w:t>treatment groups, with modest, numerically larger decreases in the E15/S100 and E5/S100</w:t>
      </w:r>
      <w:r>
        <w:t xml:space="preserve"> </w:t>
      </w:r>
      <w:r w:rsidRPr="009B356F">
        <w:t>groups relative to the individual component treatment groups at corresponding dose</w:t>
      </w:r>
      <w:r>
        <w:t xml:space="preserve"> </w:t>
      </w:r>
      <w:r w:rsidRPr="009B356F">
        <w:t>strengths</w:t>
      </w:r>
      <w:r w:rsidR="006F660B">
        <w:t>.</w:t>
      </w:r>
      <w:r>
        <w:t xml:space="preserve"> </w:t>
      </w:r>
      <w:r w:rsidRPr="009B356F">
        <w:t>Analysis of change from baseline in</w:t>
      </w:r>
      <w:r>
        <w:t xml:space="preserve"> </w:t>
      </w:r>
      <w:r w:rsidRPr="009B356F">
        <w:t>insulinogenic index with C-peptide and with insulin, at Week 26 showed that changes</w:t>
      </w:r>
      <w:r>
        <w:t xml:space="preserve"> </w:t>
      </w:r>
      <w:r w:rsidRPr="009B356F">
        <w:t>from baseline in both parameters were small and inconsistent across treatment groups</w:t>
      </w:r>
      <w:r w:rsidR="006F660B">
        <w:t>.</w:t>
      </w:r>
      <w:r w:rsidRPr="009B356F">
        <w:t xml:space="preserve"> </w:t>
      </w:r>
      <w:r w:rsidRPr="00CC1195">
        <w:t>Results for the analysis of change from baseline in the glucose</w:t>
      </w:r>
      <w:r>
        <w:t xml:space="preserve"> </w:t>
      </w:r>
      <w:r w:rsidR="007677A2">
        <w:t xml:space="preserve">AUC/insulin AUC ratio (0 to </w:t>
      </w:r>
      <w:r w:rsidRPr="00CC1195">
        <w:t>180 min) at Week 26 showed that reductions in LS means were observed in all treatment groups, with no notable differences between the combination and individual component treatment groups at corresponding dose strengths. Similar results were observed for analyses of change from baseline in the g</w:t>
      </w:r>
      <w:r w:rsidR="007677A2">
        <w:t xml:space="preserve">lucose AUC/insulin AUC ratio (0 to </w:t>
      </w:r>
      <w:r w:rsidRPr="00CC1195">
        <w:t>120 min)</w:t>
      </w:r>
      <w:r w:rsidR="00803C18">
        <w:t>.</w:t>
      </w:r>
    </w:p>
    <w:p w:rsidR="002E5CF1" w:rsidRPr="00C4713A" w:rsidRDefault="002E5CF1" w:rsidP="007677A2">
      <w:r w:rsidRPr="00CC1195">
        <w:rPr>
          <w:color w:val="000000"/>
        </w:rPr>
        <w:t>UGE increased in the 4</w:t>
      </w:r>
      <w:r>
        <w:rPr>
          <w:color w:val="000000"/>
        </w:rPr>
        <w:t xml:space="preserve"> </w:t>
      </w:r>
      <w:r w:rsidRPr="00CC1195">
        <w:rPr>
          <w:color w:val="000000"/>
        </w:rPr>
        <w:t>ertugliflozin treatment groups, with no notable differences across the combination or</w:t>
      </w:r>
      <w:r>
        <w:rPr>
          <w:color w:val="000000"/>
        </w:rPr>
        <w:t xml:space="preserve"> </w:t>
      </w:r>
      <w:r w:rsidRPr="00CC1195">
        <w:rPr>
          <w:color w:val="000000"/>
        </w:rPr>
        <w:t xml:space="preserve">individual </w:t>
      </w:r>
      <w:r w:rsidRPr="00C4713A">
        <w:rPr>
          <w:color w:val="000000"/>
        </w:rPr>
        <w:t>ertugliflozin treatment groups. A decrease in UGE at Week 26 was observed in the S100 group, consistent with the lower fasting and post-meal glucose observed</w:t>
      </w:r>
      <w:r w:rsidR="006F660B">
        <w:rPr>
          <w:color w:val="000000"/>
        </w:rPr>
        <w:t>.</w:t>
      </w:r>
      <w:r w:rsidRPr="00C4713A">
        <w:rPr>
          <w:color w:val="000000"/>
        </w:rPr>
        <w:t xml:space="preserve"> Similar results were observed for analyses of change from baseline in</w:t>
      </w:r>
      <w:r w:rsidR="007677A2">
        <w:rPr>
          <w:color w:val="000000"/>
        </w:rPr>
        <w:t xml:space="preserve"> post-prandial urine glucose (0 to</w:t>
      </w:r>
      <w:r w:rsidRPr="00C4713A">
        <w:rPr>
          <w:color w:val="000000"/>
        </w:rPr>
        <w:t xml:space="preserve"> 120 min) and for urinary glucose clearance (m</w:t>
      </w:r>
      <w:r w:rsidR="007677A2">
        <w:rPr>
          <w:color w:val="000000"/>
        </w:rPr>
        <w:t>L</w:t>
      </w:r>
      <w:r w:rsidRPr="00C4713A">
        <w:rPr>
          <w:color w:val="000000"/>
        </w:rPr>
        <w:t>/min/m</w:t>
      </w:r>
      <w:r w:rsidRPr="00C4713A">
        <w:rPr>
          <w:color w:val="000000"/>
          <w:vertAlign w:val="superscript"/>
        </w:rPr>
        <w:t>2</w:t>
      </w:r>
      <w:r w:rsidR="007677A2">
        <w:rPr>
          <w:color w:val="000000"/>
        </w:rPr>
        <w:t xml:space="preserve">) (0 to 180 min and 0 to </w:t>
      </w:r>
      <w:r w:rsidRPr="00C4713A">
        <w:rPr>
          <w:color w:val="000000"/>
        </w:rPr>
        <w:lastRenderedPageBreak/>
        <w:t xml:space="preserve">120 min). </w:t>
      </w:r>
      <w:r w:rsidRPr="00C4713A">
        <w:t>Urine glucose excretion was increased by a similar amount in the 4</w:t>
      </w:r>
      <w:r>
        <w:t xml:space="preserve"> </w:t>
      </w:r>
      <w:r w:rsidR="007677A2">
        <w:t xml:space="preserve">ertugliflozin </w:t>
      </w:r>
      <w:r w:rsidRPr="00C4713A">
        <w:t>treated groups</w:t>
      </w:r>
      <w:r w:rsidR="006F660B">
        <w:t>.</w:t>
      </w:r>
    </w:p>
    <w:p w:rsidR="002E5CF1" w:rsidRPr="00C4713A" w:rsidRDefault="002E5CF1" w:rsidP="007677A2">
      <w:pPr>
        <w:rPr>
          <w:b/>
          <w:color w:val="000000"/>
        </w:rPr>
      </w:pPr>
      <w:r w:rsidRPr="00C4713A">
        <w:t xml:space="preserve">In all treatment groups, </w:t>
      </w:r>
      <w:r>
        <w:t>beta</w:t>
      </w:r>
      <w:r w:rsidRPr="00C4713A">
        <w:t>-cell responsivity</w:t>
      </w:r>
      <w:r>
        <w:t xml:space="preserve"> </w:t>
      </w:r>
      <w:r w:rsidRPr="00C4713A">
        <w:t>static component (</w:t>
      </w:r>
      <w:proofErr w:type="spellStart"/>
      <w:r w:rsidR="007677A2">
        <w:t>ϕ</w:t>
      </w:r>
      <w:r w:rsidRPr="00C4713A">
        <w:t>s</w:t>
      </w:r>
      <w:proofErr w:type="spellEnd"/>
      <w:r w:rsidRPr="00C4713A">
        <w:t>) increased at Week 26 relative</w:t>
      </w:r>
      <w:r>
        <w:t xml:space="preserve"> </w:t>
      </w:r>
      <w:r w:rsidRPr="00C4713A">
        <w:t>to baseline with the</w:t>
      </w:r>
      <w:r>
        <w:t xml:space="preserve"> </w:t>
      </w:r>
      <w:r w:rsidRPr="00C4713A">
        <w:t>largest increase occurring in the S100 group. There were no meaningful</w:t>
      </w:r>
      <w:r>
        <w:t xml:space="preserve"> </w:t>
      </w:r>
      <w:r w:rsidRPr="00C4713A">
        <w:t>between-group</w:t>
      </w:r>
      <w:r>
        <w:t xml:space="preserve"> d</w:t>
      </w:r>
      <w:r w:rsidRPr="00C4713A">
        <w:t>ifferences</w:t>
      </w:r>
      <w:r w:rsidR="006F660B">
        <w:t>.</w:t>
      </w:r>
      <w:r w:rsidRPr="00C4713A">
        <w:t xml:space="preserve"> HOMA-%</w:t>
      </w:r>
      <w:r>
        <w:t>beta</w:t>
      </w:r>
      <w:r w:rsidRPr="00C4713A">
        <w:t xml:space="preserve"> increased </w:t>
      </w:r>
      <w:r w:rsidR="007677A2">
        <w:t>in all treatment groups at Week </w:t>
      </w:r>
      <w:r w:rsidRPr="00C4713A">
        <w:t>26, with numerically greater</w:t>
      </w:r>
      <w:r>
        <w:t xml:space="preserve"> </w:t>
      </w:r>
      <w:r w:rsidRPr="00C4713A">
        <w:t>increases in the E15/S100 and E5/S100 groups relative to the individual component treatment</w:t>
      </w:r>
      <w:r>
        <w:t xml:space="preserve"> </w:t>
      </w:r>
      <w:r w:rsidRPr="00C4713A">
        <w:t xml:space="preserve">groups </w:t>
      </w:r>
      <w:r w:rsidR="006F660B">
        <w:t>at corresponding dose strengths.</w:t>
      </w:r>
    </w:p>
    <w:p w:rsidR="002E5CF1" w:rsidRDefault="002E5CF1" w:rsidP="006F660B">
      <w:pPr>
        <w:pStyle w:val="Heading5"/>
      </w:pPr>
      <w:r>
        <w:t>Evaluator commentary</w:t>
      </w:r>
    </w:p>
    <w:p w:rsidR="002E5CF1" w:rsidRPr="006A0A97" w:rsidRDefault="002E5CF1" w:rsidP="007677A2">
      <w:r w:rsidRPr="006A0A97">
        <w:t xml:space="preserve">This </w:t>
      </w:r>
      <w:r>
        <w:t>well-conducted randomised</w:t>
      </w:r>
      <w:r w:rsidRPr="006A0A97">
        <w:t xml:space="preserve">, </w:t>
      </w:r>
      <w:r w:rsidR="00FB1E32">
        <w:t>double blind</w:t>
      </w:r>
      <w:r w:rsidRPr="006A0A97">
        <w:t xml:space="preserve">, parallel-group, factorial </w:t>
      </w:r>
      <w:r>
        <w:t xml:space="preserve">pivotal Phase III </w:t>
      </w:r>
      <w:r w:rsidRPr="006A0A97">
        <w:t xml:space="preserve">study </w:t>
      </w:r>
      <w:r>
        <w:t xml:space="preserve">evaluated the </w:t>
      </w:r>
      <w:r w:rsidRPr="006A0A97">
        <w:t xml:space="preserve">efficacy </w:t>
      </w:r>
      <w:r>
        <w:t xml:space="preserve">and safety </w:t>
      </w:r>
      <w:r w:rsidRPr="006A0A97">
        <w:t>of the co</w:t>
      </w:r>
      <w:r>
        <w:t>-</w:t>
      </w:r>
      <w:r w:rsidRPr="006A0A97">
        <w:t xml:space="preserve">administration of ertugliflozin (5 mg </w:t>
      </w:r>
      <w:r w:rsidR="00337E5F">
        <w:t>QD</w:t>
      </w:r>
      <w:r w:rsidRPr="006A0A97">
        <w:t xml:space="preserve"> and 15 mg </w:t>
      </w:r>
      <w:r w:rsidR="00337E5F">
        <w:t>QD</w:t>
      </w:r>
      <w:r w:rsidRPr="006A0A97">
        <w:t>) with sitagliptin</w:t>
      </w:r>
      <w:r>
        <w:t xml:space="preserve"> </w:t>
      </w:r>
      <w:r w:rsidRPr="006A0A97">
        <w:t xml:space="preserve">100 mg </w:t>
      </w:r>
      <w:r w:rsidR="00337E5F">
        <w:t>QD</w:t>
      </w:r>
      <w:r w:rsidRPr="006A0A97">
        <w:t xml:space="preserve"> compared with the individual treatments alone at corresponding dose strengths,</w:t>
      </w:r>
      <w:r>
        <w:t xml:space="preserve"> </w:t>
      </w:r>
      <w:r w:rsidRPr="006A0A97">
        <w:t xml:space="preserve">in </w:t>
      </w:r>
      <w:r>
        <w:t xml:space="preserve">1233 </w:t>
      </w:r>
      <w:r w:rsidRPr="006A0A97">
        <w:t xml:space="preserve">subjects with T2DM and inadequate glycaemic control on metformin monotherapy. </w:t>
      </w:r>
      <w:r>
        <w:t xml:space="preserve">Only </w:t>
      </w:r>
      <w:r w:rsidRPr="006A0A97">
        <w:t xml:space="preserve">Phase </w:t>
      </w:r>
      <w:proofErr w:type="gramStart"/>
      <w:r w:rsidRPr="006A0A97">
        <w:t>A</w:t>
      </w:r>
      <w:proofErr w:type="gramEnd"/>
      <w:r>
        <w:t xml:space="preserve"> results up to </w:t>
      </w:r>
      <w:r w:rsidR="006F660B">
        <w:t>W</w:t>
      </w:r>
      <w:r>
        <w:t>eek 26 were provided in the submitted CSR</w:t>
      </w:r>
      <w:r w:rsidRPr="006A0A97">
        <w:t xml:space="preserve">. </w:t>
      </w:r>
      <w:r>
        <w:t xml:space="preserve">The sponsors have stated that a </w:t>
      </w:r>
      <w:r w:rsidRPr="006A0A97">
        <w:t>separate CSR including results from Phase B (Weeks 26 to 52) will be prepared at the end of</w:t>
      </w:r>
      <w:r>
        <w:t xml:space="preserve"> </w:t>
      </w:r>
      <w:r w:rsidRPr="006A0A97">
        <w:t>the study.</w:t>
      </w:r>
    </w:p>
    <w:p w:rsidR="002E5CF1" w:rsidRPr="006A0A97" w:rsidRDefault="002E5CF1" w:rsidP="007677A2">
      <w:pPr>
        <w:rPr>
          <w:b/>
          <w:color w:val="000000"/>
        </w:rPr>
      </w:pPr>
      <w:r w:rsidRPr="006A0A97">
        <w:t>The study population was representative of patients with T2DM with moderate to severe</w:t>
      </w:r>
      <w:r>
        <w:t xml:space="preserve"> </w:t>
      </w:r>
      <w:r w:rsidRPr="006A0A97">
        <w:t>baseline hyperglycaemia and intact renal function, and included a range of ethnic/racial</w:t>
      </w:r>
      <w:r>
        <w:t xml:space="preserve"> </w:t>
      </w:r>
      <w:r w:rsidRPr="006A0A97">
        <w:t>backgrounds. Subjects had a mean duration of T2DM of approximately 7 years, mean</w:t>
      </w:r>
      <w:r>
        <w:t xml:space="preserve"> </w:t>
      </w:r>
      <w:r w:rsidRPr="006A0A97">
        <w:t xml:space="preserve">baseline </w:t>
      </w:r>
      <w:r>
        <w:t>HbA1c</w:t>
      </w:r>
      <w:r w:rsidRPr="006A0A97">
        <w:t xml:space="preserve"> of 8.55%, and a mean baseline eGFR of 92.4 mL/min/1.73 m</w:t>
      </w:r>
      <w:r w:rsidRPr="006A0A97">
        <w:rPr>
          <w:vertAlign w:val="superscript"/>
        </w:rPr>
        <w:t>2</w:t>
      </w:r>
      <w:r w:rsidRPr="006A0A97">
        <w:t>. The median</w:t>
      </w:r>
      <w:r>
        <w:t xml:space="preserve"> </w:t>
      </w:r>
      <w:r w:rsidRPr="006A0A97">
        <w:t>metformin dose at entry was 2000 mg/day.</w:t>
      </w:r>
    </w:p>
    <w:p w:rsidR="002E5CF1" w:rsidRPr="006A0A97" w:rsidRDefault="002E5CF1" w:rsidP="007677A2">
      <w:r>
        <w:t>T</w:t>
      </w:r>
      <w:r w:rsidRPr="006A0A97">
        <w:t>he LS mean reductions</w:t>
      </w:r>
      <w:r>
        <w:t xml:space="preserve"> in HbA1c </w:t>
      </w:r>
      <w:r w:rsidRPr="006A0A97">
        <w:t>at Week 26 were clinically</w:t>
      </w:r>
      <w:r>
        <w:t xml:space="preserve"> </w:t>
      </w:r>
      <w:r w:rsidRPr="006A0A97">
        <w:t>meaningful and significantly greater in both combination groups (E15/S100 and E5/S100)</w:t>
      </w:r>
      <w:r>
        <w:t xml:space="preserve"> </w:t>
      </w:r>
      <w:r w:rsidRPr="006A0A97">
        <w:t>relative to the individual component treatment groups at corresponding dose strengths.</w:t>
      </w:r>
      <w:r>
        <w:t xml:space="preserve"> </w:t>
      </w:r>
      <w:r w:rsidRPr="006A0A97">
        <w:t xml:space="preserve">The results of </w:t>
      </w:r>
      <w:r>
        <w:t>the sensitivity</w:t>
      </w:r>
      <w:r w:rsidRPr="006A0A97">
        <w:t xml:space="preserve"> analyses to assess</w:t>
      </w:r>
      <w:r>
        <w:t xml:space="preserve"> </w:t>
      </w:r>
      <w:r w:rsidRPr="006A0A97">
        <w:t>the potential impact of missing data suggested that the primary results were robust</w:t>
      </w:r>
      <w:r>
        <w:t xml:space="preserve">. </w:t>
      </w:r>
      <w:r w:rsidRPr="006A0A97">
        <w:t>A significantly greater proportion of subjects (about 50%)</w:t>
      </w:r>
      <w:r>
        <w:t xml:space="preserve"> </w:t>
      </w:r>
      <w:r w:rsidRPr="006A0A97">
        <w:t>achieved glycaemic goal (</w:t>
      </w:r>
      <w:r>
        <w:t>HbA1c</w:t>
      </w:r>
      <w:r w:rsidRPr="006A0A97">
        <w:t xml:space="preserve"> &lt;</w:t>
      </w:r>
      <w:r w:rsidR="007677A2">
        <w:t xml:space="preserve"> </w:t>
      </w:r>
      <w:r w:rsidRPr="006A0A97">
        <w:t>7%) with combination treatment, relative to treatment with</w:t>
      </w:r>
      <w:r>
        <w:t xml:space="preserve"> </w:t>
      </w:r>
      <w:r w:rsidRPr="006A0A97">
        <w:t xml:space="preserve">the </w:t>
      </w:r>
      <w:r w:rsidR="007677A2">
        <w:t xml:space="preserve">individual components (about 26 to </w:t>
      </w:r>
      <w:r w:rsidRPr="006A0A97">
        <w:t>33%).</w:t>
      </w:r>
    </w:p>
    <w:p w:rsidR="002E5CF1" w:rsidRPr="006A0A97" w:rsidRDefault="002E5CF1" w:rsidP="007677A2">
      <w:r w:rsidRPr="006A0A97">
        <w:t>Marked reductions in FPG were also observed in all treatment groups, with significantly</w:t>
      </w:r>
      <w:r>
        <w:t xml:space="preserve"> </w:t>
      </w:r>
      <w:r w:rsidRPr="006A0A97">
        <w:t>greater reductions in the combination groups relative to the individual component treatment</w:t>
      </w:r>
      <w:r>
        <w:t xml:space="preserve"> </w:t>
      </w:r>
      <w:r w:rsidRPr="006A0A97">
        <w:t xml:space="preserve">groups at corresponding dose strengths. </w:t>
      </w:r>
      <w:r w:rsidR="00DB6E8D">
        <w:t>2 h</w:t>
      </w:r>
      <w:r w:rsidRPr="006A0A97">
        <w:t xml:space="preserve"> </w:t>
      </w:r>
      <w:r>
        <w:t xml:space="preserve">PPG </w:t>
      </w:r>
      <w:r w:rsidRPr="006A0A97">
        <w:t>was assessed in a</w:t>
      </w:r>
      <w:r>
        <w:t xml:space="preserve"> </w:t>
      </w:r>
      <w:r w:rsidRPr="006A0A97">
        <w:t>subset of subjects who participated in a mixed meal tolerance test</w:t>
      </w:r>
      <w:r>
        <w:t>; t</w:t>
      </w:r>
      <w:r w:rsidRPr="006A0A97">
        <w:t>he LS mean reductions</w:t>
      </w:r>
      <w:r>
        <w:t xml:space="preserve"> </w:t>
      </w:r>
      <w:r w:rsidRPr="006A0A97">
        <w:t xml:space="preserve">from baseline in </w:t>
      </w:r>
      <w:r w:rsidR="00730F18">
        <w:t>2 h PPG</w:t>
      </w:r>
      <w:r>
        <w:t xml:space="preserve"> </w:t>
      </w:r>
      <w:r w:rsidRPr="006A0A97">
        <w:t>at Week 26 were similar across the treatment</w:t>
      </w:r>
      <w:r>
        <w:t xml:space="preserve"> </w:t>
      </w:r>
      <w:r w:rsidRPr="006A0A97">
        <w:t>groups, except for the E15/S100 group, where larger reductions were observed relative to the</w:t>
      </w:r>
      <w:r>
        <w:t xml:space="preserve"> </w:t>
      </w:r>
      <w:r w:rsidRPr="006A0A97">
        <w:t>individual component treatments at corresponding dose strengths.</w:t>
      </w:r>
      <w:r>
        <w:t xml:space="preserve"> Furthermore, the number of subjects who required glycaemic rescue therapy was lower in the combination therapy groups with no subjects in the E15/S100 requiring rescue therapy. Re</w:t>
      </w:r>
      <w:r w:rsidRPr="006A0A97">
        <w:t xml:space="preserve">ductions in body weight and sitting </w:t>
      </w:r>
      <w:r>
        <w:t xml:space="preserve">SBP </w:t>
      </w:r>
      <w:r w:rsidRPr="006A0A97">
        <w:t>were observed in the 4 ertugliflozin-treated groups.</w:t>
      </w:r>
      <w:r>
        <w:t xml:space="preserve"> </w:t>
      </w:r>
      <w:r w:rsidRPr="006A0A97">
        <w:t xml:space="preserve">Change from baseline in the </w:t>
      </w:r>
      <w:r>
        <w:t>beta</w:t>
      </w:r>
      <w:r w:rsidRPr="006A0A97">
        <w:t>-cell responsivity static component (</w:t>
      </w:r>
      <w:proofErr w:type="spellStart"/>
      <w:r w:rsidR="007677A2">
        <w:t>ϕ</w:t>
      </w:r>
      <w:r w:rsidRPr="006A0A97">
        <w:t>s</w:t>
      </w:r>
      <w:proofErr w:type="spellEnd"/>
      <w:r w:rsidRPr="006A0A97">
        <w:t>), which was assessed</w:t>
      </w:r>
      <w:r>
        <w:t xml:space="preserve"> </w:t>
      </w:r>
      <w:r w:rsidRPr="006A0A97">
        <w:t>via the MMTT increased from baseline in all treatment groups, but no meaningful between</w:t>
      </w:r>
      <w:r>
        <w:t xml:space="preserve"> </w:t>
      </w:r>
      <w:r w:rsidRPr="006A0A97">
        <w:t>group</w:t>
      </w:r>
      <w:r>
        <w:t xml:space="preserve"> </w:t>
      </w:r>
      <w:r w:rsidRPr="006A0A97">
        <w:t>differences were observed.</w:t>
      </w:r>
    </w:p>
    <w:p w:rsidR="002E5CF1" w:rsidRDefault="002E5CF1" w:rsidP="007677A2">
      <w:r w:rsidRPr="006A0A97">
        <w:t xml:space="preserve">Two doses of ertugliflozin </w:t>
      </w:r>
      <w:r>
        <w:t xml:space="preserve">(5 mg and 15 mg) </w:t>
      </w:r>
      <w:r w:rsidRPr="006A0A97">
        <w:t>administered in combination with sitagliptin were evaluated in</w:t>
      </w:r>
      <w:r>
        <w:t xml:space="preserve"> </w:t>
      </w:r>
      <w:r w:rsidRPr="006A0A97">
        <w:t>this study.</w:t>
      </w:r>
      <w:r>
        <w:t xml:space="preserve"> N</w:t>
      </w:r>
      <w:r w:rsidRPr="006A0A97">
        <w:t>o meaningful difference was observed between the 2</w:t>
      </w:r>
      <w:r>
        <w:t xml:space="preserve"> </w:t>
      </w:r>
      <w:r w:rsidRPr="006A0A97">
        <w:t>co</w:t>
      </w:r>
      <w:r>
        <w:t>-</w:t>
      </w:r>
      <w:r w:rsidRPr="006A0A97">
        <w:t>administration groups</w:t>
      </w:r>
      <w:r>
        <w:t xml:space="preserve"> (E15/S100 and E5/S100)</w:t>
      </w:r>
      <w:r w:rsidRPr="002810CD">
        <w:t xml:space="preserve"> </w:t>
      </w:r>
      <w:r>
        <w:t>for HbA1c</w:t>
      </w:r>
      <w:r w:rsidR="00BE503A">
        <w:t xml:space="preserve"> </w:t>
      </w:r>
      <w:r>
        <w:t>related endpoints, although th</w:t>
      </w:r>
      <w:r w:rsidRPr="006A0A97">
        <w:t>ere was a trend toward better efficacy for E15/S100 relative to</w:t>
      </w:r>
      <w:r>
        <w:t xml:space="preserve"> </w:t>
      </w:r>
      <w:r w:rsidRPr="006A0A97">
        <w:t xml:space="preserve">E5/S100 for FPG and </w:t>
      </w:r>
      <w:r w:rsidR="00BE503A">
        <w:t xml:space="preserve">2 h PPG </w:t>
      </w:r>
      <w:r>
        <w:t xml:space="preserve">However, interpretation was limited as this </w:t>
      </w:r>
      <w:r w:rsidRPr="006A0A97">
        <w:t>study was not powered to detect differences between the 2 combination</w:t>
      </w:r>
      <w:r>
        <w:t xml:space="preserve"> </w:t>
      </w:r>
      <w:r w:rsidRPr="006A0A97">
        <w:t>groups.</w:t>
      </w:r>
    </w:p>
    <w:p w:rsidR="002E5CF1" w:rsidRDefault="005A3437" w:rsidP="00BE503A">
      <w:pPr>
        <w:pStyle w:val="Heading4"/>
      </w:pPr>
      <w:bookmarkStart w:id="499" w:name="_Ref492031544"/>
      <w:bookmarkStart w:id="500" w:name="_Ref492031571"/>
      <w:bookmarkStart w:id="501" w:name="_Toc504038157"/>
      <w:r>
        <w:t xml:space="preserve">Study </w:t>
      </w:r>
      <w:r w:rsidR="002E5CF1">
        <w:t>P006/1015: Add-on to metformin plus sitagliptin</w:t>
      </w:r>
      <w:bookmarkEnd w:id="499"/>
      <w:bookmarkEnd w:id="500"/>
      <w:bookmarkEnd w:id="501"/>
    </w:p>
    <w:p w:rsidR="002E5CF1" w:rsidRDefault="00BE503A" w:rsidP="00BE503A">
      <w:pPr>
        <w:pStyle w:val="Heading5"/>
      </w:pPr>
      <w:r>
        <w:t>Study design, objectives</w:t>
      </w:r>
    </w:p>
    <w:p w:rsidR="002E5CF1" w:rsidRPr="007677A2" w:rsidRDefault="002E5CF1" w:rsidP="002E5CF1">
      <w:pPr>
        <w:autoSpaceDE w:val="0"/>
        <w:autoSpaceDN w:val="0"/>
        <w:adjustRightInd w:val="0"/>
        <w:spacing w:before="0" w:line="240" w:lineRule="auto"/>
      </w:pPr>
      <w:r w:rsidRPr="007677A2">
        <w:t xml:space="preserve">This was a multicentre, randomised, </w:t>
      </w:r>
      <w:r w:rsidR="00FB1E32" w:rsidRPr="007677A2">
        <w:t>double blind</w:t>
      </w:r>
      <w:r w:rsidR="007677A2" w:rsidRPr="007677A2">
        <w:t xml:space="preserve">, placebo </w:t>
      </w:r>
      <w:r w:rsidRPr="007677A2">
        <w:t xml:space="preserve">controlled, </w:t>
      </w:r>
      <w:r w:rsidR="007677A2" w:rsidRPr="007677A2">
        <w:t xml:space="preserve">parallel </w:t>
      </w:r>
      <w:r w:rsidRPr="007677A2">
        <w:t xml:space="preserve">group clinical trial of ertugliflozin in subjects with T2DM on stable treatment with metformin </w:t>
      </w:r>
      <w:r w:rsidR="002E1032" w:rsidRPr="007677A2">
        <w:t xml:space="preserve">≥ </w:t>
      </w:r>
      <w:r w:rsidRPr="007677A2">
        <w:t xml:space="preserve">1500 mg/day </w:t>
      </w:r>
      <w:r w:rsidRPr="007677A2">
        <w:lastRenderedPageBreak/>
        <w:t xml:space="preserve">and sitagliptin 100 mg </w:t>
      </w:r>
      <w:r w:rsidR="00337E5F" w:rsidRPr="007677A2">
        <w:t>QD</w:t>
      </w:r>
      <w:r w:rsidRPr="007677A2">
        <w:t xml:space="preserve"> The </w:t>
      </w:r>
      <w:r w:rsidR="00FB1E32" w:rsidRPr="007677A2">
        <w:t>double blind</w:t>
      </w:r>
      <w:r w:rsidRPr="007677A2">
        <w:t xml:space="preserve"> treatment period was 52 weeks in duration and divided into two 26</w:t>
      </w:r>
      <w:r w:rsidR="00833C92" w:rsidRPr="007677A2">
        <w:t xml:space="preserve"> week</w:t>
      </w:r>
      <w:r w:rsidRPr="007677A2">
        <w:t xml:space="preserve"> phases. Results from Phase A were presented in the submitted CSR and the sponsors have stated that a separate CSR including results from Phase B will be prepared at the end of the study. Details of the study design are provided in Figure </w:t>
      </w:r>
      <w:r w:rsidR="00BE503A" w:rsidRPr="007677A2">
        <w:t>26</w:t>
      </w:r>
      <w:r w:rsidRPr="007677A2">
        <w:t>. The duration of the trial was up to approximately 69 weeks (with 10 clinic visits) for each subject. This included a 1</w:t>
      </w:r>
      <w:r w:rsidR="00833C92" w:rsidRPr="007677A2">
        <w:t xml:space="preserve"> week</w:t>
      </w:r>
      <w:r w:rsidRPr="007677A2">
        <w:t xml:space="preserve"> Screening Period (Visit 1 to Visit 2); an up to 12</w:t>
      </w:r>
      <w:r w:rsidR="00833C92" w:rsidRPr="007677A2">
        <w:t xml:space="preserve"> week</w:t>
      </w:r>
      <w:r w:rsidRPr="007677A2">
        <w:t xml:space="preserve"> wash-off/titration/dose-stabilisation period (Visit 2 to Visit 3); a 2</w:t>
      </w:r>
      <w:r w:rsidR="00833C92" w:rsidRPr="007677A2">
        <w:t xml:space="preserve"> week</w:t>
      </w:r>
      <w:r w:rsidRPr="007677A2">
        <w:t xml:space="preserve"> </w:t>
      </w:r>
      <w:r w:rsidR="00FB1E32" w:rsidRPr="007677A2">
        <w:t>single blind</w:t>
      </w:r>
      <w:r w:rsidRPr="007677A2">
        <w:t>, placebo run-in period (Visit 3 to Visit 4); a 52</w:t>
      </w:r>
      <w:r w:rsidR="00833C92" w:rsidRPr="007677A2">
        <w:t xml:space="preserve"> week</w:t>
      </w:r>
      <w:r w:rsidRPr="007677A2">
        <w:t xml:space="preserve"> </w:t>
      </w:r>
      <w:r w:rsidR="00FB1E32" w:rsidRPr="007677A2">
        <w:t>double blind</w:t>
      </w:r>
      <w:r w:rsidRPr="007677A2">
        <w:t>, placebo-controlled treatment period (including a 26</w:t>
      </w:r>
      <w:r w:rsidR="00833C92" w:rsidRPr="007677A2">
        <w:t xml:space="preserve"> week</w:t>
      </w:r>
      <w:r w:rsidRPr="007677A2">
        <w:t xml:space="preserve"> Phase A </w:t>
      </w:r>
      <w:r w:rsidR="00424310" w:rsidRPr="007677A2">
        <w:t>(</w:t>
      </w:r>
      <w:r w:rsidRPr="007677A2">
        <w:t>Visit 4 to Visit 8</w:t>
      </w:r>
      <w:r w:rsidR="00424310" w:rsidRPr="007677A2">
        <w:t>)</w:t>
      </w:r>
      <w:r w:rsidRPr="007677A2">
        <w:t xml:space="preserve"> followed by a 26</w:t>
      </w:r>
      <w:r w:rsidR="00833C92" w:rsidRPr="007677A2">
        <w:t xml:space="preserve"> week</w:t>
      </w:r>
      <w:r w:rsidRPr="007677A2">
        <w:t xml:space="preserve"> Phase B </w:t>
      </w:r>
      <w:r w:rsidR="00424310" w:rsidRPr="007677A2">
        <w:t>(</w:t>
      </w:r>
      <w:r w:rsidR="007677A2">
        <w:t>Visit 8 to Visit </w:t>
      </w:r>
      <w:r w:rsidRPr="007677A2">
        <w:t>10</w:t>
      </w:r>
      <w:r w:rsidR="00424310" w:rsidRPr="007677A2">
        <w:t>)</w:t>
      </w:r>
      <w:r w:rsidRPr="007677A2">
        <w:t>); and a post-treatment telephone contact 14 days after the last dose of blinded study medication.</w:t>
      </w:r>
    </w:p>
    <w:p w:rsidR="00BE503A" w:rsidRPr="00DE7072" w:rsidRDefault="00BE503A" w:rsidP="00BE503A">
      <w:pPr>
        <w:pStyle w:val="FigureTitle"/>
      </w:pPr>
      <w:bookmarkStart w:id="502" w:name="_Ref492030494"/>
      <w:bookmarkStart w:id="503" w:name="_Toc504038523"/>
      <w:r w:rsidRPr="00DE7072">
        <w:t xml:space="preserve">Figure </w:t>
      </w:r>
      <w:r>
        <w:t xml:space="preserve">26: </w:t>
      </w:r>
      <w:r w:rsidRPr="00DE7072">
        <w:t>Study P006/1015 Overview of study design</w:t>
      </w:r>
      <w:bookmarkEnd w:id="502"/>
      <w:bookmarkEnd w:id="503"/>
    </w:p>
    <w:p w:rsidR="00BE503A" w:rsidRPr="00DE7072" w:rsidRDefault="00BE503A" w:rsidP="007A1A22">
      <w:r w:rsidRPr="00DE7072">
        <w:rPr>
          <w:noProof/>
          <w:lang w:eastAsia="en-AU"/>
        </w:rPr>
        <w:drawing>
          <wp:inline distT="0" distB="0" distL="0" distR="0" wp14:anchorId="5FA3976A" wp14:editId="21F4B2FF">
            <wp:extent cx="5370444" cy="4026433"/>
            <wp:effectExtent l="0" t="0" r="1905" b="0"/>
            <wp:docPr id="345" name="Picture 345" descr="Study P006/1015: Overview of study design&#10;This was a multicentre, randomised, double blind, placebo controlled, parallel group clinical trial of ertugliflozin in subjects with T2DM on stable treatment with metformin ≥ 1500 mg/day and sitagliptin 100 mg QD The double blind treatment period was 52 weeks in duration and divided into two 26 week phases. Results from Phase A were presented in the submitted CSR and the sponsors have stated that a separate CSR including results from Phase B will be prepared at the end of the study. Details of the study design are provided in Figure 26. The duration of the trial was up to approximately 69 weeks (with 10 clinic visits) for each subject. This included a 1 week Screening Period (Visit 1 to Visit 2); an up to 12 week wash-off/titration/dose-stabilisation period (Visit 2 to Visit 3); a 2 week single blind, placebo run-in period (Visit 3 to Visit 4); a 52 week double blind, placebo-controlled treatment period (including a 26 week Phase A (Visit 4 to Visit 8) followed by a 26 week Phase B (Visit 8 to Visit 10)); and a post-treatment telephone contact 14 days after the last dose of blinded study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lum bright="-20000" contrast="40000"/>
                      <a:extLst>
                        <a:ext uri="{28A0092B-C50C-407E-A947-70E740481C1C}">
                          <a14:useLocalDpi xmlns:a14="http://schemas.microsoft.com/office/drawing/2010/main" val="0"/>
                        </a:ext>
                      </a:extLst>
                    </a:blip>
                    <a:srcRect/>
                    <a:stretch>
                      <a:fillRect/>
                    </a:stretch>
                  </pic:blipFill>
                  <pic:spPr bwMode="auto">
                    <a:xfrm>
                      <a:off x="0" y="0"/>
                      <a:ext cx="5375258" cy="4030042"/>
                    </a:xfrm>
                    <a:prstGeom prst="rect">
                      <a:avLst/>
                    </a:prstGeom>
                    <a:noFill/>
                    <a:ln>
                      <a:noFill/>
                    </a:ln>
                  </pic:spPr>
                </pic:pic>
              </a:graphicData>
            </a:graphic>
          </wp:inline>
        </w:drawing>
      </w:r>
    </w:p>
    <w:p w:rsidR="002E5CF1" w:rsidRPr="00D65CAC" w:rsidRDefault="002E5CF1" w:rsidP="007677A2">
      <w:r w:rsidRPr="001525B5">
        <w:t xml:space="preserve">The primary objectives were to assess the following after 26 weeks in subjects with T2DM and inadequate glycaemic control on treatment with metformin </w:t>
      </w:r>
      <w:r w:rsidR="007677A2">
        <w:t xml:space="preserve">≥ </w:t>
      </w:r>
      <w:r w:rsidRPr="001525B5">
        <w:t>150</w:t>
      </w:r>
      <w:r w:rsidR="0038343A">
        <w:t>0 mg</w:t>
      </w:r>
      <w:r w:rsidRPr="001525B5">
        <w:t>/day and sitagliptin 10</w:t>
      </w:r>
      <w:r w:rsidR="007677A2">
        <w:t>0 </w:t>
      </w:r>
      <w:r w:rsidR="0038343A">
        <w:t>mg</w:t>
      </w:r>
      <w:r w:rsidRPr="001525B5">
        <w:t xml:space="preserve"> </w:t>
      </w:r>
      <w:r w:rsidR="00BE503A">
        <w:t>QD</w:t>
      </w:r>
      <w:r w:rsidR="007677A2">
        <w:t>:</w:t>
      </w:r>
      <w:r w:rsidRPr="001525B5">
        <w:t xml:space="preserve"> </w:t>
      </w:r>
      <w:r>
        <w:t>HbA1c</w:t>
      </w:r>
      <w:r w:rsidRPr="001525B5">
        <w:t>-lowering efficacy of the addition of ertugliflozin</w:t>
      </w:r>
      <w:r w:rsidRPr="00D65CAC">
        <w:t xml:space="preserve"> 15 mg and </w:t>
      </w:r>
      <w:r>
        <w:t>5 mg</w:t>
      </w:r>
      <w:r w:rsidRPr="00D65CAC">
        <w:t xml:space="preserve"> </w:t>
      </w:r>
      <w:r w:rsidR="00337E5F">
        <w:t>QD</w:t>
      </w:r>
      <w:r w:rsidRPr="00D65CAC">
        <w:t xml:space="preserve"> relati</w:t>
      </w:r>
      <w:r w:rsidR="007677A2">
        <w:t>ve to the addition of placebo;</w:t>
      </w:r>
      <w:r w:rsidRPr="00D65CAC">
        <w:t xml:space="preserve"> safety and tolerability of </w:t>
      </w:r>
      <w:r>
        <w:t xml:space="preserve">the addition of ertugliflozin. </w:t>
      </w:r>
      <w:r w:rsidRPr="00D65CAC">
        <w:t xml:space="preserve">The secondary objectives were to assess the effects of the addition of ertugliflozin 15 mg and </w:t>
      </w:r>
      <w:r>
        <w:t>5 mg</w:t>
      </w:r>
      <w:r w:rsidRPr="00D65CAC">
        <w:t xml:space="preserve"> </w:t>
      </w:r>
      <w:r w:rsidR="00337E5F">
        <w:t>QD</w:t>
      </w:r>
      <w:r w:rsidRPr="00D65CAC">
        <w:t xml:space="preserve"> relative to the addition of placebo on FPG, body weight, the proportion of subjects with an </w:t>
      </w:r>
      <w:r w:rsidR="00FB1E32">
        <w:t>HbA1c &lt; 7.0%</w:t>
      </w:r>
      <w:r>
        <w:t xml:space="preserve"> </w:t>
      </w:r>
      <w:r w:rsidRPr="00D65CAC">
        <w:t>(53 mmol/mol), SBP, DBP</w:t>
      </w:r>
      <w:r>
        <w:t xml:space="preserve"> and </w:t>
      </w:r>
      <w:r w:rsidRPr="00D65CAC">
        <w:t>a fasting</w:t>
      </w:r>
      <w:r>
        <w:t xml:space="preserve"> </w:t>
      </w:r>
      <w:r w:rsidRPr="00D65CAC">
        <w:t xml:space="preserve">measure of </w:t>
      </w:r>
      <w:r>
        <w:t>beta</w:t>
      </w:r>
      <w:r w:rsidRPr="00D65CAC">
        <w:t>-cell function (</w:t>
      </w:r>
      <w:r w:rsidR="006F000B">
        <w:t>that is,</w:t>
      </w:r>
      <w:r w:rsidRPr="00D65CAC">
        <w:t xml:space="preserve"> homeostasis model assessment of </w:t>
      </w:r>
      <w:r>
        <w:t>beta</w:t>
      </w:r>
      <w:r w:rsidRPr="00D65CAC">
        <w:t xml:space="preserve">-cell function </w:t>
      </w:r>
      <w:r w:rsidR="00424310">
        <w:t>(</w:t>
      </w:r>
      <w:r w:rsidRPr="00D65CAC">
        <w:t>HOMA-%</w:t>
      </w:r>
      <w:r>
        <w:t>beta</w:t>
      </w:r>
      <w:r w:rsidR="00424310">
        <w:t>)</w:t>
      </w:r>
      <w:r w:rsidRPr="00D65CAC">
        <w:t>).</w:t>
      </w:r>
    </w:p>
    <w:p w:rsidR="00803C18" w:rsidRDefault="002E5CF1" w:rsidP="007677A2">
      <w:r w:rsidRPr="00414599">
        <w:t>The study was conducted from 7 April 2014 to 18 Nov</w:t>
      </w:r>
      <w:r w:rsidR="007677A2">
        <w:t>ember</w:t>
      </w:r>
      <w:r w:rsidRPr="00414599">
        <w:t xml:space="preserve"> 2015 (l</w:t>
      </w:r>
      <w:r>
        <w:t>as</w:t>
      </w:r>
      <w:r w:rsidRPr="00414599">
        <w:t>t subject visit for Phase A) in 12 countries, including 104 trial centres</w:t>
      </w:r>
      <w:r w:rsidR="007A1A22">
        <w:t>.</w:t>
      </w:r>
      <w:r w:rsidRPr="00414599">
        <w:rPr>
          <w:rStyle w:val="FootnoteReference"/>
          <w:rFonts w:asciiTheme="minorHAnsi" w:eastAsiaTheme="minorHAnsi" w:hAnsiTheme="minorHAnsi"/>
        </w:rPr>
        <w:footnoteReference w:id="30"/>
      </w:r>
    </w:p>
    <w:p w:rsidR="002E5CF1" w:rsidRDefault="00BE503A" w:rsidP="00BE503A">
      <w:pPr>
        <w:pStyle w:val="Heading5"/>
      </w:pPr>
      <w:r>
        <w:lastRenderedPageBreak/>
        <w:t>Inclusion exclusion criteria</w:t>
      </w:r>
    </w:p>
    <w:p w:rsidR="002E5CF1" w:rsidRDefault="002E5CF1" w:rsidP="007677A2">
      <w:r w:rsidRPr="00BA0321">
        <w:t xml:space="preserve">The main inclusion criteria were </w:t>
      </w:r>
      <w:r w:rsidR="00AE3765">
        <w:t xml:space="preserve">to </w:t>
      </w:r>
      <w:r w:rsidRPr="00BA0321">
        <w:t xml:space="preserve">be </w:t>
      </w:r>
      <w:r w:rsidR="002E1032">
        <w:t xml:space="preserve">≥ </w:t>
      </w:r>
      <w:r w:rsidRPr="00BA0321">
        <w:t xml:space="preserve">18 years of age, </w:t>
      </w:r>
      <w:r w:rsidRPr="00AE3765">
        <w:t xml:space="preserve">BMI </w:t>
      </w:r>
      <w:r w:rsidR="00AE3765" w:rsidRPr="00AE3765">
        <w:t xml:space="preserve">≥ </w:t>
      </w:r>
      <w:r w:rsidRPr="00AE3765">
        <w:t>18</w:t>
      </w:r>
      <w:r w:rsidR="00AE3765">
        <w:t xml:space="preserve"> </w:t>
      </w:r>
      <w:r w:rsidRPr="00AE3765">
        <w:t>kg</w:t>
      </w:r>
      <w:r w:rsidRPr="00BA0321">
        <w:t>/m</w:t>
      </w:r>
      <w:r w:rsidRPr="00BA0321">
        <w:rPr>
          <w:vertAlign w:val="superscript"/>
        </w:rPr>
        <w:t>2</w:t>
      </w:r>
      <w:r w:rsidRPr="00BA0321">
        <w:t xml:space="preserve"> </w:t>
      </w:r>
      <w:r w:rsidRPr="001525B5">
        <w:t xml:space="preserve">with diagnosis of T2DM in </w:t>
      </w:r>
      <w:r w:rsidRPr="00440E7F">
        <w:t>accordance with A</w:t>
      </w:r>
      <w:r>
        <w:t>DA</w:t>
      </w:r>
      <w:r w:rsidRPr="00440E7F">
        <w:t xml:space="preserve"> guidelines and meeting one of the following criteria:</w:t>
      </w:r>
    </w:p>
    <w:p w:rsidR="002E5CF1" w:rsidRDefault="002E5CF1" w:rsidP="00BE503A">
      <w:pPr>
        <w:pStyle w:val="ListBullet"/>
      </w:pPr>
      <w:r w:rsidRPr="00440E7F">
        <w:t xml:space="preserve">On metformin </w:t>
      </w:r>
      <w:r w:rsidR="002E1032">
        <w:rPr>
          <w:color w:val="000000"/>
        </w:rPr>
        <w:t xml:space="preserve">≥ </w:t>
      </w:r>
      <w:r w:rsidRPr="00440E7F">
        <w:t xml:space="preserve">1500 mg/day and sitagliptin 100 mg/day for </w:t>
      </w:r>
      <w:r w:rsidR="002E1032">
        <w:rPr>
          <w:color w:val="000000"/>
        </w:rPr>
        <w:t xml:space="preserve">≥ </w:t>
      </w:r>
      <w:r w:rsidRPr="00440E7F">
        <w:t>8 weeks with an</w:t>
      </w:r>
      <w:r>
        <w:t xml:space="preserve"> HbA1c</w:t>
      </w:r>
      <w:r w:rsidRPr="00440E7F">
        <w:t xml:space="preserve"> </w:t>
      </w:r>
      <w:r w:rsidR="007677A2">
        <w:rPr>
          <w:color w:val="000000"/>
        </w:rPr>
        <w:t>≥ </w:t>
      </w:r>
      <w:r w:rsidRPr="00440E7F">
        <w:t xml:space="preserve">7.0% and </w:t>
      </w:r>
      <w:r w:rsidR="003B751A">
        <w:t xml:space="preserve">≤ </w:t>
      </w:r>
      <w:r w:rsidRPr="00440E7F">
        <w:t>10.5% (</w:t>
      </w:r>
      <w:r w:rsidR="002E1032">
        <w:rPr>
          <w:color w:val="000000"/>
        </w:rPr>
        <w:t xml:space="preserve">≥ </w:t>
      </w:r>
      <w:r w:rsidRPr="00440E7F">
        <w:t xml:space="preserve">53 mmol/mol and </w:t>
      </w:r>
      <w:r w:rsidR="003B751A">
        <w:t xml:space="preserve">≤ </w:t>
      </w:r>
      <w:r w:rsidRPr="00440E7F">
        <w:t>91 mmol/mol)</w:t>
      </w:r>
      <w:r>
        <w:t xml:space="preserve"> </w:t>
      </w:r>
      <w:r w:rsidRPr="00440E7F">
        <w:t>OR</w:t>
      </w:r>
    </w:p>
    <w:p w:rsidR="002E5CF1" w:rsidRDefault="002E5CF1" w:rsidP="00BE503A">
      <w:pPr>
        <w:pStyle w:val="ListBullet"/>
      </w:pPr>
      <w:r w:rsidRPr="00440E7F">
        <w:t xml:space="preserve">On metformin </w:t>
      </w:r>
      <w:r w:rsidR="002E1032">
        <w:rPr>
          <w:color w:val="000000"/>
        </w:rPr>
        <w:t xml:space="preserve">≥ </w:t>
      </w:r>
      <w:r w:rsidRPr="00440E7F">
        <w:t>1500 mg/day and sitagliptin 100 mg/day for &lt;</w:t>
      </w:r>
      <w:r w:rsidR="007677A2">
        <w:t xml:space="preserve"> </w:t>
      </w:r>
      <w:r w:rsidRPr="00440E7F">
        <w:t>8 weeks with an</w:t>
      </w:r>
      <w:r>
        <w:t xml:space="preserve"> HbA1c</w:t>
      </w:r>
      <w:r w:rsidR="007677A2">
        <w:t> </w:t>
      </w:r>
      <w:r w:rsidR="007677A2">
        <w:rPr>
          <w:color w:val="000000"/>
        </w:rPr>
        <w:t>≥ </w:t>
      </w:r>
      <w:r w:rsidRPr="00440E7F">
        <w:t xml:space="preserve">7.0% and </w:t>
      </w:r>
      <w:r w:rsidR="003B751A">
        <w:t xml:space="preserve">≤ </w:t>
      </w:r>
      <w:r w:rsidRPr="00440E7F">
        <w:t>10.5% (</w:t>
      </w:r>
      <w:r w:rsidR="002E1032">
        <w:rPr>
          <w:color w:val="000000"/>
        </w:rPr>
        <w:t xml:space="preserve">≥ </w:t>
      </w:r>
      <w:r w:rsidRPr="00440E7F">
        <w:t xml:space="preserve">53 mmol/mol and </w:t>
      </w:r>
      <w:r w:rsidR="003B751A">
        <w:t xml:space="preserve">≤ </w:t>
      </w:r>
      <w:r w:rsidRPr="00440E7F">
        <w:t>91 mmol/mol)</w:t>
      </w:r>
      <w:r>
        <w:t xml:space="preserve"> </w:t>
      </w:r>
      <w:r w:rsidRPr="00440E7F">
        <w:t>OR</w:t>
      </w:r>
    </w:p>
    <w:p w:rsidR="002E5CF1" w:rsidRDefault="002E5CF1" w:rsidP="00BE503A">
      <w:pPr>
        <w:pStyle w:val="ListBullet"/>
      </w:pPr>
      <w:r w:rsidRPr="00440E7F">
        <w:t xml:space="preserve">On metformin </w:t>
      </w:r>
      <w:r w:rsidR="002E1032">
        <w:rPr>
          <w:color w:val="000000"/>
        </w:rPr>
        <w:t xml:space="preserve">≥ </w:t>
      </w:r>
      <w:r w:rsidRPr="00440E7F">
        <w:t>1500 mg/day and a DPP-4 inhibitor (other than sitagliptin) with</w:t>
      </w:r>
      <w:r>
        <w:t xml:space="preserve"> </w:t>
      </w:r>
      <w:r w:rsidRPr="00440E7F">
        <w:t xml:space="preserve">an </w:t>
      </w:r>
      <w:r>
        <w:t>HbA1c</w:t>
      </w:r>
      <w:r w:rsidRPr="00440E7F">
        <w:t xml:space="preserve"> </w:t>
      </w:r>
      <w:r w:rsidR="002E1032">
        <w:rPr>
          <w:color w:val="000000"/>
        </w:rPr>
        <w:t xml:space="preserve">≥ </w:t>
      </w:r>
      <w:r w:rsidRPr="00440E7F">
        <w:t xml:space="preserve">7.0% and </w:t>
      </w:r>
      <w:r w:rsidR="003B751A">
        <w:t xml:space="preserve">≤ </w:t>
      </w:r>
      <w:r w:rsidRPr="00440E7F">
        <w:t>10.5% (</w:t>
      </w:r>
      <w:r w:rsidR="002E1032">
        <w:rPr>
          <w:color w:val="000000"/>
        </w:rPr>
        <w:t xml:space="preserve">≥ </w:t>
      </w:r>
      <w:r w:rsidRPr="00440E7F">
        <w:t xml:space="preserve">53 mmol/mol and </w:t>
      </w:r>
      <w:r w:rsidR="003B751A">
        <w:t xml:space="preserve">≤ </w:t>
      </w:r>
      <w:r w:rsidRPr="00440E7F">
        <w:t>91 mmol/mol)</w:t>
      </w:r>
      <w:r>
        <w:t xml:space="preserve"> </w:t>
      </w:r>
      <w:r w:rsidRPr="00440E7F">
        <w:t>OR</w:t>
      </w:r>
    </w:p>
    <w:p w:rsidR="002E5CF1" w:rsidRDefault="002E5CF1" w:rsidP="00BE503A">
      <w:pPr>
        <w:pStyle w:val="ListBullet"/>
      </w:pPr>
      <w:r w:rsidRPr="00440E7F">
        <w:t xml:space="preserve">On metformin </w:t>
      </w:r>
      <w:r w:rsidR="002E1032">
        <w:rPr>
          <w:color w:val="000000"/>
        </w:rPr>
        <w:t xml:space="preserve">≥ </w:t>
      </w:r>
      <w:r w:rsidRPr="00440E7F">
        <w:t xml:space="preserve">1500 mg/day and an sulfonylurea with an </w:t>
      </w:r>
      <w:r>
        <w:t>HbA1c</w:t>
      </w:r>
      <w:r w:rsidRPr="00440E7F">
        <w:t xml:space="preserve"> </w:t>
      </w:r>
      <w:r w:rsidR="002E1032">
        <w:rPr>
          <w:color w:val="000000"/>
        </w:rPr>
        <w:t xml:space="preserve">≥ </w:t>
      </w:r>
      <w:r w:rsidRPr="00440E7F">
        <w:t>7.0% and</w:t>
      </w:r>
      <w:r>
        <w:t xml:space="preserve"> </w:t>
      </w:r>
      <w:r w:rsidR="003B751A">
        <w:t xml:space="preserve">≤ </w:t>
      </w:r>
      <w:r>
        <w:t>10.5% (</w:t>
      </w:r>
      <w:r w:rsidR="002E1032">
        <w:rPr>
          <w:color w:val="000000"/>
        </w:rPr>
        <w:t xml:space="preserve">≥ </w:t>
      </w:r>
      <w:r>
        <w:t xml:space="preserve">53 mmol/mol and </w:t>
      </w:r>
      <w:r w:rsidR="003B751A">
        <w:t xml:space="preserve">≤ </w:t>
      </w:r>
      <w:r>
        <w:t xml:space="preserve">91 </w:t>
      </w:r>
      <w:r w:rsidRPr="00440E7F">
        <w:t>mmol/mol)</w:t>
      </w:r>
      <w:r>
        <w:t xml:space="preserve"> </w:t>
      </w:r>
      <w:r w:rsidRPr="00440E7F">
        <w:t>OR</w:t>
      </w:r>
    </w:p>
    <w:p w:rsidR="002E5CF1" w:rsidRPr="00440E7F" w:rsidRDefault="002E5CF1" w:rsidP="00BE503A">
      <w:pPr>
        <w:pStyle w:val="ListBullet"/>
      </w:pPr>
      <w:r w:rsidRPr="00440E7F">
        <w:t xml:space="preserve">On metformin &lt;1500 mg/day and any DPP-4 inhibitor with an </w:t>
      </w:r>
      <w:r>
        <w:t>HbA1c</w:t>
      </w:r>
      <w:r w:rsidRPr="00440E7F">
        <w:t xml:space="preserve"> </w:t>
      </w:r>
      <w:r w:rsidR="002E1032">
        <w:rPr>
          <w:color w:val="000000"/>
        </w:rPr>
        <w:t xml:space="preserve">≥ </w:t>
      </w:r>
      <w:r w:rsidRPr="00440E7F">
        <w:t>7.5% and</w:t>
      </w:r>
      <w:r>
        <w:t xml:space="preserve"> </w:t>
      </w:r>
      <w:r w:rsidR="003B751A">
        <w:t xml:space="preserve">≤ </w:t>
      </w:r>
      <w:r w:rsidRPr="00440E7F">
        <w:t>11.0% (</w:t>
      </w:r>
      <w:r w:rsidR="002E1032">
        <w:rPr>
          <w:color w:val="000000"/>
        </w:rPr>
        <w:t>≥</w:t>
      </w:r>
      <w:r w:rsidR="00BE503A">
        <w:rPr>
          <w:color w:val="000000"/>
        </w:rPr>
        <w:t> </w:t>
      </w:r>
      <w:r w:rsidRPr="00440E7F">
        <w:t xml:space="preserve">58 mmol/mol and </w:t>
      </w:r>
      <w:r w:rsidR="003B751A">
        <w:t xml:space="preserve">≤ </w:t>
      </w:r>
      <w:r w:rsidRPr="00440E7F">
        <w:t>97 mmol/mol)</w:t>
      </w:r>
      <w:r>
        <w:t>.</w:t>
      </w:r>
    </w:p>
    <w:p w:rsidR="00803C18" w:rsidRDefault="002E5CF1" w:rsidP="007677A2">
      <w:r w:rsidRPr="00440E7F">
        <w:t>Subjects on a fixed-dose combination (FDC) with metformin and a DPP-4 inhibitor at</w:t>
      </w:r>
      <w:r>
        <w:t xml:space="preserve"> </w:t>
      </w:r>
      <w:r w:rsidRPr="00440E7F">
        <w:t>Visit 1/Screening w</w:t>
      </w:r>
      <w:r>
        <w:t xml:space="preserve">ere </w:t>
      </w:r>
      <w:r w:rsidRPr="00440E7F">
        <w:t>switch</w:t>
      </w:r>
      <w:r>
        <w:t>ed</w:t>
      </w:r>
      <w:r w:rsidRPr="00440E7F">
        <w:t xml:space="preserve"> to co-administration treatment with metformin (titrated to</w:t>
      </w:r>
      <w:r>
        <w:t xml:space="preserve"> </w:t>
      </w:r>
      <w:r w:rsidR="007677A2">
        <w:rPr>
          <w:color w:val="000000"/>
        </w:rPr>
        <w:t>≥ </w:t>
      </w:r>
      <w:r w:rsidR="007677A2">
        <w:t>1500 </w:t>
      </w:r>
      <w:r w:rsidRPr="00440E7F">
        <w:t xml:space="preserve">mg/day as needed) and sitagliptin 100 mg </w:t>
      </w:r>
      <w:r w:rsidR="00337E5F">
        <w:t>QD</w:t>
      </w:r>
      <w:r w:rsidRPr="00440E7F">
        <w:t xml:space="preserve"> at Visit 2 or Combined Visit 2/3 (as</w:t>
      </w:r>
      <w:r>
        <w:t xml:space="preserve"> </w:t>
      </w:r>
      <w:r w:rsidRPr="00440E7F">
        <w:t>appropriate).</w:t>
      </w:r>
      <w:r>
        <w:t xml:space="preserve"> </w:t>
      </w:r>
      <w:r w:rsidRPr="00BA0321">
        <w:rPr>
          <w:color w:val="000000"/>
        </w:rPr>
        <w:t xml:space="preserve">Other inclusion and exclusion </w:t>
      </w:r>
      <w:r>
        <w:rPr>
          <w:color w:val="000000"/>
        </w:rPr>
        <w:t>c</w:t>
      </w:r>
      <w:r w:rsidRPr="00BA0321">
        <w:rPr>
          <w:color w:val="000000"/>
        </w:rPr>
        <w:t>riteria were similar to those dis</w:t>
      </w:r>
      <w:r>
        <w:rPr>
          <w:color w:val="000000"/>
        </w:rPr>
        <w:t xml:space="preserve">cussed </w:t>
      </w:r>
      <w:r w:rsidR="00E04DB4">
        <w:rPr>
          <w:color w:val="000000"/>
        </w:rPr>
        <w:t>previously</w:t>
      </w:r>
      <w:r>
        <w:rPr>
          <w:color w:val="000000"/>
        </w:rPr>
        <w:t xml:space="preserve"> w</w:t>
      </w:r>
      <w:r w:rsidRPr="00BA0321">
        <w:rPr>
          <w:color w:val="000000"/>
        </w:rPr>
        <w:t xml:space="preserve">ith exception that </w:t>
      </w:r>
      <w:r>
        <w:rPr>
          <w:color w:val="000000"/>
        </w:rPr>
        <w:t xml:space="preserve">subjects with </w:t>
      </w:r>
      <w:r w:rsidRPr="00BA0321">
        <w:t>known hypersensitivity or intolerance to any SGLT2 inhibitor or sitagliptin</w:t>
      </w:r>
      <w:r>
        <w:t xml:space="preserve"> were also excluded</w:t>
      </w:r>
      <w:r w:rsidR="00803C18">
        <w:t>.</w:t>
      </w:r>
    </w:p>
    <w:p w:rsidR="002E5CF1" w:rsidRDefault="002E5CF1" w:rsidP="00E04DB4">
      <w:pPr>
        <w:pStyle w:val="Heading5"/>
      </w:pPr>
      <w:r>
        <w:t>Study treatments</w:t>
      </w:r>
    </w:p>
    <w:p w:rsidR="002E5CF1" w:rsidRPr="009A38DF" w:rsidRDefault="002E5CF1" w:rsidP="007677A2">
      <w:r w:rsidRPr="001525B5">
        <w:t xml:space="preserve">Subjects who were on metformin </w:t>
      </w:r>
      <w:r w:rsidR="002E1032">
        <w:rPr>
          <w:color w:val="000000"/>
        </w:rPr>
        <w:t xml:space="preserve">≥ </w:t>
      </w:r>
      <w:r w:rsidRPr="001525B5">
        <w:t xml:space="preserve">1500 mg/day and sitagliptin 100 mg </w:t>
      </w:r>
      <w:r w:rsidR="00337E5F">
        <w:t>QD</w:t>
      </w:r>
      <w:r w:rsidRPr="001525B5">
        <w:t xml:space="preserve"> for </w:t>
      </w:r>
      <w:r w:rsidR="002E1032">
        <w:rPr>
          <w:color w:val="000000"/>
        </w:rPr>
        <w:t xml:space="preserve">≥ </w:t>
      </w:r>
      <w:r w:rsidRPr="001525B5">
        <w:t>8 weeks</w:t>
      </w:r>
      <w:r>
        <w:t xml:space="preserve"> </w:t>
      </w:r>
      <w:r w:rsidRPr="001525B5">
        <w:t xml:space="preserve">with a Visit 1/Screening </w:t>
      </w:r>
      <w:r>
        <w:t>HbA1c</w:t>
      </w:r>
      <w:r w:rsidRPr="001525B5">
        <w:t xml:space="preserve"> </w:t>
      </w:r>
      <w:r w:rsidR="002E1032">
        <w:rPr>
          <w:color w:val="000000"/>
        </w:rPr>
        <w:t xml:space="preserve">≥ </w:t>
      </w:r>
      <w:r w:rsidRPr="001525B5">
        <w:t xml:space="preserve">7.0% and </w:t>
      </w:r>
      <w:r w:rsidR="003B751A">
        <w:t xml:space="preserve">≤ </w:t>
      </w:r>
      <w:r w:rsidRPr="001525B5">
        <w:t>10.5% (</w:t>
      </w:r>
      <w:r w:rsidR="002E1032">
        <w:rPr>
          <w:color w:val="000000"/>
        </w:rPr>
        <w:t xml:space="preserve">≥ </w:t>
      </w:r>
      <w:r w:rsidRPr="001525B5">
        <w:t xml:space="preserve">53 mmol/mol and </w:t>
      </w:r>
      <w:r w:rsidR="003B751A">
        <w:t xml:space="preserve">≤ </w:t>
      </w:r>
      <w:r w:rsidRPr="001525B5">
        <w:t>91 mmol/mol) and</w:t>
      </w:r>
      <w:r>
        <w:t xml:space="preserve"> </w:t>
      </w:r>
      <w:r w:rsidRPr="001525B5">
        <w:t>who met all other enrolment criteria directly entered the 2</w:t>
      </w:r>
      <w:r w:rsidR="00833C92">
        <w:t xml:space="preserve"> week</w:t>
      </w:r>
      <w:r w:rsidRPr="001525B5">
        <w:t xml:space="preserve">, </w:t>
      </w:r>
      <w:r w:rsidR="00FB1E32">
        <w:t>single blind</w:t>
      </w:r>
      <w:r w:rsidRPr="001525B5">
        <w:t>, placebo run-in</w:t>
      </w:r>
      <w:r>
        <w:t xml:space="preserve"> </w:t>
      </w:r>
      <w:r w:rsidRPr="001525B5">
        <w:t>period at a combined Visit 2/3.</w:t>
      </w:r>
      <w:r>
        <w:t xml:space="preserve"> </w:t>
      </w:r>
      <w:r w:rsidRPr="001525B5">
        <w:t>Subjects who did not meet the above criteria but who were within one of the following four</w:t>
      </w:r>
      <w:r>
        <w:t xml:space="preserve"> </w:t>
      </w:r>
      <w:r w:rsidRPr="001525B5">
        <w:t>groups at Visit 1/Screening were eligible to enter a wash-off/</w:t>
      </w:r>
      <w:r w:rsidRPr="00E04DB4">
        <w:t xml:space="preserve">titration/dose-stabilisation period beginning at Visit 2 and have Visit 3/Week -2 according to Table </w:t>
      </w:r>
      <w:r w:rsidR="00E04DB4" w:rsidRPr="00E04DB4">
        <w:t>66</w:t>
      </w:r>
      <w:r w:rsidRPr="00E04DB4">
        <w:t>).</w:t>
      </w:r>
      <w:r w:rsidRPr="001525B5">
        <w:t xml:space="preserve"> Subjects with adequate compliance </w:t>
      </w:r>
      <w:r>
        <w:t>(</w:t>
      </w:r>
      <w:r w:rsidR="00E04DB4">
        <w:t xml:space="preserve">≥ </w:t>
      </w:r>
      <w:r>
        <w:t xml:space="preserve">80% </w:t>
      </w:r>
      <w:r w:rsidRPr="001525B5">
        <w:t>during the placebo run-in period</w:t>
      </w:r>
      <w:r>
        <w:t>)</w:t>
      </w:r>
      <w:r w:rsidRPr="001525B5">
        <w:t xml:space="preserve"> and who met all other entry criteria were eligible to enter the 52</w:t>
      </w:r>
      <w:r w:rsidR="00833C92">
        <w:t xml:space="preserve"> week</w:t>
      </w:r>
      <w:r w:rsidRPr="001525B5">
        <w:t xml:space="preserve"> </w:t>
      </w:r>
      <w:r w:rsidR="00FB1E32">
        <w:t>double blind</w:t>
      </w:r>
      <w:r w:rsidRPr="001525B5">
        <w:t xml:space="preserve"> treatment period and were </w:t>
      </w:r>
      <w:r>
        <w:t>randomised</w:t>
      </w:r>
      <w:r w:rsidRPr="001525B5">
        <w:t xml:space="preserve"> in a 1:1:1 ratio to 1 of 3 treatment groups: ertugliflozin 5 mg </w:t>
      </w:r>
      <w:r w:rsidR="00337E5F">
        <w:t>QD</w:t>
      </w:r>
      <w:r w:rsidRPr="001525B5">
        <w:t xml:space="preserve">, ertugliflozin 15 mg </w:t>
      </w:r>
      <w:r w:rsidR="00337E5F">
        <w:t>QD</w:t>
      </w:r>
      <w:r w:rsidRPr="001525B5">
        <w:t xml:space="preserve"> or placebo. </w:t>
      </w:r>
      <w:r>
        <w:t xml:space="preserve">Details of trial treatments are </w:t>
      </w:r>
      <w:r w:rsidRPr="00E04DB4">
        <w:t xml:space="preserve">summarised in Table </w:t>
      </w:r>
      <w:r w:rsidR="00E04DB4" w:rsidRPr="00E04DB4">
        <w:t>67</w:t>
      </w:r>
      <w:r w:rsidRPr="00E04DB4">
        <w:t>.</w:t>
      </w:r>
      <w:r>
        <w:t xml:space="preserve"> </w:t>
      </w:r>
      <w:r w:rsidRPr="00F53C67">
        <w:t xml:space="preserve">During the placebo run-in and </w:t>
      </w:r>
      <w:r w:rsidR="00FB1E32">
        <w:t>double blind</w:t>
      </w:r>
      <w:r w:rsidRPr="00F53C67">
        <w:t xml:space="preserve"> treatment periods, subjects were to take 2 oral</w:t>
      </w:r>
      <w:r>
        <w:t xml:space="preserve"> </w:t>
      </w:r>
      <w:r w:rsidRPr="00F53C67">
        <w:t>tablets of study medication once daily in the morning</w:t>
      </w:r>
      <w:r>
        <w:rPr>
          <w:rStyle w:val="FootnoteReference"/>
          <w:rFonts w:asciiTheme="minorHAnsi" w:eastAsiaTheme="minorHAnsi" w:hAnsiTheme="minorHAnsi"/>
        </w:rPr>
        <w:footnoteReference w:id="31"/>
      </w:r>
      <w:r w:rsidRPr="00F53C67">
        <w:t>, including ertugliflozin 5 mg or</w:t>
      </w:r>
      <w:r>
        <w:t xml:space="preserve"> </w:t>
      </w:r>
      <w:r w:rsidRPr="00F53C67">
        <w:t xml:space="preserve">matching placebo tablet and ertugliflozin 10 mg or matching placebo tablet. </w:t>
      </w:r>
      <w:r w:rsidRPr="001525B5">
        <w:t>Doses of background metformin and sitagliptin were to remain stable throughout</w:t>
      </w:r>
      <w:r w:rsidRPr="00D65CAC">
        <w:t xml:space="preserve"> the 52</w:t>
      </w:r>
      <w:r w:rsidR="00833C92">
        <w:t xml:space="preserve"> week</w:t>
      </w:r>
      <w:r w:rsidRPr="00D65CAC">
        <w:t xml:space="preserve"> </w:t>
      </w:r>
      <w:r w:rsidR="00FB1E32">
        <w:t>double blind</w:t>
      </w:r>
      <w:r w:rsidRPr="00D65CAC">
        <w:t xml:space="preserve"> treatment</w:t>
      </w:r>
      <w:r>
        <w:t xml:space="preserve"> </w:t>
      </w:r>
      <w:r w:rsidRPr="00D65CAC">
        <w:t>period. Subjects who met progressively more stringent glycaemic rescue criteria</w:t>
      </w:r>
      <w:r>
        <w:t xml:space="preserve"> </w:t>
      </w:r>
      <w:r w:rsidRPr="00D65CAC">
        <w:t xml:space="preserve">during the </w:t>
      </w:r>
      <w:r w:rsidR="00FB1E32">
        <w:t>double blind</w:t>
      </w:r>
      <w:r w:rsidRPr="00D65CAC">
        <w:t xml:space="preserve"> treatment period were to receive </w:t>
      </w:r>
      <w:r w:rsidR="001F7376">
        <w:t>open label</w:t>
      </w:r>
      <w:r>
        <w:t xml:space="preserve"> </w:t>
      </w:r>
      <w:r w:rsidRPr="00D65CAC">
        <w:t>glimepiride (or insulin glargine if glimepiride was not considered</w:t>
      </w:r>
      <w:r>
        <w:t xml:space="preserve"> </w:t>
      </w:r>
      <w:r w:rsidRPr="00D65CAC">
        <w:t>appropriate for the subject). After initiating glycaemic rescue therapy,</w:t>
      </w:r>
      <w:r>
        <w:t xml:space="preserve"> </w:t>
      </w:r>
      <w:r w:rsidRPr="00D65CAC">
        <w:t>subjects were to continue the same dose and regimen of their study</w:t>
      </w:r>
      <w:r>
        <w:t xml:space="preserve"> </w:t>
      </w:r>
      <w:r w:rsidRPr="00D65CAC">
        <w:t>medication and background metformin and sitagliptin</w:t>
      </w:r>
      <w:r w:rsidRPr="00F53C67">
        <w:t xml:space="preserve">. </w:t>
      </w:r>
      <w:r>
        <w:t xml:space="preserve">Medications prohibited while subjects were </w:t>
      </w:r>
      <w:r w:rsidRPr="003217D5">
        <w:t>rece</w:t>
      </w:r>
      <w:r>
        <w:t>i</w:t>
      </w:r>
      <w:r w:rsidRPr="003217D5">
        <w:t xml:space="preserve">ving study medication during the </w:t>
      </w:r>
      <w:r w:rsidR="00FB1E32">
        <w:t>double blind</w:t>
      </w:r>
      <w:r w:rsidRPr="003217D5">
        <w:t xml:space="preserve"> treatment </w:t>
      </w:r>
      <w:r>
        <w:t>pe</w:t>
      </w:r>
      <w:r w:rsidRPr="003217D5">
        <w:t xml:space="preserve">riods were summarised in </w:t>
      </w:r>
      <w:r w:rsidRPr="009A38DF">
        <w:t xml:space="preserve">Table </w:t>
      </w:r>
      <w:r w:rsidR="009A38DF" w:rsidRPr="009A38DF">
        <w:t>68</w:t>
      </w:r>
      <w:r>
        <w:rPr>
          <w:b/>
        </w:rPr>
        <w:t xml:space="preserve"> </w:t>
      </w:r>
      <w:r w:rsidRPr="00B934E1">
        <w:t xml:space="preserve">and guidance for specific medications which were permitted during the study is summarised </w:t>
      </w:r>
      <w:r w:rsidRPr="009A38DF">
        <w:t xml:space="preserve">in Table </w:t>
      </w:r>
      <w:r w:rsidR="009A38DF" w:rsidRPr="009A38DF">
        <w:t>69.</w:t>
      </w:r>
    </w:p>
    <w:p w:rsidR="00E04DB4" w:rsidRPr="00DE7072" w:rsidRDefault="00E04DB4" w:rsidP="00E04DB4">
      <w:pPr>
        <w:pStyle w:val="Tabletitle"/>
      </w:pPr>
      <w:bookmarkStart w:id="504" w:name="_Ref492030495"/>
      <w:bookmarkStart w:id="505" w:name="_Toc504038524"/>
      <w:r w:rsidRPr="00DE7072">
        <w:lastRenderedPageBreak/>
        <w:t xml:space="preserve">Table </w:t>
      </w:r>
      <w:r>
        <w:t>66</w:t>
      </w:r>
      <w:r w:rsidRPr="00DE7072">
        <w:t>:</w:t>
      </w:r>
      <w:r>
        <w:t xml:space="preserve"> </w:t>
      </w:r>
      <w:r w:rsidRPr="00DE7072">
        <w:t>Guidelines for management of subjects prior to placebo run-in</w:t>
      </w:r>
      <w:bookmarkEnd w:id="504"/>
      <w:bookmarkEnd w:id="505"/>
    </w:p>
    <w:p w:rsidR="00E04DB4" w:rsidRDefault="00E04DB4" w:rsidP="007A1A22">
      <w:r w:rsidRPr="00DE7072">
        <w:rPr>
          <w:noProof/>
          <w:lang w:eastAsia="en-AU"/>
        </w:rPr>
        <w:drawing>
          <wp:inline distT="0" distB="0" distL="0" distR="0" wp14:anchorId="4383B348" wp14:editId="2E81B869">
            <wp:extent cx="4629877" cy="4656524"/>
            <wp:effectExtent l="0" t="0" r="0" b="0"/>
            <wp:docPr id="346" name="Picture 346" descr="Guidelines for management of subjects prior to placebo ru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lum bright="-20000" contrast="40000"/>
                      <a:extLst>
                        <a:ext uri="{28A0092B-C50C-407E-A947-70E740481C1C}">
                          <a14:useLocalDpi xmlns:a14="http://schemas.microsoft.com/office/drawing/2010/main" val="0"/>
                        </a:ext>
                      </a:extLst>
                    </a:blip>
                    <a:srcRect/>
                    <a:stretch>
                      <a:fillRect/>
                    </a:stretch>
                  </pic:blipFill>
                  <pic:spPr bwMode="auto">
                    <a:xfrm>
                      <a:off x="0" y="0"/>
                      <a:ext cx="4631060" cy="4657713"/>
                    </a:xfrm>
                    <a:prstGeom prst="rect">
                      <a:avLst/>
                    </a:prstGeom>
                    <a:noFill/>
                    <a:ln>
                      <a:noFill/>
                    </a:ln>
                  </pic:spPr>
                </pic:pic>
              </a:graphicData>
            </a:graphic>
          </wp:inline>
        </w:drawing>
      </w:r>
    </w:p>
    <w:p w:rsidR="00E04DB4" w:rsidRPr="00DE7072" w:rsidRDefault="00E04DB4" w:rsidP="00E04DB4">
      <w:pPr>
        <w:pStyle w:val="Tabletitle"/>
      </w:pPr>
      <w:bookmarkStart w:id="506" w:name="_Ref492030496"/>
      <w:bookmarkStart w:id="507" w:name="_Ref492030497"/>
      <w:bookmarkStart w:id="508" w:name="_Toc504038525"/>
      <w:r w:rsidRPr="00DE7072">
        <w:lastRenderedPageBreak/>
        <w:t xml:space="preserve">Table </w:t>
      </w:r>
      <w:r>
        <w:t>67</w:t>
      </w:r>
      <w:r w:rsidRPr="00DE7072">
        <w:t>: Study treatments</w:t>
      </w:r>
      <w:bookmarkEnd w:id="506"/>
      <w:bookmarkEnd w:id="507"/>
      <w:bookmarkEnd w:id="508"/>
    </w:p>
    <w:p w:rsidR="00E04DB4" w:rsidRDefault="00E04DB4" w:rsidP="007A1A22">
      <w:r w:rsidRPr="00DE7072">
        <w:rPr>
          <w:noProof/>
          <w:lang w:eastAsia="en-AU"/>
        </w:rPr>
        <w:drawing>
          <wp:inline distT="0" distB="0" distL="0" distR="0" wp14:anchorId="418C5329" wp14:editId="3F5F1C85">
            <wp:extent cx="5041910" cy="4118642"/>
            <wp:effectExtent l="0" t="0" r="6350" b="0"/>
            <wp:docPr id="347" name="Picture 347" descr="Study 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lum bright="-20000" contrast="40000"/>
                      <a:extLst>
                        <a:ext uri="{28A0092B-C50C-407E-A947-70E740481C1C}">
                          <a14:useLocalDpi xmlns:a14="http://schemas.microsoft.com/office/drawing/2010/main" val="0"/>
                        </a:ext>
                      </a:extLst>
                    </a:blip>
                    <a:srcRect/>
                    <a:stretch>
                      <a:fillRect/>
                    </a:stretch>
                  </pic:blipFill>
                  <pic:spPr bwMode="auto">
                    <a:xfrm>
                      <a:off x="0" y="0"/>
                      <a:ext cx="5044481" cy="4120742"/>
                    </a:xfrm>
                    <a:prstGeom prst="rect">
                      <a:avLst/>
                    </a:prstGeom>
                    <a:noFill/>
                    <a:ln>
                      <a:noFill/>
                    </a:ln>
                  </pic:spPr>
                </pic:pic>
              </a:graphicData>
            </a:graphic>
          </wp:inline>
        </w:drawing>
      </w:r>
    </w:p>
    <w:p w:rsidR="009A38DF" w:rsidRPr="00C738A2" w:rsidRDefault="009A38DF" w:rsidP="009A38DF">
      <w:pPr>
        <w:pStyle w:val="Tabletitle"/>
      </w:pPr>
      <w:bookmarkStart w:id="509" w:name="_Ref492028093"/>
      <w:bookmarkStart w:id="510" w:name="_Ref492028220"/>
      <w:bookmarkStart w:id="511" w:name="_Toc504038448"/>
      <w:r w:rsidRPr="00C738A2">
        <w:t xml:space="preserve">Table </w:t>
      </w:r>
      <w:r>
        <w:t>68</w:t>
      </w:r>
      <w:r w:rsidRPr="00C738A2">
        <w:t>:</w:t>
      </w:r>
      <w:r>
        <w:t xml:space="preserve"> </w:t>
      </w:r>
      <w:r w:rsidRPr="00C738A2">
        <w:t xml:space="preserve">Prohibited </w:t>
      </w:r>
      <w:r w:rsidR="00840D41">
        <w:t>m</w:t>
      </w:r>
      <w:r w:rsidRPr="00C738A2">
        <w:t>edications</w:t>
      </w:r>
      <w:bookmarkEnd w:id="509"/>
      <w:bookmarkEnd w:id="510"/>
      <w:bookmarkEnd w:id="511"/>
    </w:p>
    <w:p w:rsidR="009A38DF" w:rsidRPr="00C738A2" w:rsidRDefault="009A38DF" w:rsidP="007677A2">
      <w:r w:rsidRPr="00C738A2">
        <w:t xml:space="preserve">Medications listed below were prohibited while subjects were receiving study medication during the </w:t>
      </w:r>
      <w:r w:rsidR="00FB1E32">
        <w:t>double blind</w:t>
      </w:r>
      <w:r w:rsidRPr="00C738A2">
        <w:t xml:space="preserve"> treatment period:</w:t>
      </w:r>
    </w:p>
    <w:p w:rsidR="009A38DF" w:rsidRPr="007677A2" w:rsidRDefault="009A38DF" w:rsidP="007677A2">
      <w:pPr>
        <w:pStyle w:val="Numberbullet0"/>
        <w:numPr>
          <w:ilvl w:val="0"/>
          <w:numId w:val="18"/>
        </w:numPr>
      </w:pPr>
      <w:r w:rsidRPr="007677A2">
        <w:t xml:space="preserve">Other </w:t>
      </w:r>
      <w:r w:rsidR="005A3437">
        <w:t>a</w:t>
      </w:r>
      <w:r w:rsidR="005A3437" w:rsidRPr="007677A2">
        <w:t>nti</w:t>
      </w:r>
      <w:r w:rsidR="005A3437">
        <w:t>-</w:t>
      </w:r>
      <w:r w:rsidR="005A3437" w:rsidRPr="007677A2">
        <w:t>hyperglycaemic</w:t>
      </w:r>
      <w:r w:rsidR="005A3437">
        <w:t xml:space="preserve"> medications</w:t>
      </w:r>
      <w:r w:rsidR="007677A2">
        <w:t>:</w:t>
      </w:r>
    </w:p>
    <w:p w:rsidR="009A38DF" w:rsidRPr="00E7616B" w:rsidRDefault="009A38DF" w:rsidP="00E7616B">
      <w:pPr>
        <w:pStyle w:val="Numberbullet2"/>
      </w:pPr>
      <w:r w:rsidRPr="00E7616B">
        <w:t>Insulin of any type (except for short-term use during hospitalisation and no longer required)</w:t>
      </w:r>
    </w:p>
    <w:p w:rsidR="009A38DF" w:rsidRPr="00E7616B" w:rsidRDefault="009A38DF" w:rsidP="00E7616B">
      <w:pPr>
        <w:pStyle w:val="Numberbullet2"/>
      </w:pPr>
      <w:r w:rsidRPr="00E7616B">
        <w:t xml:space="preserve">Other injectable AHAs </w:t>
      </w:r>
      <w:r w:rsidR="00424310" w:rsidRPr="00E7616B">
        <w:t>(</w:t>
      </w:r>
      <w:r w:rsidR="007677A2" w:rsidRPr="00E7616B">
        <w:t>for example</w:t>
      </w:r>
      <w:r w:rsidRPr="00E7616B">
        <w:t xml:space="preserve">, </w:t>
      </w:r>
      <w:proofErr w:type="spellStart"/>
      <w:r w:rsidRPr="00E7616B">
        <w:t>pramlintide</w:t>
      </w:r>
      <w:proofErr w:type="spellEnd"/>
      <w:r w:rsidRPr="00E7616B">
        <w:t xml:space="preserve">, </w:t>
      </w:r>
      <w:proofErr w:type="spellStart"/>
      <w:r w:rsidRPr="00E7616B">
        <w:t>exenatide</w:t>
      </w:r>
      <w:proofErr w:type="spellEnd"/>
      <w:r w:rsidRPr="00E7616B">
        <w:t xml:space="preserve">, </w:t>
      </w:r>
      <w:proofErr w:type="spellStart"/>
      <w:r w:rsidRPr="00E7616B">
        <w:t>liraglutide</w:t>
      </w:r>
      <w:proofErr w:type="spellEnd"/>
      <w:r w:rsidR="00424310" w:rsidRPr="00E7616B">
        <w:t>)</w:t>
      </w:r>
    </w:p>
    <w:p w:rsidR="009A38DF" w:rsidRPr="00E7616B" w:rsidRDefault="009A38DF" w:rsidP="00E7616B">
      <w:pPr>
        <w:pStyle w:val="Numberbullet2"/>
      </w:pPr>
      <w:r w:rsidRPr="00E7616B">
        <w:t>Pioglitazone or rosiglitazone</w:t>
      </w:r>
    </w:p>
    <w:p w:rsidR="009A38DF" w:rsidRPr="00E7616B" w:rsidRDefault="009A38DF" w:rsidP="00E7616B">
      <w:pPr>
        <w:pStyle w:val="Numberbullet2"/>
      </w:pPr>
      <w:r w:rsidRPr="00E7616B">
        <w:t>SGLT2 inhibitors (except blinded ertugliflozin)</w:t>
      </w:r>
    </w:p>
    <w:p w:rsidR="009A38DF" w:rsidRPr="00E7616B" w:rsidRDefault="009A38DF" w:rsidP="00E7616B">
      <w:pPr>
        <w:pStyle w:val="Numberbullet2"/>
      </w:pPr>
      <w:r w:rsidRPr="00E7616B">
        <w:t>SUs (except blinded glimepiride)</w:t>
      </w:r>
    </w:p>
    <w:p w:rsidR="009A38DF" w:rsidRPr="00E7616B" w:rsidRDefault="009A38DF" w:rsidP="00E7616B">
      <w:pPr>
        <w:pStyle w:val="Numberbullet2"/>
      </w:pPr>
      <w:r w:rsidRPr="00E7616B">
        <w:t>DPP4 inhibitors (except sitagliptin rescue medication)</w:t>
      </w:r>
    </w:p>
    <w:p w:rsidR="009A38DF" w:rsidRPr="00E7616B" w:rsidRDefault="009A38DF" w:rsidP="00E7616B">
      <w:pPr>
        <w:pStyle w:val="Numberbullet2"/>
      </w:pPr>
      <w:r w:rsidRPr="00E7616B">
        <w:t>Bromocriptine (</w:t>
      </w:r>
      <w:proofErr w:type="spellStart"/>
      <w:r w:rsidRPr="00E7616B">
        <w:t>Cycloset</w:t>
      </w:r>
      <w:proofErr w:type="spellEnd"/>
      <w:r w:rsidRPr="00E7616B">
        <w:t>)</w:t>
      </w:r>
    </w:p>
    <w:p w:rsidR="009A38DF" w:rsidRPr="00E7616B" w:rsidRDefault="009A38DF" w:rsidP="00E7616B">
      <w:pPr>
        <w:pStyle w:val="Numberbullet2"/>
      </w:pPr>
      <w:proofErr w:type="spellStart"/>
      <w:r w:rsidRPr="00E7616B">
        <w:t>Colesevelam</w:t>
      </w:r>
      <w:proofErr w:type="spellEnd"/>
      <w:r w:rsidRPr="00E7616B">
        <w:t xml:space="preserve"> (</w:t>
      </w:r>
      <w:proofErr w:type="spellStart"/>
      <w:r w:rsidRPr="00E7616B">
        <w:t>Welchol</w:t>
      </w:r>
      <w:proofErr w:type="spellEnd"/>
      <w:r w:rsidRPr="00E7616B">
        <w:t>)</w:t>
      </w:r>
    </w:p>
    <w:p w:rsidR="009A38DF" w:rsidRPr="00E7616B" w:rsidRDefault="009A38DF" w:rsidP="00E7616B">
      <w:pPr>
        <w:pStyle w:val="Numberbullet2"/>
      </w:pPr>
      <w:r w:rsidRPr="00E7616B">
        <w:t>Any other AHA with the exception of the protocol-approved agents</w:t>
      </w:r>
    </w:p>
    <w:p w:rsidR="009A38DF" w:rsidRPr="007677A2" w:rsidRDefault="009A38DF" w:rsidP="007677A2">
      <w:pPr>
        <w:pStyle w:val="Numberbullet0"/>
      </w:pPr>
      <w:r w:rsidRPr="007677A2">
        <w:t>Corticosteroids: Treatment for ≥14 consecutive days or repeated courses of pharmacologic doses of corticosteroid was prohibited. Note: Inhaled, nasal, and topical corticosteroids and physiological replacement doses of adrenal steroids were permitted.</w:t>
      </w:r>
    </w:p>
    <w:p w:rsidR="009A38DF" w:rsidRPr="007677A2" w:rsidRDefault="007677A2" w:rsidP="007677A2">
      <w:pPr>
        <w:pStyle w:val="Numberbullet0"/>
      </w:pPr>
      <w:r>
        <w:t xml:space="preserve">Weight </w:t>
      </w:r>
      <w:r w:rsidR="009A38DF" w:rsidRPr="007677A2">
        <w:t xml:space="preserve">loss </w:t>
      </w:r>
      <w:r w:rsidR="005A3437">
        <w:t>m</w:t>
      </w:r>
      <w:r w:rsidR="005A3437" w:rsidRPr="007677A2">
        <w:t>edications</w:t>
      </w:r>
      <w:r w:rsidR="009A38DF" w:rsidRPr="007677A2">
        <w:t>: Initiation of a weight-loss medication (</w:t>
      </w:r>
      <w:r>
        <w:t>for example</w:t>
      </w:r>
      <w:r w:rsidR="009A38DF" w:rsidRPr="007677A2">
        <w:t xml:space="preserve">, orlistat, phentermine, </w:t>
      </w:r>
      <w:proofErr w:type="spellStart"/>
      <w:r w:rsidR="009A38DF" w:rsidRPr="007677A2">
        <w:t>topiramate</w:t>
      </w:r>
      <w:proofErr w:type="spellEnd"/>
      <w:r w:rsidR="009A38DF" w:rsidRPr="007677A2">
        <w:t xml:space="preserve">, </w:t>
      </w:r>
      <w:proofErr w:type="spellStart"/>
      <w:r w:rsidR="009A38DF" w:rsidRPr="007677A2">
        <w:t>lorcaserin</w:t>
      </w:r>
      <w:proofErr w:type="spellEnd"/>
      <w:r w:rsidR="009A38DF" w:rsidRPr="007677A2">
        <w:t xml:space="preserve">) was prohibited. Note: Subjects who were on </w:t>
      </w:r>
      <w:r>
        <w:t xml:space="preserve">treatment with a weight </w:t>
      </w:r>
      <w:r w:rsidR="009A38DF" w:rsidRPr="007677A2">
        <w:t xml:space="preserve">loss medication or other medication associated with weight </w:t>
      </w:r>
      <w:r w:rsidR="009A38DF" w:rsidRPr="007677A2">
        <w:lastRenderedPageBreak/>
        <w:t>changes (</w:t>
      </w:r>
      <w:r>
        <w:t>for example</w:t>
      </w:r>
      <w:r w:rsidR="009A38DF" w:rsidRPr="007677A2">
        <w:t>, anti-psychotic agents) and who were weight-stable (</w:t>
      </w:r>
      <w:r>
        <w:t>that is</w:t>
      </w:r>
      <w:r w:rsidR="009A38DF" w:rsidRPr="007677A2">
        <w:t>, &lt;</w:t>
      </w:r>
      <w:r>
        <w:t xml:space="preserve"> </w:t>
      </w:r>
      <w:r w:rsidR="009A38DF" w:rsidRPr="007677A2">
        <w:t>5% change in body weight within 6 months of Visit 1/Screening) at Visit 1/Screening were eligible to participate in the study and permitted to continue these medications during the study.</w:t>
      </w:r>
    </w:p>
    <w:p w:rsidR="009A38DF" w:rsidRDefault="009A38DF" w:rsidP="009A38DF">
      <w:pPr>
        <w:pStyle w:val="Tabletitle"/>
      </w:pPr>
      <w:r w:rsidRPr="00C738A2">
        <w:t xml:space="preserve">Table </w:t>
      </w:r>
      <w:r>
        <w:t>69</w:t>
      </w:r>
      <w:r w:rsidRPr="00C738A2">
        <w:t>: Guidance for other medications</w:t>
      </w:r>
    </w:p>
    <w:tbl>
      <w:tblPr>
        <w:tblStyle w:val="TableTGAblue"/>
        <w:tblW w:w="0" w:type="auto"/>
        <w:tblLook w:val="04A0" w:firstRow="1" w:lastRow="0" w:firstColumn="1" w:lastColumn="0" w:noHBand="0" w:noVBand="1"/>
      </w:tblPr>
      <w:tblGrid>
        <w:gridCol w:w="9242"/>
      </w:tblGrid>
      <w:tr w:rsidR="008B04DD" w:rsidTr="008B04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8B04DD" w:rsidRDefault="008B04DD" w:rsidP="008B04DD">
            <w:r w:rsidRPr="00C738A2">
              <w:t>Guidance for other medications</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Default="008B04DD" w:rsidP="008B04DD">
            <w:r w:rsidRPr="00C738A2">
              <w:t>The investigator or subject’s physician/health care provider was permitted to make adjustments in the subject’s non-AHA therapies throughout the trial if clinically warranted. Guidance for specific medications which were permitted during the study is provided below.</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Pr="008B04DD" w:rsidRDefault="008B04DD" w:rsidP="008B04DD">
            <w:pPr>
              <w:pStyle w:val="Numberbullet0"/>
              <w:numPr>
                <w:ilvl w:val="0"/>
                <w:numId w:val="25"/>
              </w:numPr>
            </w:pPr>
            <w:r w:rsidRPr="008B04DD">
              <w:t>Blood Pressure and Lipid-altering Medications: Concurrent blood pressure and lipid-lowering medications were permitted. Subjects were to be on stable doses of these medications for at least 4 weeks before Visit 4/Day 1. Subjects whose blood pressure or lipid-lowering medications were not stable at Visit 1/Screening were scheduled appropriately to ensure these medications were stable for at least 4 weeks prior to Visit 4/Day 1.</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Pr="008B04DD" w:rsidRDefault="008B04DD" w:rsidP="008B04DD">
            <w:pPr>
              <w:pStyle w:val="Numberbullet0"/>
            </w:pPr>
            <w:r w:rsidRPr="007677A2">
              <w:t>Hormonal Replacement Therapy and Birth Control Medications: Hormone replacement therapy and birth control medications were permitted, but subjects were to be on stable regimens, and were expected to remain on their stable regimen while receiving study medication during the double blind treatment period and for 14 days after the last dose of study medication.</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Pr="008B04DD" w:rsidRDefault="008B04DD" w:rsidP="008B04DD">
            <w:pPr>
              <w:pStyle w:val="Numberbullet0"/>
            </w:pPr>
            <w:r w:rsidRPr="007677A2">
              <w:t>Thyroid Hormone Replacement Therapy: Thyroid replacement medication (for example, thyroxine) was permitted, but subjects were to be on a stable dose for at least 6 weeks prior to Visit 1/Screening. Subjects who met the thyroid stimulating hormone (TSH) exclusion criterion specified (in Table 9-3) could have been re-screened after being on a stable thyroid replacement regimen for at least 6 weeks.</w:t>
            </w:r>
          </w:p>
        </w:tc>
      </w:tr>
      <w:tr w:rsidR="008B04DD" w:rsidTr="008B04DD">
        <w:tc>
          <w:tcPr>
            <w:cnfStyle w:val="001000000000" w:firstRow="0" w:lastRow="0" w:firstColumn="1" w:lastColumn="0" w:oddVBand="0" w:evenVBand="0" w:oddHBand="0" w:evenHBand="0" w:firstRowFirstColumn="0" w:firstRowLastColumn="0" w:lastRowFirstColumn="0" w:lastRowLastColumn="0"/>
            <w:tcW w:w="9242" w:type="dxa"/>
          </w:tcPr>
          <w:p w:rsidR="008B04DD" w:rsidRPr="008B04DD" w:rsidRDefault="008B04DD" w:rsidP="008B04DD">
            <w:pPr>
              <w:pStyle w:val="Numberbullet0"/>
            </w:pPr>
            <w:r w:rsidRPr="007677A2">
              <w:t>Supplements and/or Traditional Medicines: The use of herbal supplements and other natural products was discouraged. Subjects who did not discontinue the use of such supplements prior to Visit 3/Week -2 or combined Visit 2/3 were to be instructed not to change the use or dose of the supplement during the trial. Subjects were to have been instructed not to initiate new supplements during the trial.</w:t>
            </w:r>
          </w:p>
        </w:tc>
      </w:tr>
    </w:tbl>
    <w:p w:rsidR="002E5CF1" w:rsidRDefault="002E5CF1" w:rsidP="009A38DF">
      <w:pPr>
        <w:pStyle w:val="Heading5"/>
      </w:pPr>
      <w:r>
        <w:t>Efficacy variables and outcomes</w:t>
      </w:r>
    </w:p>
    <w:p w:rsidR="007677A2" w:rsidRDefault="002E5CF1" w:rsidP="002666AC">
      <w:r w:rsidRPr="00544BBD">
        <w:t xml:space="preserve">Glycaemic efficacy endpoints included changes from baseline in </w:t>
      </w:r>
      <w:r>
        <w:t>HbA1c</w:t>
      </w:r>
      <w:r w:rsidRPr="00544BBD">
        <w:t xml:space="preserve"> and FPG. Other key endpoints were change from baseline in body weight, SBP and DBP, proportion of subjects with </w:t>
      </w:r>
      <w:r>
        <w:t>HbA1c</w:t>
      </w:r>
      <w:r w:rsidRPr="00544BBD">
        <w:t xml:space="preserve"> &lt;7%</w:t>
      </w:r>
      <w:r>
        <w:t xml:space="preserve"> and HOMA-%beta</w:t>
      </w:r>
      <w:r w:rsidRPr="00544BBD">
        <w:t>. The effect of ertugliflozin on quality of life was assessed using the EQ-5D 3-Level Version (EQ-5D-3L) Score</w:t>
      </w:r>
      <w:r w:rsidR="005A3437">
        <w:t>.</w:t>
      </w:r>
      <w:r w:rsidRPr="00544BBD">
        <w:rPr>
          <w:rStyle w:val="FootnoteReference"/>
          <w:rFonts w:asciiTheme="minorHAnsi" w:eastAsiaTheme="minorHAnsi" w:hAnsiTheme="minorHAnsi"/>
        </w:rPr>
        <w:footnoteReference w:id="32"/>
      </w:r>
      <w:r w:rsidRPr="00544BBD">
        <w:t xml:space="preserve"> The proportion of subjects who required glycaemic rescue therapy and time to initiation of rescue were also assessed.</w:t>
      </w:r>
      <w:r>
        <w:t xml:space="preserve"> The primary, key secondary and other efficacy endpoints are summarised </w:t>
      </w:r>
      <w:r w:rsidRPr="009A38DF">
        <w:t>in Table</w:t>
      </w:r>
      <w:r w:rsidR="009A38DF" w:rsidRPr="009A38DF">
        <w:t xml:space="preserve"> 70</w:t>
      </w:r>
      <w:r w:rsidRPr="009A38DF">
        <w:t>.</w:t>
      </w:r>
      <w:bookmarkEnd w:id="386"/>
      <w:bookmarkEnd w:id="387"/>
      <w:bookmarkEnd w:id="388"/>
      <w:bookmarkEnd w:id="389"/>
      <w:bookmarkEnd w:id="390"/>
      <w:bookmarkEnd w:id="391"/>
      <w:bookmarkEnd w:id="392"/>
      <w:bookmarkEnd w:id="393"/>
      <w:bookmarkEnd w:id="394"/>
      <w:bookmarkEnd w:id="395"/>
    </w:p>
    <w:p w:rsidR="007677A2" w:rsidRPr="007A1A22" w:rsidRDefault="007677A2" w:rsidP="003A20A2">
      <w:pPr>
        <w:pStyle w:val="Heading3"/>
        <w:numPr>
          <w:ilvl w:val="0"/>
          <w:numId w:val="0"/>
        </w:numPr>
        <w:ind w:left="113"/>
      </w:pPr>
      <w:bookmarkStart w:id="512" w:name="_Toc4489211"/>
      <w:r w:rsidRPr="007A1A22">
        <w:t>The presentation of this clinical evaluation is continued in Attachment 2 PART 2</w:t>
      </w:r>
      <w:bookmarkEnd w:id="512"/>
    </w:p>
    <w:p w:rsidR="003D1E62" w:rsidRPr="001D043B" w:rsidRDefault="008E7846" w:rsidP="002666AC">
      <w:pPr>
        <w:sectPr w:rsidR="003D1E62" w:rsidRPr="001D043B" w:rsidSect="008D770F">
          <w:headerReference w:type="even" r:id="rId123"/>
          <w:headerReference w:type="default" r:id="rId124"/>
          <w:headerReference w:type="first" r:id="rId125"/>
          <w:footerReference w:type="first" r:id="rId126"/>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2E5CF1">
        <w:trPr>
          <w:trHeight w:hRule="exact" w:val="564"/>
        </w:trPr>
        <w:tc>
          <w:tcPr>
            <w:tcW w:w="9175" w:type="dxa"/>
          </w:tcPr>
          <w:p w:rsidR="00B3567E" w:rsidRPr="00487162" w:rsidRDefault="00B3567E" w:rsidP="002E5CF1">
            <w:pPr>
              <w:pStyle w:val="TGASignoff"/>
            </w:pPr>
            <w:r w:rsidRPr="00487162">
              <w:lastRenderedPageBreak/>
              <w:t>Therapeutic Goods Administration</w:t>
            </w:r>
          </w:p>
        </w:tc>
      </w:tr>
      <w:tr w:rsidR="00B3567E" w:rsidRPr="00487162" w:rsidTr="002E5CF1">
        <w:trPr>
          <w:trHeight w:val="1221"/>
        </w:trPr>
        <w:tc>
          <w:tcPr>
            <w:tcW w:w="9175" w:type="dxa"/>
            <w:tcMar>
              <w:top w:w="28" w:type="dxa"/>
            </w:tcMar>
          </w:tcPr>
          <w:p w:rsidR="00B3567E" w:rsidRPr="00487162" w:rsidRDefault="00B3567E" w:rsidP="002E5CF1">
            <w:pPr>
              <w:pStyle w:val="Address"/>
            </w:pPr>
            <w:r w:rsidRPr="00487162">
              <w:t>PO Box 100 Woden ACT 2606 Australia</w:t>
            </w:r>
          </w:p>
          <w:p w:rsidR="00B3567E" w:rsidRPr="00487162" w:rsidRDefault="00B3567E" w:rsidP="002E5CF1">
            <w:pPr>
              <w:pStyle w:val="Address"/>
            </w:pPr>
            <w:r w:rsidRPr="00487162">
              <w:t xml:space="preserve">Email: </w:t>
            </w:r>
            <w:hyperlink r:id="rId127" w:history="1">
              <w:r w:rsidRPr="008D770F">
                <w:rPr>
                  <w:rStyle w:val="Hyperlink"/>
                </w:rPr>
                <w:t>info@tga.gov.au</w:t>
              </w:r>
            </w:hyperlink>
            <w:r w:rsidR="007C5FC9">
              <w:t xml:space="preserve"> </w:t>
            </w:r>
            <w:r w:rsidRPr="00487162">
              <w:t>Phone: 1800 020 653</w:t>
            </w:r>
            <w:r w:rsidR="007C5FC9">
              <w:t xml:space="preserve"> </w:t>
            </w:r>
            <w:r w:rsidRPr="00487162">
              <w:t>Fax: 02 6232 8605</w:t>
            </w:r>
          </w:p>
          <w:p w:rsidR="00B3567E" w:rsidRPr="008D770F" w:rsidRDefault="001D5121" w:rsidP="002E5CF1">
            <w:pPr>
              <w:pStyle w:val="Address"/>
              <w:spacing w:line="260" w:lineRule="atLeast"/>
              <w:rPr>
                <w:b/>
                <w:color w:val="0000FF"/>
                <w:u w:val="single"/>
              </w:rPr>
            </w:pPr>
            <w:hyperlink r:id="rId128"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29"/>
      <w:headerReference w:type="default" r:id="rId130"/>
      <w:footerReference w:type="default" r:id="rId131"/>
      <w:headerReference w:type="first" r:id="rId132"/>
      <w:footerReference w:type="first" r:id="rId133"/>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5121" w:rsidRDefault="001D5121" w:rsidP="00C40A36">
      <w:pPr>
        <w:spacing w:after="0"/>
      </w:pPr>
      <w:r>
        <w:separator/>
      </w:r>
    </w:p>
  </w:endnote>
  <w:endnote w:type="continuationSeparator" w:id="0">
    <w:p w:rsidR="001D5121" w:rsidRDefault="001D5121"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NewRoman">
    <w:altName w:val="MS Mincho"/>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rial-BoldItalicMT">
    <w:panose1 w:val="00000000000000000000"/>
    <w:charset w:val="00"/>
    <w:family w:val="swiss"/>
    <w:notTrueType/>
    <w:pitch w:val="default"/>
    <w:sig w:usb0="00000003" w:usb1="00000000" w:usb2="00000000" w:usb3="00000000" w:csb0="00000001" w:csb1="00000000"/>
  </w:font>
  <w:font w:name="TimesNewRomanPSMT">
    <w:altName w:val="MS Mincho"/>
    <w:panose1 w:val="00000000000000000000"/>
    <w:charset w:val="00"/>
    <w:family w:val="roman"/>
    <w:notTrueType/>
    <w:pitch w:val="default"/>
    <w:sig w:usb0="00000003" w:usb1="08070000" w:usb2="00000010" w:usb3="00000000" w:csb0="00020001"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NimbusRomNo9L-Regu">
    <w:panose1 w:val="00000000000000000000"/>
    <w:charset w:val="00"/>
    <w:family w:val="auto"/>
    <w:notTrueType/>
    <w:pitch w:val="default"/>
    <w:sig w:usb0="00000003" w:usb1="00000000" w:usb2="00000000" w:usb3="00000000" w:csb0="00000001" w:csb1="00000000"/>
  </w:font>
  <w:font w:name="NimbusRomNo9L-ReguItal">
    <w:panose1 w:val="00000000000000000000"/>
    <w:charset w:val="00"/>
    <w:family w:val="auto"/>
    <w:notTrueType/>
    <w:pitch w:val="default"/>
    <w:sig w:usb0="00000003" w:usb1="00000000" w:usb2="00000000" w:usb3="00000000" w:csb0="00000001" w:csb1="00000000"/>
  </w:font>
  <w:font w:name="SymbolMT">
    <w:altName w:val="MS Mincho"/>
    <w:panose1 w:val="00000000000000000000"/>
    <w:charset w:val="80"/>
    <w:family w:val="auto"/>
    <w:notTrueType/>
    <w:pitch w:val="default"/>
    <w:sig w:usb0="00000001" w:usb1="080F0000" w:usb2="00000010" w:usb3="00000000" w:csb0="001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1D5121" w:rsidRPr="00487162" w:rsidTr="000778F7">
      <w:trPr>
        <w:trHeight w:val="269"/>
      </w:trPr>
      <w:tc>
        <w:tcPr>
          <w:tcW w:w="7655" w:type="dxa"/>
          <w:tcMar>
            <w:top w:w="142" w:type="dxa"/>
            <w:bottom w:w="0" w:type="dxa"/>
          </w:tcMar>
        </w:tcPr>
        <w:p w:rsidR="001D5121" w:rsidRPr="00487162" w:rsidRDefault="001D5121" w:rsidP="002B4317">
          <w:pPr>
            <w:pStyle w:val="Footer"/>
          </w:pPr>
          <w:r>
            <w:t>Submission</w:t>
          </w:r>
          <w:r w:rsidRPr="00487162">
            <w:t xml:space="preserve"> PM-20</w:t>
          </w:r>
          <w:r>
            <w:t>17</w:t>
          </w:r>
          <w:r w:rsidRPr="00487162">
            <w:t>-</w:t>
          </w:r>
          <w:r>
            <w:t>001328</w:t>
          </w:r>
          <w:r w:rsidRPr="00487162">
            <w:t>-</w:t>
          </w:r>
          <w:r>
            <w:t>1</w:t>
          </w:r>
          <w:r w:rsidRPr="00487162">
            <w:t>-</w:t>
          </w:r>
          <w:r>
            <w:t>5 Extract from the Clinical Evaluation Report for Steglatro Attachment 2 PART 1 FINAL 31 January 2019</w:t>
          </w:r>
        </w:p>
      </w:tc>
      <w:tc>
        <w:tcPr>
          <w:tcW w:w="1206" w:type="dxa"/>
          <w:tcMar>
            <w:top w:w="142" w:type="dxa"/>
            <w:bottom w:w="0" w:type="dxa"/>
          </w:tcMar>
        </w:tcPr>
        <w:p w:rsidR="001D5121" w:rsidRPr="00981D66" w:rsidRDefault="001D5121"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3A20A2">
            <w:rPr>
              <w:noProof/>
            </w:rPr>
            <w:t>2</w:t>
          </w:r>
          <w:r w:rsidRPr="00981D66">
            <w:fldChar w:fldCharType="end"/>
          </w:r>
          <w:r w:rsidRPr="00981D66">
            <w:t xml:space="preserve"> of </w:t>
          </w:r>
          <w:fldSimple w:instr=" NUMPAGES  \* Arabic  \* MERGEFORMAT ">
            <w:r w:rsidR="003A20A2">
              <w:rPr>
                <w:noProof/>
              </w:rPr>
              <w:t>121</w:t>
            </w:r>
          </w:fldSimple>
        </w:p>
      </w:tc>
    </w:tr>
  </w:tbl>
  <w:p w:rsidR="001D5121" w:rsidRDefault="001D5121"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1D5121" w:rsidRPr="00487162" w:rsidTr="00E45619">
      <w:trPr>
        <w:trHeight w:val="269"/>
      </w:trPr>
      <w:tc>
        <w:tcPr>
          <w:tcW w:w="4519" w:type="dxa"/>
          <w:tcBorders>
            <w:top w:val="single" w:sz="4" w:space="0" w:color="auto"/>
          </w:tcBorders>
          <w:tcMar>
            <w:top w:w="142" w:type="dxa"/>
            <w:bottom w:w="0" w:type="dxa"/>
          </w:tcMar>
        </w:tcPr>
        <w:p w:rsidR="001D5121" w:rsidRPr="00487162" w:rsidRDefault="001D5121" w:rsidP="00FE1DEE">
          <w:pPr>
            <w:pStyle w:val="Footer"/>
          </w:pPr>
          <w:r w:rsidRPr="00487162">
            <w:t>Document title, Part #, Section # - Section title</w:t>
          </w:r>
        </w:p>
        <w:p w:rsidR="001D5121" w:rsidRPr="00487162" w:rsidRDefault="001D5121" w:rsidP="00FE1DEE">
          <w:pPr>
            <w:pStyle w:val="Footer"/>
          </w:pPr>
          <w:r w:rsidRPr="00487162">
            <w:t>V1.0 October 2010</w:t>
          </w:r>
        </w:p>
      </w:tc>
      <w:tc>
        <w:tcPr>
          <w:tcW w:w="4342" w:type="dxa"/>
          <w:tcBorders>
            <w:top w:val="single" w:sz="4" w:space="0" w:color="auto"/>
          </w:tcBorders>
          <w:tcMar>
            <w:top w:w="142" w:type="dxa"/>
            <w:bottom w:w="0" w:type="dxa"/>
          </w:tcMar>
        </w:tcPr>
        <w:p w:rsidR="001D5121" w:rsidRPr="00487162" w:rsidRDefault="001D5121"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237</w:t>
            </w:r>
          </w:fldSimple>
        </w:p>
      </w:tc>
    </w:tr>
  </w:tbl>
  <w:p w:rsidR="001D5121" w:rsidRDefault="001D512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5121" w:rsidRDefault="001D5121"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1D5121" w:rsidTr="0010601F">
      <w:trPr>
        <w:trHeight w:val="108"/>
      </w:trPr>
      <w:tc>
        <w:tcPr>
          <w:tcW w:w="8875" w:type="dxa"/>
          <w:gridSpan w:val="2"/>
          <w:tcBorders>
            <w:bottom w:val="single" w:sz="4" w:space="0" w:color="auto"/>
          </w:tcBorders>
          <w:tcMar>
            <w:right w:w="284" w:type="dxa"/>
          </w:tcMar>
        </w:tcPr>
        <w:p w:rsidR="001D5121" w:rsidRDefault="001D5121" w:rsidP="006E08B3">
          <w:pPr>
            <w:pStyle w:val="Heading3"/>
          </w:pPr>
          <w:r>
            <w:t>Copyright</w:t>
          </w:r>
        </w:p>
        <w:p w:rsidR="001D5121" w:rsidRDefault="001D5121" w:rsidP="006E08B3">
          <w:r>
            <w:rPr>
              <w:rFonts w:cs="Arial"/>
            </w:rPr>
            <w:t>©</w:t>
          </w:r>
          <w:r>
            <w:t xml:space="preserve"> Commonwealth of Australia [add year]</w:t>
          </w:r>
        </w:p>
        <w:p w:rsidR="001D5121" w:rsidRDefault="001D5121" w:rsidP="006E08B3"/>
        <w:p w:rsidR="001D5121" w:rsidRDefault="001D5121"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1D5121" w:rsidRDefault="001D5121" w:rsidP="006E08B3"/>
        <w:p w:rsidR="001D5121" w:rsidRDefault="001D5121" w:rsidP="006E08B3">
          <w:pPr>
            <w:pStyle w:val="Heading3"/>
          </w:pPr>
          <w:r>
            <w:t>Confidentiality</w:t>
          </w:r>
        </w:p>
        <w:p w:rsidR="001D5121" w:rsidRDefault="001D5121"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1D5121" w:rsidRDefault="001D5121" w:rsidP="006E08B3"/>
        <w:p w:rsidR="001D5121" w:rsidRDefault="001D5121" w:rsidP="006E08B3">
          <w:r>
            <w:t>For submission made by individuals, all personal details, other than your name, will be removed from your submission before it is published on the TGA’s Internet site.</w:t>
          </w:r>
        </w:p>
        <w:p w:rsidR="001D5121" w:rsidRDefault="001D5121" w:rsidP="006E08B3"/>
        <w:p w:rsidR="001D5121" w:rsidRDefault="001D5121" w:rsidP="006E08B3">
          <w:r>
            <w:t>In addition, a list of parties making submissions will be published. If you do not wish to be identified with your submission you must specifically request this in the space provided ib the submission coversheet.</w:t>
          </w:r>
        </w:p>
      </w:tc>
    </w:tr>
    <w:tr w:rsidR="001D5121" w:rsidTr="0010601F">
      <w:trPr>
        <w:trHeight w:val="417"/>
      </w:trPr>
      <w:tc>
        <w:tcPr>
          <w:tcW w:w="4519" w:type="dxa"/>
          <w:tcBorders>
            <w:top w:val="single" w:sz="4" w:space="0" w:color="auto"/>
          </w:tcBorders>
          <w:tcMar>
            <w:top w:w="142" w:type="dxa"/>
            <w:bottom w:w="0" w:type="dxa"/>
          </w:tcMar>
        </w:tcPr>
        <w:p w:rsidR="001D5121" w:rsidRDefault="001D5121" w:rsidP="006E08B3">
          <w:r>
            <w:t>Document title, Part #, Section # - Section title</w:t>
          </w:r>
        </w:p>
        <w:p w:rsidR="001D5121" w:rsidRDefault="001D5121" w:rsidP="006E08B3">
          <w:r>
            <w:t>V1.0 October 2010</w:t>
          </w:r>
        </w:p>
      </w:tc>
      <w:tc>
        <w:tcPr>
          <w:tcW w:w="4356" w:type="dxa"/>
          <w:tcBorders>
            <w:top w:val="single" w:sz="4" w:space="0" w:color="auto"/>
          </w:tcBorders>
          <w:tcMar>
            <w:top w:w="142" w:type="dxa"/>
            <w:bottom w:w="0" w:type="dxa"/>
          </w:tcMar>
        </w:tcPr>
        <w:p w:rsidR="001D5121" w:rsidRDefault="001D5121"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237</w:t>
            </w:r>
          </w:fldSimple>
          <w:r>
            <w:t xml:space="preserve"> </w:t>
          </w:r>
        </w:p>
      </w:tc>
    </w:tr>
  </w:tbl>
  <w:p w:rsidR="001D5121" w:rsidRDefault="001D512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5121" w:rsidRDefault="001D5121" w:rsidP="00C40A36">
      <w:pPr>
        <w:spacing w:after="0"/>
      </w:pPr>
      <w:r>
        <w:separator/>
      </w:r>
    </w:p>
  </w:footnote>
  <w:footnote w:type="continuationSeparator" w:id="0">
    <w:p w:rsidR="001D5121" w:rsidRDefault="001D5121" w:rsidP="00C40A36">
      <w:pPr>
        <w:spacing w:after="0"/>
      </w:pPr>
      <w:r>
        <w:continuationSeparator/>
      </w:r>
    </w:p>
  </w:footnote>
  <w:footnote w:id="1">
    <w:p w:rsidR="001D5121" w:rsidRPr="000C6FC8" w:rsidRDefault="001D5121" w:rsidP="002E5CF1">
      <w:pPr>
        <w:autoSpaceDE w:val="0"/>
        <w:autoSpaceDN w:val="0"/>
        <w:adjustRightInd w:val="0"/>
        <w:spacing w:before="0" w:after="0" w:line="240" w:lineRule="auto"/>
        <w:rPr>
          <w:rStyle w:val="FootnoteTextChar"/>
          <w:sz w:val="18"/>
          <w:szCs w:val="18"/>
        </w:rPr>
      </w:pPr>
      <w:r w:rsidRPr="00532553">
        <w:rPr>
          <w:rStyle w:val="FootnoteReference"/>
          <w:sz w:val="18"/>
          <w:szCs w:val="18"/>
        </w:rPr>
        <w:footnoteRef/>
      </w:r>
      <w:r w:rsidRPr="00532553">
        <w:rPr>
          <w:sz w:val="18"/>
          <w:szCs w:val="18"/>
        </w:rPr>
        <w:t xml:space="preserve"> </w:t>
      </w:r>
      <w:r w:rsidRPr="000C6FC8">
        <w:rPr>
          <w:rStyle w:val="FootnoteTextChar"/>
          <w:sz w:val="18"/>
          <w:szCs w:val="18"/>
        </w:rPr>
        <w:t xml:space="preserve">IDF Diabetes Atlas Group. Update of mortality attributable to diabetes for the IDF Diabetes Atlas: Estimates for the year 2013. </w:t>
      </w:r>
      <w:proofErr w:type="gramStart"/>
      <w:r w:rsidRPr="000C6FC8">
        <w:rPr>
          <w:rStyle w:val="FootnoteTextChar"/>
          <w:i/>
          <w:sz w:val="18"/>
          <w:szCs w:val="18"/>
        </w:rPr>
        <w:t xml:space="preserve">Diabetes Res </w:t>
      </w:r>
      <w:proofErr w:type="spellStart"/>
      <w:r w:rsidRPr="000C6FC8">
        <w:rPr>
          <w:rStyle w:val="FootnoteTextChar"/>
          <w:i/>
          <w:sz w:val="18"/>
          <w:szCs w:val="18"/>
        </w:rPr>
        <w:t>Clin</w:t>
      </w:r>
      <w:proofErr w:type="spellEnd"/>
      <w:r w:rsidRPr="000C6FC8">
        <w:rPr>
          <w:rStyle w:val="FootnoteTextChar"/>
          <w:i/>
          <w:sz w:val="18"/>
          <w:szCs w:val="18"/>
        </w:rPr>
        <w:t xml:space="preserve"> </w:t>
      </w:r>
      <w:proofErr w:type="spellStart"/>
      <w:r w:rsidRPr="000C6FC8">
        <w:rPr>
          <w:rStyle w:val="FootnoteTextChar"/>
          <w:i/>
          <w:sz w:val="18"/>
          <w:szCs w:val="18"/>
        </w:rPr>
        <w:t>Pract</w:t>
      </w:r>
      <w:proofErr w:type="spellEnd"/>
      <w:r w:rsidRPr="000C6FC8">
        <w:rPr>
          <w:rStyle w:val="FootnoteTextChar"/>
          <w:sz w:val="18"/>
          <w:szCs w:val="18"/>
        </w:rPr>
        <w:t>.</w:t>
      </w:r>
      <w:proofErr w:type="gramEnd"/>
      <w:r w:rsidRPr="000C6FC8">
        <w:rPr>
          <w:rStyle w:val="FootnoteTextChar"/>
          <w:sz w:val="18"/>
          <w:szCs w:val="18"/>
        </w:rPr>
        <w:t xml:space="preserve"> </w:t>
      </w:r>
      <w:proofErr w:type="gramStart"/>
      <w:r w:rsidRPr="000C6FC8">
        <w:rPr>
          <w:rStyle w:val="FootnoteTextChar"/>
          <w:sz w:val="18"/>
          <w:szCs w:val="18"/>
        </w:rPr>
        <w:t>2015; 109:461-465.</w:t>
      </w:r>
      <w:proofErr w:type="gramEnd"/>
    </w:p>
  </w:footnote>
  <w:footnote w:id="2">
    <w:p w:rsidR="001D5121" w:rsidRPr="00532553" w:rsidRDefault="001D5121" w:rsidP="002E5CF1">
      <w:pPr>
        <w:pStyle w:val="FootnoteText"/>
        <w:rPr>
          <w:sz w:val="18"/>
          <w:szCs w:val="18"/>
        </w:rPr>
      </w:pPr>
      <w:r w:rsidRPr="00532553">
        <w:rPr>
          <w:rStyle w:val="FootnoteReference"/>
          <w:sz w:val="18"/>
          <w:szCs w:val="18"/>
        </w:rPr>
        <w:footnoteRef/>
      </w:r>
      <w:r w:rsidRPr="00532553">
        <w:rPr>
          <w:sz w:val="18"/>
          <w:szCs w:val="18"/>
        </w:rPr>
        <w:t xml:space="preserve"> www.diabetesaustralia.com.au</w:t>
      </w:r>
    </w:p>
  </w:footnote>
  <w:footnote w:id="3">
    <w:p w:rsidR="001D5121" w:rsidRPr="0001597F" w:rsidRDefault="001D5121" w:rsidP="002E5CF1">
      <w:pPr>
        <w:autoSpaceDE w:val="0"/>
        <w:autoSpaceDN w:val="0"/>
        <w:adjustRightInd w:val="0"/>
        <w:spacing w:before="0" w:after="0" w:line="240" w:lineRule="auto"/>
        <w:rPr>
          <w:sz w:val="18"/>
          <w:szCs w:val="18"/>
        </w:rPr>
      </w:pPr>
      <w:r w:rsidRPr="0001597F">
        <w:rPr>
          <w:rStyle w:val="FootnoteReference"/>
          <w:rFonts w:asciiTheme="minorHAnsi" w:hAnsiTheme="minorHAnsi"/>
          <w:sz w:val="18"/>
          <w:szCs w:val="18"/>
        </w:rPr>
        <w:footnoteRef/>
      </w:r>
      <w:r w:rsidRPr="0001597F">
        <w:rPr>
          <w:rFonts w:asciiTheme="minorHAnsi" w:hAnsiTheme="minorHAnsi"/>
          <w:sz w:val="18"/>
          <w:szCs w:val="18"/>
        </w:rPr>
        <w:t xml:space="preserve"> </w:t>
      </w:r>
      <w:r w:rsidRPr="0001597F">
        <w:rPr>
          <w:rFonts w:asciiTheme="minorHAnsi" w:eastAsiaTheme="minorHAnsi" w:hAnsiTheme="minorHAnsi"/>
          <w:sz w:val="18"/>
          <w:szCs w:val="18"/>
        </w:rPr>
        <w:t xml:space="preserve">At entry into Phase B (following completion of Week 26 procedures), non-rescued subjects in the placebo treatment group received blinded metformin in addition to placebo for ertugliflozin while non-rescued subjects in the ertugliflozin groups received placebo for metformin in addition to ertugliflozin 5 mg or ertugliflozin 15 mg. Subjects rescued with metformin in Phase A entered into Phase B and continued to receive </w:t>
      </w:r>
      <w:r>
        <w:rPr>
          <w:rFonts w:asciiTheme="minorHAnsi" w:eastAsiaTheme="minorHAnsi" w:hAnsiTheme="minorHAnsi"/>
          <w:sz w:val="18"/>
          <w:szCs w:val="18"/>
        </w:rPr>
        <w:t>open label</w:t>
      </w:r>
      <w:r w:rsidRPr="0001597F">
        <w:rPr>
          <w:rFonts w:asciiTheme="minorHAnsi" w:eastAsiaTheme="minorHAnsi" w:hAnsiTheme="minorHAnsi"/>
          <w:sz w:val="18"/>
          <w:szCs w:val="18"/>
        </w:rPr>
        <w:t xml:space="preserve"> metformin in addition to their original randomised treatment.</w:t>
      </w:r>
    </w:p>
  </w:footnote>
  <w:footnote w:id="4">
    <w:p w:rsidR="001D5121" w:rsidRPr="00321B0C" w:rsidRDefault="001D5121" w:rsidP="00321B0C">
      <w:pPr>
        <w:pStyle w:val="FootnoteText"/>
        <w:rPr>
          <w:sz w:val="18"/>
          <w:szCs w:val="18"/>
        </w:rPr>
      </w:pPr>
      <w:r w:rsidRPr="00321B0C">
        <w:rPr>
          <w:rStyle w:val="FootnoteReference"/>
          <w:sz w:val="18"/>
          <w:szCs w:val="18"/>
        </w:rPr>
        <w:footnoteRef/>
      </w:r>
      <w:r w:rsidRPr="00321B0C">
        <w:rPr>
          <w:sz w:val="18"/>
          <w:szCs w:val="18"/>
        </w:rPr>
        <w:t xml:space="preserve"> First, the protocol utilised progressively stricter glycaemic rescue criteria beginning on Day 1. Additionally, subjects were counselled on diet and exercise in this study as a means of maintaining glycaemic control. Subjects were also counselled on signs and symptoms of hyperglycaemia and instructed to contact the clinical centre for evaluation should these findings occur.</w:t>
      </w:r>
    </w:p>
  </w:footnote>
  <w:footnote w:id="5">
    <w:p w:rsidR="001D5121" w:rsidRPr="00FB1E32" w:rsidRDefault="001D5121" w:rsidP="002E5CF1">
      <w:pPr>
        <w:autoSpaceDE w:val="0"/>
        <w:autoSpaceDN w:val="0"/>
        <w:adjustRightInd w:val="0"/>
        <w:spacing w:before="0" w:after="0" w:line="240" w:lineRule="auto"/>
        <w:rPr>
          <w:rStyle w:val="FootnoteTextChar"/>
          <w:sz w:val="18"/>
          <w:szCs w:val="18"/>
        </w:rPr>
      </w:pPr>
      <w:r w:rsidRPr="00FB1E32">
        <w:rPr>
          <w:rStyle w:val="FootnoteReference"/>
          <w:rFonts w:asciiTheme="minorHAnsi" w:hAnsiTheme="minorHAnsi"/>
          <w:sz w:val="18"/>
          <w:szCs w:val="18"/>
        </w:rPr>
        <w:footnoteRef/>
      </w:r>
      <w:r w:rsidRPr="00FB1E32">
        <w:rPr>
          <w:rFonts w:asciiTheme="minorHAnsi" w:hAnsiTheme="minorHAnsi"/>
          <w:sz w:val="18"/>
          <w:szCs w:val="18"/>
        </w:rPr>
        <w:t xml:space="preserve"> </w:t>
      </w:r>
      <w:r w:rsidRPr="00FB1E32">
        <w:rPr>
          <w:rStyle w:val="FootnoteTextChar"/>
          <w:sz w:val="18"/>
          <w:szCs w:val="18"/>
        </w:rPr>
        <w:t>Was postmenopausal defined as at least 12 months with no menses in women ≥ 45 years of age, or had a hysterectomy and/or bilateral oophorectomy, or had bilateral tubal ligation or occlusion at least 6 weeks prior to Screening Visit</w:t>
      </w:r>
    </w:p>
  </w:footnote>
  <w:footnote w:id="6">
    <w:p w:rsidR="001D5121" w:rsidRPr="00FB1E32" w:rsidRDefault="001D5121" w:rsidP="002E5CF1">
      <w:pPr>
        <w:autoSpaceDE w:val="0"/>
        <w:autoSpaceDN w:val="0"/>
        <w:adjustRightInd w:val="0"/>
        <w:spacing w:before="0" w:after="0" w:line="240" w:lineRule="auto"/>
        <w:rPr>
          <w:rStyle w:val="FootnoteTextChar"/>
          <w:sz w:val="18"/>
          <w:szCs w:val="18"/>
        </w:rPr>
      </w:pPr>
      <w:r w:rsidRPr="00FB1E32">
        <w:rPr>
          <w:rStyle w:val="FootnoteReference"/>
          <w:rFonts w:asciiTheme="minorHAnsi" w:hAnsiTheme="minorHAnsi"/>
          <w:sz w:val="18"/>
          <w:szCs w:val="18"/>
        </w:rPr>
        <w:footnoteRef/>
      </w:r>
      <w:r w:rsidRPr="00FB1E32">
        <w:rPr>
          <w:rFonts w:asciiTheme="minorHAnsi" w:hAnsiTheme="minorHAnsi"/>
          <w:sz w:val="18"/>
          <w:szCs w:val="18"/>
        </w:rPr>
        <w:t xml:space="preserve"> </w:t>
      </w:r>
      <w:r w:rsidRPr="00FB1E32">
        <w:rPr>
          <w:rStyle w:val="FootnoteTextChar"/>
          <w:sz w:val="18"/>
          <w:szCs w:val="18"/>
        </w:rPr>
        <w:t xml:space="preserve">Agreed to remain abstinent from heterosexual activity (if this form of birth control was accepted by local regulatory agencies and ethics review committees as the sole method of birth control), or agreed to use (or have their partner use) acceptable contraception to prevent pregnancy while the subject was receiving study medication and for 14 days after the last dose of study medication. Two methods of contraception were used to avoid pregnancy. Acceptable combinations of methods included: • Use of one of the following double-barrier methods: diaphragm with spermicide and a condom; cervical cap and a condom; or a contraceptive sponge and condom. • Use of hormonal contraception (any registered and marketed contraceptive agent that contained an oestrogen and/or a </w:t>
      </w:r>
      <w:proofErr w:type="spellStart"/>
      <w:r w:rsidRPr="00FB1E32">
        <w:rPr>
          <w:rStyle w:val="FootnoteTextChar"/>
          <w:sz w:val="18"/>
          <w:szCs w:val="18"/>
        </w:rPr>
        <w:t>progestational</w:t>
      </w:r>
      <w:proofErr w:type="spellEnd"/>
      <w:r w:rsidRPr="00FB1E32">
        <w:rPr>
          <w:rStyle w:val="FootnoteTextChar"/>
          <w:sz w:val="18"/>
          <w:szCs w:val="18"/>
        </w:rPr>
        <w:t xml:space="preserve"> agent [including oral, subcutaneous, intrauterine and intramuscular agents, and cutaneous patch]) with one of the following: diaphragm with spermicide; cervical cap; contraceptive sponge; condom; vasectomy; or intrauterine device (IUD). • Use of an IUD with one of the following: condom; diaphragm with spermicide; contraceptive sponge; vasectomy; or hormonal contraception • Vasectomy with one of the following: diaphragm with spermicide; cervical cap; contraceptive sponge; condom; IUD; or hormonal contraception</w:t>
      </w:r>
      <w:r>
        <w:rPr>
          <w:rStyle w:val="FootnoteTextChar"/>
          <w:sz w:val="18"/>
          <w:szCs w:val="18"/>
        </w:rPr>
        <w:t>.</w:t>
      </w:r>
    </w:p>
  </w:footnote>
  <w:footnote w:id="7">
    <w:p w:rsidR="001D5121" w:rsidRPr="0001597F" w:rsidRDefault="001D5121" w:rsidP="002E5CF1">
      <w:pPr>
        <w:pStyle w:val="FootnoteText"/>
        <w:rPr>
          <w:sz w:val="18"/>
          <w:szCs w:val="18"/>
        </w:rPr>
      </w:pPr>
      <w:r w:rsidRPr="00DE6973">
        <w:rPr>
          <w:rStyle w:val="FootnoteReference"/>
          <w:sz w:val="16"/>
          <w:szCs w:val="16"/>
        </w:rPr>
        <w:footnoteRef/>
      </w:r>
      <w:r w:rsidRPr="00DE6973">
        <w:rPr>
          <w:sz w:val="16"/>
          <w:szCs w:val="16"/>
        </w:rPr>
        <w:t xml:space="preserve"> </w:t>
      </w:r>
      <w:proofErr w:type="gramStart"/>
      <w:r w:rsidRPr="0001597F">
        <w:rPr>
          <w:rFonts w:cs="Calibri"/>
          <w:sz w:val="18"/>
          <w:szCs w:val="18"/>
        </w:rPr>
        <w:t>Use of the following prohibited therapeutic agents.</w:t>
      </w:r>
      <w:proofErr w:type="gramEnd"/>
      <w:r w:rsidRPr="0001597F">
        <w:rPr>
          <w:rFonts w:cs="Calibri"/>
          <w:sz w:val="18"/>
          <w:szCs w:val="18"/>
        </w:rPr>
        <w:t xml:space="preserve"> These agents were not to be used from 12 weeks prior to Screening Visit (S1) through the completion of the study: a. Insulin of any type (except for short-term use during hospitalization). b. Other injectable AHAs (eg, pramlintide, exenatide, liraglutide). c. Pioglitazone or rosiglitazone. d. Another SGLT2 inhibitor. e. Bromocriptine (Cycloset). f. Colesevelam (Welchol). g. Any other anti-hyperglycaemic therapy with the exception of the protocol-approved agents.</w:t>
      </w:r>
    </w:p>
  </w:footnote>
  <w:footnote w:id="8">
    <w:p w:rsidR="001D5121" w:rsidRPr="00FB1E32" w:rsidRDefault="001D5121" w:rsidP="00FB1E32">
      <w:pPr>
        <w:pStyle w:val="FootnoteText"/>
        <w:rPr>
          <w:sz w:val="18"/>
          <w:szCs w:val="18"/>
        </w:rPr>
      </w:pPr>
      <w:r w:rsidRPr="0001597F">
        <w:rPr>
          <w:rStyle w:val="FootnoteReference"/>
          <w:rFonts w:asciiTheme="minorHAnsi" w:hAnsiTheme="minorHAnsi"/>
          <w:sz w:val="18"/>
          <w:szCs w:val="18"/>
        </w:rPr>
        <w:footnoteRef/>
      </w:r>
      <w:r w:rsidRPr="0001597F">
        <w:t xml:space="preserve"> </w:t>
      </w:r>
      <w:r w:rsidRPr="00FB1E32">
        <w:rPr>
          <w:sz w:val="18"/>
          <w:szCs w:val="18"/>
        </w:rPr>
        <w:t>Sitting blood pressure (and pulse rate) was measured in triplicate using an automated, oscillometric blood pressure measuring device at specified time points</w:t>
      </w:r>
    </w:p>
  </w:footnote>
  <w:footnote w:id="9">
    <w:p w:rsidR="001D5121" w:rsidRPr="0001597F" w:rsidRDefault="001D5121" w:rsidP="002E5CF1">
      <w:pPr>
        <w:pStyle w:val="FootnoteText"/>
        <w:rPr>
          <w:rFonts w:asciiTheme="minorHAnsi" w:hAnsiTheme="minorHAnsi"/>
          <w:sz w:val="18"/>
          <w:szCs w:val="18"/>
        </w:rPr>
      </w:pPr>
      <w:r w:rsidRPr="0001597F">
        <w:rPr>
          <w:rStyle w:val="FootnoteReference"/>
          <w:rFonts w:asciiTheme="minorHAnsi" w:hAnsiTheme="minorHAnsi"/>
          <w:sz w:val="18"/>
          <w:szCs w:val="18"/>
        </w:rPr>
        <w:footnoteRef/>
      </w:r>
      <w:r w:rsidRPr="0001597F">
        <w:rPr>
          <w:rFonts w:asciiTheme="minorHAnsi" w:hAnsiTheme="minorHAnsi"/>
          <w:sz w:val="18"/>
          <w:szCs w:val="18"/>
        </w:rPr>
        <w:t xml:space="preserve"> </w:t>
      </w:r>
      <w:r w:rsidRPr="0001597F">
        <w:rPr>
          <w:rFonts w:asciiTheme="minorHAnsi" w:eastAsiaTheme="minorHAnsi" w:hAnsiTheme="minorHAnsi"/>
          <w:sz w:val="18"/>
          <w:szCs w:val="18"/>
        </w:rPr>
        <w:t>Body weight was measured in duplicate using a standardised, digital scale at specified time points.</w:t>
      </w:r>
    </w:p>
  </w:footnote>
  <w:footnote w:id="10">
    <w:p w:rsidR="001D5121" w:rsidRPr="00FB1E32" w:rsidRDefault="001D5121" w:rsidP="002E5CF1">
      <w:pPr>
        <w:autoSpaceDE w:val="0"/>
        <w:autoSpaceDN w:val="0"/>
        <w:adjustRightInd w:val="0"/>
        <w:spacing w:before="0" w:after="0" w:line="240" w:lineRule="auto"/>
        <w:rPr>
          <w:rStyle w:val="FootnoteTextChar"/>
          <w:sz w:val="18"/>
          <w:szCs w:val="18"/>
        </w:rPr>
      </w:pPr>
      <w:r w:rsidRPr="0001597F">
        <w:rPr>
          <w:rStyle w:val="FootnoteReference"/>
          <w:sz w:val="18"/>
          <w:szCs w:val="18"/>
        </w:rPr>
        <w:footnoteRef/>
      </w:r>
      <w:r w:rsidRPr="0001597F">
        <w:rPr>
          <w:sz w:val="18"/>
          <w:szCs w:val="18"/>
        </w:rPr>
        <w:t xml:space="preserve"> </w:t>
      </w:r>
      <w:r w:rsidRPr="00FB1E32">
        <w:rPr>
          <w:rStyle w:val="FootnoteTextChar"/>
          <w:sz w:val="18"/>
          <w:szCs w:val="18"/>
        </w:rPr>
        <w:t>In studies of monotherapy with other SGLT2 inhibitors (</w:t>
      </w:r>
      <w:proofErr w:type="spellStart"/>
      <w:r w:rsidRPr="00FB1E32">
        <w:rPr>
          <w:rStyle w:val="FootnoteTextChar"/>
          <w:sz w:val="18"/>
          <w:szCs w:val="18"/>
        </w:rPr>
        <w:t>dapagliflozin</w:t>
      </w:r>
      <w:proofErr w:type="spellEnd"/>
      <w:r w:rsidRPr="00FB1E32">
        <w:rPr>
          <w:rStyle w:val="FootnoteTextChar"/>
          <w:sz w:val="18"/>
          <w:szCs w:val="18"/>
        </w:rPr>
        <w:t xml:space="preserve"> and </w:t>
      </w:r>
      <w:proofErr w:type="spellStart"/>
      <w:r w:rsidRPr="00FB1E32">
        <w:rPr>
          <w:rStyle w:val="FootnoteTextChar"/>
          <w:sz w:val="18"/>
          <w:szCs w:val="18"/>
        </w:rPr>
        <w:t>canagliflozin</w:t>
      </w:r>
      <w:proofErr w:type="spellEnd"/>
      <w:r w:rsidRPr="00FB1E32">
        <w:rPr>
          <w:rStyle w:val="FootnoteTextChar"/>
          <w:sz w:val="18"/>
          <w:szCs w:val="18"/>
        </w:rPr>
        <w:t>) in subjects with T2DM and inadequate glycaemic control by diet and exercise alone, estimates of the standard deviation (SD) of the change from baseline in A1C after 24 or 26 weeks ranged from 0.80% to 1.05%. Therefore, a SD of 1.0% was taken as a conservative estimate for sample size calculations.</w:t>
      </w:r>
    </w:p>
  </w:footnote>
  <w:footnote w:id="11">
    <w:p w:rsidR="001D5121" w:rsidRDefault="001D5121" w:rsidP="002E5CF1">
      <w:pPr>
        <w:pStyle w:val="FootnoteText"/>
      </w:pPr>
      <w:r>
        <w:rPr>
          <w:rStyle w:val="FootnoteReference"/>
        </w:rPr>
        <w:footnoteRef/>
      </w:r>
      <w:r>
        <w:t xml:space="preserve"> </w:t>
      </w:r>
      <w:proofErr w:type="gramStart"/>
      <w:r>
        <w:rPr>
          <w:rFonts w:asciiTheme="minorHAnsi" w:eastAsiaTheme="minorHAnsi" w:hAnsiTheme="minorHAnsi"/>
          <w:sz w:val="16"/>
          <w:szCs w:val="16"/>
        </w:rPr>
        <w:t>P</w:t>
      </w:r>
      <w:r w:rsidRPr="00773F53">
        <w:rPr>
          <w:rFonts w:asciiTheme="minorHAnsi" w:eastAsiaTheme="minorHAnsi" w:hAnsiTheme="minorHAnsi"/>
          <w:sz w:val="16"/>
          <w:szCs w:val="16"/>
        </w:rPr>
        <w:t>rimarily due to the collection of male circumcision status in this study</w:t>
      </w:r>
      <w:r>
        <w:rPr>
          <w:rFonts w:asciiTheme="minorHAnsi" w:eastAsiaTheme="minorHAnsi" w:hAnsiTheme="minorHAnsi"/>
          <w:sz w:val="16"/>
          <w:szCs w:val="16"/>
        </w:rPr>
        <w:t>.</w:t>
      </w:r>
      <w:proofErr w:type="gramEnd"/>
    </w:p>
  </w:footnote>
  <w:footnote w:id="12">
    <w:p w:rsidR="001D5121" w:rsidRPr="00FB1E32" w:rsidRDefault="001D5121" w:rsidP="00FB1E32">
      <w:pPr>
        <w:pStyle w:val="FootnoteText"/>
        <w:rPr>
          <w:sz w:val="18"/>
          <w:szCs w:val="18"/>
        </w:rPr>
      </w:pPr>
      <w:r w:rsidRPr="00FB1E32">
        <w:rPr>
          <w:rStyle w:val="FootnoteReference"/>
          <w:sz w:val="18"/>
          <w:szCs w:val="18"/>
        </w:rPr>
        <w:footnoteRef/>
      </w:r>
      <w:r w:rsidRPr="00FB1E32">
        <w:rPr>
          <w:sz w:val="18"/>
          <w:szCs w:val="18"/>
        </w:rPr>
        <w:t xml:space="preserve"> </w:t>
      </w:r>
      <w:r>
        <w:rPr>
          <w:sz w:val="18"/>
          <w:szCs w:val="18"/>
        </w:rPr>
        <w:t>A</w:t>
      </w:r>
      <w:r w:rsidRPr="00FB1E32">
        <w:rPr>
          <w:sz w:val="18"/>
          <w:szCs w:val="18"/>
        </w:rPr>
        <w:t xml:space="preserve">greed to remain abstinent from heterosexual activity (if this form of birth control was accepted by local regulatory agencies and ethics review committees as the sole method of birth control), or agreed to use (or have their partner use) acceptable contraception to prevent pregnancy while the subject was receiving study medication and for 14 days after the last dose of study medication. Two methods of contraception were used to avoid pregnancy. Acceptable combinations of methods included: • Use of one of the following double-barrier methods: diaphragm with spermicide and a condom; cervical cap and a condom; or a contraceptive sponge and condom. • Use of hormonal contraception (any registered and marketed contraceptive agent that contained an oestrogen and/or a </w:t>
      </w:r>
      <w:proofErr w:type="spellStart"/>
      <w:r w:rsidRPr="00FB1E32">
        <w:rPr>
          <w:sz w:val="18"/>
          <w:szCs w:val="18"/>
        </w:rPr>
        <w:t>progestational</w:t>
      </w:r>
      <w:proofErr w:type="spellEnd"/>
      <w:r w:rsidRPr="00FB1E32">
        <w:rPr>
          <w:sz w:val="18"/>
          <w:szCs w:val="18"/>
        </w:rPr>
        <w:t xml:space="preserve"> agent [including oral, subcutaneous, intrauterine and intramuscular agents, and cutaneous patch]) with one of the following: diaphragm with spermicide; cervical cap; contraceptive sponge; condom; vasectomy; or intrauterine device (IUD). • Use of an IUD with one of the following: condom; diaphragm with spermicide; contraceptive sponge; vasectomy; or hormonal contraception • Vasectomy with one of the following: diaphragm with spermicide; cervical cap; contraceptive sponge; condom; IUD; or hormonal contraception</w:t>
      </w:r>
      <w:r>
        <w:rPr>
          <w:sz w:val="18"/>
          <w:szCs w:val="18"/>
        </w:rPr>
        <w:t>.</w:t>
      </w:r>
    </w:p>
  </w:footnote>
  <w:footnote w:id="13">
    <w:p w:rsidR="001D5121" w:rsidRPr="00FB1E32" w:rsidRDefault="001D5121" w:rsidP="002E5CF1">
      <w:pPr>
        <w:autoSpaceDE w:val="0"/>
        <w:autoSpaceDN w:val="0"/>
        <w:adjustRightInd w:val="0"/>
        <w:spacing w:before="0" w:after="0" w:line="240" w:lineRule="auto"/>
        <w:rPr>
          <w:rStyle w:val="FootnoteTextChar"/>
          <w:sz w:val="18"/>
          <w:szCs w:val="18"/>
        </w:rPr>
      </w:pPr>
      <w:r w:rsidRPr="0001597F">
        <w:rPr>
          <w:rStyle w:val="FootnoteReference"/>
          <w:sz w:val="18"/>
          <w:szCs w:val="18"/>
        </w:rPr>
        <w:footnoteRef/>
      </w:r>
      <w:r w:rsidRPr="0001597F">
        <w:rPr>
          <w:sz w:val="18"/>
          <w:szCs w:val="18"/>
        </w:rPr>
        <w:t xml:space="preserve"> </w:t>
      </w:r>
      <w:r w:rsidRPr="00FB1E32">
        <w:rPr>
          <w:rStyle w:val="FootnoteTextChar"/>
          <w:sz w:val="18"/>
          <w:szCs w:val="18"/>
        </w:rPr>
        <w:t>All randomised subjects who took at least 1 dose of study medication, with a BMD measurement both at baseline and in the day range for the time point of interest (</w:t>
      </w:r>
      <w:r>
        <w:rPr>
          <w:rStyle w:val="FootnoteTextChar"/>
          <w:sz w:val="18"/>
          <w:szCs w:val="18"/>
        </w:rPr>
        <w:t>that is</w:t>
      </w:r>
      <w:r w:rsidRPr="00FB1E32">
        <w:rPr>
          <w:rStyle w:val="FootnoteTextChar"/>
          <w:sz w:val="18"/>
          <w:szCs w:val="18"/>
        </w:rPr>
        <w:t>, Week 26 for Week 26 BMD PP; Week 52 for Week 52 BMD PP and Week 104 for Week 104 BMD PP – with no imputation of missing data) prior to initiation of BMD rescue therapy or bariatric surgery, and did not meet any of following conditions were included in this population. • Study medication compliance &lt;</w:t>
      </w:r>
      <w:r>
        <w:rPr>
          <w:rStyle w:val="FootnoteTextChar"/>
          <w:sz w:val="18"/>
          <w:szCs w:val="18"/>
        </w:rPr>
        <w:t xml:space="preserve"> </w:t>
      </w:r>
      <w:r w:rsidRPr="00FB1E32">
        <w:rPr>
          <w:rStyle w:val="FootnoteTextChar"/>
          <w:sz w:val="18"/>
          <w:szCs w:val="18"/>
        </w:rPr>
        <w:t>75%. • Use of pharmacologic doses of systemic corticosteroids for ≥ 2 consecutive weeks during the final 180 days prior to the analysis time point. • Incorrect double blind study medication for ≥ 14 consecutive days, during the final 180 days prior to the analysis time point. • Use of bisphosphonates (for &gt;</w:t>
      </w:r>
      <w:r>
        <w:rPr>
          <w:rStyle w:val="FootnoteTextChar"/>
          <w:sz w:val="18"/>
          <w:szCs w:val="18"/>
        </w:rPr>
        <w:t xml:space="preserve"> </w:t>
      </w:r>
      <w:r w:rsidRPr="00FB1E32">
        <w:rPr>
          <w:rStyle w:val="FootnoteTextChar"/>
          <w:sz w:val="18"/>
          <w:szCs w:val="18"/>
        </w:rPr>
        <w:t>7 days) or other medications indicated to treat osteoporosis (</w:t>
      </w:r>
      <w:r>
        <w:rPr>
          <w:rStyle w:val="FootnoteTextChar"/>
          <w:sz w:val="18"/>
          <w:szCs w:val="18"/>
        </w:rPr>
        <w:t>that is</w:t>
      </w:r>
      <w:r w:rsidRPr="00FB1E32">
        <w:rPr>
          <w:rStyle w:val="FootnoteTextChar"/>
          <w:sz w:val="18"/>
          <w:szCs w:val="18"/>
        </w:rPr>
        <w:t xml:space="preserve">, denosumab, calcitonin, oestrogen replacement or analogues/ SERMs, PTH) during the final 180 days prior to the analysis time point, or use for more than 1 month in total any time during the study prior to the analysis time point. • Any disorders affecting bone metabolism (including but not limited to active endocrinopathies such as Cushing’s disease, thyrotoxicosis, active inflammatory arthritis and disorders associated with marked weight loss, </w:t>
      </w:r>
      <w:r>
        <w:rPr>
          <w:rStyle w:val="FootnoteTextChar"/>
          <w:sz w:val="18"/>
          <w:szCs w:val="18"/>
        </w:rPr>
        <w:t>that is</w:t>
      </w:r>
      <w:r w:rsidRPr="00FB1E32">
        <w:rPr>
          <w:rStyle w:val="FootnoteTextChar"/>
          <w:sz w:val="18"/>
          <w:szCs w:val="18"/>
        </w:rPr>
        <w:t>, ≥ 10% reduction from baseline).</w:t>
      </w:r>
    </w:p>
  </w:footnote>
  <w:footnote w:id="14">
    <w:p w:rsidR="001D5121" w:rsidRPr="001F7376" w:rsidRDefault="001D5121" w:rsidP="001F7376">
      <w:pPr>
        <w:pStyle w:val="FootnoteText"/>
        <w:rPr>
          <w:sz w:val="18"/>
          <w:szCs w:val="18"/>
        </w:rPr>
      </w:pPr>
      <w:r w:rsidRPr="001F7376">
        <w:rPr>
          <w:sz w:val="18"/>
          <w:szCs w:val="18"/>
          <w:vertAlign w:val="superscript"/>
        </w:rPr>
        <w:footnoteRef/>
      </w:r>
      <w:r w:rsidRPr="001F7376">
        <w:rPr>
          <w:sz w:val="18"/>
          <w:szCs w:val="18"/>
        </w:rPr>
        <w:t xml:space="preserve"> In a recent study of another SGLT2 inhibitor (</w:t>
      </w:r>
      <w:proofErr w:type="spellStart"/>
      <w:r w:rsidRPr="001F7376">
        <w:rPr>
          <w:sz w:val="18"/>
          <w:szCs w:val="18"/>
        </w:rPr>
        <w:t>dapagliflozin</w:t>
      </w:r>
      <w:proofErr w:type="spellEnd"/>
      <w:r w:rsidRPr="001F7376">
        <w:rPr>
          <w:sz w:val="18"/>
          <w:szCs w:val="18"/>
        </w:rPr>
        <w:t>) in subjects with inadequately controlled T2DM on metformin, the largest variability for the change from baseline in BMD was at the total hip site, with an SD of approximately 3.3% after 50 weeks. Assuming that the SD of the change in BMD increased over time, 3.3% was taken as a conservative estimate of the variability at 26 weeks for precision calculations and also to ensure adequate precision for all BMD sites.</w:t>
      </w:r>
    </w:p>
  </w:footnote>
  <w:footnote w:id="15">
    <w:p w:rsidR="001D5121" w:rsidRPr="002F6FA8" w:rsidRDefault="001D5121" w:rsidP="00324FFF">
      <w:pPr>
        <w:keepNext/>
        <w:autoSpaceDE w:val="0"/>
        <w:autoSpaceDN w:val="0"/>
        <w:adjustRightInd w:val="0"/>
        <w:spacing w:line="240" w:lineRule="auto"/>
        <w:rPr>
          <w:rStyle w:val="FootnoteTextChar"/>
          <w:sz w:val="18"/>
          <w:szCs w:val="18"/>
        </w:rPr>
      </w:pPr>
      <w:r w:rsidRPr="00077D07">
        <w:rPr>
          <w:rStyle w:val="FootnoteTextChar"/>
          <w:sz w:val="18"/>
          <w:szCs w:val="18"/>
          <w:vertAlign w:val="superscript"/>
        </w:rPr>
        <w:footnoteRef/>
      </w:r>
      <w:r w:rsidRPr="00077D07">
        <w:rPr>
          <w:rStyle w:val="FootnoteTextChar"/>
          <w:sz w:val="18"/>
          <w:szCs w:val="18"/>
        </w:rPr>
        <w:t xml:space="preserve"> Medications listed below were prohibited while subjects were receiving study medication during the double blind treatment period: 1) Other Anti-hyperglycaemic Medications: Insulin of any type (except for short-term use during hospitalisation and no longer required); Other injectable AHAs [for example, </w:t>
      </w:r>
      <w:proofErr w:type="spellStart"/>
      <w:r w:rsidRPr="00077D07">
        <w:rPr>
          <w:rStyle w:val="FootnoteTextChar"/>
          <w:sz w:val="18"/>
          <w:szCs w:val="18"/>
        </w:rPr>
        <w:t>pramlintide</w:t>
      </w:r>
      <w:proofErr w:type="spellEnd"/>
      <w:r w:rsidRPr="00077D07">
        <w:rPr>
          <w:rStyle w:val="FootnoteTextChar"/>
          <w:sz w:val="18"/>
          <w:szCs w:val="18"/>
        </w:rPr>
        <w:t xml:space="preserve">, </w:t>
      </w:r>
      <w:proofErr w:type="spellStart"/>
      <w:r w:rsidRPr="00077D07">
        <w:rPr>
          <w:rStyle w:val="FootnoteTextChar"/>
          <w:sz w:val="18"/>
          <w:szCs w:val="18"/>
        </w:rPr>
        <w:t>exenatide</w:t>
      </w:r>
      <w:proofErr w:type="spellEnd"/>
      <w:r w:rsidRPr="00077D07">
        <w:rPr>
          <w:rStyle w:val="FootnoteTextChar"/>
          <w:sz w:val="18"/>
          <w:szCs w:val="18"/>
        </w:rPr>
        <w:t xml:space="preserve">, </w:t>
      </w:r>
      <w:proofErr w:type="spellStart"/>
      <w:r w:rsidRPr="00077D07">
        <w:rPr>
          <w:rStyle w:val="FootnoteTextChar"/>
          <w:sz w:val="18"/>
          <w:szCs w:val="18"/>
        </w:rPr>
        <w:t>liraglutide</w:t>
      </w:r>
      <w:proofErr w:type="spellEnd"/>
      <w:r w:rsidRPr="00077D07">
        <w:rPr>
          <w:rStyle w:val="FootnoteTextChar"/>
          <w:sz w:val="18"/>
          <w:szCs w:val="18"/>
        </w:rPr>
        <w:t>]; Pioglitazone or rosiglitazone; SGLT2 inhibitors (except blinded ertugliflozin); SUs (except blinded glimepiride); DPP4 inhibitors (except sitagliptin rescue medication); Bromocriptine (</w:t>
      </w:r>
      <w:proofErr w:type="spellStart"/>
      <w:r w:rsidRPr="00077D07">
        <w:rPr>
          <w:rStyle w:val="FootnoteTextChar"/>
          <w:sz w:val="18"/>
          <w:szCs w:val="18"/>
        </w:rPr>
        <w:t>Cycloset</w:t>
      </w:r>
      <w:proofErr w:type="spellEnd"/>
      <w:r w:rsidRPr="00077D07">
        <w:rPr>
          <w:rStyle w:val="FootnoteTextChar"/>
          <w:sz w:val="18"/>
          <w:szCs w:val="18"/>
        </w:rPr>
        <w:t xml:space="preserve">); </w:t>
      </w:r>
      <w:proofErr w:type="spellStart"/>
      <w:r w:rsidRPr="00077D07">
        <w:rPr>
          <w:rStyle w:val="FootnoteTextChar"/>
          <w:sz w:val="18"/>
          <w:szCs w:val="18"/>
        </w:rPr>
        <w:t>Colesevelam</w:t>
      </w:r>
      <w:proofErr w:type="spellEnd"/>
      <w:r w:rsidRPr="00077D07">
        <w:rPr>
          <w:rStyle w:val="FootnoteTextChar"/>
          <w:sz w:val="18"/>
          <w:szCs w:val="18"/>
        </w:rPr>
        <w:t xml:space="preserve"> (</w:t>
      </w:r>
      <w:proofErr w:type="spellStart"/>
      <w:r w:rsidRPr="00077D07">
        <w:rPr>
          <w:rStyle w:val="FootnoteTextChar"/>
          <w:sz w:val="18"/>
          <w:szCs w:val="18"/>
        </w:rPr>
        <w:t>Welchol</w:t>
      </w:r>
      <w:proofErr w:type="spellEnd"/>
      <w:r w:rsidRPr="00077D07">
        <w:rPr>
          <w:rStyle w:val="FootnoteTextChar"/>
          <w:sz w:val="18"/>
          <w:szCs w:val="18"/>
        </w:rPr>
        <w:t>); Any other AHA with the exception of the protocol-approved agents. 2) Corticosteroids: Treatment for ≥ 14 consecutive days or repeated courses of pharmacologic doses of corticosteroid was prohibited. Note: Inhaled, nasal, and topical corticosteroids and physiological replacement doses of adrenal steroids were permitted. 3) Weight-loss medications:</w:t>
      </w:r>
      <w:r w:rsidRPr="00077D07">
        <w:rPr>
          <w:rStyle w:val="FootnoteTextChar"/>
        </w:rPr>
        <w:t xml:space="preserve"> associated with </w:t>
      </w:r>
      <w:r w:rsidRPr="00077D07">
        <w:rPr>
          <w:rStyle w:val="FootnoteTextChar"/>
          <w:sz w:val="18"/>
          <w:szCs w:val="18"/>
        </w:rPr>
        <w:t xml:space="preserve">Initiation of a weight-loss medication (for example, orlistat, phentermine, </w:t>
      </w:r>
      <w:proofErr w:type="spellStart"/>
      <w:r w:rsidRPr="00077D07">
        <w:rPr>
          <w:rStyle w:val="FootnoteTextChar"/>
          <w:sz w:val="18"/>
          <w:szCs w:val="18"/>
        </w:rPr>
        <w:t>topiramate</w:t>
      </w:r>
      <w:proofErr w:type="spellEnd"/>
      <w:r w:rsidRPr="00077D07">
        <w:rPr>
          <w:rStyle w:val="FootnoteTextChar"/>
          <w:sz w:val="18"/>
          <w:szCs w:val="18"/>
        </w:rPr>
        <w:t xml:space="preserve">, </w:t>
      </w:r>
      <w:proofErr w:type="spellStart"/>
      <w:r w:rsidRPr="00077D07">
        <w:rPr>
          <w:rStyle w:val="FootnoteTextChar"/>
          <w:sz w:val="18"/>
          <w:szCs w:val="18"/>
        </w:rPr>
        <w:t>lorcaserin</w:t>
      </w:r>
      <w:proofErr w:type="spellEnd"/>
      <w:r w:rsidRPr="00077D07">
        <w:rPr>
          <w:rStyle w:val="FootnoteTextChar"/>
          <w:sz w:val="18"/>
          <w:szCs w:val="18"/>
        </w:rPr>
        <w:t>) was prohibited. Note: Subjects who were on treatment with a weight-loss medication or other medication</w:t>
      </w:r>
      <w:r w:rsidRPr="00077D07">
        <w:rPr>
          <w:rStyle w:val="FootnoteTextChar"/>
        </w:rPr>
        <w:t xml:space="preserve"> </w:t>
      </w:r>
      <w:r w:rsidRPr="00077D07">
        <w:rPr>
          <w:rStyle w:val="FootnoteTextChar"/>
          <w:sz w:val="18"/>
          <w:szCs w:val="18"/>
        </w:rPr>
        <w:t>weight</w:t>
      </w:r>
      <w:r w:rsidRPr="00077D07">
        <w:rPr>
          <w:rFonts w:asciiTheme="minorHAnsi" w:hAnsiTheme="minorHAnsi" w:cs="Calibri"/>
          <w:sz w:val="18"/>
          <w:szCs w:val="18"/>
        </w:rPr>
        <w:t xml:space="preserve"> </w:t>
      </w:r>
      <w:r w:rsidRPr="002F6FA8">
        <w:rPr>
          <w:rStyle w:val="FootnoteTextChar"/>
          <w:sz w:val="18"/>
          <w:szCs w:val="18"/>
        </w:rPr>
        <w:t>changes (for example, anti-psychotic agents) and who were weight-stable (that is, &lt;5% change in body weight within 6 months of Visit 1/Screening) at Visit 1/Screening were eligible to participate in the study and permitted to continue these medications during the study.</w:t>
      </w:r>
    </w:p>
  </w:footnote>
  <w:footnote w:id="16">
    <w:p w:rsidR="001D5121" w:rsidRPr="00D646A8" w:rsidRDefault="001D5121" w:rsidP="002E5CF1">
      <w:pPr>
        <w:pStyle w:val="FootnoteText"/>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sz w:val="18"/>
          <w:szCs w:val="18"/>
        </w:rPr>
        <w:t>Because C-peptide is not (but insulin is) extracted by the liver, the use of C-peptide to calculate HOMA-%β is not confounded by increased hepatic extraction such as that which can occur in conditions of improved hepatic insulin sensitivity. Given that ertugliflozin is predicted to cause weight loss, which could lead to impro</w:t>
      </w:r>
      <w:r>
        <w:rPr>
          <w:rFonts w:asciiTheme="minorHAnsi" w:eastAsiaTheme="minorHAnsi" w:hAnsiTheme="minorHAnsi"/>
          <w:sz w:val="18"/>
          <w:szCs w:val="18"/>
        </w:rPr>
        <w:t>ved hepatic insulin sensitivity.</w:t>
      </w:r>
    </w:p>
  </w:footnote>
  <w:footnote w:id="17">
    <w:p w:rsidR="001D5121" w:rsidRPr="00282F2B" w:rsidRDefault="001D5121" w:rsidP="00282F2B">
      <w:pPr>
        <w:pStyle w:val="FootnoteText"/>
        <w:rPr>
          <w:sz w:val="18"/>
          <w:szCs w:val="18"/>
        </w:rPr>
      </w:pPr>
      <w:r w:rsidRPr="00282F2B">
        <w:rPr>
          <w:sz w:val="18"/>
          <w:szCs w:val="18"/>
          <w:vertAlign w:val="superscript"/>
        </w:rPr>
        <w:footnoteRef/>
      </w:r>
      <w:r w:rsidRPr="00282F2B">
        <w:rPr>
          <w:sz w:val="18"/>
          <w:szCs w:val="18"/>
        </w:rPr>
        <w:t xml:space="preserve"> Imputations of the missing data were based on the marginal univariate normal distributions with means equal to the predicted values and variances equal to the squared standard errors for the predicted values from the </w:t>
      </w:r>
      <w:proofErr w:type="spellStart"/>
      <w:r w:rsidRPr="00282F2B">
        <w:rPr>
          <w:sz w:val="18"/>
          <w:szCs w:val="18"/>
        </w:rPr>
        <w:t>cLDA</w:t>
      </w:r>
      <w:proofErr w:type="spellEnd"/>
      <w:r w:rsidRPr="00282F2B">
        <w:rPr>
          <w:sz w:val="18"/>
          <w:szCs w:val="18"/>
        </w:rPr>
        <w:t xml:space="preserve"> model. Ten sets of imputations of each missing value were constructed from the </w:t>
      </w:r>
      <w:proofErr w:type="spellStart"/>
      <w:r w:rsidRPr="00282F2B">
        <w:rPr>
          <w:sz w:val="18"/>
          <w:szCs w:val="18"/>
        </w:rPr>
        <w:t>cLDA</w:t>
      </w:r>
      <w:proofErr w:type="spellEnd"/>
      <w:r w:rsidRPr="00282F2B">
        <w:rPr>
          <w:sz w:val="18"/>
          <w:szCs w:val="18"/>
        </w:rPr>
        <w:t xml:space="preserve"> model. Observed data were not imputed. Subjects were categorised as at or not at the A1C goal (&lt;</w:t>
      </w:r>
      <w:r>
        <w:rPr>
          <w:sz w:val="18"/>
          <w:szCs w:val="18"/>
        </w:rPr>
        <w:t xml:space="preserve"> </w:t>
      </w:r>
      <w:r w:rsidRPr="00282F2B">
        <w:rPr>
          <w:sz w:val="18"/>
          <w:szCs w:val="18"/>
        </w:rPr>
        <w:t>7.0% or &lt;</w:t>
      </w:r>
      <w:r>
        <w:rPr>
          <w:sz w:val="18"/>
          <w:szCs w:val="18"/>
        </w:rPr>
        <w:t xml:space="preserve"> </w:t>
      </w:r>
      <w:r w:rsidRPr="00282F2B">
        <w:rPr>
          <w:sz w:val="18"/>
          <w:szCs w:val="18"/>
        </w:rPr>
        <w:t>6.5%) at Week 52 after imputation.</w:t>
      </w:r>
    </w:p>
  </w:footnote>
  <w:footnote w:id="18">
    <w:p w:rsidR="001D5121" w:rsidRPr="00D646A8" w:rsidRDefault="001D5121" w:rsidP="002E5CF1">
      <w:pPr>
        <w:pStyle w:val="FootnoteText"/>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sz w:val="18"/>
          <w:szCs w:val="18"/>
        </w:rPr>
        <w:t>Covance initiated measures to prevent additional cases by controlling IVRS randomisation, requiring sites in South Florida to call for permission to randomise new subjects who had passed identity screening.</w:t>
      </w:r>
    </w:p>
  </w:footnote>
  <w:footnote w:id="19">
    <w:p w:rsidR="001D5121" w:rsidRPr="002F6FA8" w:rsidRDefault="001D5121" w:rsidP="002F6FA8">
      <w:pPr>
        <w:pStyle w:val="FootnoteText"/>
        <w:rPr>
          <w:sz w:val="18"/>
          <w:szCs w:val="18"/>
        </w:rPr>
      </w:pPr>
      <w:r w:rsidRPr="002F6FA8">
        <w:rPr>
          <w:rStyle w:val="FootnoteReference"/>
          <w:sz w:val="18"/>
          <w:szCs w:val="18"/>
        </w:rPr>
        <w:footnoteRef/>
      </w:r>
      <w:r w:rsidRPr="002F6FA8">
        <w:rPr>
          <w:sz w:val="18"/>
          <w:szCs w:val="18"/>
          <w:vertAlign w:val="superscript"/>
        </w:rPr>
        <w:t xml:space="preserve"> </w:t>
      </w:r>
      <w:r w:rsidRPr="002F6FA8">
        <w:rPr>
          <w:sz w:val="18"/>
          <w:szCs w:val="18"/>
        </w:rPr>
        <w:t>One subject in the ertugliflozin 15 mg group was reported as not on an AHA at screening; however, this subject was actually taking metformin at screening. Two subjects (1 each in ertugliflozin 15 mg and glimepiride group) were taking 3 AHAs at screening. These subjects should have been included in the protocol deviations list under the category ‘Eligibility criteria not met’. Subject in the glimepiride group is also reported as taking 3 AHAs at screening; however, the subject was taking glyburide monotherapy and glyburide + metformin combination therapy which should have been counted as 2 AHAs. In addition, the dose of glyburide was not &lt; 50% of the maximum; therefore, this subject should also have been added to the protocol deviations list.</w:t>
      </w:r>
    </w:p>
  </w:footnote>
  <w:footnote w:id="20">
    <w:p w:rsidR="001D5121" w:rsidRPr="002F6FA8" w:rsidRDefault="001D5121" w:rsidP="002F6FA8">
      <w:pPr>
        <w:pStyle w:val="FootnoteText"/>
        <w:rPr>
          <w:sz w:val="18"/>
          <w:szCs w:val="18"/>
        </w:rPr>
      </w:pPr>
      <w:r w:rsidRPr="002F6FA8">
        <w:rPr>
          <w:rStyle w:val="FootnoteReference"/>
          <w:sz w:val="18"/>
          <w:szCs w:val="18"/>
        </w:rPr>
        <w:footnoteRef/>
      </w:r>
      <w:r w:rsidRPr="002F6FA8">
        <w:rPr>
          <w:sz w:val="18"/>
          <w:szCs w:val="18"/>
          <w:vertAlign w:val="superscript"/>
        </w:rPr>
        <w:t xml:space="preserve"> </w:t>
      </w:r>
      <w:proofErr w:type="gramStart"/>
      <w:r w:rsidRPr="002F6FA8">
        <w:rPr>
          <w:sz w:val="18"/>
          <w:szCs w:val="18"/>
        </w:rPr>
        <w:t>Primarily due to the collection of male circumcision status in this study.</w:t>
      </w:r>
      <w:proofErr w:type="gramEnd"/>
    </w:p>
  </w:footnote>
  <w:footnote w:id="21">
    <w:p w:rsidR="001D5121" w:rsidRPr="00D646A8" w:rsidRDefault="001D5121" w:rsidP="002E5CF1">
      <w:pPr>
        <w:pStyle w:val="FootnoteText"/>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sz w:val="18"/>
          <w:szCs w:val="18"/>
        </w:rPr>
        <w:t>19 in Argentina, 7 in Bulgaria, 4 in Canada, 7 in Chile, 8 in Colombia, 9 in the Czech Republic, 4 in Finland, 11 in Hungary, 10 in Israel, 4 in Italy, 7 in Malaysia, 15 in Mexico, 6 in New Zealand, 7 in the Philippines, 13 in Poland, 13 in Romania, 19 in Russia, 12 in Slovakia, 3 in Thailand, 12 in Ukraine, and 52 in the United States.</w:t>
      </w:r>
    </w:p>
  </w:footnote>
  <w:footnote w:id="22">
    <w:p w:rsidR="001D5121" w:rsidRPr="00D646A8" w:rsidRDefault="001D5121" w:rsidP="002E5CF1">
      <w:pPr>
        <w:pStyle w:val="FootnoteText"/>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sz w:val="18"/>
          <w:szCs w:val="18"/>
        </w:rPr>
        <w:t>The standard meal for the MMTT consisted of two nutrition bars and one nutrition drink (~680 kcal; 111 g carbohydrate, 14 g fat, 26 g protein in total).</w:t>
      </w:r>
    </w:p>
  </w:footnote>
  <w:footnote w:id="23">
    <w:p w:rsidR="001D5121" w:rsidRPr="00D646A8" w:rsidRDefault="001D5121" w:rsidP="002E5CF1">
      <w:pPr>
        <w:pStyle w:val="FootnoteText"/>
        <w:rPr>
          <w:sz w:val="18"/>
          <w:szCs w:val="18"/>
        </w:rPr>
      </w:pPr>
      <w:r w:rsidRPr="00D646A8">
        <w:rPr>
          <w:rStyle w:val="FootnoteReference"/>
          <w:sz w:val="18"/>
          <w:szCs w:val="18"/>
        </w:rPr>
        <w:footnoteRef/>
      </w:r>
      <w:r w:rsidRPr="00D646A8">
        <w:rPr>
          <w:sz w:val="18"/>
          <w:szCs w:val="18"/>
        </w:rPr>
        <w:t xml:space="preserve"> </w:t>
      </w:r>
      <w:proofErr w:type="gramStart"/>
      <w:r w:rsidRPr="00D646A8">
        <w:rPr>
          <w:rFonts w:asciiTheme="minorHAnsi" w:eastAsiaTheme="minorHAnsi" w:hAnsiTheme="minorHAnsi"/>
          <w:color w:val="000000"/>
          <w:sz w:val="18"/>
          <w:szCs w:val="18"/>
        </w:rPr>
        <w:t>If this measurement was not available, the last pre-randomisation measurement on or after Week -2 was to be used as the baseline value, if available.</w:t>
      </w:r>
      <w:proofErr w:type="gramEnd"/>
    </w:p>
  </w:footnote>
  <w:footnote w:id="24">
    <w:p w:rsidR="001D5121" w:rsidRPr="00D646A8" w:rsidRDefault="001D5121" w:rsidP="002E5CF1">
      <w:pPr>
        <w:pStyle w:val="FootnoteText"/>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sz w:val="18"/>
          <w:szCs w:val="18"/>
        </w:rPr>
        <w:t xml:space="preserve">The </w:t>
      </w:r>
      <w:proofErr w:type="gramStart"/>
      <w:r w:rsidRPr="00D646A8">
        <w:rPr>
          <w:rFonts w:asciiTheme="minorHAnsi" w:eastAsiaTheme="minorHAnsi" w:hAnsiTheme="minorHAnsi"/>
          <w:sz w:val="18"/>
          <w:szCs w:val="18"/>
        </w:rPr>
        <w:t>ASaT</w:t>
      </w:r>
      <w:proofErr w:type="gramEnd"/>
      <w:r w:rsidRPr="00D646A8">
        <w:rPr>
          <w:rFonts w:asciiTheme="minorHAnsi" w:eastAsiaTheme="minorHAnsi" w:hAnsiTheme="minorHAnsi"/>
          <w:sz w:val="18"/>
          <w:szCs w:val="18"/>
        </w:rPr>
        <w:t xml:space="preserve"> population consisted of all randomised subjects who took at least one dose of study medication. Subjects were included in the treatment group corresponding to the study medication they actually took for the analysis of safety data using the </w:t>
      </w:r>
      <w:proofErr w:type="gramStart"/>
      <w:r w:rsidRPr="00D646A8">
        <w:rPr>
          <w:rFonts w:asciiTheme="minorHAnsi" w:eastAsiaTheme="minorHAnsi" w:hAnsiTheme="minorHAnsi"/>
          <w:sz w:val="18"/>
          <w:szCs w:val="18"/>
        </w:rPr>
        <w:t>ASaT</w:t>
      </w:r>
      <w:proofErr w:type="gramEnd"/>
      <w:r w:rsidRPr="00D646A8">
        <w:rPr>
          <w:rFonts w:asciiTheme="minorHAnsi" w:eastAsiaTheme="minorHAnsi" w:hAnsiTheme="minorHAnsi"/>
          <w:sz w:val="18"/>
          <w:szCs w:val="18"/>
        </w:rPr>
        <w:t xml:space="preserve"> population. Because no subjects took incorrect study medication for the entire analysis period, analyses in the </w:t>
      </w:r>
      <w:proofErr w:type="gramStart"/>
      <w:r w:rsidRPr="00D646A8">
        <w:rPr>
          <w:rFonts w:asciiTheme="minorHAnsi" w:eastAsiaTheme="minorHAnsi" w:hAnsiTheme="minorHAnsi"/>
          <w:sz w:val="18"/>
          <w:szCs w:val="18"/>
        </w:rPr>
        <w:t>ASaT</w:t>
      </w:r>
      <w:proofErr w:type="gramEnd"/>
      <w:r w:rsidRPr="00D646A8">
        <w:rPr>
          <w:rFonts w:asciiTheme="minorHAnsi" w:eastAsiaTheme="minorHAnsi" w:hAnsiTheme="minorHAnsi"/>
          <w:sz w:val="18"/>
          <w:szCs w:val="18"/>
        </w:rPr>
        <w:t xml:space="preserve"> population classified all subjects according to their randomised treatment.</w:t>
      </w:r>
    </w:p>
  </w:footnote>
  <w:footnote w:id="25">
    <w:p w:rsidR="001D5121" w:rsidRPr="007A1A22" w:rsidRDefault="001D5121" w:rsidP="007A1A22">
      <w:pPr>
        <w:pStyle w:val="FootnoteText"/>
        <w:rPr>
          <w:sz w:val="18"/>
          <w:szCs w:val="18"/>
        </w:rPr>
      </w:pPr>
      <w:r w:rsidRPr="007A1A22">
        <w:rPr>
          <w:rStyle w:val="FootnoteReference"/>
          <w:sz w:val="18"/>
          <w:szCs w:val="18"/>
        </w:rPr>
        <w:footnoteRef/>
      </w:r>
      <w:r w:rsidRPr="007A1A22">
        <w:rPr>
          <w:sz w:val="18"/>
          <w:szCs w:val="18"/>
          <w:vertAlign w:val="superscript"/>
        </w:rPr>
        <w:t xml:space="preserve"> </w:t>
      </w:r>
      <w:r w:rsidRPr="007A1A22">
        <w:rPr>
          <w:sz w:val="18"/>
          <w:szCs w:val="18"/>
        </w:rPr>
        <w:t xml:space="preserve">Imputations of the missing data were based on the marginal univariate normal distributions with means equal to the predicted values and variances equal to the squared standard errors for the predicted values from the </w:t>
      </w:r>
      <w:proofErr w:type="spellStart"/>
      <w:r w:rsidRPr="007A1A22">
        <w:rPr>
          <w:sz w:val="18"/>
          <w:szCs w:val="18"/>
        </w:rPr>
        <w:t>cLDA</w:t>
      </w:r>
      <w:proofErr w:type="spellEnd"/>
      <w:r w:rsidRPr="007A1A22">
        <w:rPr>
          <w:sz w:val="18"/>
          <w:szCs w:val="18"/>
        </w:rPr>
        <w:t xml:space="preserve"> model.</w:t>
      </w:r>
    </w:p>
  </w:footnote>
  <w:footnote w:id="26">
    <w:p w:rsidR="001D5121" w:rsidRPr="007A1A22" w:rsidRDefault="001D5121" w:rsidP="007A1A22">
      <w:pPr>
        <w:pStyle w:val="FootnoteText"/>
        <w:rPr>
          <w:sz w:val="18"/>
          <w:szCs w:val="18"/>
        </w:rPr>
      </w:pPr>
      <w:r w:rsidRPr="007A1A22">
        <w:rPr>
          <w:rStyle w:val="FootnoteReference"/>
          <w:sz w:val="18"/>
          <w:szCs w:val="18"/>
        </w:rPr>
        <w:footnoteRef/>
      </w:r>
      <w:r w:rsidRPr="007A1A22">
        <w:rPr>
          <w:sz w:val="18"/>
          <w:szCs w:val="18"/>
          <w:vertAlign w:val="superscript"/>
        </w:rPr>
        <w:t xml:space="preserve"> </w:t>
      </w:r>
      <w:r w:rsidRPr="007A1A22">
        <w:rPr>
          <w:sz w:val="18"/>
          <w:szCs w:val="18"/>
        </w:rPr>
        <w:t>For the subgroups that had only 2 categories, if the sample size was not at least 20 subjects in all of the treatment groups in each subgroup category, then that subgroup analysis would not be performed. For the race subgroup analysis, if the sample size was not at least 20 subjects in all of the treatment groups in a certain race category, then that race was combined with the “Other” race category.</w:t>
      </w:r>
    </w:p>
  </w:footnote>
  <w:footnote w:id="27">
    <w:p w:rsidR="001D5121" w:rsidRPr="00D646A8" w:rsidRDefault="001D5121" w:rsidP="002E5CF1">
      <w:pPr>
        <w:pStyle w:val="FootnoteText"/>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color w:val="000000"/>
          <w:sz w:val="18"/>
          <w:szCs w:val="18"/>
        </w:rPr>
        <w:t xml:space="preserve">These 37 multiply-enrolled subjects account for 59 randomisations and 18 screen failures. The </w:t>
      </w:r>
      <w:r>
        <w:rPr>
          <w:rFonts w:asciiTheme="minorHAnsi" w:eastAsiaTheme="minorHAnsi" w:hAnsiTheme="minorHAnsi"/>
          <w:color w:val="000000"/>
          <w:sz w:val="18"/>
          <w:szCs w:val="18"/>
        </w:rPr>
        <w:t>s</w:t>
      </w:r>
      <w:r w:rsidRPr="00D646A8">
        <w:rPr>
          <w:rFonts w:asciiTheme="minorHAnsi" w:eastAsiaTheme="minorHAnsi" w:hAnsiTheme="minorHAnsi"/>
          <w:color w:val="000000"/>
          <w:sz w:val="18"/>
          <w:szCs w:val="18"/>
        </w:rPr>
        <w:t>ponsor’s partner (Covance) implemented investigations to identify multiply-enrolled subjects by comparing subject identification information across sites and studies. All of the multiply-enrolled subjects identified in this study were located in the United States in South Florida. Covance initiated measures to prevent additional cases by controlling IVRS randomisation, requiring sites in South Florida to call for permission to randomise new subjects who had passed identity screening.</w:t>
      </w:r>
    </w:p>
  </w:footnote>
  <w:footnote w:id="28">
    <w:p w:rsidR="001D5121" w:rsidRPr="00D646A8" w:rsidRDefault="001D5121" w:rsidP="002E5CF1">
      <w:pPr>
        <w:pStyle w:val="FootnoteText"/>
        <w:rPr>
          <w:sz w:val="18"/>
          <w:szCs w:val="18"/>
        </w:rPr>
      </w:pPr>
      <w:r w:rsidRPr="00D646A8">
        <w:rPr>
          <w:rStyle w:val="FootnoteReference"/>
          <w:sz w:val="18"/>
          <w:szCs w:val="18"/>
        </w:rPr>
        <w:footnoteRef/>
      </w:r>
      <w:r w:rsidRPr="00D646A8">
        <w:rPr>
          <w:sz w:val="18"/>
          <w:szCs w:val="18"/>
        </w:rPr>
        <w:t xml:space="preserve"> </w:t>
      </w:r>
      <w:r>
        <w:rPr>
          <w:rFonts w:asciiTheme="minorHAnsi" w:eastAsiaTheme="minorHAnsi" w:hAnsiTheme="minorHAnsi"/>
          <w:color w:val="000000"/>
          <w:sz w:val="18"/>
          <w:szCs w:val="18"/>
        </w:rPr>
        <w:t>T</w:t>
      </w:r>
      <w:r w:rsidRPr="00D646A8">
        <w:rPr>
          <w:rFonts w:asciiTheme="minorHAnsi" w:eastAsiaTheme="minorHAnsi" w:hAnsiTheme="minorHAnsi"/>
          <w:color w:val="000000"/>
          <w:sz w:val="18"/>
          <w:szCs w:val="18"/>
        </w:rPr>
        <w:t>hese subjects were randomised at more than 1 site in this trial, which randomised at a site in this trial and at least 1 other site in the ertugliflozin Phase III program, or who screened failed in this trial and randomised in at least 2 sites in the ertugliflozin Phase III program.</w:t>
      </w:r>
    </w:p>
  </w:footnote>
  <w:footnote w:id="29">
    <w:p w:rsidR="001D5121" w:rsidRPr="00D646A8" w:rsidRDefault="001D5121" w:rsidP="002E5CF1">
      <w:pPr>
        <w:pStyle w:val="FootnoteText"/>
        <w:rPr>
          <w:sz w:val="18"/>
          <w:szCs w:val="18"/>
        </w:rPr>
      </w:pPr>
      <w:r w:rsidRPr="00D646A8">
        <w:rPr>
          <w:rStyle w:val="FootnoteReference"/>
          <w:sz w:val="18"/>
          <w:szCs w:val="18"/>
        </w:rPr>
        <w:footnoteRef/>
      </w:r>
      <w:r w:rsidRPr="00D646A8">
        <w:rPr>
          <w:sz w:val="18"/>
          <w:szCs w:val="18"/>
        </w:rPr>
        <w:t xml:space="preserve"> </w:t>
      </w:r>
      <w:proofErr w:type="gramStart"/>
      <w:r w:rsidRPr="00D646A8">
        <w:rPr>
          <w:sz w:val="18"/>
          <w:szCs w:val="18"/>
        </w:rPr>
        <w:t>P</w:t>
      </w:r>
      <w:r w:rsidRPr="00D646A8">
        <w:rPr>
          <w:rFonts w:asciiTheme="minorHAnsi" w:eastAsiaTheme="minorHAnsi" w:hAnsiTheme="minorHAnsi"/>
          <w:sz w:val="18"/>
          <w:szCs w:val="18"/>
        </w:rPr>
        <w:t>rimarily due to the collection of male circumcision status in this study.</w:t>
      </w:r>
      <w:proofErr w:type="gramEnd"/>
    </w:p>
  </w:footnote>
  <w:footnote w:id="30">
    <w:p w:rsidR="001D5121" w:rsidRPr="007A1A22" w:rsidRDefault="001D5121" w:rsidP="002E5CF1">
      <w:pPr>
        <w:autoSpaceDE w:val="0"/>
        <w:autoSpaceDN w:val="0"/>
        <w:adjustRightInd w:val="0"/>
        <w:spacing w:before="0" w:after="0" w:line="240" w:lineRule="auto"/>
        <w:rPr>
          <w:rStyle w:val="FootnoteTextChar"/>
          <w:sz w:val="18"/>
          <w:szCs w:val="18"/>
        </w:rPr>
      </w:pPr>
      <w:r w:rsidRPr="00D646A8">
        <w:rPr>
          <w:rStyle w:val="FootnoteReference"/>
          <w:sz w:val="18"/>
          <w:szCs w:val="18"/>
        </w:rPr>
        <w:footnoteRef/>
      </w:r>
      <w:r w:rsidRPr="00D646A8">
        <w:rPr>
          <w:sz w:val="18"/>
          <w:szCs w:val="18"/>
        </w:rPr>
        <w:t xml:space="preserve"> </w:t>
      </w:r>
      <w:r w:rsidRPr="007A1A22">
        <w:rPr>
          <w:rStyle w:val="FootnoteTextChar"/>
          <w:sz w:val="18"/>
          <w:szCs w:val="18"/>
        </w:rPr>
        <w:t>5 in Argentina, 5 in Bulgaria, 4 in Colombia, 10 in Czech Republic, 5 in Finland, 4 in Hungary, 9 in Israel, 6 in Malaysia, 9 in Romania, 7 in Slovakia, 12 in the Republic of Korea, and 28 in the United States.</w:t>
      </w:r>
    </w:p>
  </w:footnote>
  <w:footnote w:id="31">
    <w:p w:rsidR="001D5121" w:rsidRPr="007A1A22" w:rsidRDefault="001D5121" w:rsidP="002E5CF1">
      <w:pPr>
        <w:autoSpaceDE w:val="0"/>
        <w:autoSpaceDN w:val="0"/>
        <w:adjustRightInd w:val="0"/>
        <w:spacing w:before="0" w:after="0" w:line="240" w:lineRule="auto"/>
        <w:rPr>
          <w:rStyle w:val="FootnoteTextChar"/>
          <w:sz w:val="18"/>
          <w:szCs w:val="18"/>
        </w:rPr>
      </w:pPr>
      <w:r w:rsidRPr="00D646A8">
        <w:rPr>
          <w:rStyle w:val="FootnoteReference"/>
          <w:sz w:val="18"/>
          <w:szCs w:val="18"/>
        </w:rPr>
        <w:footnoteRef/>
      </w:r>
      <w:r w:rsidRPr="00D646A8">
        <w:rPr>
          <w:sz w:val="18"/>
          <w:szCs w:val="18"/>
        </w:rPr>
        <w:t xml:space="preserve"> </w:t>
      </w:r>
      <w:r w:rsidRPr="007A1A22">
        <w:rPr>
          <w:rStyle w:val="FootnoteTextChar"/>
          <w:sz w:val="18"/>
          <w:szCs w:val="18"/>
        </w:rPr>
        <w:t>On days without a clinic visit, subjects were to take blinded study medication at approximately the same time of day in the morning. Background metformin and sitagliptin, as well as glimepiride (or insulin glargine) rescue therapy (if applicable), were to be taken as prescribed by the investigator. On the days of clinic visits, subjects were to take their study medication, as well as background metformin and sitagliptin and glimepiride (or insulin glargine) rescue therapy (if applicable), after all study procedures were completed.</w:t>
      </w:r>
    </w:p>
  </w:footnote>
  <w:footnote w:id="32">
    <w:p w:rsidR="001D5121" w:rsidRPr="00D646A8" w:rsidRDefault="001D5121" w:rsidP="002E5CF1">
      <w:pPr>
        <w:autoSpaceDE w:val="0"/>
        <w:autoSpaceDN w:val="0"/>
        <w:adjustRightInd w:val="0"/>
        <w:spacing w:before="0" w:after="0" w:line="240" w:lineRule="auto"/>
        <w:rPr>
          <w:sz w:val="18"/>
          <w:szCs w:val="18"/>
        </w:rPr>
      </w:pPr>
      <w:r w:rsidRPr="00D646A8">
        <w:rPr>
          <w:rStyle w:val="FootnoteReference"/>
          <w:sz w:val="18"/>
          <w:szCs w:val="18"/>
        </w:rPr>
        <w:footnoteRef/>
      </w:r>
      <w:r w:rsidRPr="00D646A8">
        <w:rPr>
          <w:sz w:val="18"/>
          <w:szCs w:val="18"/>
        </w:rPr>
        <w:t xml:space="preserve"> </w:t>
      </w:r>
      <w:r w:rsidRPr="00D646A8">
        <w:rPr>
          <w:rFonts w:asciiTheme="minorHAnsi" w:eastAsiaTheme="minorHAnsi" w:hAnsiTheme="minorHAnsi"/>
          <w:sz w:val="18"/>
          <w:szCs w:val="18"/>
        </w:rPr>
        <w:t xml:space="preserve">EQ-5D-3L is a standardised measure of health status developed by </w:t>
      </w:r>
      <w:proofErr w:type="spellStart"/>
      <w:r w:rsidRPr="00D646A8">
        <w:rPr>
          <w:rFonts w:asciiTheme="minorHAnsi" w:eastAsiaTheme="minorHAnsi" w:hAnsiTheme="minorHAnsi"/>
          <w:sz w:val="18"/>
          <w:szCs w:val="18"/>
        </w:rPr>
        <w:t>EuroQol</w:t>
      </w:r>
      <w:proofErr w:type="spellEnd"/>
      <w:r w:rsidRPr="00D646A8">
        <w:rPr>
          <w:rFonts w:asciiTheme="minorHAnsi" w:eastAsiaTheme="minorHAnsi" w:hAnsiTheme="minorHAnsi"/>
          <w:sz w:val="18"/>
          <w:szCs w:val="18"/>
        </w:rPr>
        <w:t xml:space="preserve"> Group (www.euroqol.org) to provide a simple generic measure of health for clinical and economic appraisal.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5121" w:rsidRDefault="001D5121"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5121" w:rsidRDefault="001D5121">
    <w:pPr>
      <w:rPr>
        <w:noProof/>
        <w:lang w:eastAsia="en-AU"/>
      </w:rPr>
    </w:pPr>
    <w:r w:rsidRPr="002D545C">
      <w:rPr>
        <w:noProof/>
        <w:lang w:eastAsia="en-AU"/>
      </w:rPr>
      <w:drawing>
        <wp:anchor distT="0" distB="0" distL="114300" distR="114300" simplePos="0" relativeHeight="251659264" behindDoc="1" locked="0" layoutInCell="1" allowOverlap="1" wp14:anchorId="49E34924" wp14:editId="2F79C39E">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1D5121" w:rsidRDefault="001D5121" w:rsidP="00593AD1">
    <w:pPr>
      <w:pStyle w:val="HeaderNoLine"/>
    </w:pPr>
    <w:r>
      <w:rPr>
        <w:noProof/>
        <w:lang w:eastAsia="en-AU"/>
      </w:rPr>
      <w:drawing>
        <wp:inline distT="0" distB="0" distL="0" distR="0" wp14:anchorId="6D52608F" wp14:editId="0C4F37D4">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5121" w:rsidRDefault="001D512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5121" w:rsidRDefault="001D5121">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5121" w:rsidRDefault="001D5121">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5121" w:rsidRDefault="001D512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5121" w:rsidRDefault="001D5121"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5121" w:rsidRDefault="001D5121" w:rsidP="006E08B3">
    <w:r>
      <w:t>Therapeutic Goods Administration</w:t>
    </w:r>
  </w:p>
  <w:p w:rsidR="001D5121" w:rsidRDefault="001D5121"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E6C4F"/>
    <w:multiLevelType w:val="hybridMultilevel"/>
    <w:tmpl w:val="1722E6D2"/>
    <w:lvl w:ilvl="0" w:tplc="AD1A65A6">
      <w:start w:val="1"/>
      <w:numFmt w:val="lowerLetter"/>
      <w:lvlText w:val="(%1)"/>
      <w:lvlJc w:val="left"/>
      <w:pPr>
        <w:ind w:left="720" w:hanging="360"/>
      </w:pPr>
      <w:rPr>
        <w:rFonts w:eastAsia="Cambria"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2">
    <w:nsid w:val="15FB6078"/>
    <w:multiLevelType w:val="multilevel"/>
    <w:tmpl w:val="5462BB8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168F13E9"/>
    <w:multiLevelType w:val="multilevel"/>
    <w:tmpl w:val="5AC47928"/>
    <w:styleLink w:val="ListBullets"/>
    <w:lvl w:ilvl="0">
      <w:start w:val="1"/>
      <w:numFmt w:val="bullet"/>
      <w:pStyle w:val="ListBullet"/>
      <w:lvlText w:val="•"/>
      <w:lvlJc w:val="left"/>
      <w:pPr>
        <w:ind w:left="360" w:hanging="360"/>
      </w:pPr>
      <w:rPr>
        <w:rFonts w:ascii="Arial" w:hAnsi="Aria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
    <w:nsid w:val="1BB47FE4"/>
    <w:multiLevelType w:val="hybridMultilevel"/>
    <w:tmpl w:val="44724B00"/>
    <w:lvl w:ilvl="0" w:tplc="AD1A65A6">
      <w:start w:val="1"/>
      <w:numFmt w:val="lowerLetter"/>
      <w:lvlText w:val="(%1)"/>
      <w:lvlJc w:val="left"/>
      <w:pPr>
        <w:ind w:left="720" w:hanging="360"/>
      </w:pPr>
      <w:rPr>
        <w:rFonts w:eastAsia="Cambria"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D8419E2"/>
    <w:multiLevelType w:val="hybridMultilevel"/>
    <w:tmpl w:val="2960AF78"/>
    <w:lvl w:ilvl="0" w:tplc="0C09000F">
      <w:start w:val="1"/>
      <w:numFmt w:val="decimal"/>
      <w:lvlText w:val="%1."/>
      <w:lvlJc w:val="left"/>
      <w:pPr>
        <w:ind w:left="720" w:hanging="360"/>
      </w:pPr>
      <w:rPr>
        <w:rFonts w:ascii="Times New Roman" w:hAnsi="Times New Roman"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2CC419F8"/>
    <w:multiLevelType w:val="hybridMultilevel"/>
    <w:tmpl w:val="19367880"/>
    <w:lvl w:ilvl="0" w:tplc="F1E45B32">
      <w:start w:val="1"/>
      <w:numFmt w:val="decimal"/>
      <w:lvlText w:val="(%1)"/>
      <w:lvlJc w:val="left"/>
      <w:pPr>
        <w:ind w:left="720" w:hanging="360"/>
      </w:pPr>
      <w:rPr>
        <w:rFonts w:ascii="ArialMT" w:hAnsi="ArialMT" w:hint="default"/>
        <w:sz w:val="1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34C405A8"/>
    <w:multiLevelType w:val="hybridMultilevel"/>
    <w:tmpl w:val="82F6811E"/>
    <w:lvl w:ilvl="0" w:tplc="548E6718">
      <w:start w:val="7"/>
      <w:numFmt w:val="bullet"/>
      <w:lvlText w:val="-"/>
      <w:lvlJc w:val="left"/>
      <w:pPr>
        <w:ind w:left="720" w:hanging="360"/>
      </w:pPr>
      <w:rPr>
        <w:rFonts w:ascii="Cambria" w:eastAsiaTheme="minorHAnsi"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9">
    <w:nsid w:val="617C0F15"/>
    <w:multiLevelType w:val="hybridMultilevel"/>
    <w:tmpl w:val="7B724AAA"/>
    <w:lvl w:ilvl="0" w:tplc="66648B54">
      <w:start w:val="5"/>
      <w:numFmt w:val="bullet"/>
      <w:lvlText w:val="-"/>
      <w:lvlJc w:val="left"/>
      <w:pPr>
        <w:ind w:left="720" w:hanging="360"/>
      </w:pPr>
      <w:rPr>
        <w:rFonts w:ascii="Cambria" w:eastAsia="TimesNewRoman" w:hAnsi="Cambria" w:cs="TimesNew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67AE49D3"/>
    <w:multiLevelType w:val="hybridMultilevel"/>
    <w:tmpl w:val="BE6A7134"/>
    <w:lvl w:ilvl="0" w:tplc="AD1A65A6">
      <w:start w:val="1"/>
      <w:numFmt w:val="lowerLetter"/>
      <w:lvlText w:val="(%1)"/>
      <w:lvlJc w:val="left"/>
      <w:pPr>
        <w:ind w:left="1080" w:hanging="360"/>
      </w:pPr>
      <w:rPr>
        <w:rFonts w:eastAsia="Cambria" w:cs="Times New Roman"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nsid w:val="68A24A95"/>
    <w:multiLevelType w:val="hybridMultilevel"/>
    <w:tmpl w:val="59DE364E"/>
    <w:lvl w:ilvl="0" w:tplc="21A0721E">
      <w:start w:val="12"/>
      <w:numFmt w:val="bullet"/>
      <w:lvlText w:val="-"/>
      <w:lvlJc w:val="left"/>
      <w:pPr>
        <w:ind w:left="1080" w:hanging="360"/>
      </w:pPr>
      <w:rPr>
        <w:rFonts w:ascii="Cambria" w:eastAsia="Cambria" w:hAnsi="Cambria"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3">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7BBC3BC4"/>
    <w:multiLevelType w:val="hybridMultilevel"/>
    <w:tmpl w:val="1722E6D2"/>
    <w:lvl w:ilvl="0" w:tplc="AD1A65A6">
      <w:start w:val="1"/>
      <w:numFmt w:val="lowerLetter"/>
      <w:lvlText w:val="(%1)"/>
      <w:lvlJc w:val="left"/>
      <w:pPr>
        <w:ind w:left="720" w:hanging="360"/>
      </w:pPr>
      <w:rPr>
        <w:rFonts w:eastAsia="Cambria"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
  </w:num>
  <w:num w:numId="2">
    <w:abstractNumId w:val="1"/>
  </w:num>
  <w:num w:numId="3">
    <w:abstractNumId w:val="3"/>
  </w:num>
  <w:num w:numId="4">
    <w:abstractNumId w:val="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2"/>
  </w:num>
  <w:num w:numId="6">
    <w:abstractNumId w:val="8"/>
  </w:num>
  <w:num w:numId="7">
    <w:abstractNumId w:val="13"/>
  </w:num>
  <w:num w:numId="8">
    <w:abstractNumId w:val="2"/>
  </w:num>
  <w:num w:numId="9">
    <w:abstractNumId w:val="9"/>
  </w:num>
  <w:num w:numId="10">
    <w:abstractNumId w:val="7"/>
  </w:num>
  <w:num w:numId="11">
    <w:abstractNumId w:val="6"/>
  </w:num>
  <w:num w:numId="12">
    <w:abstractNumId w:val="14"/>
  </w:num>
  <w:num w:numId="13">
    <w:abstractNumId w:val="5"/>
  </w:num>
  <w:num w:numId="14">
    <w:abstractNumId w:val="0"/>
  </w:num>
  <w:num w:numId="15">
    <w:abstractNumId w:val="4"/>
  </w:num>
  <w:num w:numId="16">
    <w:abstractNumId w:val="10"/>
  </w:num>
  <w:num w:numId="17">
    <w:abstractNumId w:val="11"/>
  </w:num>
  <w:num w:numId="18">
    <w:abstractNumId w:val="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19">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0">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1">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2">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3">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4">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5">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5CF1"/>
    <w:rsid w:val="00002031"/>
    <w:rsid w:val="00004710"/>
    <w:rsid w:val="00004734"/>
    <w:rsid w:val="00006B22"/>
    <w:rsid w:val="000120A4"/>
    <w:rsid w:val="0001276A"/>
    <w:rsid w:val="0001597F"/>
    <w:rsid w:val="000231DE"/>
    <w:rsid w:val="000246AE"/>
    <w:rsid w:val="00025C67"/>
    <w:rsid w:val="00032376"/>
    <w:rsid w:val="00040ACB"/>
    <w:rsid w:val="00045857"/>
    <w:rsid w:val="0005559E"/>
    <w:rsid w:val="00056F63"/>
    <w:rsid w:val="000740F7"/>
    <w:rsid w:val="00077775"/>
    <w:rsid w:val="000778F7"/>
    <w:rsid w:val="00077D07"/>
    <w:rsid w:val="00090471"/>
    <w:rsid w:val="00096B7D"/>
    <w:rsid w:val="00097B5E"/>
    <w:rsid w:val="000A17E7"/>
    <w:rsid w:val="000A3AED"/>
    <w:rsid w:val="000A63AF"/>
    <w:rsid w:val="000B3532"/>
    <w:rsid w:val="000B3A75"/>
    <w:rsid w:val="000C2518"/>
    <w:rsid w:val="000C690F"/>
    <w:rsid w:val="000C6FC8"/>
    <w:rsid w:val="000D1295"/>
    <w:rsid w:val="000D391B"/>
    <w:rsid w:val="000D3D6D"/>
    <w:rsid w:val="000D4FC7"/>
    <w:rsid w:val="000F02F9"/>
    <w:rsid w:val="000F4869"/>
    <w:rsid w:val="000F5B42"/>
    <w:rsid w:val="000F6E6F"/>
    <w:rsid w:val="000F7316"/>
    <w:rsid w:val="00100C40"/>
    <w:rsid w:val="0010193C"/>
    <w:rsid w:val="00104613"/>
    <w:rsid w:val="0010562B"/>
    <w:rsid w:val="0010567B"/>
    <w:rsid w:val="0010601F"/>
    <w:rsid w:val="0010788A"/>
    <w:rsid w:val="00107A31"/>
    <w:rsid w:val="001109FF"/>
    <w:rsid w:val="00110EA5"/>
    <w:rsid w:val="00112F56"/>
    <w:rsid w:val="0011321A"/>
    <w:rsid w:val="0012056D"/>
    <w:rsid w:val="00125318"/>
    <w:rsid w:val="001305A2"/>
    <w:rsid w:val="00133238"/>
    <w:rsid w:val="00133580"/>
    <w:rsid w:val="001370F4"/>
    <w:rsid w:val="00137F20"/>
    <w:rsid w:val="00141368"/>
    <w:rsid w:val="00141834"/>
    <w:rsid w:val="0014197B"/>
    <w:rsid w:val="001428DB"/>
    <w:rsid w:val="001447CD"/>
    <w:rsid w:val="001516B1"/>
    <w:rsid w:val="00154EBB"/>
    <w:rsid w:val="00155D4D"/>
    <w:rsid w:val="00156316"/>
    <w:rsid w:val="00165389"/>
    <w:rsid w:val="0017078F"/>
    <w:rsid w:val="001708EC"/>
    <w:rsid w:val="0017693F"/>
    <w:rsid w:val="0018110E"/>
    <w:rsid w:val="00181684"/>
    <w:rsid w:val="001843C6"/>
    <w:rsid w:val="001850E0"/>
    <w:rsid w:val="00193840"/>
    <w:rsid w:val="001A2158"/>
    <w:rsid w:val="001A525F"/>
    <w:rsid w:val="001A6CF6"/>
    <w:rsid w:val="001B09F9"/>
    <w:rsid w:val="001B3EBB"/>
    <w:rsid w:val="001B5D98"/>
    <w:rsid w:val="001B6448"/>
    <w:rsid w:val="001C657B"/>
    <w:rsid w:val="001C748D"/>
    <w:rsid w:val="001D5121"/>
    <w:rsid w:val="001E07CF"/>
    <w:rsid w:val="001E4B80"/>
    <w:rsid w:val="001E59F1"/>
    <w:rsid w:val="001F430C"/>
    <w:rsid w:val="001F497A"/>
    <w:rsid w:val="001F49EB"/>
    <w:rsid w:val="001F6CBA"/>
    <w:rsid w:val="001F7376"/>
    <w:rsid w:val="00201D4E"/>
    <w:rsid w:val="002076C9"/>
    <w:rsid w:val="00220B8A"/>
    <w:rsid w:val="002257F3"/>
    <w:rsid w:val="00233456"/>
    <w:rsid w:val="002339A5"/>
    <w:rsid w:val="00257848"/>
    <w:rsid w:val="002666AC"/>
    <w:rsid w:val="0027084A"/>
    <w:rsid w:val="00282F2B"/>
    <w:rsid w:val="0028480B"/>
    <w:rsid w:val="00286434"/>
    <w:rsid w:val="00286C59"/>
    <w:rsid w:val="0028759D"/>
    <w:rsid w:val="00292113"/>
    <w:rsid w:val="002942D1"/>
    <w:rsid w:val="0029501A"/>
    <w:rsid w:val="002A4910"/>
    <w:rsid w:val="002B1638"/>
    <w:rsid w:val="002B4317"/>
    <w:rsid w:val="002C059F"/>
    <w:rsid w:val="002C2AB3"/>
    <w:rsid w:val="002C63ED"/>
    <w:rsid w:val="002D545C"/>
    <w:rsid w:val="002D6161"/>
    <w:rsid w:val="002E1032"/>
    <w:rsid w:val="002E4C9A"/>
    <w:rsid w:val="002E5CF1"/>
    <w:rsid w:val="002E6A0D"/>
    <w:rsid w:val="002F11F8"/>
    <w:rsid w:val="002F3F56"/>
    <w:rsid w:val="002F44B5"/>
    <w:rsid w:val="002F6FA8"/>
    <w:rsid w:val="0030125A"/>
    <w:rsid w:val="0030190B"/>
    <w:rsid w:val="003038FE"/>
    <w:rsid w:val="00307775"/>
    <w:rsid w:val="00311AC0"/>
    <w:rsid w:val="00321B0C"/>
    <w:rsid w:val="00324FFF"/>
    <w:rsid w:val="0032583B"/>
    <w:rsid w:val="00327883"/>
    <w:rsid w:val="00335504"/>
    <w:rsid w:val="00337E5F"/>
    <w:rsid w:val="003436E7"/>
    <w:rsid w:val="003521E8"/>
    <w:rsid w:val="003702E1"/>
    <w:rsid w:val="003728F3"/>
    <w:rsid w:val="0037496E"/>
    <w:rsid w:val="0037623D"/>
    <w:rsid w:val="0038343A"/>
    <w:rsid w:val="00386150"/>
    <w:rsid w:val="003874CE"/>
    <w:rsid w:val="00390900"/>
    <w:rsid w:val="00396C92"/>
    <w:rsid w:val="003A20A2"/>
    <w:rsid w:val="003A7F6C"/>
    <w:rsid w:val="003B1113"/>
    <w:rsid w:val="003B4D60"/>
    <w:rsid w:val="003B634F"/>
    <w:rsid w:val="003B751A"/>
    <w:rsid w:val="003B7E39"/>
    <w:rsid w:val="003C3A70"/>
    <w:rsid w:val="003C58DC"/>
    <w:rsid w:val="003D0A3B"/>
    <w:rsid w:val="003D1E62"/>
    <w:rsid w:val="003D596E"/>
    <w:rsid w:val="003D7694"/>
    <w:rsid w:val="003E10F4"/>
    <w:rsid w:val="003E2486"/>
    <w:rsid w:val="003E3208"/>
    <w:rsid w:val="003E5A0D"/>
    <w:rsid w:val="003F0B04"/>
    <w:rsid w:val="003F1975"/>
    <w:rsid w:val="0040134E"/>
    <w:rsid w:val="00407593"/>
    <w:rsid w:val="00415D59"/>
    <w:rsid w:val="00424310"/>
    <w:rsid w:val="0043797D"/>
    <w:rsid w:val="00440A2D"/>
    <w:rsid w:val="004435DA"/>
    <w:rsid w:val="00444FE4"/>
    <w:rsid w:val="004564A7"/>
    <w:rsid w:val="00456C5E"/>
    <w:rsid w:val="00456D22"/>
    <w:rsid w:val="004617BF"/>
    <w:rsid w:val="00462457"/>
    <w:rsid w:val="00463658"/>
    <w:rsid w:val="004722CC"/>
    <w:rsid w:val="0049171A"/>
    <w:rsid w:val="004936E4"/>
    <w:rsid w:val="00494E60"/>
    <w:rsid w:val="00497487"/>
    <w:rsid w:val="004A464E"/>
    <w:rsid w:val="004A7E13"/>
    <w:rsid w:val="004B70AC"/>
    <w:rsid w:val="004B7B76"/>
    <w:rsid w:val="004C1534"/>
    <w:rsid w:val="004C2DCA"/>
    <w:rsid w:val="004C4472"/>
    <w:rsid w:val="004D00D4"/>
    <w:rsid w:val="004F0F38"/>
    <w:rsid w:val="004F1693"/>
    <w:rsid w:val="004F4AF5"/>
    <w:rsid w:val="00501921"/>
    <w:rsid w:val="005155DB"/>
    <w:rsid w:val="00530354"/>
    <w:rsid w:val="0053625B"/>
    <w:rsid w:val="005434C6"/>
    <w:rsid w:val="00543B39"/>
    <w:rsid w:val="00550096"/>
    <w:rsid w:val="00557FF9"/>
    <w:rsid w:val="00575E67"/>
    <w:rsid w:val="00576378"/>
    <w:rsid w:val="00577945"/>
    <w:rsid w:val="00577E38"/>
    <w:rsid w:val="00580B77"/>
    <w:rsid w:val="00585322"/>
    <w:rsid w:val="005857C6"/>
    <w:rsid w:val="00586F98"/>
    <w:rsid w:val="00592F6E"/>
    <w:rsid w:val="00593AD1"/>
    <w:rsid w:val="00595A14"/>
    <w:rsid w:val="005A3437"/>
    <w:rsid w:val="005A68B6"/>
    <w:rsid w:val="005C5570"/>
    <w:rsid w:val="005C79A4"/>
    <w:rsid w:val="005D5442"/>
    <w:rsid w:val="005E54ED"/>
    <w:rsid w:val="005F68B1"/>
    <w:rsid w:val="00603F32"/>
    <w:rsid w:val="00606E10"/>
    <w:rsid w:val="006170F0"/>
    <w:rsid w:val="00620406"/>
    <w:rsid w:val="00632398"/>
    <w:rsid w:val="006369F1"/>
    <w:rsid w:val="00640FC3"/>
    <w:rsid w:val="00642020"/>
    <w:rsid w:val="00646206"/>
    <w:rsid w:val="0065337B"/>
    <w:rsid w:val="0065419D"/>
    <w:rsid w:val="006604D8"/>
    <w:rsid w:val="00664A5B"/>
    <w:rsid w:val="006763D2"/>
    <w:rsid w:val="00680C08"/>
    <w:rsid w:val="00686AEA"/>
    <w:rsid w:val="006931B1"/>
    <w:rsid w:val="00694226"/>
    <w:rsid w:val="006A15C0"/>
    <w:rsid w:val="006B1102"/>
    <w:rsid w:val="006B4C50"/>
    <w:rsid w:val="006C130C"/>
    <w:rsid w:val="006C3E2A"/>
    <w:rsid w:val="006C642F"/>
    <w:rsid w:val="006D03E5"/>
    <w:rsid w:val="006D5D3E"/>
    <w:rsid w:val="006D65D9"/>
    <w:rsid w:val="006E08B3"/>
    <w:rsid w:val="006E7AB6"/>
    <w:rsid w:val="006F000B"/>
    <w:rsid w:val="006F17AC"/>
    <w:rsid w:val="006F1D37"/>
    <w:rsid w:val="006F26D0"/>
    <w:rsid w:val="006F2796"/>
    <w:rsid w:val="006F29B0"/>
    <w:rsid w:val="006F572E"/>
    <w:rsid w:val="006F660B"/>
    <w:rsid w:val="007046D6"/>
    <w:rsid w:val="00705DB0"/>
    <w:rsid w:val="00710DBA"/>
    <w:rsid w:val="00722B57"/>
    <w:rsid w:val="00727549"/>
    <w:rsid w:val="00730F18"/>
    <w:rsid w:val="0074253D"/>
    <w:rsid w:val="0074429B"/>
    <w:rsid w:val="0074603D"/>
    <w:rsid w:val="007513B4"/>
    <w:rsid w:val="00752D4C"/>
    <w:rsid w:val="007615BC"/>
    <w:rsid w:val="00762F05"/>
    <w:rsid w:val="007652FF"/>
    <w:rsid w:val="007677A2"/>
    <w:rsid w:val="007704B5"/>
    <w:rsid w:val="00770EF1"/>
    <w:rsid w:val="00773EF7"/>
    <w:rsid w:val="00774E1D"/>
    <w:rsid w:val="0077675A"/>
    <w:rsid w:val="00776919"/>
    <w:rsid w:val="00780355"/>
    <w:rsid w:val="00785721"/>
    <w:rsid w:val="00793A59"/>
    <w:rsid w:val="007A1A22"/>
    <w:rsid w:val="007B5041"/>
    <w:rsid w:val="007B6E9F"/>
    <w:rsid w:val="007C10EB"/>
    <w:rsid w:val="007C1216"/>
    <w:rsid w:val="007C1AF7"/>
    <w:rsid w:val="007C4B32"/>
    <w:rsid w:val="007C5FC9"/>
    <w:rsid w:val="007D33B0"/>
    <w:rsid w:val="007E6E27"/>
    <w:rsid w:val="007F3211"/>
    <w:rsid w:val="007F3E00"/>
    <w:rsid w:val="00803C18"/>
    <w:rsid w:val="00805D27"/>
    <w:rsid w:val="00821776"/>
    <w:rsid w:val="008321F5"/>
    <w:rsid w:val="00832369"/>
    <w:rsid w:val="00832D7B"/>
    <w:rsid w:val="00833C92"/>
    <w:rsid w:val="00834660"/>
    <w:rsid w:val="008348EB"/>
    <w:rsid w:val="00836BC2"/>
    <w:rsid w:val="00840D41"/>
    <w:rsid w:val="008414A0"/>
    <w:rsid w:val="0085641B"/>
    <w:rsid w:val="00857136"/>
    <w:rsid w:val="00861943"/>
    <w:rsid w:val="00862319"/>
    <w:rsid w:val="008703F4"/>
    <w:rsid w:val="00886D15"/>
    <w:rsid w:val="00887DD8"/>
    <w:rsid w:val="008906A6"/>
    <w:rsid w:val="00896018"/>
    <w:rsid w:val="008960DD"/>
    <w:rsid w:val="0089635C"/>
    <w:rsid w:val="008A2B9D"/>
    <w:rsid w:val="008A3933"/>
    <w:rsid w:val="008A5E0B"/>
    <w:rsid w:val="008A6D59"/>
    <w:rsid w:val="008B04DD"/>
    <w:rsid w:val="008B4B03"/>
    <w:rsid w:val="008B596F"/>
    <w:rsid w:val="008B5A3E"/>
    <w:rsid w:val="008C159F"/>
    <w:rsid w:val="008C1623"/>
    <w:rsid w:val="008C1850"/>
    <w:rsid w:val="008C51A9"/>
    <w:rsid w:val="008D770F"/>
    <w:rsid w:val="008E1AA6"/>
    <w:rsid w:val="008E2904"/>
    <w:rsid w:val="008E71EA"/>
    <w:rsid w:val="008E7846"/>
    <w:rsid w:val="008F1CCC"/>
    <w:rsid w:val="008F2967"/>
    <w:rsid w:val="008F4CA2"/>
    <w:rsid w:val="008F6943"/>
    <w:rsid w:val="008F69AF"/>
    <w:rsid w:val="00902A21"/>
    <w:rsid w:val="00906445"/>
    <w:rsid w:val="009174D7"/>
    <w:rsid w:val="00920330"/>
    <w:rsid w:val="009219D7"/>
    <w:rsid w:val="00922D53"/>
    <w:rsid w:val="00923B70"/>
    <w:rsid w:val="00924482"/>
    <w:rsid w:val="00930237"/>
    <w:rsid w:val="009438E8"/>
    <w:rsid w:val="00943D71"/>
    <w:rsid w:val="0094614A"/>
    <w:rsid w:val="00946EA5"/>
    <w:rsid w:val="0095160F"/>
    <w:rsid w:val="00960172"/>
    <w:rsid w:val="00963C08"/>
    <w:rsid w:val="00973C46"/>
    <w:rsid w:val="009819CB"/>
    <w:rsid w:val="00981D66"/>
    <w:rsid w:val="0098585A"/>
    <w:rsid w:val="0098669D"/>
    <w:rsid w:val="00994C95"/>
    <w:rsid w:val="009954D6"/>
    <w:rsid w:val="009A0FBD"/>
    <w:rsid w:val="009A38DF"/>
    <w:rsid w:val="009A4CED"/>
    <w:rsid w:val="009A690D"/>
    <w:rsid w:val="009B1D12"/>
    <w:rsid w:val="009B416B"/>
    <w:rsid w:val="009C4BD5"/>
    <w:rsid w:val="009D745D"/>
    <w:rsid w:val="009D7B77"/>
    <w:rsid w:val="009E0BB0"/>
    <w:rsid w:val="009E3FBB"/>
    <w:rsid w:val="009F0961"/>
    <w:rsid w:val="009F44DB"/>
    <w:rsid w:val="00A102E4"/>
    <w:rsid w:val="00A12C42"/>
    <w:rsid w:val="00A14DF7"/>
    <w:rsid w:val="00A216B0"/>
    <w:rsid w:val="00A235D9"/>
    <w:rsid w:val="00A238E0"/>
    <w:rsid w:val="00A3246D"/>
    <w:rsid w:val="00A3455A"/>
    <w:rsid w:val="00A36FA7"/>
    <w:rsid w:val="00A400E1"/>
    <w:rsid w:val="00A448CD"/>
    <w:rsid w:val="00A475B7"/>
    <w:rsid w:val="00A47AF7"/>
    <w:rsid w:val="00A47C3E"/>
    <w:rsid w:val="00A50226"/>
    <w:rsid w:val="00A547A9"/>
    <w:rsid w:val="00A60BAD"/>
    <w:rsid w:val="00A63985"/>
    <w:rsid w:val="00A64759"/>
    <w:rsid w:val="00A73AD3"/>
    <w:rsid w:val="00A83ADC"/>
    <w:rsid w:val="00A87216"/>
    <w:rsid w:val="00A964D1"/>
    <w:rsid w:val="00AA0ED0"/>
    <w:rsid w:val="00AA3499"/>
    <w:rsid w:val="00AA6D48"/>
    <w:rsid w:val="00AB18BF"/>
    <w:rsid w:val="00AB20F3"/>
    <w:rsid w:val="00AB4867"/>
    <w:rsid w:val="00AC2B40"/>
    <w:rsid w:val="00AC2BB2"/>
    <w:rsid w:val="00AC2C3C"/>
    <w:rsid w:val="00AC366E"/>
    <w:rsid w:val="00AC512D"/>
    <w:rsid w:val="00AE01C2"/>
    <w:rsid w:val="00AE3765"/>
    <w:rsid w:val="00AE65EB"/>
    <w:rsid w:val="00AE67A7"/>
    <w:rsid w:val="00AF0163"/>
    <w:rsid w:val="00AF1D94"/>
    <w:rsid w:val="00AF60C5"/>
    <w:rsid w:val="00B009C6"/>
    <w:rsid w:val="00B01548"/>
    <w:rsid w:val="00B02208"/>
    <w:rsid w:val="00B0286E"/>
    <w:rsid w:val="00B10986"/>
    <w:rsid w:val="00B1425E"/>
    <w:rsid w:val="00B21D29"/>
    <w:rsid w:val="00B25034"/>
    <w:rsid w:val="00B26019"/>
    <w:rsid w:val="00B275F4"/>
    <w:rsid w:val="00B33588"/>
    <w:rsid w:val="00B33863"/>
    <w:rsid w:val="00B3567E"/>
    <w:rsid w:val="00B37D17"/>
    <w:rsid w:val="00B416C5"/>
    <w:rsid w:val="00B4175E"/>
    <w:rsid w:val="00B452CE"/>
    <w:rsid w:val="00B54ACE"/>
    <w:rsid w:val="00B54C25"/>
    <w:rsid w:val="00B55E2C"/>
    <w:rsid w:val="00B60D0A"/>
    <w:rsid w:val="00B76B91"/>
    <w:rsid w:val="00B77EB1"/>
    <w:rsid w:val="00B811C6"/>
    <w:rsid w:val="00B8150F"/>
    <w:rsid w:val="00B85A87"/>
    <w:rsid w:val="00B90517"/>
    <w:rsid w:val="00B92E08"/>
    <w:rsid w:val="00B96EBE"/>
    <w:rsid w:val="00BB0C3D"/>
    <w:rsid w:val="00BC31A2"/>
    <w:rsid w:val="00BC622A"/>
    <w:rsid w:val="00BD45E3"/>
    <w:rsid w:val="00BD7303"/>
    <w:rsid w:val="00BE0A78"/>
    <w:rsid w:val="00BE32A6"/>
    <w:rsid w:val="00BE503A"/>
    <w:rsid w:val="00BE6252"/>
    <w:rsid w:val="00BE79F0"/>
    <w:rsid w:val="00BF046D"/>
    <w:rsid w:val="00BF1190"/>
    <w:rsid w:val="00BF5D04"/>
    <w:rsid w:val="00C1164D"/>
    <w:rsid w:val="00C137CE"/>
    <w:rsid w:val="00C16861"/>
    <w:rsid w:val="00C22678"/>
    <w:rsid w:val="00C30A79"/>
    <w:rsid w:val="00C404A6"/>
    <w:rsid w:val="00C40A36"/>
    <w:rsid w:val="00C44419"/>
    <w:rsid w:val="00C45E7B"/>
    <w:rsid w:val="00C4625F"/>
    <w:rsid w:val="00C471B1"/>
    <w:rsid w:val="00C5712C"/>
    <w:rsid w:val="00C618F7"/>
    <w:rsid w:val="00C61BB4"/>
    <w:rsid w:val="00C6316B"/>
    <w:rsid w:val="00C634A9"/>
    <w:rsid w:val="00C64586"/>
    <w:rsid w:val="00C70D53"/>
    <w:rsid w:val="00C73D0B"/>
    <w:rsid w:val="00C772FF"/>
    <w:rsid w:val="00C801AF"/>
    <w:rsid w:val="00C80256"/>
    <w:rsid w:val="00C811C0"/>
    <w:rsid w:val="00CA2F4B"/>
    <w:rsid w:val="00CA45C7"/>
    <w:rsid w:val="00CB6BC0"/>
    <w:rsid w:val="00CC1B7C"/>
    <w:rsid w:val="00CC2A5D"/>
    <w:rsid w:val="00CC727F"/>
    <w:rsid w:val="00CF15C3"/>
    <w:rsid w:val="00CF2B6F"/>
    <w:rsid w:val="00CF32EF"/>
    <w:rsid w:val="00CF58B6"/>
    <w:rsid w:val="00D017ED"/>
    <w:rsid w:val="00D040D3"/>
    <w:rsid w:val="00D04C65"/>
    <w:rsid w:val="00D102F6"/>
    <w:rsid w:val="00D224FE"/>
    <w:rsid w:val="00D26C7E"/>
    <w:rsid w:val="00D53A31"/>
    <w:rsid w:val="00D646A8"/>
    <w:rsid w:val="00D6493E"/>
    <w:rsid w:val="00D66779"/>
    <w:rsid w:val="00D7301E"/>
    <w:rsid w:val="00D7657B"/>
    <w:rsid w:val="00D83AE1"/>
    <w:rsid w:val="00D85193"/>
    <w:rsid w:val="00D855D4"/>
    <w:rsid w:val="00D87961"/>
    <w:rsid w:val="00D93466"/>
    <w:rsid w:val="00DA08D3"/>
    <w:rsid w:val="00DA1124"/>
    <w:rsid w:val="00DB6E8D"/>
    <w:rsid w:val="00DB75B7"/>
    <w:rsid w:val="00DC156B"/>
    <w:rsid w:val="00DC6E02"/>
    <w:rsid w:val="00DE02AE"/>
    <w:rsid w:val="00DF1D7F"/>
    <w:rsid w:val="00DF4BE4"/>
    <w:rsid w:val="00E0280B"/>
    <w:rsid w:val="00E02FB4"/>
    <w:rsid w:val="00E04DB4"/>
    <w:rsid w:val="00E07F15"/>
    <w:rsid w:val="00E20571"/>
    <w:rsid w:val="00E235F7"/>
    <w:rsid w:val="00E23659"/>
    <w:rsid w:val="00E239D4"/>
    <w:rsid w:val="00E26130"/>
    <w:rsid w:val="00E2741C"/>
    <w:rsid w:val="00E33DC3"/>
    <w:rsid w:val="00E40B22"/>
    <w:rsid w:val="00E45619"/>
    <w:rsid w:val="00E4588F"/>
    <w:rsid w:val="00E46DA3"/>
    <w:rsid w:val="00E4712E"/>
    <w:rsid w:val="00E51BB1"/>
    <w:rsid w:val="00E624A5"/>
    <w:rsid w:val="00E652C3"/>
    <w:rsid w:val="00E70129"/>
    <w:rsid w:val="00E7344E"/>
    <w:rsid w:val="00E7616B"/>
    <w:rsid w:val="00E77B22"/>
    <w:rsid w:val="00E87FD9"/>
    <w:rsid w:val="00E936E3"/>
    <w:rsid w:val="00E979F4"/>
    <w:rsid w:val="00EA682C"/>
    <w:rsid w:val="00EB0798"/>
    <w:rsid w:val="00EB40AD"/>
    <w:rsid w:val="00EB586E"/>
    <w:rsid w:val="00EB5FC8"/>
    <w:rsid w:val="00ED3CAD"/>
    <w:rsid w:val="00ED5A41"/>
    <w:rsid w:val="00EE1DE8"/>
    <w:rsid w:val="00EE728F"/>
    <w:rsid w:val="00F033EC"/>
    <w:rsid w:val="00F04F68"/>
    <w:rsid w:val="00F12670"/>
    <w:rsid w:val="00F14B27"/>
    <w:rsid w:val="00F3148D"/>
    <w:rsid w:val="00F325C5"/>
    <w:rsid w:val="00F32FE0"/>
    <w:rsid w:val="00F35298"/>
    <w:rsid w:val="00F47333"/>
    <w:rsid w:val="00F47784"/>
    <w:rsid w:val="00F47E37"/>
    <w:rsid w:val="00F53C07"/>
    <w:rsid w:val="00F54B65"/>
    <w:rsid w:val="00F640B6"/>
    <w:rsid w:val="00F76523"/>
    <w:rsid w:val="00F80E40"/>
    <w:rsid w:val="00F848D9"/>
    <w:rsid w:val="00F97665"/>
    <w:rsid w:val="00FA39C2"/>
    <w:rsid w:val="00FA5B82"/>
    <w:rsid w:val="00FA639E"/>
    <w:rsid w:val="00FB1E32"/>
    <w:rsid w:val="00FB54F2"/>
    <w:rsid w:val="00FC25E4"/>
    <w:rsid w:val="00FC39EE"/>
    <w:rsid w:val="00FC4EF7"/>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uiPriority w:val="9"/>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
    <w:unhideWhenUsed/>
    <w:qFormat/>
    <w:rsid w:val="002E5CF1"/>
    <w:pPr>
      <w:keepNext/>
      <w:keepLines/>
      <w:spacing w:before="200" w:after="0"/>
      <w:ind w:left="1418" w:hanging="1418"/>
      <w:outlineLvl w:val="7"/>
    </w:pPr>
    <w:rPr>
      <w:rFonts w:ascii="Calibri" w:eastAsiaTheme="majorEastAsia" w:hAnsi="Calibri" w:cs="Calibri"/>
      <w:b/>
      <w:color w:val="404040" w:themeColor="text1" w:themeTint="BF"/>
      <w:sz w:val="20"/>
      <w:szCs w:val="20"/>
    </w:rPr>
  </w:style>
  <w:style w:type="paragraph" w:styleId="Heading9">
    <w:name w:val="heading 9"/>
    <w:basedOn w:val="Normal"/>
    <w:next w:val="Normal"/>
    <w:link w:val="Heading9Char"/>
    <w:uiPriority w:val="9"/>
    <w:unhideWhenUsed/>
    <w:qFormat/>
    <w:rsid w:val="002E5CF1"/>
    <w:pPr>
      <w:keepNext/>
      <w:keepLines/>
      <w:spacing w:before="200" w:after="0"/>
      <w:outlineLvl w:val="8"/>
    </w:pPr>
    <w:rPr>
      <w:rFonts w:ascii="Calibri" w:eastAsiaTheme="majorEastAsia" w:hAnsi="Calibri" w:cs="Calibr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436E7"/>
    <w:pPr>
      <w:keepNext/>
      <w:keepLines/>
      <w:spacing w:line="220" w:lineRule="atLeast"/>
    </w:pPr>
    <w:rPr>
      <w:b/>
    </w:rPr>
  </w:style>
  <w:style w:type="character" w:customStyle="1" w:styleId="Heading4Char">
    <w:name w:val="Heading 4 Char"/>
    <w:basedOn w:val="DefaultParagraphFont"/>
    <w:link w:val="Heading4"/>
    <w:uiPriority w:val="9"/>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1D5121"/>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uiPriority w:val="9"/>
    <w:rsid w:val="002E5CF1"/>
    <w:rPr>
      <w:rFonts w:ascii="Calibri" w:eastAsiaTheme="majorEastAsia" w:hAnsi="Calibri" w:cs="Calibri"/>
      <w:b/>
      <w:color w:val="404040" w:themeColor="text1" w:themeTint="BF"/>
      <w:sz w:val="20"/>
      <w:szCs w:val="20"/>
    </w:rPr>
  </w:style>
  <w:style w:type="character" w:customStyle="1" w:styleId="Heading9Char">
    <w:name w:val="Heading 9 Char"/>
    <w:basedOn w:val="DefaultParagraphFont"/>
    <w:link w:val="Heading9"/>
    <w:uiPriority w:val="9"/>
    <w:rsid w:val="002E5CF1"/>
    <w:rPr>
      <w:rFonts w:ascii="Calibri" w:eastAsiaTheme="majorEastAsia" w:hAnsi="Calibri" w:cs="Calibri"/>
      <w:i/>
      <w:iCs/>
      <w:color w:val="404040" w:themeColor="text1" w:themeTint="BF"/>
      <w:sz w:val="20"/>
      <w:szCs w:val="20"/>
    </w:rPr>
  </w:style>
  <w:style w:type="paragraph" w:customStyle="1" w:styleId="Bullet2">
    <w:name w:val="Bullet 2"/>
    <w:basedOn w:val="Normal"/>
    <w:rsid w:val="002E5CF1"/>
    <w:pPr>
      <w:numPr>
        <w:numId w:val="6"/>
      </w:numPr>
      <w:spacing w:after="0" w:line="240" w:lineRule="auto"/>
    </w:pPr>
    <w:rPr>
      <w:rFonts w:eastAsia="Times New Roman"/>
      <w:kern w:val="24"/>
      <w:szCs w:val="24"/>
      <w:lang w:eastAsia="en-AU"/>
    </w:rPr>
  </w:style>
  <w:style w:type="paragraph" w:customStyle="1" w:styleId="Instructions1">
    <w:name w:val="Instructions 1"/>
    <w:basedOn w:val="Normal"/>
    <w:qFormat/>
    <w:rsid w:val="002E5CF1"/>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2E5CF1"/>
    <w:pPr>
      <w:numPr>
        <w:numId w:val="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E5CF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2E5CF1"/>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2E5CF1"/>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2E5CF1"/>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2E5CF1"/>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2E5CF1"/>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2E5CF1"/>
    <w:pPr>
      <w:spacing w:before="0" w:after="0"/>
      <w:ind w:left="1760"/>
    </w:pPr>
    <w:rPr>
      <w:rFonts w:asciiTheme="minorHAnsi" w:hAnsiTheme="minorHAnsi"/>
      <w:sz w:val="18"/>
      <w:szCs w:val="18"/>
    </w:rPr>
  </w:style>
  <w:style w:type="paragraph" w:customStyle="1" w:styleId="Instructions">
    <w:name w:val="Instructions"/>
    <w:basedOn w:val="Normal"/>
    <w:next w:val="Normal"/>
    <w:uiPriority w:val="1"/>
    <w:qFormat/>
    <w:rsid w:val="002E5CF1"/>
    <w:rPr>
      <w:i/>
      <w:color w:val="007099"/>
    </w:rPr>
  </w:style>
  <w:style w:type="paragraph" w:styleId="TableofFigures">
    <w:name w:val="table of figures"/>
    <w:basedOn w:val="Normal"/>
    <w:next w:val="Normal"/>
    <w:uiPriority w:val="99"/>
    <w:unhideWhenUsed/>
    <w:rsid w:val="002E5CF1"/>
    <w:pPr>
      <w:spacing w:after="0"/>
    </w:pPr>
  </w:style>
  <w:style w:type="paragraph" w:customStyle="1" w:styleId="Default">
    <w:name w:val="Default"/>
    <w:rsid w:val="002E5CF1"/>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2E5CF1"/>
    <w:pPr>
      <w:ind w:left="720"/>
      <w:contextualSpacing/>
    </w:pPr>
  </w:style>
  <w:style w:type="paragraph" w:styleId="FootnoteText">
    <w:name w:val="footnote text"/>
    <w:basedOn w:val="Normal"/>
    <w:link w:val="FootnoteTextChar"/>
    <w:uiPriority w:val="99"/>
    <w:unhideWhenUsed/>
    <w:rsid w:val="002E5CF1"/>
    <w:pPr>
      <w:spacing w:before="0" w:after="0" w:line="240" w:lineRule="auto"/>
    </w:pPr>
    <w:rPr>
      <w:sz w:val="20"/>
      <w:szCs w:val="20"/>
    </w:rPr>
  </w:style>
  <w:style w:type="character" w:customStyle="1" w:styleId="FootnoteTextChar">
    <w:name w:val="Footnote Text Char"/>
    <w:basedOn w:val="DefaultParagraphFont"/>
    <w:link w:val="FootnoteText"/>
    <w:uiPriority w:val="99"/>
    <w:rsid w:val="002E5CF1"/>
    <w:rPr>
      <w:rFonts w:ascii="Cambria" w:eastAsia="Cambria" w:hAnsi="Cambria" w:cs="Times New Roman"/>
      <w:sz w:val="20"/>
      <w:szCs w:val="20"/>
    </w:rPr>
  </w:style>
  <w:style w:type="character" w:styleId="FootnoteReference">
    <w:name w:val="footnote reference"/>
    <w:basedOn w:val="DefaultParagraphFont"/>
    <w:uiPriority w:val="99"/>
    <w:unhideWhenUsed/>
    <w:rsid w:val="002E5CF1"/>
    <w:rPr>
      <w:vertAlign w:val="superscript"/>
    </w:rPr>
  </w:style>
  <w:style w:type="paragraph" w:styleId="BodyText">
    <w:name w:val="Body Text"/>
    <w:basedOn w:val="Normal"/>
    <w:link w:val="BodyTextChar"/>
    <w:rsid w:val="002E5CF1"/>
    <w:pPr>
      <w:spacing w:before="0" w:after="0" w:line="240" w:lineRule="auto"/>
    </w:pPr>
    <w:rPr>
      <w:rFonts w:ascii="Times New Roman" w:eastAsia="Times New Roman" w:hAnsi="Times New Roman"/>
      <w:sz w:val="24"/>
      <w:szCs w:val="20"/>
      <w:lang w:val="en-US"/>
    </w:rPr>
  </w:style>
  <w:style w:type="character" w:customStyle="1" w:styleId="BodyTextChar">
    <w:name w:val="Body Text Char"/>
    <w:basedOn w:val="DefaultParagraphFont"/>
    <w:link w:val="BodyText"/>
    <w:rsid w:val="002E5CF1"/>
    <w:rPr>
      <w:rFonts w:ascii="Times New Roman" w:eastAsia="Times New Roman" w:hAnsi="Times New Roman" w:cs="Times New Roman"/>
      <w:sz w:val="24"/>
      <w:szCs w:val="20"/>
      <w:lang w:val="en-US"/>
    </w:rPr>
  </w:style>
  <w:style w:type="character" w:styleId="Emphasis">
    <w:name w:val="Emphasis"/>
    <w:uiPriority w:val="20"/>
    <w:qFormat/>
    <w:rsid w:val="002E5CF1"/>
    <w:rPr>
      <w:i/>
      <w:iCs/>
    </w:rPr>
  </w:style>
  <w:style w:type="character" w:customStyle="1" w:styleId="authors">
    <w:name w:val="authors"/>
    <w:basedOn w:val="DefaultParagraphFont"/>
    <w:rsid w:val="002E5CF1"/>
  </w:style>
  <w:style w:type="character" w:customStyle="1" w:styleId="Title1">
    <w:name w:val="Title1"/>
    <w:basedOn w:val="DefaultParagraphFont"/>
    <w:rsid w:val="002E5CF1"/>
  </w:style>
  <w:style w:type="paragraph" w:customStyle="1" w:styleId="p7">
    <w:name w:val="p7"/>
    <w:basedOn w:val="Normal"/>
    <w:rsid w:val="002E5CF1"/>
    <w:pPr>
      <w:tabs>
        <w:tab w:val="left" w:pos="380"/>
      </w:tabs>
      <w:spacing w:before="0" w:after="0" w:line="280" w:lineRule="atLeast"/>
      <w:ind w:left="1008" w:hanging="432"/>
    </w:pPr>
    <w:rPr>
      <w:rFonts w:ascii="Times New Roman" w:eastAsia="Times New Roman" w:hAnsi="Times New Roman"/>
      <w:sz w:val="24"/>
      <w:szCs w:val="20"/>
      <w:lang w:val="en-US"/>
    </w:rPr>
  </w:style>
  <w:style w:type="table" w:styleId="LightList-Accent3">
    <w:name w:val="Light List Accent 3"/>
    <w:basedOn w:val="TableNormal"/>
    <w:uiPriority w:val="61"/>
    <w:rsid w:val="005A3437"/>
    <w:pPr>
      <w:spacing w:after="0" w:line="240" w:lineRule="auto"/>
    </w:pPr>
    <w:tblPr>
      <w:tblStyleRowBandSize w:val="1"/>
      <w:tblStyleColBandSize w:val="1"/>
      <w:tblBorders>
        <w:top w:val="single" w:sz="8" w:space="0" w:color="006DA7" w:themeColor="accent3"/>
        <w:left w:val="single" w:sz="8" w:space="0" w:color="006DA7" w:themeColor="accent3"/>
        <w:bottom w:val="single" w:sz="8" w:space="0" w:color="006DA7" w:themeColor="accent3"/>
        <w:right w:val="single" w:sz="8" w:space="0" w:color="006DA7" w:themeColor="accent3"/>
      </w:tblBorders>
    </w:tblPr>
    <w:tblStylePr w:type="firstRow">
      <w:pPr>
        <w:spacing w:before="0" w:after="0" w:line="240" w:lineRule="auto"/>
      </w:pPr>
      <w:rPr>
        <w:b/>
        <w:bCs/>
        <w:color w:val="FFFFFF" w:themeColor="background1"/>
      </w:rPr>
      <w:tblPr/>
      <w:tcPr>
        <w:shd w:val="clear" w:color="auto" w:fill="006DA7" w:themeFill="accent3"/>
      </w:tcPr>
    </w:tblStylePr>
    <w:tblStylePr w:type="lastRow">
      <w:pPr>
        <w:spacing w:before="0" w:after="0" w:line="240" w:lineRule="auto"/>
      </w:pPr>
      <w:rPr>
        <w:b/>
        <w:bCs/>
      </w:rPr>
      <w:tblPr/>
      <w:tcPr>
        <w:tcBorders>
          <w:top w:val="double" w:sz="6" w:space="0" w:color="006DA7" w:themeColor="accent3"/>
          <w:left w:val="single" w:sz="8" w:space="0" w:color="006DA7" w:themeColor="accent3"/>
          <w:bottom w:val="single" w:sz="8" w:space="0" w:color="006DA7" w:themeColor="accent3"/>
          <w:right w:val="single" w:sz="8" w:space="0" w:color="006DA7" w:themeColor="accent3"/>
        </w:tcBorders>
      </w:tcPr>
    </w:tblStylePr>
    <w:tblStylePr w:type="firstCol">
      <w:rPr>
        <w:b/>
        <w:bCs/>
      </w:rPr>
    </w:tblStylePr>
    <w:tblStylePr w:type="lastCol">
      <w:rPr>
        <w:b/>
        <w:bCs/>
      </w:rPr>
    </w:tblStylePr>
    <w:tblStylePr w:type="band1Vert">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tblStylePr w:type="band1Horz">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uiPriority w:val="9"/>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
    <w:unhideWhenUsed/>
    <w:qFormat/>
    <w:rsid w:val="002E5CF1"/>
    <w:pPr>
      <w:keepNext/>
      <w:keepLines/>
      <w:spacing w:before="200" w:after="0"/>
      <w:ind w:left="1418" w:hanging="1418"/>
      <w:outlineLvl w:val="7"/>
    </w:pPr>
    <w:rPr>
      <w:rFonts w:ascii="Calibri" w:eastAsiaTheme="majorEastAsia" w:hAnsi="Calibri" w:cs="Calibri"/>
      <w:b/>
      <w:color w:val="404040" w:themeColor="text1" w:themeTint="BF"/>
      <w:sz w:val="20"/>
      <w:szCs w:val="20"/>
    </w:rPr>
  </w:style>
  <w:style w:type="paragraph" w:styleId="Heading9">
    <w:name w:val="heading 9"/>
    <w:basedOn w:val="Normal"/>
    <w:next w:val="Normal"/>
    <w:link w:val="Heading9Char"/>
    <w:uiPriority w:val="9"/>
    <w:unhideWhenUsed/>
    <w:qFormat/>
    <w:rsid w:val="002E5CF1"/>
    <w:pPr>
      <w:keepNext/>
      <w:keepLines/>
      <w:spacing w:before="200" w:after="0"/>
      <w:outlineLvl w:val="8"/>
    </w:pPr>
    <w:rPr>
      <w:rFonts w:ascii="Calibri" w:eastAsiaTheme="majorEastAsia" w:hAnsi="Calibri" w:cs="Calibr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436E7"/>
    <w:pPr>
      <w:keepNext/>
      <w:keepLines/>
      <w:spacing w:line="220" w:lineRule="atLeast"/>
    </w:pPr>
    <w:rPr>
      <w:b/>
    </w:rPr>
  </w:style>
  <w:style w:type="character" w:customStyle="1" w:styleId="Heading4Char">
    <w:name w:val="Heading 4 Char"/>
    <w:basedOn w:val="DefaultParagraphFont"/>
    <w:link w:val="Heading4"/>
    <w:uiPriority w:val="9"/>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1D5121"/>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uiPriority w:val="9"/>
    <w:rsid w:val="002E5CF1"/>
    <w:rPr>
      <w:rFonts w:ascii="Calibri" w:eastAsiaTheme="majorEastAsia" w:hAnsi="Calibri" w:cs="Calibri"/>
      <w:b/>
      <w:color w:val="404040" w:themeColor="text1" w:themeTint="BF"/>
      <w:sz w:val="20"/>
      <w:szCs w:val="20"/>
    </w:rPr>
  </w:style>
  <w:style w:type="character" w:customStyle="1" w:styleId="Heading9Char">
    <w:name w:val="Heading 9 Char"/>
    <w:basedOn w:val="DefaultParagraphFont"/>
    <w:link w:val="Heading9"/>
    <w:uiPriority w:val="9"/>
    <w:rsid w:val="002E5CF1"/>
    <w:rPr>
      <w:rFonts w:ascii="Calibri" w:eastAsiaTheme="majorEastAsia" w:hAnsi="Calibri" w:cs="Calibri"/>
      <w:i/>
      <w:iCs/>
      <w:color w:val="404040" w:themeColor="text1" w:themeTint="BF"/>
      <w:sz w:val="20"/>
      <w:szCs w:val="20"/>
    </w:rPr>
  </w:style>
  <w:style w:type="paragraph" w:customStyle="1" w:styleId="Bullet2">
    <w:name w:val="Bullet 2"/>
    <w:basedOn w:val="Normal"/>
    <w:rsid w:val="002E5CF1"/>
    <w:pPr>
      <w:numPr>
        <w:numId w:val="6"/>
      </w:numPr>
      <w:spacing w:after="0" w:line="240" w:lineRule="auto"/>
    </w:pPr>
    <w:rPr>
      <w:rFonts w:eastAsia="Times New Roman"/>
      <w:kern w:val="24"/>
      <w:szCs w:val="24"/>
      <w:lang w:eastAsia="en-AU"/>
    </w:rPr>
  </w:style>
  <w:style w:type="paragraph" w:customStyle="1" w:styleId="Instructions1">
    <w:name w:val="Instructions 1"/>
    <w:basedOn w:val="Normal"/>
    <w:qFormat/>
    <w:rsid w:val="002E5CF1"/>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2E5CF1"/>
    <w:pPr>
      <w:numPr>
        <w:numId w:val="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E5CF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2E5CF1"/>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2E5CF1"/>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2E5CF1"/>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2E5CF1"/>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2E5CF1"/>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2E5CF1"/>
    <w:pPr>
      <w:spacing w:before="0" w:after="0"/>
      <w:ind w:left="1760"/>
    </w:pPr>
    <w:rPr>
      <w:rFonts w:asciiTheme="minorHAnsi" w:hAnsiTheme="minorHAnsi"/>
      <w:sz w:val="18"/>
      <w:szCs w:val="18"/>
    </w:rPr>
  </w:style>
  <w:style w:type="paragraph" w:customStyle="1" w:styleId="Instructions">
    <w:name w:val="Instructions"/>
    <w:basedOn w:val="Normal"/>
    <w:next w:val="Normal"/>
    <w:uiPriority w:val="1"/>
    <w:qFormat/>
    <w:rsid w:val="002E5CF1"/>
    <w:rPr>
      <w:i/>
      <w:color w:val="007099"/>
    </w:rPr>
  </w:style>
  <w:style w:type="paragraph" w:styleId="TableofFigures">
    <w:name w:val="table of figures"/>
    <w:basedOn w:val="Normal"/>
    <w:next w:val="Normal"/>
    <w:uiPriority w:val="99"/>
    <w:unhideWhenUsed/>
    <w:rsid w:val="002E5CF1"/>
    <w:pPr>
      <w:spacing w:after="0"/>
    </w:pPr>
  </w:style>
  <w:style w:type="paragraph" w:customStyle="1" w:styleId="Default">
    <w:name w:val="Default"/>
    <w:rsid w:val="002E5CF1"/>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2E5CF1"/>
    <w:pPr>
      <w:ind w:left="720"/>
      <w:contextualSpacing/>
    </w:pPr>
  </w:style>
  <w:style w:type="paragraph" w:styleId="FootnoteText">
    <w:name w:val="footnote text"/>
    <w:basedOn w:val="Normal"/>
    <w:link w:val="FootnoteTextChar"/>
    <w:uiPriority w:val="99"/>
    <w:unhideWhenUsed/>
    <w:rsid w:val="002E5CF1"/>
    <w:pPr>
      <w:spacing w:before="0" w:after="0" w:line="240" w:lineRule="auto"/>
    </w:pPr>
    <w:rPr>
      <w:sz w:val="20"/>
      <w:szCs w:val="20"/>
    </w:rPr>
  </w:style>
  <w:style w:type="character" w:customStyle="1" w:styleId="FootnoteTextChar">
    <w:name w:val="Footnote Text Char"/>
    <w:basedOn w:val="DefaultParagraphFont"/>
    <w:link w:val="FootnoteText"/>
    <w:uiPriority w:val="99"/>
    <w:rsid w:val="002E5CF1"/>
    <w:rPr>
      <w:rFonts w:ascii="Cambria" w:eastAsia="Cambria" w:hAnsi="Cambria" w:cs="Times New Roman"/>
      <w:sz w:val="20"/>
      <w:szCs w:val="20"/>
    </w:rPr>
  </w:style>
  <w:style w:type="character" w:styleId="FootnoteReference">
    <w:name w:val="footnote reference"/>
    <w:basedOn w:val="DefaultParagraphFont"/>
    <w:uiPriority w:val="99"/>
    <w:unhideWhenUsed/>
    <w:rsid w:val="002E5CF1"/>
    <w:rPr>
      <w:vertAlign w:val="superscript"/>
    </w:rPr>
  </w:style>
  <w:style w:type="paragraph" w:styleId="BodyText">
    <w:name w:val="Body Text"/>
    <w:basedOn w:val="Normal"/>
    <w:link w:val="BodyTextChar"/>
    <w:rsid w:val="002E5CF1"/>
    <w:pPr>
      <w:spacing w:before="0" w:after="0" w:line="240" w:lineRule="auto"/>
    </w:pPr>
    <w:rPr>
      <w:rFonts w:ascii="Times New Roman" w:eastAsia="Times New Roman" w:hAnsi="Times New Roman"/>
      <w:sz w:val="24"/>
      <w:szCs w:val="20"/>
      <w:lang w:val="en-US"/>
    </w:rPr>
  </w:style>
  <w:style w:type="character" w:customStyle="1" w:styleId="BodyTextChar">
    <w:name w:val="Body Text Char"/>
    <w:basedOn w:val="DefaultParagraphFont"/>
    <w:link w:val="BodyText"/>
    <w:rsid w:val="002E5CF1"/>
    <w:rPr>
      <w:rFonts w:ascii="Times New Roman" w:eastAsia="Times New Roman" w:hAnsi="Times New Roman" w:cs="Times New Roman"/>
      <w:sz w:val="24"/>
      <w:szCs w:val="20"/>
      <w:lang w:val="en-US"/>
    </w:rPr>
  </w:style>
  <w:style w:type="character" w:styleId="Emphasis">
    <w:name w:val="Emphasis"/>
    <w:uiPriority w:val="20"/>
    <w:qFormat/>
    <w:rsid w:val="002E5CF1"/>
    <w:rPr>
      <w:i/>
      <w:iCs/>
    </w:rPr>
  </w:style>
  <w:style w:type="character" w:customStyle="1" w:styleId="authors">
    <w:name w:val="authors"/>
    <w:basedOn w:val="DefaultParagraphFont"/>
    <w:rsid w:val="002E5CF1"/>
  </w:style>
  <w:style w:type="character" w:customStyle="1" w:styleId="Title1">
    <w:name w:val="Title1"/>
    <w:basedOn w:val="DefaultParagraphFont"/>
    <w:rsid w:val="002E5CF1"/>
  </w:style>
  <w:style w:type="paragraph" w:customStyle="1" w:styleId="p7">
    <w:name w:val="p7"/>
    <w:basedOn w:val="Normal"/>
    <w:rsid w:val="002E5CF1"/>
    <w:pPr>
      <w:tabs>
        <w:tab w:val="left" w:pos="380"/>
      </w:tabs>
      <w:spacing w:before="0" w:after="0" w:line="280" w:lineRule="atLeast"/>
      <w:ind w:left="1008" w:hanging="432"/>
    </w:pPr>
    <w:rPr>
      <w:rFonts w:ascii="Times New Roman" w:eastAsia="Times New Roman" w:hAnsi="Times New Roman"/>
      <w:sz w:val="24"/>
      <w:szCs w:val="20"/>
      <w:lang w:val="en-US"/>
    </w:rPr>
  </w:style>
  <w:style w:type="table" w:styleId="LightList-Accent3">
    <w:name w:val="Light List Accent 3"/>
    <w:basedOn w:val="TableNormal"/>
    <w:uiPriority w:val="61"/>
    <w:rsid w:val="005A3437"/>
    <w:pPr>
      <w:spacing w:after="0" w:line="240" w:lineRule="auto"/>
    </w:pPr>
    <w:tblPr>
      <w:tblStyleRowBandSize w:val="1"/>
      <w:tblStyleColBandSize w:val="1"/>
      <w:tblBorders>
        <w:top w:val="single" w:sz="8" w:space="0" w:color="006DA7" w:themeColor="accent3"/>
        <w:left w:val="single" w:sz="8" w:space="0" w:color="006DA7" w:themeColor="accent3"/>
        <w:bottom w:val="single" w:sz="8" w:space="0" w:color="006DA7" w:themeColor="accent3"/>
        <w:right w:val="single" w:sz="8" w:space="0" w:color="006DA7" w:themeColor="accent3"/>
      </w:tblBorders>
    </w:tblPr>
    <w:tblStylePr w:type="firstRow">
      <w:pPr>
        <w:spacing w:before="0" w:after="0" w:line="240" w:lineRule="auto"/>
      </w:pPr>
      <w:rPr>
        <w:b/>
        <w:bCs/>
        <w:color w:val="FFFFFF" w:themeColor="background1"/>
      </w:rPr>
      <w:tblPr/>
      <w:tcPr>
        <w:shd w:val="clear" w:color="auto" w:fill="006DA7" w:themeFill="accent3"/>
      </w:tcPr>
    </w:tblStylePr>
    <w:tblStylePr w:type="lastRow">
      <w:pPr>
        <w:spacing w:before="0" w:after="0" w:line="240" w:lineRule="auto"/>
      </w:pPr>
      <w:rPr>
        <w:b/>
        <w:bCs/>
      </w:rPr>
      <w:tblPr/>
      <w:tcPr>
        <w:tcBorders>
          <w:top w:val="double" w:sz="6" w:space="0" w:color="006DA7" w:themeColor="accent3"/>
          <w:left w:val="single" w:sz="8" w:space="0" w:color="006DA7" w:themeColor="accent3"/>
          <w:bottom w:val="single" w:sz="8" w:space="0" w:color="006DA7" w:themeColor="accent3"/>
          <w:right w:val="single" w:sz="8" w:space="0" w:color="006DA7" w:themeColor="accent3"/>
        </w:tcBorders>
      </w:tcPr>
    </w:tblStylePr>
    <w:tblStylePr w:type="firstCol">
      <w:rPr>
        <w:b/>
        <w:bCs/>
      </w:rPr>
    </w:tblStylePr>
    <w:tblStylePr w:type="lastCol">
      <w:rPr>
        <w:b/>
        <w:bCs/>
      </w:rPr>
    </w:tblStylePr>
    <w:tblStylePr w:type="band1Vert">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tblStylePr w:type="band1Horz">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1.emf"/><Relationship Id="rId21" Type="http://schemas.openxmlformats.org/officeDocument/2006/relationships/image" Target="media/image9.png"/><Relationship Id="rId42" Type="http://schemas.openxmlformats.org/officeDocument/2006/relationships/image" Target="media/image30.emf"/><Relationship Id="rId47" Type="http://schemas.openxmlformats.org/officeDocument/2006/relationships/image" Target="media/image34.emf"/><Relationship Id="rId63" Type="http://schemas.openxmlformats.org/officeDocument/2006/relationships/image" Target="media/image49.png"/><Relationship Id="rId68" Type="http://schemas.openxmlformats.org/officeDocument/2006/relationships/image" Target="media/image52.png"/><Relationship Id="rId84" Type="http://schemas.openxmlformats.org/officeDocument/2006/relationships/image" Target="media/image62.emf"/><Relationship Id="rId89" Type="http://schemas.openxmlformats.org/officeDocument/2006/relationships/image" Target="media/image67.png"/><Relationship Id="rId112" Type="http://schemas.openxmlformats.org/officeDocument/2006/relationships/image" Target="media/image87.emf"/><Relationship Id="rId133" Type="http://schemas.openxmlformats.org/officeDocument/2006/relationships/footer" Target="footer4.xml"/><Relationship Id="rId16" Type="http://schemas.openxmlformats.org/officeDocument/2006/relationships/image" Target="media/image4.png"/><Relationship Id="rId107" Type="http://schemas.openxmlformats.org/officeDocument/2006/relationships/image" Target="media/image82.emf"/><Relationship Id="rId11" Type="http://schemas.openxmlformats.org/officeDocument/2006/relationships/hyperlink" Target="mailto:tga.copyright@tga.gov.au" TargetMode="External"/><Relationship Id="rId32" Type="http://schemas.openxmlformats.org/officeDocument/2006/relationships/image" Target="media/image20.emf"/><Relationship Id="rId37" Type="http://schemas.openxmlformats.org/officeDocument/2006/relationships/image" Target="media/image25.png"/><Relationship Id="rId53" Type="http://schemas.openxmlformats.org/officeDocument/2006/relationships/image" Target="media/image40.emf"/><Relationship Id="rId58" Type="http://schemas.openxmlformats.org/officeDocument/2006/relationships/image" Target="media/image44.emf"/><Relationship Id="rId74" Type="http://schemas.openxmlformats.org/officeDocument/2006/relationships/image" Target="media/image55.png"/><Relationship Id="rId79" Type="http://schemas.microsoft.com/office/2007/relationships/hdphoto" Target="media/hdphoto9.wdp"/><Relationship Id="rId102" Type="http://schemas.microsoft.com/office/2007/relationships/hdphoto" Target="media/hdphoto13.wdp"/><Relationship Id="rId123" Type="http://schemas.openxmlformats.org/officeDocument/2006/relationships/header" Target="header3.xml"/><Relationship Id="rId128" Type="http://schemas.openxmlformats.org/officeDocument/2006/relationships/hyperlink" Target="https://www.tga.gov.au" TargetMode="External"/><Relationship Id="rId5" Type="http://schemas.openxmlformats.org/officeDocument/2006/relationships/settings" Target="settings.xml"/><Relationship Id="rId90" Type="http://schemas.microsoft.com/office/2007/relationships/hdphoto" Target="media/hdphoto11.wdp"/><Relationship Id="rId95" Type="http://schemas.openxmlformats.org/officeDocument/2006/relationships/image" Target="media/image71.emf"/><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png"/><Relationship Id="rId48" Type="http://schemas.openxmlformats.org/officeDocument/2006/relationships/image" Target="media/image35.emf"/><Relationship Id="rId56" Type="http://schemas.microsoft.com/office/2007/relationships/hdphoto" Target="media/hdphoto2.wdp"/><Relationship Id="rId64" Type="http://schemas.microsoft.com/office/2007/relationships/hdphoto" Target="media/hdphoto3.wdp"/><Relationship Id="rId69" Type="http://schemas.microsoft.com/office/2007/relationships/hdphoto" Target="media/hdphoto5.wdp"/><Relationship Id="rId77" Type="http://schemas.openxmlformats.org/officeDocument/2006/relationships/image" Target="media/image57.emf"/><Relationship Id="rId100" Type="http://schemas.openxmlformats.org/officeDocument/2006/relationships/image" Target="media/image76.emf"/><Relationship Id="rId105" Type="http://schemas.openxmlformats.org/officeDocument/2006/relationships/image" Target="media/image80.emf"/><Relationship Id="rId113" Type="http://schemas.openxmlformats.org/officeDocument/2006/relationships/image" Target="media/image88.png"/><Relationship Id="rId118" Type="http://schemas.openxmlformats.org/officeDocument/2006/relationships/image" Target="media/image92.emf"/><Relationship Id="rId126" Type="http://schemas.openxmlformats.org/officeDocument/2006/relationships/footer" Target="footer2.xml"/><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image" Target="media/image54.png"/><Relationship Id="rId80" Type="http://schemas.openxmlformats.org/officeDocument/2006/relationships/image" Target="media/image59.png"/><Relationship Id="rId85" Type="http://schemas.openxmlformats.org/officeDocument/2006/relationships/image" Target="media/image63.emf"/><Relationship Id="rId93" Type="http://schemas.openxmlformats.org/officeDocument/2006/relationships/image" Target="media/image69.emf"/><Relationship Id="rId98" Type="http://schemas.openxmlformats.org/officeDocument/2006/relationships/image" Target="media/image74.emf"/><Relationship Id="rId121" Type="http://schemas.openxmlformats.org/officeDocument/2006/relationships/image" Target="media/image95.emf"/><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5.emf"/><Relationship Id="rId67" Type="http://schemas.openxmlformats.org/officeDocument/2006/relationships/image" Target="media/image51.emf"/><Relationship Id="rId103" Type="http://schemas.openxmlformats.org/officeDocument/2006/relationships/image" Target="media/image78.emf"/><Relationship Id="rId108" Type="http://schemas.openxmlformats.org/officeDocument/2006/relationships/image" Target="media/image83.emf"/><Relationship Id="rId116" Type="http://schemas.openxmlformats.org/officeDocument/2006/relationships/image" Target="media/image90.emf"/><Relationship Id="rId124" Type="http://schemas.openxmlformats.org/officeDocument/2006/relationships/header" Target="header4.xml"/><Relationship Id="rId129" Type="http://schemas.openxmlformats.org/officeDocument/2006/relationships/header" Target="header6.xml"/><Relationship Id="rId20" Type="http://schemas.openxmlformats.org/officeDocument/2006/relationships/image" Target="media/image8.png"/><Relationship Id="rId41" Type="http://schemas.openxmlformats.org/officeDocument/2006/relationships/image" Target="media/image29.emf"/><Relationship Id="rId54" Type="http://schemas.openxmlformats.org/officeDocument/2006/relationships/image" Target="media/image41.emf"/><Relationship Id="rId62" Type="http://schemas.openxmlformats.org/officeDocument/2006/relationships/image" Target="media/image48.png"/><Relationship Id="rId70" Type="http://schemas.openxmlformats.org/officeDocument/2006/relationships/image" Target="media/image53.png"/><Relationship Id="rId75" Type="http://schemas.microsoft.com/office/2007/relationships/hdphoto" Target="media/hdphoto8.wdp"/><Relationship Id="rId83" Type="http://schemas.openxmlformats.org/officeDocument/2006/relationships/image" Target="media/image61.png"/><Relationship Id="rId88" Type="http://schemas.openxmlformats.org/officeDocument/2006/relationships/image" Target="media/image66.emf"/><Relationship Id="rId91" Type="http://schemas.openxmlformats.org/officeDocument/2006/relationships/image" Target="media/image68.png"/><Relationship Id="rId96" Type="http://schemas.openxmlformats.org/officeDocument/2006/relationships/image" Target="media/image72.png"/><Relationship Id="rId111" Type="http://schemas.openxmlformats.org/officeDocument/2006/relationships/image" Target="media/image86.png"/><Relationship Id="rId132"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emf"/><Relationship Id="rId49" Type="http://schemas.openxmlformats.org/officeDocument/2006/relationships/image" Target="media/image36.emf"/><Relationship Id="rId57" Type="http://schemas.openxmlformats.org/officeDocument/2006/relationships/image" Target="media/image43.emf"/><Relationship Id="rId106" Type="http://schemas.openxmlformats.org/officeDocument/2006/relationships/image" Target="media/image81.emf"/><Relationship Id="rId114" Type="http://schemas.microsoft.com/office/2007/relationships/hdphoto" Target="media/hdphoto14.wdp"/><Relationship Id="rId119" Type="http://schemas.openxmlformats.org/officeDocument/2006/relationships/image" Target="media/image93.emf"/><Relationship Id="rId127" Type="http://schemas.openxmlformats.org/officeDocument/2006/relationships/hyperlink" Target="mailto:info@tga.gov.au" TargetMode="External"/><Relationship Id="rId10" Type="http://schemas.openxmlformats.org/officeDocument/2006/relationships/hyperlink" Target="https://www.tga.gov.au/product-information-pi"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9.emf"/><Relationship Id="rId60" Type="http://schemas.openxmlformats.org/officeDocument/2006/relationships/image" Target="media/image46.emf"/><Relationship Id="rId65" Type="http://schemas.openxmlformats.org/officeDocument/2006/relationships/image" Target="media/image50.png"/><Relationship Id="rId73" Type="http://schemas.microsoft.com/office/2007/relationships/hdphoto" Target="media/hdphoto7.wdp"/><Relationship Id="rId78" Type="http://schemas.openxmlformats.org/officeDocument/2006/relationships/image" Target="media/image58.png"/><Relationship Id="rId81" Type="http://schemas.microsoft.com/office/2007/relationships/hdphoto" Target="media/hdphoto10.wdp"/><Relationship Id="rId86" Type="http://schemas.openxmlformats.org/officeDocument/2006/relationships/image" Target="media/image64.emf"/><Relationship Id="rId94" Type="http://schemas.openxmlformats.org/officeDocument/2006/relationships/image" Target="media/image70.emf"/><Relationship Id="rId99" Type="http://schemas.openxmlformats.org/officeDocument/2006/relationships/image" Target="media/image75.emf"/><Relationship Id="rId101" Type="http://schemas.openxmlformats.org/officeDocument/2006/relationships/image" Target="media/image77.png"/><Relationship Id="rId122" Type="http://schemas.openxmlformats.org/officeDocument/2006/relationships/image" Target="media/image96.emf"/><Relationship Id="rId130" Type="http://schemas.openxmlformats.org/officeDocument/2006/relationships/header" Target="header7.xml"/><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emf"/><Relationship Id="rId109" Type="http://schemas.openxmlformats.org/officeDocument/2006/relationships/image" Target="media/image84.emf"/><Relationship Id="rId34" Type="http://schemas.openxmlformats.org/officeDocument/2006/relationships/image" Target="media/image22.emf"/><Relationship Id="rId50" Type="http://schemas.openxmlformats.org/officeDocument/2006/relationships/image" Target="media/image37.emf"/><Relationship Id="rId55" Type="http://schemas.openxmlformats.org/officeDocument/2006/relationships/image" Target="media/image42.png"/><Relationship Id="rId76" Type="http://schemas.openxmlformats.org/officeDocument/2006/relationships/image" Target="media/image56.emf"/><Relationship Id="rId97" Type="http://schemas.openxmlformats.org/officeDocument/2006/relationships/image" Target="media/image73.png"/><Relationship Id="rId104" Type="http://schemas.openxmlformats.org/officeDocument/2006/relationships/image" Target="media/image79.emf"/><Relationship Id="rId120" Type="http://schemas.openxmlformats.org/officeDocument/2006/relationships/image" Target="media/image94.emf"/><Relationship Id="rId125" Type="http://schemas.openxmlformats.org/officeDocument/2006/relationships/header" Target="header5.xml"/><Relationship Id="rId7" Type="http://schemas.openxmlformats.org/officeDocument/2006/relationships/footnotes" Target="footnotes.xml"/><Relationship Id="rId71" Type="http://schemas.microsoft.com/office/2007/relationships/hdphoto" Target="media/hdphoto6.wdp"/><Relationship Id="rId92" Type="http://schemas.microsoft.com/office/2007/relationships/hdphoto" Target="media/hdphoto12.wdp"/><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png"/><Relationship Id="rId40" Type="http://schemas.openxmlformats.org/officeDocument/2006/relationships/image" Target="media/image28.png"/><Relationship Id="rId45" Type="http://schemas.microsoft.com/office/2007/relationships/hdphoto" Target="media/hdphoto1.wdp"/><Relationship Id="rId66" Type="http://schemas.microsoft.com/office/2007/relationships/hdphoto" Target="media/hdphoto4.wdp"/><Relationship Id="rId87" Type="http://schemas.openxmlformats.org/officeDocument/2006/relationships/image" Target="media/image65.emf"/><Relationship Id="rId110" Type="http://schemas.openxmlformats.org/officeDocument/2006/relationships/image" Target="media/image85.emf"/><Relationship Id="rId115" Type="http://schemas.openxmlformats.org/officeDocument/2006/relationships/image" Target="media/image89.emf"/><Relationship Id="rId131" Type="http://schemas.openxmlformats.org/officeDocument/2006/relationships/footer" Target="footer3.xml"/><Relationship Id="rId61" Type="http://schemas.openxmlformats.org/officeDocument/2006/relationships/image" Target="media/image47.emf"/><Relationship Id="rId82" Type="http://schemas.openxmlformats.org/officeDocument/2006/relationships/image" Target="media/image60.emf"/><Relationship Id="rId19"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7320\t0PGNND0.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A403D7-5F5A-43F3-90A3-A551D26E6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t0PGNND0.DOTX</Template>
  <TotalTime>49</TotalTime>
  <Pages>121</Pages>
  <Words>35371</Words>
  <Characters>201618</Characters>
  <Application>Microsoft Office Word</Application>
  <DocSecurity>0</DocSecurity>
  <Lines>1680</Lines>
  <Paragraphs>473</Paragraphs>
  <ScaleCrop>false</ScaleCrop>
  <HeadingPairs>
    <vt:vector size="2" baseType="variant">
      <vt:variant>
        <vt:lpstr>Title</vt:lpstr>
      </vt:variant>
      <vt:variant>
        <vt:i4>1</vt:i4>
      </vt:variant>
    </vt:vector>
  </HeadingPairs>
  <TitlesOfParts>
    <vt:vector size="1" baseType="lpstr">
      <vt:lpstr>Attachment: Extract from Clinical Evaluation: Ertugliflozin</vt:lpstr>
    </vt:vector>
  </TitlesOfParts>
  <Company>Department of Health TGA</Company>
  <LinksUpToDate>false</LinksUpToDate>
  <CharactersWithSpaces>236516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Ertugliflozin</dc:title>
  <dc:subject>prescription medicines</dc:subject>
  <dc:creator>Therapeutic Goods Administration</dc:creator>
  <cp:keywords>AusPARs</cp:keywords>
  <cp:lastPrinted>2018-08-29T00:05:00Z</cp:lastPrinted>
  <dcterms:created xsi:type="dcterms:W3CDTF">2019-03-24T23:04:00Z</dcterms:created>
  <dcterms:modified xsi:type="dcterms:W3CDTF">2019-03-25T23:39:00Z</dcterms:modified>
</cp:coreProperties>
</file>