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FDD4C" w14:textId="77777777"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5503A932" wp14:editId="087EC5EC">
                <wp:extent cx="293370" cy="326558"/>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326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E34E1" w14:textId="77777777" w:rsidR="009B5C4A" w:rsidRPr="00177004" w:rsidRDefault="009B5C4A" w:rsidP="00375DF3">
                            <w:pPr>
                              <w:spacing w:after="0"/>
                              <w:rPr>
                                <w:sz w:val="44"/>
                              </w:rPr>
                            </w:pPr>
                            <w:r w:rsidRPr="00177004">
                              <w:rPr>
                                <w:rFonts w:ascii="Arial" w:hAnsi="Arial" w:cs="Arial" w:hint="eastAsia"/>
                                <w:sz w:val="40"/>
                              </w:rPr>
                              <w:t>▼</w:t>
                            </w:r>
                          </w:p>
                        </w:txbxContent>
                      </wps:txbx>
                      <wps:bodyPr rot="0" vert="horz" wrap="square" lIns="0" tIns="0" rIns="0" bIns="0" anchor="t" anchorCtr="0" upright="1">
                        <a:noAutofit/>
                      </wps:bodyPr>
                    </wps:wsp>
                  </a:graphicData>
                </a:graphic>
              </wp:inline>
            </w:drawing>
          </mc:Choice>
          <mc:Fallback>
            <w:pict>
              <v:shapetype w14:anchorId="5503A932" id="_x0000_t202" coordsize="21600,21600" o:spt="202" path="m,l,21600r21600,l21600,xe">
                <v:stroke joinstyle="miter"/>
                <v:path gradientshapeok="t" o:connecttype="rect"/>
              </v:shapetype>
              <v:shape id="Text Box 1" o:spid="_x0000_s1026" type="#_x0000_t202" style="width:23.1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" stroked="f">
                <v:textbox inset="0,0,0,0">
                  <w:txbxContent>
                    <w:p w14:paraId="31EE34E1" w14:textId="77777777" w:rsidR="009B5C4A" w:rsidRPr="00177004" w:rsidRDefault="009B5C4A" w:rsidP="00375DF3">
                      <w:pPr>
                        <w:spacing w:after="0"/>
                        <w:rPr>
                          <w:sz w:val="44"/>
                        </w:rPr>
                      </w:pPr>
                      <w:r w:rsidRPr="00177004">
                        <w:rPr>
                          <w:rFonts w:ascii="Arial" w:hAnsi="Arial" w:cs="Arial" w:hint="eastAsia"/>
                          <w:sz w:val="40"/>
                        </w:rPr>
                        <w:t>▼</w:t>
                      </w:r>
                    </w:p>
                  </w:txbxContent>
                </v:textbox>
                <w10:anchorlock/>
              </v:shape>
            </w:pict>
          </mc:Fallback>
        </mc:AlternateContent>
      </w:r>
      <w:r w:rsidR="001A3992" w:rsidRPr="008D141E">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8D141E">
          <w:t>www.tga.gov.au/reporting-problems</w:t>
        </w:r>
      </w:hyperlink>
      <w:r w:rsidRPr="008D141E">
        <w:t>.</w:t>
      </w:r>
    </w:p>
    <w:p w14:paraId="75397D14" w14:textId="77777777" w:rsidR="00E67519" w:rsidRDefault="006018AE" w:rsidP="00E67519">
      <w:pPr>
        <w:pStyle w:val="Title"/>
        <w:jc w:val="both"/>
        <w:rPr>
          <w:rFonts w:cs="Times New Roman"/>
          <w:sz w:val="36"/>
          <w:lang w:val="en-AU"/>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r>
        <w:rPr>
          <w:rFonts w:eastAsia="SimSun"/>
        </w:rPr>
        <w:t xml:space="preserve"> – </w:t>
      </w:r>
      <w:r w:rsidR="00E67519" w:rsidRPr="00990087">
        <w:rPr>
          <w:rFonts w:cs="Times New Roman"/>
          <w:sz w:val="36"/>
          <w:lang w:val="en-AU"/>
        </w:rPr>
        <w:t>AIMOVIG</w:t>
      </w:r>
      <w:r w:rsidR="00E67519">
        <w:rPr>
          <w:rFonts w:cs="Times New Roman"/>
          <w:sz w:val="32"/>
          <w:vertAlign w:val="superscript"/>
          <w:lang w:val="en-AU"/>
        </w:rPr>
        <w:t>®</w:t>
      </w:r>
      <w:r w:rsidR="00E67519" w:rsidRPr="00990087">
        <w:rPr>
          <w:rFonts w:cs="Times New Roman"/>
          <w:sz w:val="36"/>
          <w:vertAlign w:val="superscript"/>
          <w:lang w:val="en-AU"/>
        </w:rPr>
        <w:t xml:space="preserve"> </w:t>
      </w:r>
      <w:r w:rsidR="00E67519" w:rsidRPr="00990087">
        <w:rPr>
          <w:rFonts w:cs="Times New Roman"/>
          <w:sz w:val="36"/>
          <w:lang w:val="en-AU"/>
        </w:rPr>
        <w:t>Solution for injection, for subcutaneous use</w:t>
      </w:r>
    </w:p>
    <w:p w14:paraId="39806B9E" w14:textId="77777777" w:rsidR="00E67519" w:rsidRPr="00990087" w:rsidRDefault="00E67519" w:rsidP="00E67519">
      <w:pPr>
        <w:pStyle w:val="Title"/>
        <w:jc w:val="both"/>
        <w:rPr>
          <w:rFonts w:cs="Times New Roman"/>
          <w:sz w:val="36"/>
          <w:lang w:val="en-AU"/>
        </w:rPr>
      </w:pPr>
    </w:p>
    <w:p w14:paraId="0EAD4FEA" w14:textId="77777777" w:rsidR="001A3992" w:rsidRDefault="001A3992" w:rsidP="001A3992">
      <w:pPr>
        <w:pStyle w:val="Heading1"/>
        <w:spacing w:before="0" w:after="120"/>
      </w:pPr>
      <w:r w:rsidRPr="00035C95">
        <w:t>Name of the medicine</w:t>
      </w:r>
    </w:p>
    <w:p w14:paraId="29DF6A5F" w14:textId="77777777" w:rsidR="0030174C" w:rsidRPr="008D141E" w:rsidRDefault="00E67519" w:rsidP="008D141E">
      <w:r>
        <w:t>The active ingredient of Aimovig is erenumab.</w:t>
      </w:r>
    </w:p>
    <w:p w14:paraId="7B009859" w14:textId="77777777" w:rsidR="001A3992" w:rsidRDefault="001A3992" w:rsidP="001A3992">
      <w:pPr>
        <w:pStyle w:val="Heading1"/>
        <w:spacing w:before="0" w:after="120"/>
      </w:pPr>
      <w:r w:rsidRPr="00DE5A80">
        <w:t xml:space="preserve">Qualitative and </w:t>
      </w:r>
      <w:r>
        <w:t>quantitative c</w:t>
      </w:r>
      <w:r w:rsidRPr="00DE5A80">
        <w:t>omposition</w:t>
      </w:r>
    </w:p>
    <w:p w14:paraId="60E1865E" w14:textId="77777777" w:rsidR="00A07173" w:rsidRDefault="00A07173" w:rsidP="008D141E">
      <w:pPr>
        <w:jc w:val="both"/>
      </w:pPr>
      <w:r w:rsidRPr="004665A3">
        <w:t xml:space="preserve">AIMOVIG </w:t>
      </w:r>
      <w:r w:rsidR="007050EC" w:rsidRPr="004665A3">
        <w:t xml:space="preserve">contains </w:t>
      </w:r>
      <w:r w:rsidRPr="004665A3">
        <w:t xml:space="preserve">70 mg </w:t>
      </w:r>
      <w:r w:rsidR="00FD59B5" w:rsidRPr="004665A3">
        <w:t xml:space="preserve">of </w:t>
      </w:r>
      <w:r w:rsidRPr="004665A3">
        <w:t>erenumab in 1.0 mL (70 mg/mL).</w:t>
      </w:r>
    </w:p>
    <w:p w14:paraId="46EC9DB0" w14:textId="77777777" w:rsidR="00A07173" w:rsidRPr="00A07173" w:rsidRDefault="00A07173" w:rsidP="008D141E">
      <w:pPr>
        <w:jc w:val="both"/>
        <w:rPr>
          <w:rFonts w:asciiTheme="majorHAnsi" w:hAnsiTheme="majorHAnsi" w:cstheme="minorHAnsi"/>
          <w:lang w:val="en"/>
        </w:rPr>
      </w:pPr>
      <w:r w:rsidRPr="008D141E">
        <w:t>AIMOVIG is a human immunoglobulin G2 (IgG2) monoclonal antibody that has high affinity binding to the CGRP receptor. AIMOVIG is composed of 2 heavy chains, each containing 456 amino acids and 2 light chains of the lambda subclass, each containing 216 amino acids</w:t>
      </w:r>
    </w:p>
    <w:p w14:paraId="7E6A4519" w14:textId="77777777" w:rsidR="005B2812" w:rsidRPr="008D141E" w:rsidRDefault="005B2812" w:rsidP="008D141E">
      <w:pPr>
        <w:jc w:val="both"/>
      </w:pPr>
      <w:r w:rsidRPr="008D141E">
        <w:t>For the full list of excipients, see S</w:t>
      </w:r>
      <w:r w:rsidR="00E529EC" w:rsidRPr="008D141E">
        <w:t xml:space="preserve">ection 6.1 List of excipients. </w:t>
      </w:r>
    </w:p>
    <w:p w14:paraId="4DE9B9F5" w14:textId="77777777" w:rsidR="001A3992" w:rsidRDefault="001A3992" w:rsidP="001A3992">
      <w:pPr>
        <w:pStyle w:val="Heading1"/>
        <w:spacing w:before="0" w:after="120"/>
      </w:pPr>
      <w:r w:rsidRPr="00035C95">
        <w:t>Pharmaceutical form</w:t>
      </w:r>
    </w:p>
    <w:p w14:paraId="1A8FB8CF" w14:textId="77777777" w:rsidR="00B74EA0" w:rsidRDefault="00B74EA0" w:rsidP="00606F78">
      <w:pPr>
        <w:pStyle w:val="TableCenterAlign"/>
        <w:jc w:val="both"/>
        <w:rPr>
          <w:rFonts w:asciiTheme="minorHAnsi" w:eastAsiaTheme="minorHAnsi" w:hAnsiTheme="minorHAnsi" w:cstheme="minorBidi"/>
          <w:szCs w:val="22"/>
          <w:lang w:val="en-AU"/>
        </w:rPr>
      </w:pPr>
      <w:r w:rsidRPr="008D141E">
        <w:rPr>
          <w:rFonts w:asciiTheme="minorHAnsi" w:eastAsiaTheme="minorHAnsi" w:hAnsiTheme="minorHAnsi" w:cstheme="minorBidi"/>
          <w:szCs w:val="22"/>
          <w:lang w:val="en-AU"/>
        </w:rPr>
        <w:t>Solution for injection, for subcutaneous use</w:t>
      </w:r>
    </w:p>
    <w:p w14:paraId="16B197A5" w14:textId="77777777" w:rsidR="00426146" w:rsidRDefault="00426146" w:rsidP="00606F78">
      <w:pPr>
        <w:pStyle w:val="TableCenterAlign"/>
        <w:jc w:val="both"/>
        <w:rPr>
          <w:rFonts w:asciiTheme="minorHAnsi" w:eastAsiaTheme="minorHAnsi" w:hAnsiTheme="minorHAnsi" w:cstheme="minorBidi"/>
          <w:szCs w:val="22"/>
          <w:lang w:val="en-AU"/>
        </w:rPr>
      </w:pPr>
    </w:p>
    <w:p w14:paraId="3613627E" w14:textId="77777777" w:rsidR="00426146" w:rsidRPr="008D141E" w:rsidRDefault="00426146" w:rsidP="00426146">
      <w:pPr>
        <w:pStyle w:val="TableCenterAlign"/>
        <w:jc w:val="both"/>
        <w:rPr>
          <w:rFonts w:asciiTheme="minorHAnsi" w:hAnsiTheme="minorHAnsi" w:cstheme="minorHAnsi"/>
          <w:lang w:val="en-AU"/>
        </w:rPr>
      </w:pPr>
      <w:r w:rsidRPr="008D141E">
        <w:rPr>
          <w:rFonts w:asciiTheme="minorHAnsi" w:hAnsiTheme="minorHAnsi" w:cstheme="minorHAnsi"/>
          <w:lang w:val="en-AU"/>
        </w:rPr>
        <w:t>AIMOVIG is provided as:</w:t>
      </w:r>
    </w:p>
    <w:p w14:paraId="20B6558A" w14:textId="77777777" w:rsidR="004719CB" w:rsidRDefault="004719CB" w:rsidP="00606F78">
      <w:pPr>
        <w:pStyle w:val="TableCenterAlign"/>
        <w:jc w:val="both"/>
        <w:rPr>
          <w:rFonts w:asciiTheme="minorHAnsi" w:eastAsiaTheme="minorHAnsi" w:hAnsiTheme="minorHAnsi" w:cstheme="minorBidi"/>
          <w:szCs w:val="22"/>
          <w:u w:val="single"/>
          <w:lang w:val="en-AU"/>
        </w:rPr>
      </w:pPr>
    </w:p>
    <w:p w14:paraId="0DFC59D7" w14:textId="77777777" w:rsidR="00564E6F" w:rsidRPr="00BE4519" w:rsidRDefault="00564E6F" w:rsidP="00564E6F">
      <w:pPr>
        <w:pStyle w:val="TableCenterAlign"/>
        <w:numPr>
          <w:ilvl w:val="0"/>
          <w:numId w:val="15"/>
        </w:numPr>
        <w:jc w:val="both"/>
        <w:rPr>
          <w:rFonts w:asciiTheme="minorHAnsi" w:eastAsia="Arial" w:hAnsiTheme="minorHAnsi" w:cstheme="minorHAnsi"/>
          <w:lang w:val="en-AU"/>
        </w:rPr>
      </w:pPr>
      <w:r w:rsidRPr="00BE4519">
        <w:rPr>
          <w:rFonts w:asciiTheme="minorHAnsi" w:eastAsia="Arial" w:hAnsiTheme="minorHAnsi" w:cstheme="minorHAnsi"/>
          <w:lang w:val="en-AU"/>
        </w:rPr>
        <w:t>Carton of two* 70 mg/mL (140 mg dose) (injection) prefilled syringe with Type 1 glass syringe and stainless steel needle.</w:t>
      </w:r>
    </w:p>
    <w:p w14:paraId="250F4441" w14:textId="77777777" w:rsidR="00564E6F" w:rsidRDefault="00564E6F" w:rsidP="00564E6F">
      <w:pPr>
        <w:pStyle w:val="TableCenterAlign"/>
        <w:numPr>
          <w:ilvl w:val="0"/>
          <w:numId w:val="15"/>
        </w:numPr>
        <w:jc w:val="both"/>
        <w:rPr>
          <w:rFonts w:asciiTheme="minorHAnsi" w:eastAsia="Arial" w:hAnsiTheme="minorHAnsi" w:cstheme="minorHAnsi"/>
          <w:lang w:val="en-AU"/>
        </w:rPr>
      </w:pPr>
      <w:r w:rsidRPr="00BE4519">
        <w:rPr>
          <w:rFonts w:asciiTheme="minorHAnsi" w:eastAsia="Arial" w:hAnsiTheme="minorHAnsi" w:cstheme="minorHAnsi"/>
          <w:lang w:val="en-AU"/>
        </w:rPr>
        <w:t>Carton of one* (70 mg dose), two* or six* (multipack of 3x2) 70 mg/mL (140 mg dose) (injection) prefilled pen with Type 1 glass syringe and stainless steel needle.</w:t>
      </w:r>
    </w:p>
    <w:p w14:paraId="55BA3F76" w14:textId="77777777" w:rsidR="00564E6F" w:rsidRPr="00BE4519" w:rsidRDefault="00564E6F" w:rsidP="008D141E">
      <w:pPr>
        <w:pStyle w:val="TableCenterAlign"/>
        <w:ind w:left="720"/>
        <w:jc w:val="both"/>
        <w:rPr>
          <w:rFonts w:asciiTheme="minorHAnsi" w:eastAsia="Arial" w:hAnsiTheme="minorHAnsi" w:cstheme="minorHAnsi"/>
          <w:lang w:val="en-AU"/>
        </w:rPr>
      </w:pPr>
    </w:p>
    <w:p w14:paraId="65218781" w14:textId="77777777" w:rsidR="00564E6F" w:rsidRPr="00BE4519" w:rsidRDefault="00564E6F" w:rsidP="008D141E">
      <w:pPr>
        <w:pStyle w:val="TableCenterAlign"/>
        <w:ind w:left="720"/>
        <w:jc w:val="both"/>
        <w:rPr>
          <w:rFonts w:asciiTheme="minorHAnsi" w:eastAsia="Arial" w:hAnsiTheme="minorHAnsi" w:cstheme="minorHAnsi"/>
          <w:lang w:val="en-AU"/>
        </w:rPr>
      </w:pPr>
      <w:r w:rsidRPr="00BE4519">
        <w:rPr>
          <w:rFonts w:asciiTheme="minorHAnsi" w:eastAsia="Arial" w:hAnsiTheme="minorHAnsi" w:cstheme="minorHAnsi"/>
          <w:i/>
          <w:lang w:val="en-AU"/>
        </w:rPr>
        <w:t>* Not all pack sizes or presentations may be marketed</w:t>
      </w:r>
      <w:r w:rsidRPr="00BE4519">
        <w:rPr>
          <w:rFonts w:asciiTheme="minorHAnsi" w:eastAsia="Arial" w:hAnsiTheme="minorHAnsi" w:cstheme="minorHAnsi"/>
          <w:lang w:val="en-AU"/>
        </w:rPr>
        <w:t>.</w:t>
      </w:r>
    </w:p>
    <w:p w14:paraId="52584072" w14:textId="77777777" w:rsidR="004719CB" w:rsidRDefault="004719CB" w:rsidP="00606F78">
      <w:pPr>
        <w:pStyle w:val="TableCenterAlign"/>
        <w:jc w:val="both"/>
        <w:rPr>
          <w:rFonts w:asciiTheme="minorHAnsi" w:eastAsiaTheme="minorHAnsi" w:hAnsiTheme="minorHAnsi" w:cstheme="minorBidi"/>
          <w:szCs w:val="22"/>
          <w:u w:val="single"/>
          <w:lang w:val="en-AU"/>
        </w:rPr>
      </w:pPr>
    </w:p>
    <w:p w14:paraId="1EAD346D" w14:textId="77777777" w:rsidR="00606F78" w:rsidRPr="008D141E" w:rsidRDefault="00A07173" w:rsidP="00606F78">
      <w:pPr>
        <w:pStyle w:val="TableCenterAlign"/>
        <w:jc w:val="both"/>
        <w:rPr>
          <w:rFonts w:asciiTheme="minorHAnsi" w:eastAsiaTheme="minorHAnsi" w:hAnsiTheme="minorHAnsi" w:cstheme="minorBidi"/>
          <w:szCs w:val="22"/>
          <w:lang w:val="en-AU"/>
        </w:rPr>
      </w:pPr>
      <w:r w:rsidRPr="008D141E">
        <w:rPr>
          <w:rFonts w:asciiTheme="minorHAnsi" w:eastAsiaTheme="minorHAnsi" w:hAnsiTheme="minorHAnsi" w:cstheme="minorBidi"/>
          <w:szCs w:val="22"/>
          <w:lang w:val="en-AU"/>
        </w:rPr>
        <w:t>Aimovig is a s</w:t>
      </w:r>
      <w:r w:rsidR="00606F78" w:rsidRPr="008D141E">
        <w:rPr>
          <w:rFonts w:asciiTheme="minorHAnsi" w:eastAsiaTheme="minorHAnsi" w:hAnsiTheme="minorHAnsi" w:cstheme="minorBidi"/>
          <w:szCs w:val="22"/>
          <w:lang w:val="en-AU"/>
        </w:rPr>
        <w:t>terile, preservative-free solution, clear to opalescent; colourless to yellowish solution, practically free from particles.</w:t>
      </w:r>
    </w:p>
    <w:p w14:paraId="75C0F95C" w14:textId="77777777" w:rsidR="00606F78" w:rsidRPr="008D141E" w:rsidRDefault="008A4B3F" w:rsidP="003852D1">
      <w:pPr>
        <w:spacing w:after="360"/>
      </w:pPr>
      <w:r w:rsidRPr="008A4B3F">
        <w:t>The needle cover of the glass pre-filled syringe and the pre-filled pen is made from dry natural rubber (a derivative of latex).</w:t>
      </w:r>
    </w:p>
    <w:p w14:paraId="072B2E5E" w14:textId="77777777" w:rsidR="001A3992" w:rsidRDefault="001A3992" w:rsidP="001A3992">
      <w:pPr>
        <w:pStyle w:val="Heading1"/>
        <w:spacing w:before="0" w:after="120"/>
      </w:pPr>
      <w:r w:rsidRPr="00035C95">
        <w:t>Clinical particulars</w:t>
      </w:r>
    </w:p>
    <w:p w14:paraId="1E9E8E03" w14:textId="77777777" w:rsidR="001A3992" w:rsidRDefault="001A3992" w:rsidP="001A3992">
      <w:pPr>
        <w:pStyle w:val="Heading2"/>
        <w:spacing w:before="0" w:after="120"/>
      </w:pPr>
      <w:r>
        <w:t xml:space="preserve">Therapeutic indications </w:t>
      </w:r>
    </w:p>
    <w:p w14:paraId="71AF4C81" w14:textId="7E187BE1" w:rsidR="009345EC" w:rsidRDefault="00E50BB9" w:rsidP="003852D1">
      <w:pPr>
        <w:pStyle w:val="TableCenterAlign"/>
        <w:spacing w:after="240"/>
        <w:contextualSpacing w:val="0"/>
        <w:jc w:val="both"/>
      </w:pPr>
      <w:r w:rsidRPr="008D141E">
        <w:rPr>
          <w:rFonts w:asciiTheme="minorHAnsi" w:eastAsiaTheme="minorHAnsi" w:hAnsiTheme="minorHAnsi" w:cstheme="minorBidi"/>
          <w:szCs w:val="22"/>
          <w:lang w:val="en-AU"/>
        </w:rPr>
        <w:t>AIMOVIG is indicated for prophylaxis of migraine in adults.</w:t>
      </w:r>
    </w:p>
    <w:p w14:paraId="21B5672C" w14:textId="77777777" w:rsidR="001A3992" w:rsidRDefault="001A3992" w:rsidP="00FB1999">
      <w:pPr>
        <w:pStyle w:val="Heading2"/>
        <w:keepNext/>
        <w:spacing w:before="0" w:after="120"/>
      </w:pPr>
      <w:r>
        <w:lastRenderedPageBreak/>
        <w:t xml:space="preserve">Dose and method of administration </w:t>
      </w:r>
    </w:p>
    <w:p w14:paraId="4743CA3E" w14:textId="77777777" w:rsidR="00AC63E8" w:rsidRPr="008D141E" w:rsidRDefault="00AC63E8" w:rsidP="008D141E">
      <w:pPr>
        <w:rPr>
          <w:u w:val="single"/>
        </w:rPr>
      </w:pPr>
      <w:r w:rsidRPr="008D141E">
        <w:rPr>
          <w:b/>
          <w:u w:val="single"/>
        </w:rPr>
        <w:t>Dosage</w:t>
      </w:r>
    </w:p>
    <w:p w14:paraId="0EB27C66" w14:textId="19C60AB8" w:rsidR="00116716" w:rsidRDefault="00116716" w:rsidP="008A4B3F">
      <w:pPr>
        <w:pStyle w:val="TableCenterAlign"/>
        <w:spacing w:after="120"/>
        <w:contextualSpacing w:val="0"/>
        <w:jc w:val="both"/>
        <w:rPr>
          <w:rFonts w:asciiTheme="minorHAnsi" w:eastAsiaTheme="minorHAnsi" w:hAnsiTheme="minorHAnsi" w:cstheme="minorBidi"/>
          <w:szCs w:val="22"/>
          <w:lang w:val="en-AU"/>
        </w:rPr>
      </w:pPr>
      <w:r w:rsidRPr="00116716">
        <w:rPr>
          <w:rFonts w:asciiTheme="minorHAnsi" w:eastAsiaTheme="minorHAnsi" w:hAnsiTheme="minorHAnsi" w:cstheme="minorBidi"/>
          <w:szCs w:val="22"/>
          <w:lang w:val="en-AU"/>
        </w:rPr>
        <w:t xml:space="preserve">AIMOVIG should be initiated under the guidance of a neurologist or specialist </w:t>
      </w:r>
      <w:r w:rsidR="00FB1999">
        <w:rPr>
          <w:rFonts w:asciiTheme="minorHAnsi" w:eastAsiaTheme="minorHAnsi" w:hAnsiTheme="minorHAnsi" w:cstheme="minorBidi"/>
          <w:szCs w:val="22"/>
          <w:lang w:val="en-AU"/>
        </w:rPr>
        <w:t>in the management of migraine.</w:t>
      </w:r>
    </w:p>
    <w:p w14:paraId="705B20A8" w14:textId="7C1F3B70" w:rsidR="00AC63E8" w:rsidRPr="008D141E" w:rsidRDefault="00AC63E8" w:rsidP="008A4B3F">
      <w:pPr>
        <w:pStyle w:val="TableCenterAlign"/>
        <w:spacing w:after="120"/>
        <w:contextualSpacing w:val="0"/>
        <w:jc w:val="both"/>
        <w:rPr>
          <w:rFonts w:asciiTheme="minorHAnsi" w:eastAsiaTheme="minorHAnsi" w:hAnsiTheme="minorHAnsi" w:cstheme="minorBidi"/>
          <w:szCs w:val="22"/>
          <w:lang w:val="en-AU"/>
        </w:rPr>
      </w:pPr>
      <w:r w:rsidRPr="008D141E">
        <w:rPr>
          <w:rFonts w:asciiTheme="minorHAnsi" w:eastAsiaTheme="minorHAnsi" w:hAnsiTheme="minorHAnsi" w:cstheme="minorBidi"/>
          <w:szCs w:val="22"/>
          <w:lang w:val="en-AU"/>
        </w:rPr>
        <w:t xml:space="preserve">The recommended dose of AIMOVIG is 70 mg </w:t>
      </w:r>
      <w:r w:rsidR="008B45C3" w:rsidRPr="00116716">
        <w:rPr>
          <w:rFonts w:asciiTheme="minorHAnsi" w:eastAsiaTheme="minorHAnsi" w:hAnsiTheme="minorHAnsi" w:cstheme="minorBidi"/>
          <w:szCs w:val="22"/>
          <w:lang w:val="en-AU"/>
        </w:rPr>
        <w:t xml:space="preserve">injected subcutaneously </w:t>
      </w:r>
      <w:r w:rsidR="008B45C3">
        <w:rPr>
          <w:rFonts w:asciiTheme="minorHAnsi" w:eastAsiaTheme="minorHAnsi" w:hAnsiTheme="minorHAnsi" w:cstheme="minorBidi"/>
          <w:szCs w:val="22"/>
          <w:lang w:val="en-AU"/>
        </w:rPr>
        <w:t>once</w:t>
      </w:r>
      <w:r w:rsidRPr="008D141E">
        <w:rPr>
          <w:rFonts w:asciiTheme="minorHAnsi" w:eastAsiaTheme="minorHAnsi" w:hAnsiTheme="minorHAnsi" w:cstheme="minorBidi"/>
          <w:szCs w:val="22"/>
          <w:lang w:val="en-AU"/>
        </w:rPr>
        <w:t xml:space="preserve"> every 4 weeks.  Some patients may benefit from a dos</w:t>
      </w:r>
      <w:r w:rsidR="00116716">
        <w:rPr>
          <w:rFonts w:asciiTheme="minorHAnsi" w:eastAsiaTheme="minorHAnsi" w:hAnsiTheme="minorHAnsi" w:cstheme="minorBidi"/>
          <w:szCs w:val="22"/>
          <w:lang w:val="en-AU"/>
        </w:rPr>
        <w:t>ag</w:t>
      </w:r>
      <w:r w:rsidRPr="008D141E">
        <w:rPr>
          <w:rFonts w:asciiTheme="minorHAnsi" w:eastAsiaTheme="minorHAnsi" w:hAnsiTheme="minorHAnsi" w:cstheme="minorBidi"/>
          <w:szCs w:val="22"/>
          <w:lang w:val="en-AU"/>
        </w:rPr>
        <w:t xml:space="preserve">e of 140 mg </w:t>
      </w:r>
      <w:r w:rsidR="00116716" w:rsidRPr="00116716">
        <w:rPr>
          <w:rFonts w:asciiTheme="minorHAnsi" w:eastAsiaTheme="minorHAnsi" w:hAnsiTheme="minorHAnsi" w:cstheme="minorBidi"/>
          <w:szCs w:val="22"/>
          <w:lang w:val="en-AU"/>
        </w:rPr>
        <w:t xml:space="preserve">injected subcutaneously </w:t>
      </w:r>
      <w:r w:rsidR="008B45C3">
        <w:rPr>
          <w:rFonts w:asciiTheme="minorHAnsi" w:eastAsiaTheme="minorHAnsi" w:hAnsiTheme="minorHAnsi" w:cstheme="minorBidi"/>
          <w:szCs w:val="22"/>
          <w:lang w:val="en-AU"/>
        </w:rPr>
        <w:t xml:space="preserve">once </w:t>
      </w:r>
      <w:r w:rsidRPr="008D141E">
        <w:rPr>
          <w:rFonts w:asciiTheme="minorHAnsi" w:eastAsiaTheme="minorHAnsi" w:hAnsiTheme="minorHAnsi" w:cstheme="minorBidi"/>
          <w:szCs w:val="22"/>
          <w:lang w:val="en-AU"/>
        </w:rPr>
        <w:t>every 4 weeks.</w:t>
      </w:r>
    </w:p>
    <w:p w14:paraId="7300B16F" w14:textId="77777777" w:rsidR="00AC63E8" w:rsidRPr="008D141E" w:rsidRDefault="00AC63E8" w:rsidP="008A4B3F">
      <w:pPr>
        <w:pStyle w:val="TableCenterAlign"/>
        <w:spacing w:after="120"/>
        <w:contextualSpacing w:val="0"/>
        <w:jc w:val="both"/>
        <w:rPr>
          <w:rFonts w:asciiTheme="minorHAnsi" w:eastAsiaTheme="minorHAnsi" w:hAnsiTheme="minorHAnsi" w:cstheme="minorBidi"/>
          <w:szCs w:val="22"/>
          <w:lang w:val="en-AU"/>
        </w:rPr>
      </w:pPr>
      <w:r w:rsidRPr="008D141E">
        <w:rPr>
          <w:rFonts w:asciiTheme="minorHAnsi" w:eastAsiaTheme="minorHAnsi" w:hAnsiTheme="minorHAnsi" w:cstheme="minorBidi"/>
          <w:szCs w:val="22"/>
          <w:lang w:val="en-AU"/>
        </w:rPr>
        <w:t>Treatment response should be evaluated by the prescriber after 8-12 weeks as recommended by the current Australian treatment guideline</w:t>
      </w:r>
    </w:p>
    <w:p w14:paraId="7CA3D872" w14:textId="77777777" w:rsidR="00AC63E8" w:rsidRPr="008D141E" w:rsidRDefault="00AC63E8" w:rsidP="008A4B3F">
      <w:pPr>
        <w:pStyle w:val="TableCenterAlign"/>
        <w:spacing w:after="120"/>
        <w:contextualSpacing w:val="0"/>
        <w:jc w:val="both"/>
        <w:rPr>
          <w:rFonts w:asciiTheme="minorHAnsi" w:eastAsiaTheme="minorHAnsi" w:hAnsiTheme="minorHAnsi" w:cstheme="minorBidi"/>
          <w:szCs w:val="22"/>
          <w:lang w:val="en-AU"/>
        </w:rPr>
      </w:pPr>
      <w:r w:rsidRPr="008D141E">
        <w:rPr>
          <w:rFonts w:asciiTheme="minorHAnsi" w:eastAsiaTheme="minorHAnsi" w:hAnsiTheme="minorHAnsi" w:cstheme="minorBidi"/>
          <w:szCs w:val="22"/>
          <w:lang w:val="en-AU"/>
        </w:rPr>
        <w:t xml:space="preserve">If AIMOVIG </w:t>
      </w:r>
      <w:proofErr w:type="spellStart"/>
      <w:r w:rsidRPr="008D141E">
        <w:rPr>
          <w:rFonts w:asciiTheme="minorHAnsi" w:eastAsiaTheme="minorHAnsi" w:hAnsiTheme="minorHAnsi" w:cstheme="minorBidi"/>
          <w:szCs w:val="22"/>
          <w:lang w:val="en-AU"/>
        </w:rPr>
        <w:t>dose</w:t>
      </w:r>
      <w:proofErr w:type="spellEnd"/>
      <w:r w:rsidRPr="008D141E">
        <w:rPr>
          <w:rFonts w:asciiTheme="minorHAnsi" w:eastAsiaTheme="minorHAnsi" w:hAnsiTheme="minorHAnsi" w:cstheme="minorBidi"/>
          <w:szCs w:val="22"/>
          <w:lang w:val="en-AU"/>
        </w:rPr>
        <w:t xml:space="preserve"> is missed, administer as soon as possible.  Thereafter, AIMOVIG can be scheduled monthly from the date of the last dose.</w:t>
      </w:r>
    </w:p>
    <w:p w14:paraId="34B387A0" w14:textId="77777777" w:rsidR="00AC63E8" w:rsidRPr="008D141E" w:rsidRDefault="00AC63E8" w:rsidP="008A4B3F">
      <w:pPr>
        <w:pStyle w:val="TableCenterAlign"/>
        <w:spacing w:after="120"/>
        <w:contextualSpacing w:val="0"/>
        <w:jc w:val="both"/>
        <w:rPr>
          <w:rFonts w:asciiTheme="minorHAnsi" w:eastAsiaTheme="minorHAnsi" w:hAnsiTheme="minorHAnsi" w:cstheme="minorBidi"/>
          <w:szCs w:val="22"/>
          <w:lang w:val="en-AU"/>
        </w:rPr>
      </w:pPr>
      <w:r w:rsidRPr="008D141E">
        <w:rPr>
          <w:rFonts w:asciiTheme="minorHAnsi" w:eastAsiaTheme="minorHAnsi" w:hAnsiTheme="minorHAnsi" w:cstheme="minorBidi"/>
          <w:szCs w:val="22"/>
          <w:lang w:val="en-AU"/>
        </w:rPr>
        <w:t>The need for treatment continuation should be re-evaluated within regular intervals of 3-6 months as recommended by the current treatment guideline.</w:t>
      </w:r>
    </w:p>
    <w:p w14:paraId="6666C27D" w14:textId="77777777" w:rsidR="00AC63E8" w:rsidRPr="008D141E" w:rsidRDefault="00AC63E8" w:rsidP="008A4B3F">
      <w:pPr>
        <w:pStyle w:val="TableCenterAlign"/>
        <w:spacing w:after="120"/>
        <w:contextualSpacing w:val="0"/>
        <w:jc w:val="both"/>
        <w:rPr>
          <w:rFonts w:asciiTheme="minorHAnsi" w:eastAsiaTheme="minorHAnsi" w:hAnsiTheme="minorHAnsi" w:cstheme="minorBidi"/>
          <w:szCs w:val="22"/>
          <w:lang w:val="en-AU"/>
        </w:rPr>
      </w:pPr>
      <w:r w:rsidRPr="008D141E">
        <w:rPr>
          <w:rFonts w:asciiTheme="minorHAnsi" w:eastAsiaTheme="minorHAnsi" w:hAnsiTheme="minorHAnsi" w:cstheme="minorBidi"/>
          <w:szCs w:val="22"/>
          <w:lang w:val="en-AU"/>
        </w:rPr>
        <w:t>Efficacy and safety of erenumab in patients has not been assessed in patients with fewer than 4 migraine days per month.</w:t>
      </w:r>
    </w:p>
    <w:p w14:paraId="2BF9C95B" w14:textId="48E0539C" w:rsidR="00AC63E8" w:rsidRPr="00FB1999" w:rsidRDefault="00AC63E8" w:rsidP="00FB1999">
      <w:pPr>
        <w:pStyle w:val="TableCenterAlign"/>
        <w:spacing w:after="120"/>
        <w:contextualSpacing w:val="0"/>
        <w:jc w:val="both"/>
        <w:rPr>
          <w:rFonts w:asciiTheme="minorHAnsi" w:eastAsiaTheme="minorHAnsi" w:hAnsiTheme="minorHAnsi" w:cstheme="minorBidi"/>
          <w:szCs w:val="22"/>
          <w:lang w:val="en-AU"/>
        </w:rPr>
      </w:pPr>
      <w:r w:rsidRPr="008D141E">
        <w:rPr>
          <w:rFonts w:asciiTheme="minorHAnsi" w:eastAsiaTheme="minorHAnsi" w:hAnsiTheme="minorHAnsi" w:cstheme="minorBidi"/>
          <w:szCs w:val="22"/>
          <w:lang w:val="en-AU"/>
        </w:rPr>
        <w:t xml:space="preserve">Efficacy and safety of concomitant administration of Aimovig with other prophylactic treatments for migraine was not formally evaluated, although concomitant use of prophylactic medication was allowed in a subset of patients in the pivotal study for episodic migraine. </w:t>
      </w:r>
    </w:p>
    <w:p w14:paraId="28AE8160" w14:textId="4BCEF721" w:rsidR="00AC63E8" w:rsidRPr="008D141E" w:rsidRDefault="00AC63E8" w:rsidP="008D141E">
      <w:pPr>
        <w:rPr>
          <w:u w:val="single"/>
        </w:rPr>
      </w:pPr>
      <w:r w:rsidRPr="008D141E">
        <w:rPr>
          <w:b/>
          <w:u w:val="single"/>
        </w:rPr>
        <w:t>M</w:t>
      </w:r>
      <w:r w:rsidR="00FB1999">
        <w:rPr>
          <w:b/>
          <w:u w:val="single"/>
        </w:rPr>
        <w:t xml:space="preserve">ethod </w:t>
      </w:r>
      <w:r w:rsidRPr="008D141E">
        <w:rPr>
          <w:b/>
          <w:u w:val="single"/>
        </w:rPr>
        <w:t>of Administration</w:t>
      </w:r>
    </w:p>
    <w:p w14:paraId="49A60722" w14:textId="77777777" w:rsidR="00AC63E8" w:rsidRPr="008D141E" w:rsidRDefault="00AC63E8" w:rsidP="00AC63E8">
      <w:pPr>
        <w:pStyle w:val="TableCenterAlign"/>
        <w:jc w:val="both"/>
        <w:rPr>
          <w:rFonts w:asciiTheme="minorHAnsi" w:hAnsiTheme="minorHAnsi" w:cstheme="minorHAnsi"/>
          <w:lang w:val="en-AU"/>
        </w:rPr>
      </w:pPr>
      <w:r w:rsidRPr="008D141E">
        <w:rPr>
          <w:rFonts w:asciiTheme="minorHAnsi" w:hAnsiTheme="minorHAnsi" w:cstheme="minorHAnsi"/>
          <w:lang w:val="en-AU"/>
        </w:rPr>
        <w:t xml:space="preserve">AIMOVIG is </w:t>
      </w:r>
      <w:r w:rsidRPr="008D141E">
        <w:rPr>
          <w:rFonts w:asciiTheme="minorHAnsi" w:eastAsia="Arial" w:hAnsiTheme="minorHAnsi" w:cstheme="minorHAnsi"/>
          <w:lang w:val="en-AU"/>
        </w:rPr>
        <w:t>administered</w:t>
      </w:r>
      <w:r w:rsidRPr="008D141E">
        <w:rPr>
          <w:rFonts w:asciiTheme="minorHAnsi" w:hAnsiTheme="minorHAnsi" w:cstheme="minorHAnsi"/>
          <w:lang w:val="en-AU"/>
        </w:rPr>
        <w:t xml:space="preserve"> subcutaneously.</w:t>
      </w:r>
    </w:p>
    <w:p w14:paraId="016C733B" w14:textId="77777777" w:rsidR="00AC63E8" w:rsidRPr="008D141E" w:rsidRDefault="00AC63E8" w:rsidP="00AC63E8">
      <w:pPr>
        <w:pStyle w:val="TableCenterAlign"/>
        <w:jc w:val="both"/>
        <w:rPr>
          <w:rFonts w:asciiTheme="minorHAnsi" w:hAnsiTheme="minorHAnsi" w:cstheme="minorHAnsi"/>
          <w:lang w:val="en-AU"/>
        </w:rPr>
      </w:pPr>
      <w:r w:rsidRPr="008D141E">
        <w:rPr>
          <w:rFonts w:asciiTheme="minorHAnsi" w:hAnsiTheme="minorHAnsi" w:cstheme="minorHAnsi"/>
          <w:lang w:val="en-AU"/>
        </w:rPr>
        <w:t xml:space="preserve">AIMOVIG is intended </w:t>
      </w:r>
      <w:r w:rsidRPr="008D141E">
        <w:rPr>
          <w:rFonts w:asciiTheme="minorHAnsi" w:eastAsia="Arial" w:hAnsiTheme="minorHAnsi" w:cstheme="minorHAnsi"/>
          <w:lang w:val="en-AU"/>
        </w:rPr>
        <w:t>for</w:t>
      </w:r>
      <w:r w:rsidRPr="008D141E">
        <w:rPr>
          <w:rFonts w:asciiTheme="minorHAnsi" w:hAnsiTheme="minorHAnsi" w:cstheme="minorHAnsi"/>
          <w:lang w:val="en-AU"/>
        </w:rPr>
        <w:t xml:space="preserve"> patient self-administration.</w:t>
      </w:r>
    </w:p>
    <w:p w14:paraId="388D43AC" w14:textId="77777777" w:rsidR="00AC63E8" w:rsidRPr="008D141E" w:rsidRDefault="00AC63E8" w:rsidP="00AC63E8">
      <w:pPr>
        <w:pStyle w:val="TableCenterAlign"/>
        <w:jc w:val="both"/>
        <w:rPr>
          <w:rFonts w:asciiTheme="minorHAnsi" w:hAnsiTheme="minorHAnsi" w:cstheme="minorHAnsi"/>
          <w:lang w:val="en-AU"/>
        </w:rPr>
      </w:pPr>
      <w:r w:rsidRPr="008D141E">
        <w:rPr>
          <w:rFonts w:asciiTheme="minorHAnsi" w:hAnsiTheme="minorHAnsi" w:cstheme="minorHAnsi"/>
          <w:lang w:val="en-AU"/>
        </w:rPr>
        <w:t>Administration should be performed by an individual who has been trained to administer the product.  To administer the 140 mg dose, give two consecutive subcutaneous injections of 70 mg each of AIMOVIG.</w:t>
      </w:r>
    </w:p>
    <w:p w14:paraId="1E6A01E4" w14:textId="77777777" w:rsidR="00AC63E8" w:rsidRPr="008D141E" w:rsidRDefault="00AC63E8" w:rsidP="00AC63E8">
      <w:pPr>
        <w:pStyle w:val="TableCenterAlign"/>
        <w:jc w:val="both"/>
        <w:rPr>
          <w:rFonts w:asciiTheme="minorHAnsi" w:hAnsiTheme="minorHAnsi" w:cstheme="minorHAnsi"/>
          <w:lang w:val="en-AU"/>
        </w:rPr>
      </w:pPr>
    </w:p>
    <w:p w14:paraId="63D7560D" w14:textId="77777777" w:rsidR="00AC63E8" w:rsidRPr="008D141E" w:rsidRDefault="00AC63E8" w:rsidP="00AC63E8">
      <w:pPr>
        <w:pStyle w:val="TableCenterAlign"/>
        <w:jc w:val="both"/>
        <w:rPr>
          <w:rFonts w:asciiTheme="minorHAnsi" w:hAnsiTheme="minorHAnsi" w:cstheme="minorHAnsi"/>
          <w:lang w:val="en-AU"/>
        </w:rPr>
      </w:pPr>
      <w:r w:rsidRPr="008D141E">
        <w:rPr>
          <w:rFonts w:asciiTheme="minorHAnsi" w:hAnsiTheme="minorHAnsi" w:cstheme="minorHAnsi"/>
          <w:lang w:val="en-AU"/>
        </w:rPr>
        <w:t xml:space="preserve">For detailed instructions on storage, handling and administration, follow the directions provided in the “Instructions for Use” available in the package leaflet.  </w:t>
      </w:r>
    </w:p>
    <w:p w14:paraId="570D22D6" w14:textId="77777777" w:rsidR="00AC63E8" w:rsidRPr="008D141E" w:rsidRDefault="00AC63E8" w:rsidP="00AC63E8">
      <w:pPr>
        <w:pStyle w:val="TableCenterAlign"/>
        <w:jc w:val="both"/>
        <w:rPr>
          <w:rFonts w:asciiTheme="minorHAnsi" w:hAnsiTheme="minorHAnsi" w:cstheme="minorHAnsi"/>
          <w:lang w:val="en-AU"/>
        </w:rPr>
      </w:pPr>
    </w:p>
    <w:p w14:paraId="2DFE5E16" w14:textId="77777777" w:rsidR="00AC63E8" w:rsidRPr="008D141E" w:rsidRDefault="00AC63E8" w:rsidP="00AC63E8">
      <w:pPr>
        <w:pStyle w:val="TableCenterAlign"/>
        <w:contextualSpacing w:val="0"/>
        <w:jc w:val="both"/>
        <w:rPr>
          <w:rFonts w:asciiTheme="minorHAnsi" w:eastAsia="Arial" w:hAnsiTheme="minorHAnsi" w:cstheme="minorHAnsi"/>
          <w:b/>
          <w:lang w:val="en-AU"/>
        </w:rPr>
      </w:pPr>
      <w:r w:rsidRPr="008D141E">
        <w:rPr>
          <w:rFonts w:asciiTheme="minorHAnsi" w:eastAsia="Arial" w:hAnsiTheme="minorHAnsi" w:cstheme="minorHAnsi"/>
          <w:b/>
          <w:lang w:val="en-AU"/>
        </w:rPr>
        <w:t>Important Administration Instructions</w:t>
      </w:r>
    </w:p>
    <w:p w14:paraId="126C2C84" w14:textId="77777777" w:rsidR="00AC63E8" w:rsidRPr="008D141E" w:rsidRDefault="00AC63E8" w:rsidP="00AC63E8">
      <w:pPr>
        <w:pStyle w:val="TableCenterAlign"/>
        <w:numPr>
          <w:ilvl w:val="0"/>
          <w:numId w:val="11"/>
        </w:numPr>
        <w:jc w:val="both"/>
        <w:rPr>
          <w:rFonts w:asciiTheme="minorHAnsi" w:hAnsiTheme="minorHAnsi" w:cstheme="minorHAnsi"/>
          <w:lang w:val="en-AU"/>
        </w:rPr>
      </w:pPr>
      <w:r w:rsidRPr="008D141E">
        <w:rPr>
          <w:rFonts w:asciiTheme="minorHAnsi" w:hAnsiTheme="minorHAnsi" w:cstheme="minorHAnsi"/>
          <w:lang w:val="en-AU"/>
        </w:rPr>
        <w:t>Visually inspect AIMOVIG for particles and discoloration. AIMOVIG is a clear to opalescent, colourless to light yellow solution. Do not use if the solution is cloudy or discoloured or contains flakes or particles.</w:t>
      </w:r>
    </w:p>
    <w:p w14:paraId="5AF4721C" w14:textId="77777777" w:rsidR="00AC63E8" w:rsidRPr="008D141E" w:rsidRDefault="00AC63E8" w:rsidP="00AC63E8">
      <w:pPr>
        <w:pStyle w:val="TableCenterAlign"/>
        <w:numPr>
          <w:ilvl w:val="0"/>
          <w:numId w:val="11"/>
        </w:numPr>
        <w:jc w:val="both"/>
        <w:rPr>
          <w:rFonts w:asciiTheme="minorHAnsi" w:hAnsiTheme="minorHAnsi" w:cstheme="minorHAnsi"/>
          <w:lang w:val="en-AU"/>
        </w:rPr>
      </w:pPr>
      <w:r w:rsidRPr="008D141E">
        <w:rPr>
          <w:rFonts w:asciiTheme="minorHAnsi" w:hAnsiTheme="minorHAnsi" w:cstheme="minorHAnsi"/>
          <w:lang w:val="en-AU"/>
        </w:rPr>
        <w:t>Administer AIMOVIG in the abdomen, thigh, or upper arm subcutaneously. If you want to use the same injection site, make sure it is not the same spot you used for a previous injection. Do not inject into areas where the skin is tender, bruised, red, or hard.</w:t>
      </w:r>
    </w:p>
    <w:p w14:paraId="6ECA71D0" w14:textId="77777777" w:rsidR="00AC63E8" w:rsidRPr="008D141E" w:rsidRDefault="00AC63E8" w:rsidP="00AC63E8">
      <w:pPr>
        <w:pStyle w:val="TableCenterAlign"/>
        <w:numPr>
          <w:ilvl w:val="0"/>
          <w:numId w:val="11"/>
        </w:numPr>
        <w:jc w:val="both"/>
        <w:rPr>
          <w:rFonts w:asciiTheme="minorHAnsi" w:hAnsiTheme="minorHAnsi" w:cstheme="minorHAnsi"/>
          <w:lang w:val="en-AU"/>
        </w:rPr>
      </w:pPr>
      <w:r w:rsidRPr="008D141E">
        <w:rPr>
          <w:rFonts w:asciiTheme="minorHAnsi" w:hAnsiTheme="minorHAnsi" w:cstheme="minorHAnsi"/>
          <w:lang w:val="en-AU"/>
        </w:rPr>
        <w:t>Both prefilled syringe and prefilled pen are for single use in one patient only and designed to deliver the entire contents with no residual content remaining. Discard any residue.</w:t>
      </w:r>
    </w:p>
    <w:p w14:paraId="677D2A00" w14:textId="77777777" w:rsidR="00AC63E8" w:rsidRPr="008D141E" w:rsidRDefault="00AC63E8" w:rsidP="00AC63E8">
      <w:pPr>
        <w:pStyle w:val="TableCenterAlign"/>
        <w:numPr>
          <w:ilvl w:val="0"/>
          <w:numId w:val="11"/>
        </w:numPr>
        <w:jc w:val="both"/>
        <w:rPr>
          <w:rFonts w:asciiTheme="minorHAnsi" w:hAnsiTheme="minorHAnsi" w:cstheme="minorHAnsi"/>
          <w:lang w:val="en-AU"/>
        </w:rPr>
      </w:pPr>
      <w:r w:rsidRPr="008D141E">
        <w:rPr>
          <w:rFonts w:asciiTheme="minorHAnsi" w:hAnsiTheme="minorHAnsi" w:cstheme="minorHAnsi"/>
          <w:lang w:val="en-AU"/>
        </w:rPr>
        <w:t>The needle cover of the AIMOVIG prefilled syringe and pen contain dry natural rubber, which may cause allergic reactions in individuals sensitive to latex.</w:t>
      </w:r>
    </w:p>
    <w:p w14:paraId="47C14280" w14:textId="77777777" w:rsidR="00AC63E8" w:rsidRPr="008D141E" w:rsidRDefault="00AC63E8" w:rsidP="00AC63E8">
      <w:pPr>
        <w:pStyle w:val="TableCenterAlign"/>
        <w:numPr>
          <w:ilvl w:val="0"/>
          <w:numId w:val="11"/>
        </w:numPr>
        <w:jc w:val="both"/>
        <w:rPr>
          <w:rFonts w:asciiTheme="minorHAnsi" w:hAnsiTheme="minorHAnsi" w:cstheme="minorHAnsi"/>
          <w:lang w:val="en-AU"/>
        </w:rPr>
      </w:pPr>
      <w:r w:rsidRPr="008D141E">
        <w:rPr>
          <w:rFonts w:asciiTheme="minorHAnsi" w:hAnsiTheme="minorHAnsi" w:cstheme="minorHAnsi"/>
          <w:lang w:val="en-AU"/>
        </w:rPr>
        <w:t>Prior to subcutaneous administration, allow AIMOVIG to sit at room temperature for at least 30 minutes and protect from direct sunlight. Do not warm by using a heat source such as hot water or microwave</w:t>
      </w:r>
      <w:r w:rsidR="008A4B3F">
        <w:rPr>
          <w:rFonts w:asciiTheme="minorHAnsi" w:hAnsiTheme="minorHAnsi" w:cstheme="minorHAnsi"/>
          <w:lang w:val="en-AU"/>
        </w:rPr>
        <w:t>.</w:t>
      </w:r>
    </w:p>
    <w:p w14:paraId="5C21160B" w14:textId="443C023A" w:rsidR="00AC63E8" w:rsidRDefault="00AC63E8" w:rsidP="008D141E"/>
    <w:p w14:paraId="7C579343" w14:textId="77777777" w:rsidR="001A3992" w:rsidRDefault="001A3992" w:rsidP="001A3992">
      <w:pPr>
        <w:pStyle w:val="Heading2"/>
        <w:spacing w:before="0" w:after="120"/>
      </w:pPr>
      <w:r>
        <w:lastRenderedPageBreak/>
        <w:t>Contraindications</w:t>
      </w:r>
    </w:p>
    <w:p w14:paraId="46B9676D" w14:textId="77777777" w:rsidR="00E50BB9" w:rsidRPr="008D141E" w:rsidRDefault="00E50BB9" w:rsidP="008D141E">
      <w:pPr>
        <w:rPr>
          <w:rFonts w:eastAsia="Arial Unicode MS"/>
        </w:rPr>
      </w:pPr>
      <w:r w:rsidRPr="008D141E">
        <w:rPr>
          <w:rFonts w:eastAsia="Arial Unicode MS"/>
        </w:rPr>
        <w:t>AIMOVIG is contraindicated in patients with hypersensitivity to erenumab or to any of the excipients.</w:t>
      </w:r>
    </w:p>
    <w:p w14:paraId="51C1A4A0" w14:textId="77777777" w:rsidR="001A3992" w:rsidRDefault="00E74A56" w:rsidP="001A3992">
      <w:pPr>
        <w:pStyle w:val="Heading2"/>
        <w:spacing w:before="0" w:after="120"/>
      </w:pPr>
      <w:r>
        <w:t>Special warnings and p</w:t>
      </w:r>
      <w:r w:rsidR="001A3992">
        <w:t xml:space="preserve">recautions </w:t>
      </w:r>
      <w:r>
        <w:t>for use</w:t>
      </w:r>
    </w:p>
    <w:p w14:paraId="0CD57AC6" w14:textId="77777777" w:rsidR="00116716" w:rsidRDefault="00116716" w:rsidP="001A3992">
      <w:pPr>
        <w:pStyle w:val="Heading3"/>
        <w:spacing w:before="0" w:after="120"/>
      </w:pPr>
      <w:r>
        <w:t>Traceability</w:t>
      </w:r>
    </w:p>
    <w:p w14:paraId="74D3BFF0" w14:textId="77777777" w:rsidR="00116716" w:rsidRPr="00116716" w:rsidRDefault="00116716" w:rsidP="00116716">
      <w:r w:rsidRPr="00116716">
        <w:t xml:space="preserve">In order to improve the traceability of biological medicinal products, the name and batch number of the administered medicinal product should be clearly recorded.   </w:t>
      </w:r>
    </w:p>
    <w:p w14:paraId="7A775B5C" w14:textId="77777777" w:rsidR="001A3992" w:rsidRDefault="001A3992" w:rsidP="001A3992">
      <w:pPr>
        <w:pStyle w:val="Heading3"/>
        <w:spacing w:before="0" w:after="120"/>
      </w:pPr>
      <w:r w:rsidRPr="00B878CC">
        <w:t xml:space="preserve">Use in hepatic impairment </w:t>
      </w:r>
    </w:p>
    <w:p w14:paraId="4FF8DE51" w14:textId="77777777" w:rsidR="00DF1CDE" w:rsidRPr="008D141E" w:rsidRDefault="00E50BB9" w:rsidP="008A4B3F">
      <w:pPr>
        <w:pStyle w:val="TableCenterAlign"/>
        <w:spacing w:after="240"/>
        <w:jc w:val="both"/>
        <w:rPr>
          <w:rFonts w:asciiTheme="minorHAnsi" w:hAnsiTheme="minorHAnsi" w:cstheme="minorHAnsi"/>
        </w:rPr>
      </w:pPr>
      <w:r w:rsidRPr="008D141E">
        <w:rPr>
          <w:rFonts w:asciiTheme="minorHAnsi" w:hAnsiTheme="minorHAnsi" w:cstheme="minorHAnsi"/>
          <w:lang w:val="en-AU"/>
        </w:rPr>
        <w:t>No clinical studies have been conducted to evaluate the effect of hepatic impairment.</w:t>
      </w:r>
    </w:p>
    <w:p w14:paraId="1975BA0C" w14:textId="77777777" w:rsidR="001A3992" w:rsidRDefault="001A3992" w:rsidP="001A3992">
      <w:pPr>
        <w:pStyle w:val="Heading3"/>
        <w:spacing w:before="0" w:after="120"/>
      </w:pPr>
      <w:r w:rsidRPr="00B878CC">
        <w:t xml:space="preserve">Use in renal impairment </w:t>
      </w:r>
    </w:p>
    <w:p w14:paraId="546F120F" w14:textId="77777777" w:rsidR="00E50BB9" w:rsidRPr="008A4B3F" w:rsidRDefault="00E50BB9" w:rsidP="008A4B3F">
      <w:pPr>
        <w:pStyle w:val="TableCenterAlign"/>
        <w:spacing w:after="240"/>
        <w:jc w:val="both"/>
        <w:rPr>
          <w:rFonts w:asciiTheme="minorHAnsi" w:hAnsiTheme="minorHAnsi" w:cstheme="minorHAnsi"/>
          <w:lang w:val="en-AU"/>
        </w:rPr>
      </w:pPr>
      <w:r w:rsidRPr="008A4B3F">
        <w:rPr>
          <w:rFonts w:asciiTheme="minorHAnsi" w:hAnsiTheme="minorHAnsi" w:cstheme="minorHAnsi"/>
          <w:lang w:val="en-AU"/>
        </w:rPr>
        <w:t>No dose adjustment is necessary in patients with mild to moderate renal impairment. 57 patients with moderate renal impairment have been studied. Population pharmacokinetic analysis of integrated data from the AIMOVIG clinical trials did not reveal a difference in the pharmacokinetics of erenumab in patients with mild or moderate renal impairment relative to those with normal renal function. Patients with severe renal impairment (</w:t>
      </w:r>
      <w:proofErr w:type="spellStart"/>
      <w:r w:rsidRPr="008A4B3F">
        <w:rPr>
          <w:rFonts w:asciiTheme="minorHAnsi" w:hAnsiTheme="minorHAnsi" w:cstheme="minorHAnsi"/>
          <w:lang w:val="en-AU"/>
        </w:rPr>
        <w:t>eGFR</w:t>
      </w:r>
      <w:proofErr w:type="spellEnd"/>
      <w:r w:rsidRPr="008A4B3F">
        <w:rPr>
          <w:rFonts w:asciiTheme="minorHAnsi" w:hAnsiTheme="minorHAnsi" w:cstheme="minorHAnsi"/>
          <w:lang w:val="en-AU"/>
        </w:rPr>
        <w:t xml:space="preserve"> &lt; 30 </w:t>
      </w:r>
      <w:proofErr w:type="spellStart"/>
      <w:r w:rsidRPr="008A4B3F">
        <w:rPr>
          <w:rFonts w:asciiTheme="minorHAnsi" w:hAnsiTheme="minorHAnsi" w:cstheme="minorHAnsi"/>
          <w:lang w:val="en-AU"/>
        </w:rPr>
        <w:t>mLs</w:t>
      </w:r>
      <w:proofErr w:type="spellEnd"/>
      <w:r w:rsidRPr="008A4B3F">
        <w:rPr>
          <w:rFonts w:asciiTheme="minorHAnsi" w:hAnsiTheme="minorHAnsi" w:cstheme="minorHAnsi"/>
          <w:lang w:val="en-AU"/>
        </w:rPr>
        <w:t xml:space="preserve">/min/1.73 m2) have not been studied. </w:t>
      </w:r>
    </w:p>
    <w:p w14:paraId="4414B007" w14:textId="77777777" w:rsidR="001A3992" w:rsidRDefault="001A3992" w:rsidP="001A3992">
      <w:pPr>
        <w:pStyle w:val="Heading3"/>
        <w:spacing w:before="0" w:after="120"/>
      </w:pPr>
      <w:r w:rsidRPr="00B878CC">
        <w:t>Use in the elderly</w:t>
      </w:r>
    </w:p>
    <w:p w14:paraId="68B1C991" w14:textId="77777777" w:rsidR="00E50BB9" w:rsidRPr="008A4B3F" w:rsidRDefault="00E50BB9" w:rsidP="008A4B3F">
      <w:pPr>
        <w:pStyle w:val="TableCenterAlign"/>
        <w:spacing w:after="240"/>
        <w:jc w:val="both"/>
        <w:rPr>
          <w:rFonts w:asciiTheme="minorHAnsi" w:hAnsiTheme="minorHAnsi" w:cstheme="minorHAnsi"/>
          <w:lang w:val="en-AU"/>
        </w:rPr>
      </w:pPr>
      <w:r w:rsidRPr="008D141E">
        <w:rPr>
          <w:rFonts w:asciiTheme="minorHAnsi" w:hAnsiTheme="minorHAnsi" w:cstheme="minorHAnsi"/>
          <w:lang w:val="en-AU"/>
        </w:rPr>
        <w:t>Dose adjustments for patients aged 65 years and older are not recommended due to insufficient data to determine whether they respond differently from younger subjects.</w:t>
      </w:r>
    </w:p>
    <w:p w14:paraId="078EB564" w14:textId="77777777" w:rsidR="001A3992" w:rsidRDefault="001A3992" w:rsidP="001A3992">
      <w:pPr>
        <w:pStyle w:val="Heading3"/>
        <w:spacing w:before="0" w:after="120"/>
      </w:pPr>
      <w:r w:rsidRPr="00B878CC">
        <w:t>Paediatric use</w:t>
      </w:r>
    </w:p>
    <w:p w14:paraId="08D17E85" w14:textId="77777777" w:rsidR="00606F78" w:rsidRPr="008A4B3F" w:rsidRDefault="00606F78" w:rsidP="008A4B3F">
      <w:pPr>
        <w:pStyle w:val="TableCenterAlign"/>
        <w:spacing w:after="240"/>
        <w:jc w:val="both"/>
        <w:rPr>
          <w:rFonts w:asciiTheme="minorHAnsi" w:hAnsiTheme="minorHAnsi" w:cstheme="minorHAnsi"/>
          <w:lang w:val="en-AU"/>
        </w:rPr>
      </w:pPr>
      <w:r w:rsidRPr="008D141E">
        <w:rPr>
          <w:rFonts w:asciiTheme="minorHAnsi" w:hAnsiTheme="minorHAnsi" w:cstheme="minorHAnsi"/>
          <w:lang w:val="en-AU"/>
        </w:rPr>
        <w:t>The safety and effectiveness of AIMOVIG has not been studied in paediatric patients.</w:t>
      </w:r>
    </w:p>
    <w:p w14:paraId="67EF68D7" w14:textId="77777777" w:rsidR="001A3992" w:rsidRDefault="001A3992" w:rsidP="001A3992">
      <w:pPr>
        <w:pStyle w:val="Heading3"/>
        <w:spacing w:before="0" w:after="120"/>
      </w:pPr>
      <w:r w:rsidRPr="00B878CC">
        <w:t>Effects on</w:t>
      </w:r>
      <w:r w:rsidRPr="00CC0D90">
        <w:t xml:space="preserve"> laboratory tests</w:t>
      </w:r>
    </w:p>
    <w:p w14:paraId="6695E69B" w14:textId="77777777" w:rsidR="00606F78" w:rsidRPr="008A4B3F" w:rsidRDefault="00606F78" w:rsidP="008A4B3F">
      <w:pPr>
        <w:pStyle w:val="TableCenterAlign"/>
        <w:spacing w:after="360"/>
        <w:contextualSpacing w:val="0"/>
        <w:jc w:val="both"/>
        <w:rPr>
          <w:rFonts w:asciiTheme="minorHAnsi" w:eastAsia="Arial" w:hAnsiTheme="minorHAnsi" w:cstheme="minorHAnsi"/>
          <w:lang w:val="en-AU"/>
        </w:rPr>
      </w:pPr>
      <w:r w:rsidRPr="008A4B3F">
        <w:rPr>
          <w:rFonts w:asciiTheme="minorHAnsi" w:eastAsia="Arial" w:hAnsiTheme="minorHAnsi" w:cstheme="minorHAnsi"/>
          <w:lang w:val="en-AU"/>
        </w:rPr>
        <w:t>Interference of AIMOVIG with laboratory and/or diagnostic tests has not been studied.</w:t>
      </w:r>
    </w:p>
    <w:p w14:paraId="1FBCB4BB" w14:textId="77777777" w:rsidR="001A3992" w:rsidRDefault="001A3992" w:rsidP="001A3992">
      <w:pPr>
        <w:pStyle w:val="Heading2"/>
        <w:keepNext/>
        <w:keepLines/>
        <w:spacing w:before="0" w:after="120"/>
      </w:pPr>
      <w:r>
        <w:t>Interactions with other medicines and other forms of interactions</w:t>
      </w:r>
    </w:p>
    <w:p w14:paraId="256E3D68" w14:textId="77777777" w:rsidR="00E529EC" w:rsidRPr="008D141E" w:rsidRDefault="00E529EC" w:rsidP="00E529EC">
      <w:pPr>
        <w:pStyle w:val="TableCenterAlign"/>
        <w:contextualSpacing w:val="0"/>
        <w:jc w:val="both"/>
        <w:rPr>
          <w:rFonts w:asciiTheme="minorHAnsi" w:eastAsia="Arial" w:hAnsiTheme="minorHAnsi" w:cstheme="minorHAnsi"/>
          <w:lang w:val="en-AU"/>
        </w:rPr>
      </w:pPr>
      <w:r w:rsidRPr="008D141E">
        <w:rPr>
          <w:rFonts w:asciiTheme="minorHAnsi" w:eastAsia="Arial" w:hAnsiTheme="minorHAnsi" w:cstheme="minorHAnsi"/>
          <w:lang w:val="en-AU"/>
        </w:rPr>
        <w:t xml:space="preserve">In an open-label, pharmacokinetic drug interaction study of AIMOVIG and a combined oral contraceptive in healthy female subjects, erenumab (140 mg subcutaneous [SC], single-dose) did not affect the pharmacokinetics of a combined oral contraceptive containing </w:t>
      </w:r>
      <w:proofErr w:type="spellStart"/>
      <w:r w:rsidRPr="008D141E">
        <w:rPr>
          <w:rFonts w:asciiTheme="minorHAnsi" w:eastAsia="Arial" w:hAnsiTheme="minorHAnsi" w:cstheme="minorHAnsi"/>
          <w:lang w:val="en-AU"/>
        </w:rPr>
        <w:t>et</w:t>
      </w:r>
      <w:r w:rsidR="00594033">
        <w:rPr>
          <w:rFonts w:asciiTheme="minorHAnsi" w:eastAsia="Arial" w:hAnsiTheme="minorHAnsi" w:cstheme="minorHAnsi"/>
          <w:lang w:val="en-AU"/>
        </w:rPr>
        <w:t>hinylestradiol</w:t>
      </w:r>
      <w:proofErr w:type="spellEnd"/>
      <w:r w:rsidR="00594033">
        <w:rPr>
          <w:rFonts w:asciiTheme="minorHAnsi" w:eastAsia="Arial" w:hAnsiTheme="minorHAnsi" w:cstheme="minorHAnsi"/>
          <w:lang w:val="en-AU"/>
        </w:rPr>
        <w:t xml:space="preserve"> and </w:t>
      </w:r>
      <w:proofErr w:type="spellStart"/>
      <w:r w:rsidR="00594033">
        <w:rPr>
          <w:rFonts w:asciiTheme="minorHAnsi" w:eastAsia="Arial" w:hAnsiTheme="minorHAnsi" w:cstheme="minorHAnsi"/>
          <w:lang w:val="en-AU"/>
        </w:rPr>
        <w:t>norgestimate</w:t>
      </w:r>
      <w:proofErr w:type="spellEnd"/>
      <w:r w:rsidR="00594033">
        <w:rPr>
          <w:rFonts w:asciiTheme="minorHAnsi" w:eastAsia="Arial" w:hAnsiTheme="minorHAnsi" w:cstheme="minorHAnsi"/>
          <w:lang w:val="en-AU"/>
        </w:rPr>
        <w:t>.</w:t>
      </w:r>
    </w:p>
    <w:p w14:paraId="11367F99" w14:textId="77777777" w:rsidR="00E529EC" w:rsidRPr="008D141E" w:rsidRDefault="00E529EC" w:rsidP="00E529EC">
      <w:pPr>
        <w:pStyle w:val="TableCenterAlign"/>
        <w:contextualSpacing w:val="0"/>
        <w:jc w:val="both"/>
        <w:rPr>
          <w:rFonts w:asciiTheme="minorHAnsi" w:eastAsia="Arial" w:hAnsiTheme="minorHAnsi" w:cstheme="minorHAnsi"/>
          <w:lang w:val="en-AU"/>
        </w:rPr>
      </w:pPr>
      <w:r w:rsidRPr="008D141E">
        <w:rPr>
          <w:rFonts w:asciiTheme="minorHAnsi" w:eastAsia="Arial" w:hAnsiTheme="minorHAnsi" w:cstheme="minorHAnsi"/>
          <w:lang w:val="en-AU"/>
        </w:rPr>
        <w:t xml:space="preserve">In a randomised, double-blind, placebo-controlled study in healthy volunteers, concomitant administration of erenumab (140 mg intravenous [IV], single-dose) with </w:t>
      </w:r>
      <w:proofErr w:type="spellStart"/>
      <w:r w:rsidRPr="008D141E">
        <w:rPr>
          <w:rFonts w:asciiTheme="minorHAnsi" w:eastAsia="Arial" w:hAnsiTheme="minorHAnsi" w:cstheme="minorHAnsi"/>
          <w:lang w:val="en-AU"/>
        </w:rPr>
        <w:t>sumatriptan</w:t>
      </w:r>
      <w:proofErr w:type="spellEnd"/>
      <w:r w:rsidRPr="008D141E">
        <w:rPr>
          <w:rFonts w:asciiTheme="minorHAnsi" w:eastAsia="Arial" w:hAnsiTheme="minorHAnsi" w:cstheme="minorHAnsi"/>
          <w:lang w:val="en-AU"/>
        </w:rPr>
        <w:t xml:space="preserve"> had no effect on resting blood pressure compared with </w:t>
      </w:r>
      <w:proofErr w:type="spellStart"/>
      <w:r w:rsidRPr="008D141E">
        <w:rPr>
          <w:rFonts w:asciiTheme="minorHAnsi" w:eastAsia="Arial" w:hAnsiTheme="minorHAnsi" w:cstheme="minorHAnsi"/>
          <w:lang w:val="en-AU"/>
        </w:rPr>
        <w:t>sumatritpan</w:t>
      </w:r>
      <w:proofErr w:type="spellEnd"/>
      <w:r w:rsidRPr="008D141E">
        <w:rPr>
          <w:rFonts w:asciiTheme="minorHAnsi" w:eastAsia="Arial" w:hAnsiTheme="minorHAnsi" w:cstheme="minorHAnsi"/>
          <w:lang w:val="en-AU"/>
        </w:rPr>
        <w:t xml:space="preserve"> alone.  AIMOVIG had no effect on the pharmacokinetics of </w:t>
      </w:r>
      <w:proofErr w:type="spellStart"/>
      <w:r w:rsidRPr="008D141E">
        <w:rPr>
          <w:rFonts w:asciiTheme="minorHAnsi" w:eastAsia="Arial" w:hAnsiTheme="minorHAnsi" w:cstheme="minorHAnsi"/>
          <w:lang w:val="en-AU"/>
        </w:rPr>
        <w:t>sumatriptan</w:t>
      </w:r>
      <w:proofErr w:type="spellEnd"/>
      <w:r w:rsidRPr="008D141E">
        <w:rPr>
          <w:rFonts w:asciiTheme="minorHAnsi" w:eastAsia="Arial" w:hAnsiTheme="minorHAnsi" w:cstheme="minorHAnsi"/>
          <w:lang w:val="en-AU"/>
        </w:rPr>
        <w:t>.</w:t>
      </w:r>
    </w:p>
    <w:p w14:paraId="72C9C8A0" w14:textId="77777777" w:rsidR="00E529EC" w:rsidRPr="008D141E" w:rsidRDefault="00E529EC" w:rsidP="008A4B3F">
      <w:pPr>
        <w:pStyle w:val="TableCenterAlign"/>
        <w:spacing w:after="360"/>
        <w:contextualSpacing w:val="0"/>
        <w:jc w:val="both"/>
        <w:rPr>
          <w:rFonts w:asciiTheme="minorHAnsi" w:eastAsia="Arial" w:hAnsiTheme="minorHAnsi" w:cstheme="minorHAnsi"/>
          <w:lang w:val="en-AU"/>
        </w:rPr>
      </w:pPr>
      <w:r w:rsidRPr="008D141E">
        <w:rPr>
          <w:rFonts w:asciiTheme="minorHAnsi" w:eastAsia="Arial" w:hAnsiTheme="minorHAnsi" w:cstheme="minorHAnsi"/>
          <w:lang w:val="en-AU"/>
        </w:rPr>
        <w:t>Erenumab is not metabolised by cytochrome P450 enzymes and is unlikely to cause marked changes in pro-inflammatory cytokines that may impact cytochrome P450 enzyme expression or activity. As a result, interactions with concomitant medications that are substrates, inducers, or inhibitors of cytochrome P450 enzymes are unlikely.</w:t>
      </w:r>
    </w:p>
    <w:p w14:paraId="42229D3B" w14:textId="77777777" w:rsidR="001A3992" w:rsidRDefault="001A3992" w:rsidP="001A3992">
      <w:pPr>
        <w:pStyle w:val="Heading2"/>
        <w:spacing w:before="0" w:after="120"/>
      </w:pPr>
      <w:r>
        <w:lastRenderedPageBreak/>
        <w:t xml:space="preserve">Fertility, pregnancy and lactation </w:t>
      </w:r>
    </w:p>
    <w:p w14:paraId="44F6CB0E" w14:textId="77777777" w:rsidR="001A3992" w:rsidRDefault="001A3992" w:rsidP="001A3992">
      <w:pPr>
        <w:pStyle w:val="Heading3"/>
        <w:spacing w:before="0" w:after="120"/>
      </w:pPr>
      <w:r w:rsidRPr="00B878CC">
        <w:t>Effects on fertility</w:t>
      </w:r>
    </w:p>
    <w:p w14:paraId="4AD8C422" w14:textId="77777777" w:rsidR="00E50BB9" w:rsidRPr="008A4B3F" w:rsidRDefault="00E50BB9" w:rsidP="008A4B3F">
      <w:pPr>
        <w:pStyle w:val="TableCenterAlign"/>
        <w:spacing w:after="240"/>
        <w:jc w:val="both"/>
        <w:rPr>
          <w:rFonts w:asciiTheme="minorHAnsi" w:hAnsiTheme="minorHAnsi" w:cstheme="minorHAnsi"/>
          <w:lang w:val="en-AU"/>
        </w:rPr>
      </w:pPr>
      <w:r w:rsidRPr="008A4B3F">
        <w:rPr>
          <w:rFonts w:asciiTheme="minorHAnsi" w:hAnsiTheme="minorHAnsi" w:cstheme="minorHAnsi"/>
          <w:lang w:val="en-AU"/>
        </w:rPr>
        <w:t>No data are available on the effect of AIMOVIG on human fertility. However, there were no adverse effects on surrogate markers of fertility (anatomic pathology or histopathology changes in reproductive organs) in the chronic toxicology study in sexually mature monkeys subcutaneously administered AIMOVIG at dose levels up to 150 mg/kg twice weekly for 6 months, at systemic exposures up to 123-fold higher than the clinical dose of 140 mg once monthly, based on serum AUC.</w:t>
      </w:r>
    </w:p>
    <w:p w14:paraId="78E92357" w14:textId="77777777" w:rsidR="00E50BB9" w:rsidRDefault="001A3992" w:rsidP="005B2812">
      <w:pPr>
        <w:pStyle w:val="Heading3"/>
        <w:spacing w:before="0" w:after="120"/>
        <w:rPr>
          <w:rFonts w:cstheme="minorHAnsi"/>
        </w:rPr>
      </w:pPr>
      <w:r w:rsidRPr="00B878CC">
        <w:t xml:space="preserve">Use in pregnancy </w:t>
      </w:r>
      <w:r w:rsidR="005B2812" w:rsidRPr="00497C85">
        <w:rPr>
          <w:rFonts w:cstheme="minorHAnsi"/>
        </w:rPr>
        <w:t>– Pregnancy Category B1</w:t>
      </w:r>
    </w:p>
    <w:p w14:paraId="22FDBC64" w14:textId="77777777" w:rsidR="00E50BB9" w:rsidRPr="008D141E" w:rsidRDefault="00E50BB9" w:rsidP="00E50BB9">
      <w:pPr>
        <w:pStyle w:val="TableCenterAlign"/>
        <w:contextualSpacing w:val="0"/>
        <w:jc w:val="both"/>
        <w:rPr>
          <w:rFonts w:asciiTheme="minorHAnsi" w:hAnsiTheme="minorHAnsi" w:cstheme="minorHAnsi"/>
          <w:szCs w:val="22"/>
          <w:lang w:val="en-AU"/>
        </w:rPr>
      </w:pPr>
      <w:r w:rsidRPr="008D141E">
        <w:rPr>
          <w:rFonts w:asciiTheme="minorHAnsi" w:hAnsiTheme="minorHAnsi" w:cstheme="minorHAnsi"/>
          <w:szCs w:val="22"/>
          <w:lang w:val="en-AU"/>
        </w:rPr>
        <w:t>There are no adequate and well</w:t>
      </w:r>
      <w:r w:rsidRPr="008D141E">
        <w:rPr>
          <w:rFonts w:asciiTheme="minorHAnsi" w:hAnsiTheme="minorHAnsi" w:cstheme="minorHAnsi"/>
          <w:szCs w:val="22"/>
          <w:lang w:val="en-AU"/>
        </w:rPr>
        <w:noBreakHyphen/>
        <w:t xml:space="preserve">controlled studies on the use of AIMOVIG in pregnant women. In a </w:t>
      </w:r>
      <w:proofErr w:type="spellStart"/>
      <w:r w:rsidRPr="008D141E">
        <w:rPr>
          <w:rFonts w:asciiTheme="minorHAnsi" w:hAnsiTheme="minorHAnsi" w:cstheme="minorHAnsi"/>
          <w:szCs w:val="22"/>
          <w:lang w:val="en-AU"/>
        </w:rPr>
        <w:t>cynomolgus</w:t>
      </w:r>
      <w:proofErr w:type="spellEnd"/>
      <w:r w:rsidRPr="008D141E">
        <w:rPr>
          <w:rFonts w:asciiTheme="minorHAnsi" w:hAnsiTheme="minorHAnsi" w:cstheme="minorHAnsi"/>
          <w:szCs w:val="22"/>
          <w:lang w:val="en-AU"/>
        </w:rPr>
        <w:t xml:space="preserve"> monkey reproduction study, there were no effects on pregnancy, embryo-fetal or post-natal development (up to 6 months age) when erenumab was dosed throughout pregnancy at exposure levels 17</w:t>
      </w:r>
      <w:r w:rsidRPr="008D141E">
        <w:rPr>
          <w:rFonts w:asciiTheme="minorHAnsi" w:hAnsiTheme="minorHAnsi" w:cstheme="minorHAnsi"/>
          <w:szCs w:val="22"/>
          <w:lang w:val="en-AU"/>
        </w:rPr>
        <w:noBreakHyphen/>
        <w:t>fold higher than those achieved in patients receiving erenumab at the 140 mg once monthly dosing regimen based on area under the concentration curve (AUC).  Measurable erenumab serum concentrations were observed in the infant monkeys at birth, confirming that erenumab, like other IgG antibodies, crosses the placental barrier.</w:t>
      </w:r>
    </w:p>
    <w:p w14:paraId="7B30FE7F" w14:textId="77777777" w:rsidR="001A3992" w:rsidRPr="008A4B3F" w:rsidRDefault="00E50BB9" w:rsidP="008A4B3F">
      <w:pPr>
        <w:pStyle w:val="TableCenterAlign"/>
        <w:spacing w:after="240"/>
        <w:jc w:val="both"/>
        <w:rPr>
          <w:rFonts w:asciiTheme="minorHAnsi" w:hAnsiTheme="minorHAnsi" w:cstheme="minorHAnsi"/>
          <w:lang w:val="en-AU"/>
        </w:rPr>
      </w:pPr>
      <w:r w:rsidRPr="008A4B3F">
        <w:rPr>
          <w:rFonts w:asciiTheme="minorHAnsi" w:hAnsiTheme="minorHAnsi" w:cstheme="minorHAnsi"/>
          <w:lang w:val="en-AU"/>
        </w:rPr>
        <w:t xml:space="preserve">Animal studies are not always predictive of human response and therefore, it is not known whether AIMOVIG can cause fetal harm when administered to a pregnant woman.  AIMOVIG should be used during pregnancy only if the potential benefit justifies the potential risk to the </w:t>
      </w:r>
      <w:proofErr w:type="spellStart"/>
      <w:r w:rsidRPr="008A4B3F">
        <w:rPr>
          <w:rFonts w:asciiTheme="minorHAnsi" w:hAnsiTheme="minorHAnsi" w:cstheme="minorHAnsi"/>
          <w:lang w:val="en-AU"/>
        </w:rPr>
        <w:t>fetus</w:t>
      </w:r>
      <w:proofErr w:type="spellEnd"/>
      <w:r w:rsidRPr="008A4B3F">
        <w:rPr>
          <w:rFonts w:asciiTheme="minorHAnsi" w:hAnsiTheme="minorHAnsi" w:cstheme="minorHAnsi"/>
          <w:lang w:val="en-AU"/>
        </w:rPr>
        <w:t>.</w:t>
      </w:r>
    </w:p>
    <w:p w14:paraId="21A05ADB" w14:textId="77777777" w:rsidR="001A3992" w:rsidRDefault="001A3992" w:rsidP="001A3992">
      <w:pPr>
        <w:pStyle w:val="Heading3"/>
        <w:spacing w:before="0" w:after="120"/>
      </w:pPr>
      <w:r w:rsidRPr="00B878CC">
        <w:t>Use in</w:t>
      </w:r>
      <w:r w:rsidRPr="00164864">
        <w:t xml:space="preserve"> lactation. </w:t>
      </w:r>
    </w:p>
    <w:p w14:paraId="1FCA3BD5" w14:textId="77777777" w:rsidR="00E50BB9" w:rsidRPr="008A4B3F" w:rsidRDefault="00E50BB9" w:rsidP="008A4B3F">
      <w:pPr>
        <w:pStyle w:val="TableCenterAlign"/>
        <w:spacing w:after="360"/>
        <w:contextualSpacing w:val="0"/>
        <w:jc w:val="both"/>
        <w:rPr>
          <w:rFonts w:asciiTheme="minorHAnsi" w:eastAsia="Arial" w:hAnsiTheme="minorHAnsi" w:cstheme="minorHAnsi"/>
          <w:lang w:val="en-AU"/>
        </w:rPr>
      </w:pPr>
      <w:r w:rsidRPr="008A4B3F">
        <w:rPr>
          <w:rFonts w:asciiTheme="minorHAnsi" w:eastAsia="Arial" w:hAnsiTheme="minorHAnsi" w:cstheme="minorHAnsi"/>
          <w:lang w:val="en-AU"/>
        </w:rPr>
        <w:t>It is not known whether AIMOVIG is present in human milk. There are no data on the effects of AIMOVIG on the breastfed child or the effects of AIMOVIG on milk production. Because drugs are excreted in human milk and because of the potential for adverse effects in nursing infants from AIMOVIG, a decision should be made whether to discontinue nursing or discontinue AIMOVIG, taking into account the potential benefit of AIMOVIG to the mother and the potential benefit of breast feeding to the infant.</w:t>
      </w:r>
    </w:p>
    <w:p w14:paraId="2C661DAB" w14:textId="77777777" w:rsidR="001A3992" w:rsidRDefault="001A3992" w:rsidP="001A3992">
      <w:pPr>
        <w:pStyle w:val="Heading2"/>
        <w:spacing w:before="0" w:after="120"/>
      </w:pPr>
      <w:r w:rsidRPr="00EC3C40">
        <w:t>Effects</w:t>
      </w:r>
      <w:r>
        <w:t xml:space="preserve"> on ability to drive and use machines </w:t>
      </w:r>
    </w:p>
    <w:p w14:paraId="648CE0F1" w14:textId="77777777" w:rsidR="00606F78" w:rsidRPr="008A4B3F" w:rsidRDefault="00606F78" w:rsidP="008A4B3F">
      <w:pPr>
        <w:pStyle w:val="TableCenterAlign"/>
        <w:spacing w:after="360"/>
        <w:contextualSpacing w:val="0"/>
        <w:jc w:val="both"/>
        <w:rPr>
          <w:rFonts w:asciiTheme="minorHAnsi" w:eastAsia="Arial" w:hAnsiTheme="minorHAnsi" w:cstheme="minorHAnsi"/>
          <w:lang w:val="en-AU"/>
        </w:rPr>
      </w:pPr>
      <w:r w:rsidRPr="008A4B3F">
        <w:rPr>
          <w:rFonts w:asciiTheme="minorHAnsi" w:eastAsia="Arial" w:hAnsiTheme="minorHAnsi" w:cstheme="minorHAnsi"/>
          <w:lang w:val="en-AU"/>
        </w:rPr>
        <w:t>AIMOVIG is expected to have no influence on the ability to drive and use machines</w:t>
      </w:r>
      <w:r w:rsidR="00DA3468" w:rsidRPr="008A4B3F">
        <w:rPr>
          <w:rFonts w:asciiTheme="minorHAnsi" w:eastAsia="Arial" w:hAnsiTheme="minorHAnsi" w:cstheme="minorHAnsi"/>
          <w:lang w:val="en-AU"/>
        </w:rPr>
        <w:t>.</w:t>
      </w:r>
    </w:p>
    <w:p w14:paraId="0B9E63C2" w14:textId="77777777" w:rsidR="001A3992" w:rsidRDefault="001A3992" w:rsidP="001A3992">
      <w:pPr>
        <w:pStyle w:val="Heading2"/>
        <w:keepNext/>
        <w:keepLines/>
        <w:spacing w:before="0" w:after="120"/>
      </w:pPr>
      <w:r>
        <w:t>Adverse effects (Undesirable effects)</w:t>
      </w:r>
    </w:p>
    <w:p w14:paraId="5665B3A9" w14:textId="77777777" w:rsidR="00AC63E8" w:rsidRPr="008D141E" w:rsidRDefault="00AC63E8" w:rsidP="008D141E">
      <w:pPr>
        <w:pStyle w:val="Heading2"/>
        <w:numPr>
          <w:ilvl w:val="0"/>
          <w:numId w:val="0"/>
        </w:numPr>
      </w:pPr>
      <w:r w:rsidRPr="008D141E">
        <w:t xml:space="preserve">Summary of the Safety Profile </w:t>
      </w:r>
    </w:p>
    <w:p w14:paraId="16AA3E5A" w14:textId="77777777" w:rsidR="00AC63E8" w:rsidRPr="008D141E" w:rsidRDefault="00AC63E8" w:rsidP="008A4B3F">
      <w:pPr>
        <w:pStyle w:val="TableCenterAlign"/>
        <w:spacing w:after="120"/>
        <w:contextualSpacing w:val="0"/>
        <w:jc w:val="both"/>
        <w:rPr>
          <w:rFonts w:asciiTheme="minorHAnsi" w:hAnsiTheme="minorHAnsi" w:cstheme="minorHAnsi"/>
          <w:lang w:val="en-AU"/>
        </w:rPr>
      </w:pPr>
      <w:r w:rsidRPr="008D141E">
        <w:rPr>
          <w:rFonts w:asciiTheme="minorHAnsi" w:hAnsiTheme="minorHAnsi" w:cstheme="minorHAnsi"/>
          <w:lang w:val="en-AU"/>
        </w:rPr>
        <w:t>Data from two phase 3 and two phase 2 clinical studies in migraine were pooled to evaluate the safety of AIMOVIG in comparison to placebo up to 12 weeks after treatment initiation.</w:t>
      </w:r>
    </w:p>
    <w:p w14:paraId="1C26C203" w14:textId="77777777" w:rsidR="00AC63E8" w:rsidRPr="008D141E" w:rsidRDefault="00AC63E8" w:rsidP="008A4B3F">
      <w:pPr>
        <w:pStyle w:val="TableCenterAlign"/>
        <w:spacing w:after="120"/>
        <w:contextualSpacing w:val="0"/>
        <w:jc w:val="both"/>
        <w:rPr>
          <w:rFonts w:asciiTheme="minorHAnsi" w:hAnsiTheme="minorHAnsi" w:cstheme="minorHAnsi"/>
          <w:lang w:val="en-AU"/>
        </w:rPr>
      </w:pPr>
      <w:r w:rsidRPr="008D141E">
        <w:rPr>
          <w:rFonts w:asciiTheme="minorHAnsi" w:hAnsiTheme="minorHAnsi" w:cstheme="minorHAnsi"/>
          <w:lang w:val="en-AU"/>
        </w:rPr>
        <w:t xml:space="preserve">There were a total of 2656 patients (1613 AIMOVIG and 1043 placebo) in these studies. Of these, 507 subjects received 140 mg dose of </w:t>
      </w:r>
      <w:r w:rsidRPr="008A4B3F">
        <w:rPr>
          <w:rFonts w:asciiTheme="minorHAnsi" w:hAnsiTheme="minorHAnsi" w:cstheme="minorHAnsi"/>
          <w:lang w:val="en-AU"/>
        </w:rPr>
        <w:t>AIMOVIG.</w:t>
      </w:r>
    </w:p>
    <w:p w14:paraId="15EDB33A" w14:textId="77777777" w:rsidR="00AC63E8" w:rsidRDefault="00AC63E8" w:rsidP="008A4B3F">
      <w:pPr>
        <w:pStyle w:val="TableCenterAlign"/>
        <w:spacing w:after="120"/>
        <w:contextualSpacing w:val="0"/>
        <w:jc w:val="both"/>
        <w:rPr>
          <w:rFonts w:asciiTheme="minorHAnsi" w:hAnsiTheme="minorHAnsi" w:cstheme="minorHAnsi"/>
          <w:lang w:val="en-AU"/>
        </w:rPr>
      </w:pPr>
      <w:r w:rsidRPr="008D141E">
        <w:rPr>
          <w:rFonts w:asciiTheme="minorHAnsi" w:hAnsiTheme="minorHAnsi" w:cstheme="minorHAnsi"/>
          <w:lang w:val="en-AU"/>
        </w:rPr>
        <w:t>The overall safety population for including ongoing open label extension phase with AIMOVIG includes 2537 patients (2310.3 patient years) who received at least one dose of AIMOVIG: 2066 patients were exposed for at least 6 months and 1213 were exposed for at least 12 months.</w:t>
      </w:r>
    </w:p>
    <w:p w14:paraId="5B016C25" w14:textId="77777777" w:rsidR="00AC63E8" w:rsidRPr="008D141E" w:rsidRDefault="00AC63E8" w:rsidP="00FB1999">
      <w:pPr>
        <w:pStyle w:val="Heading2"/>
        <w:keepNext/>
        <w:numPr>
          <w:ilvl w:val="0"/>
          <w:numId w:val="0"/>
        </w:numPr>
        <w:spacing w:before="120" w:after="120" w:line="240" w:lineRule="auto"/>
        <w:ind w:left="578" w:hanging="578"/>
      </w:pPr>
      <w:r w:rsidRPr="008D141E">
        <w:t>Tabulated Summary of Adverse Reactions</w:t>
      </w:r>
    </w:p>
    <w:p w14:paraId="609EAA7F" w14:textId="75BB7688" w:rsidR="00AC63E8" w:rsidRPr="008D141E" w:rsidRDefault="00AC63E8" w:rsidP="008A4B3F">
      <w:pPr>
        <w:pStyle w:val="TableCenterAlign"/>
        <w:spacing w:line="240" w:lineRule="auto"/>
        <w:jc w:val="both"/>
        <w:rPr>
          <w:rFonts w:asciiTheme="minorHAnsi" w:eastAsia="Arial Unicode MS" w:hAnsiTheme="minorHAnsi" w:cstheme="minorHAnsi"/>
          <w:lang w:val="en-AU"/>
        </w:rPr>
      </w:pPr>
      <w:r w:rsidRPr="008D141E">
        <w:rPr>
          <w:rFonts w:asciiTheme="minorHAnsi" w:eastAsia="Arial Unicode MS" w:hAnsiTheme="minorHAnsi" w:cstheme="minorHAnsi"/>
          <w:lang w:val="en-AU"/>
        </w:rPr>
        <w:lastRenderedPageBreak/>
        <w:fldChar w:fldCharType="begin"/>
      </w:r>
      <w:r w:rsidRPr="008D141E">
        <w:rPr>
          <w:rFonts w:asciiTheme="minorHAnsi" w:eastAsia="Arial Unicode MS" w:hAnsiTheme="minorHAnsi" w:cstheme="minorHAnsi"/>
          <w:lang w:val="en-AU"/>
        </w:rPr>
        <w:instrText xml:space="preserve"> REF _Ref513648952 \h  \* MERGEFORMAT </w:instrText>
      </w:r>
      <w:r w:rsidRPr="008D141E">
        <w:rPr>
          <w:rFonts w:asciiTheme="minorHAnsi" w:eastAsia="Arial Unicode MS" w:hAnsiTheme="minorHAnsi" w:cstheme="minorHAnsi"/>
          <w:lang w:val="en-AU"/>
        </w:rPr>
      </w:r>
      <w:r w:rsidRPr="008D141E">
        <w:rPr>
          <w:rFonts w:asciiTheme="minorHAnsi" w:eastAsia="Arial Unicode MS" w:hAnsiTheme="minorHAnsi" w:cstheme="minorHAnsi"/>
          <w:lang w:val="en-AU"/>
        </w:rPr>
        <w:fldChar w:fldCharType="separate"/>
      </w:r>
      <w:r w:rsidR="00250856" w:rsidRPr="00250856">
        <w:rPr>
          <w:rFonts w:asciiTheme="minorHAnsi" w:eastAsia="Arial Unicode MS" w:hAnsiTheme="minorHAnsi" w:cstheme="minorHAnsi"/>
          <w:lang w:val="en-AU"/>
        </w:rPr>
        <w:t>Table 1</w:t>
      </w:r>
      <w:r w:rsidRPr="008D141E">
        <w:rPr>
          <w:rFonts w:asciiTheme="minorHAnsi" w:eastAsia="Arial Unicode MS" w:hAnsiTheme="minorHAnsi" w:cstheme="minorHAnsi"/>
          <w:lang w:val="en-AU"/>
        </w:rPr>
        <w:fldChar w:fldCharType="end"/>
      </w:r>
      <w:r w:rsidRPr="008D141E">
        <w:rPr>
          <w:rFonts w:asciiTheme="minorHAnsi" w:eastAsia="Arial Unicode MS" w:hAnsiTheme="minorHAnsi" w:cstheme="minorHAnsi"/>
          <w:lang w:val="en-AU"/>
        </w:rPr>
        <w:t xml:space="preserve"> summarises all treatment-emergent adverse events which were reported by </w:t>
      </w:r>
      <w:r w:rsidRPr="008D141E">
        <w:rPr>
          <w:rFonts w:asciiTheme="minorHAnsi" w:eastAsia="Arial Unicode MS" w:hAnsiTheme="minorHAnsi" w:cstheme="minorHAnsi" w:hint="eastAsia"/>
          <w:lang w:val="en-AU"/>
        </w:rPr>
        <w:t>≥</w:t>
      </w:r>
      <w:r w:rsidRPr="008D141E">
        <w:rPr>
          <w:rFonts w:asciiTheme="minorHAnsi" w:eastAsia="Arial Unicode MS" w:hAnsiTheme="minorHAnsi" w:cstheme="minorHAnsi"/>
          <w:lang w:val="en-AU"/>
        </w:rPr>
        <w:t xml:space="preserve"> 1 % and</w:t>
      </w:r>
      <w:r w:rsidR="008A4B3F">
        <w:rPr>
          <w:rFonts w:asciiTheme="minorHAnsi" w:eastAsia="Arial Unicode MS" w:hAnsiTheme="minorHAnsi" w:cstheme="minorHAnsi"/>
          <w:lang w:val="en-AU"/>
        </w:rPr>
        <w:t xml:space="preserve"> </w:t>
      </w:r>
      <w:r w:rsidR="008A4B3F">
        <w:rPr>
          <w:rFonts w:asciiTheme="minorHAnsi" w:eastAsia="Arial Unicode MS" w:hAnsiTheme="minorHAnsi" w:cstheme="minorHAnsi"/>
          <w:lang w:val="en-AU"/>
        </w:rPr>
        <w:fldChar w:fldCharType="begin"/>
      </w:r>
      <w:r w:rsidR="008A4B3F">
        <w:rPr>
          <w:rFonts w:asciiTheme="minorHAnsi" w:eastAsia="Arial Unicode MS" w:hAnsiTheme="minorHAnsi" w:cstheme="minorHAnsi"/>
          <w:lang w:val="en-AU"/>
        </w:rPr>
        <w:instrText xml:space="preserve"> REF _Ref516047408 \h  \* MERGEFORMAT </w:instrText>
      </w:r>
      <w:r w:rsidR="008A4B3F">
        <w:rPr>
          <w:rFonts w:asciiTheme="minorHAnsi" w:eastAsia="Arial Unicode MS" w:hAnsiTheme="minorHAnsi" w:cstheme="minorHAnsi"/>
          <w:lang w:val="en-AU"/>
        </w:rPr>
      </w:r>
      <w:r w:rsidR="008A4B3F">
        <w:rPr>
          <w:rFonts w:asciiTheme="minorHAnsi" w:eastAsia="Arial Unicode MS" w:hAnsiTheme="minorHAnsi" w:cstheme="minorHAnsi"/>
          <w:lang w:val="en-AU"/>
        </w:rPr>
        <w:fldChar w:fldCharType="separate"/>
      </w:r>
      <w:r w:rsidR="00250856" w:rsidRPr="00250856">
        <w:rPr>
          <w:rFonts w:asciiTheme="minorHAnsi" w:eastAsia="Arial Unicode MS" w:hAnsiTheme="minorHAnsi" w:cstheme="minorHAnsi"/>
          <w:lang w:val="en-AU"/>
        </w:rPr>
        <w:t>Table 2</w:t>
      </w:r>
      <w:r w:rsidR="008A4B3F">
        <w:rPr>
          <w:rFonts w:asciiTheme="minorHAnsi" w:eastAsia="Arial Unicode MS" w:hAnsiTheme="minorHAnsi" w:cstheme="minorHAnsi"/>
          <w:lang w:val="en-AU"/>
        </w:rPr>
        <w:fldChar w:fldCharType="end"/>
      </w:r>
      <w:r w:rsidR="008A4B3F">
        <w:rPr>
          <w:rFonts w:asciiTheme="minorHAnsi" w:eastAsia="Arial Unicode MS" w:hAnsiTheme="minorHAnsi" w:cstheme="minorHAnsi"/>
          <w:lang w:val="en-AU"/>
        </w:rPr>
        <w:t xml:space="preserve"> </w:t>
      </w:r>
      <w:r w:rsidRPr="008D141E">
        <w:rPr>
          <w:rFonts w:asciiTheme="minorHAnsi" w:eastAsia="Arial Unicode MS" w:hAnsiTheme="minorHAnsi" w:cstheme="minorHAnsi"/>
          <w:lang w:val="en-AU"/>
        </w:rPr>
        <w:t>summarises all adverse reactions that occurred in AIMOVIG-treated patients at the recommended 140 mg dose during the 12-week placebo-controlled period of the pooled trials. Most Adverse Drug Reactions were mild or moderate in severity.</w:t>
      </w:r>
    </w:p>
    <w:p w14:paraId="41FFA8EC" w14:textId="77777777" w:rsidR="00AC63E8" w:rsidRPr="00990087" w:rsidRDefault="00AC63E8" w:rsidP="00AC63E8">
      <w:pPr>
        <w:pStyle w:val="TableCenterAlign"/>
        <w:jc w:val="both"/>
        <w:rPr>
          <w:rFonts w:ascii="Times New Roman" w:eastAsia="Arial Unicode MS" w:hAnsi="Times New Roman"/>
          <w:sz w:val="24"/>
          <w:lang w:val="en-AU"/>
        </w:rPr>
      </w:pPr>
    </w:p>
    <w:p w14:paraId="080036F6" w14:textId="4B2C5B1A" w:rsidR="00AC63E8" w:rsidRPr="00837156" w:rsidRDefault="00AC63E8" w:rsidP="008D141E">
      <w:pPr>
        <w:pStyle w:val="Caption"/>
        <w:rPr>
          <w:rFonts w:eastAsia="Arial"/>
        </w:rPr>
      </w:pPr>
      <w:bookmarkStart w:id="0" w:name="_Ref513648952"/>
      <w:r w:rsidRPr="00837156">
        <w:rPr>
          <w:rFonts w:eastAsia="Arial"/>
        </w:rPr>
        <w:t xml:space="preserve">Table </w:t>
      </w:r>
      <w:r w:rsidRPr="00837156">
        <w:rPr>
          <w:rFonts w:eastAsia="Arial"/>
        </w:rPr>
        <w:fldChar w:fldCharType="begin"/>
      </w:r>
      <w:r w:rsidRPr="00837156">
        <w:rPr>
          <w:rFonts w:eastAsia="Arial"/>
        </w:rPr>
        <w:instrText xml:space="preserve"> SEQ Table \* ARABIC </w:instrText>
      </w:r>
      <w:r w:rsidRPr="00837156">
        <w:rPr>
          <w:rFonts w:eastAsia="Arial"/>
        </w:rPr>
        <w:fldChar w:fldCharType="separate"/>
      </w:r>
      <w:r w:rsidR="00250856">
        <w:rPr>
          <w:rFonts w:eastAsia="Arial"/>
          <w:noProof/>
        </w:rPr>
        <w:t>1</w:t>
      </w:r>
      <w:r w:rsidRPr="00837156">
        <w:rPr>
          <w:rFonts w:eastAsia="Arial"/>
        </w:rPr>
        <w:fldChar w:fldCharType="end"/>
      </w:r>
      <w:bookmarkEnd w:id="0"/>
      <w:r w:rsidRPr="00837156">
        <w:rPr>
          <w:rFonts w:eastAsia="Arial"/>
        </w:rPr>
        <w:t xml:space="preserve"> </w:t>
      </w:r>
      <w:r>
        <w:rPr>
          <w:rFonts w:eastAsia="Arial"/>
        </w:rPr>
        <w:tab/>
      </w:r>
      <w:r w:rsidRPr="00837156">
        <w:rPr>
          <w:rFonts w:eastAsia="Arial"/>
        </w:rPr>
        <w:t>Frequency of treatment-emergent adverse events regardless of causality (reported by &gt;=1% in AIMOVIG 140 mg</w:t>
      </w:r>
      <w:r w:rsidR="00282E57">
        <w:rPr>
          <w:rFonts w:eastAsia="Arial"/>
        </w:rPr>
        <w:t xml:space="preserve"> and 70 mg</w:t>
      </w:r>
      <w:r w:rsidRPr="00837156">
        <w:rPr>
          <w:rFonts w:eastAsia="Arial"/>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076"/>
        <w:gridCol w:w="2074"/>
        <w:gridCol w:w="1971"/>
        <w:gridCol w:w="103"/>
      </w:tblGrid>
      <w:tr w:rsidR="00AC63E8" w14:paraId="7740B5DA" w14:textId="77777777" w:rsidTr="00E50BB9">
        <w:tc>
          <w:tcPr>
            <w:tcW w:w="1552" w:type="pct"/>
            <w:tcBorders>
              <w:top w:val="single" w:sz="4" w:space="0" w:color="auto"/>
              <w:bottom w:val="single" w:sz="4" w:space="0" w:color="auto"/>
            </w:tcBorders>
            <w:vAlign w:val="bottom"/>
          </w:tcPr>
          <w:p w14:paraId="0B492AF3" w14:textId="77777777" w:rsidR="00AC63E8" w:rsidRPr="00837156" w:rsidRDefault="00AC63E8" w:rsidP="00E50BB9">
            <w:pPr>
              <w:pStyle w:val="Table"/>
            </w:pPr>
            <w:r w:rsidRPr="00837156">
              <w:t>Primary system organ</w:t>
            </w:r>
            <w:r>
              <w:t xml:space="preserve"> </w:t>
            </w:r>
            <w:r w:rsidRPr="00837156">
              <w:t>class</w:t>
            </w:r>
            <w:r w:rsidRPr="00837156">
              <w:rPr>
                <w:szCs w:val="18"/>
              </w:rPr>
              <w:br/>
            </w:r>
            <w:r w:rsidRPr="00837156">
              <w:t>Preferred term</w:t>
            </w:r>
          </w:p>
        </w:tc>
        <w:tc>
          <w:tcPr>
            <w:tcW w:w="1150" w:type="pct"/>
            <w:tcBorders>
              <w:top w:val="single" w:sz="4" w:space="0" w:color="auto"/>
              <w:bottom w:val="single" w:sz="4" w:space="0" w:color="auto"/>
            </w:tcBorders>
            <w:vAlign w:val="bottom"/>
          </w:tcPr>
          <w:p w14:paraId="11016CDE" w14:textId="77777777" w:rsidR="00AC63E8" w:rsidRPr="00837156" w:rsidRDefault="00AC63E8" w:rsidP="00E50BB9">
            <w:pPr>
              <w:pStyle w:val="Table"/>
            </w:pPr>
            <w:r w:rsidRPr="00837156">
              <w:t>AMG 334 140 mg</w:t>
            </w:r>
            <w:r w:rsidRPr="00837156">
              <w:rPr>
                <w:szCs w:val="18"/>
              </w:rPr>
              <w:br/>
            </w:r>
            <w:r w:rsidRPr="00837156">
              <w:t>(N=507)</w:t>
            </w:r>
            <w:r w:rsidRPr="00837156">
              <w:rPr>
                <w:szCs w:val="18"/>
              </w:rPr>
              <w:br/>
            </w:r>
            <w:r w:rsidRPr="00837156">
              <w:t>n (%)</w:t>
            </w:r>
          </w:p>
        </w:tc>
        <w:tc>
          <w:tcPr>
            <w:tcW w:w="1149" w:type="pct"/>
            <w:tcBorders>
              <w:top w:val="single" w:sz="4" w:space="0" w:color="auto"/>
              <w:bottom w:val="single" w:sz="4" w:space="0" w:color="auto"/>
            </w:tcBorders>
          </w:tcPr>
          <w:p w14:paraId="7EBA4A26" w14:textId="77777777" w:rsidR="00AC63E8" w:rsidRPr="00837156" w:rsidRDefault="00AC63E8" w:rsidP="00E50BB9">
            <w:pPr>
              <w:pStyle w:val="Table"/>
            </w:pPr>
            <w:r w:rsidRPr="00837156">
              <w:t xml:space="preserve">AMG 334 </w:t>
            </w:r>
            <w:r>
              <w:br/>
              <w:t>7</w:t>
            </w:r>
            <w:r w:rsidRPr="00837156">
              <w:t>0 mg</w:t>
            </w:r>
            <w:r w:rsidRPr="00837156">
              <w:rPr>
                <w:szCs w:val="18"/>
              </w:rPr>
              <w:br/>
            </w:r>
            <w:r w:rsidRPr="00837156">
              <w:t>(N=</w:t>
            </w:r>
            <w:r>
              <w:t>893</w:t>
            </w:r>
            <w:r w:rsidRPr="00837156">
              <w:t>)</w:t>
            </w:r>
            <w:r w:rsidRPr="00837156">
              <w:rPr>
                <w:szCs w:val="18"/>
              </w:rPr>
              <w:br/>
            </w:r>
            <w:r w:rsidRPr="00837156">
              <w:t>n (%)</w:t>
            </w:r>
          </w:p>
        </w:tc>
        <w:tc>
          <w:tcPr>
            <w:tcW w:w="1149" w:type="pct"/>
            <w:gridSpan w:val="2"/>
            <w:tcBorders>
              <w:top w:val="single" w:sz="4" w:space="0" w:color="auto"/>
              <w:bottom w:val="single" w:sz="4" w:space="0" w:color="auto"/>
            </w:tcBorders>
            <w:vAlign w:val="bottom"/>
          </w:tcPr>
          <w:p w14:paraId="4BBB9B46" w14:textId="77777777" w:rsidR="00AC63E8" w:rsidRPr="00837156" w:rsidRDefault="00AC63E8" w:rsidP="00E50BB9">
            <w:pPr>
              <w:pStyle w:val="Table"/>
            </w:pPr>
            <w:r w:rsidRPr="00837156">
              <w:t>Placebo</w:t>
            </w:r>
            <w:r w:rsidRPr="00837156">
              <w:rPr>
                <w:szCs w:val="18"/>
              </w:rPr>
              <w:br/>
            </w:r>
            <w:r w:rsidRPr="00837156">
              <w:t>(N=1043)</w:t>
            </w:r>
            <w:r w:rsidRPr="00837156">
              <w:rPr>
                <w:szCs w:val="18"/>
              </w:rPr>
              <w:br/>
            </w:r>
            <w:r w:rsidRPr="00837156">
              <w:t>n (%)</w:t>
            </w:r>
          </w:p>
        </w:tc>
      </w:tr>
      <w:tr w:rsidR="00AC63E8" w14:paraId="32091375" w14:textId="77777777" w:rsidTr="00E50BB9">
        <w:trPr>
          <w:gridAfter w:val="1"/>
          <w:wAfter w:w="57" w:type="pct"/>
        </w:trPr>
        <w:tc>
          <w:tcPr>
            <w:tcW w:w="4943" w:type="pct"/>
            <w:gridSpan w:val="4"/>
          </w:tcPr>
          <w:p w14:paraId="088D5BD8" w14:textId="77777777" w:rsidR="00AC63E8" w:rsidRPr="0026524F" w:rsidRDefault="00AC63E8" w:rsidP="00E50BB9">
            <w:pPr>
              <w:pStyle w:val="Table"/>
              <w:rPr>
                <w:szCs w:val="18"/>
              </w:rPr>
            </w:pPr>
            <w:r w:rsidRPr="00837156">
              <w:t>Gastrointestinal disorders</w:t>
            </w:r>
          </w:p>
        </w:tc>
      </w:tr>
      <w:tr w:rsidR="00AC63E8" w14:paraId="529621E2" w14:textId="77777777" w:rsidTr="00E50BB9">
        <w:tc>
          <w:tcPr>
            <w:tcW w:w="1552" w:type="pct"/>
          </w:tcPr>
          <w:p w14:paraId="213C4CDE" w14:textId="77777777" w:rsidR="00AC63E8" w:rsidRPr="00837156" w:rsidRDefault="00AC63E8" w:rsidP="00E50BB9">
            <w:pPr>
              <w:pStyle w:val="Table"/>
              <w:rPr>
                <w:b w:val="0"/>
                <w:szCs w:val="18"/>
              </w:rPr>
            </w:pPr>
            <w:r w:rsidRPr="00837156">
              <w:rPr>
                <w:b w:val="0"/>
              </w:rPr>
              <w:t>Constipation</w:t>
            </w:r>
          </w:p>
        </w:tc>
        <w:tc>
          <w:tcPr>
            <w:tcW w:w="1150" w:type="pct"/>
          </w:tcPr>
          <w:p w14:paraId="215DA091" w14:textId="77777777" w:rsidR="00AC63E8" w:rsidRPr="00837156" w:rsidRDefault="00AC63E8" w:rsidP="00E50BB9">
            <w:pPr>
              <w:pStyle w:val="Table"/>
              <w:rPr>
                <w:b w:val="0"/>
                <w:szCs w:val="18"/>
              </w:rPr>
            </w:pPr>
            <w:r w:rsidRPr="00837156">
              <w:rPr>
                <w:b w:val="0"/>
              </w:rPr>
              <w:t>16 (3.2)</w:t>
            </w:r>
          </w:p>
        </w:tc>
        <w:tc>
          <w:tcPr>
            <w:tcW w:w="1149" w:type="pct"/>
          </w:tcPr>
          <w:p w14:paraId="1FE58BD5" w14:textId="77777777" w:rsidR="00AC63E8" w:rsidRPr="00837156" w:rsidRDefault="00AC63E8" w:rsidP="00E50BB9">
            <w:pPr>
              <w:pStyle w:val="Table"/>
              <w:rPr>
                <w:b w:val="0"/>
              </w:rPr>
            </w:pPr>
            <w:r w:rsidRPr="00837156">
              <w:rPr>
                <w:b w:val="0"/>
              </w:rPr>
              <w:t>1</w:t>
            </w:r>
            <w:r>
              <w:rPr>
                <w:b w:val="0"/>
              </w:rPr>
              <w:t>2 (1.3</w:t>
            </w:r>
            <w:r w:rsidRPr="00837156">
              <w:rPr>
                <w:b w:val="0"/>
              </w:rPr>
              <w:t>)</w:t>
            </w:r>
          </w:p>
        </w:tc>
        <w:tc>
          <w:tcPr>
            <w:tcW w:w="1149" w:type="pct"/>
            <w:gridSpan w:val="2"/>
          </w:tcPr>
          <w:p w14:paraId="443223D9" w14:textId="77777777" w:rsidR="00AC63E8" w:rsidRPr="00837156" w:rsidRDefault="00AC63E8" w:rsidP="00E50BB9">
            <w:pPr>
              <w:pStyle w:val="Table"/>
              <w:rPr>
                <w:b w:val="0"/>
                <w:szCs w:val="18"/>
              </w:rPr>
            </w:pPr>
            <w:r w:rsidRPr="00837156">
              <w:rPr>
                <w:b w:val="0"/>
              </w:rPr>
              <w:t>11 (1.1)</w:t>
            </w:r>
          </w:p>
        </w:tc>
      </w:tr>
      <w:tr w:rsidR="00AC63E8" w14:paraId="0A3CEEFE" w14:textId="77777777" w:rsidTr="00E50BB9">
        <w:tc>
          <w:tcPr>
            <w:tcW w:w="1552" w:type="pct"/>
          </w:tcPr>
          <w:p w14:paraId="649EC413" w14:textId="77777777" w:rsidR="00AC63E8" w:rsidRPr="00837156" w:rsidRDefault="00AC63E8" w:rsidP="00E50BB9">
            <w:pPr>
              <w:pStyle w:val="Table"/>
              <w:rPr>
                <w:b w:val="0"/>
                <w:szCs w:val="18"/>
              </w:rPr>
            </w:pPr>
            <w:proofErr w:type="spellStart"/>
            <w:r w:rsidRPr="00837156">
              <w:rPr>
                <w:b w:val="0"/>
              </w:rPr>
              <w:t>Diarrhoea</w:t>
            </w:r>
            <w:proofErr w:type="spellEnd"/>
          </w:p>
        </w:tc>
        <w:tc>
          <w:tcPr>
            <w:tcW w:w="1150" w:type="pct"/>
          </w:tcPr>
          <w:p w14:paraId="39D4F919" w14:textId="77777777" w:rsidR="00AC63E8" w:rsidRPr="00837156" w:rsidRDefault="00AC63E8" w:rsidP="00E50BB9">
            <w:pPr>
              <w:pStyle w:val="Table"/>
              <w:rPr>
                <w:b w:val="0"/>
                <w:szCs w:val="18"/>
              </w:rPr>
            </w:pPr>
            <w:r w:rsidRPr="00837156">
              <w:rPr>
                <w:b w:val="0"/>
              </w:rPr>
              <w:t>5 (1.0)</w:t>
            </w:r>
          </w:p>
        </w:tc>
        <w:tc>
          <w:tcPr>
            <w:tcW w:w="1149" w:type="pct"/>
          </w:tcPr>
          <w:p w14:paraId="3A651903" w14:textId="77777777" w:rsidR="00AC63E8" w:rsidRPr="00837156" w:rsidRDefault="00AC63E8" w:rsidP="00E50BB9">
            <w:pPr>
              <w:pStyle w:val="Table"/>
              <w:rPr>
                <w:b w:val="0"/>
              </w:rPr>
            </w:pPr>
            <w:r>
              <w:rPr>
                <w:b w:val="0"/>
              </w:rPr>
              <w:t>4 (0.4)</w:t>
            </w:r>
          </w:p>
        </w:tc>
        <w:tc>
          <w:tcPr>
            <w:tcW w:w="1149" w:type="pct"/>
            <w:gridSpan w:val="2"/>
          </w:tcPr>
          <w:p w14:paraId="537D5544" w14:textId="77777777" w:rsidR="00AC63E8" w:rsidRPr="00837156" w:rsidRDefault="00AC63E8" w:rsidP="00E50BB9">
            <w:pPr>
              <w:pStyle w:val="Table"/>
              <w:rPr>
                <w:b w:val="0"/>
                <w:szCs w:val="18"/>
              </w:rPr>
            </w:pPr>
            <w:r w:rsidRPr="00837156">
              <w:rPr>
                <w:b w:val="0"/>
              </w:rPr>
              <w:t>13 (1.2)</w:t>
            </w:r>
          </w:p>
        </w:tc>
      </w:tr>
      <w:tr w:rsidR="00AC63E8" w14:paraId="7A961E62" w14:textId="77777777" w:rsidTr="00E50BB9">
        <w:tc>
          <w:tcPr>
            <w:tcW w:w="1552" w:type="pct"/>
          </w:tcPr>
          <w:p w14:paraId="5EA93F38" w14:textId="77777777" w:rsidR="00AC63E8" w:rsidRPr="00837156" w:rsidRDefault="00AC63E8" w:rsidP="00E50BB9">
            <w:pPr>
              <w:pStyle w:val="Table"/>
              <w:rPr>
                <w:b w:val="0"/>
                <w:szCs w:val="18"/>
              </w:rPr>
            </w:pPr>
            <w:r w:rsidRPr="00837156">
              <w:rPr>
                <w:b w:val="0"/>
              </w:rPr>
              <w:t>Nausea</w:t>
            </w:r>
          </w:p>
        </w:tc>
        <w:tc>
          <w:tcPr>
            <w:tcW w:w="1150" w:type="pct"/>
          </w:tcPr>
          <w:p w14:paraId="1DEB22FC" w14:textId="77777777" w:rsidR="00AC63E8" w:rsidRPr="00837156" w:rsidRDefault="00AC63E8" w:rsidP="00E50BB9">
            <w:pPr>
              <w:pStyle w:val="Table"/>
              <w:rPr>
                <w:b w:val="0"/>
                <w:szCs w:val="18"/>
              </w:rPr>
            </w:pPr>
            <w:r w:rsidRPr="00837156">
              <w:rPr>
                <w:b w:val="0"/>
              </w:rPr>
              <w:t>10 (2.0)</w:t>
            </w:r>
          </w:p>
        </w:tc>
        <w:tc>
          <w:tcPr>
            <w:tcW w:w="1149" w:type="pct"/>
          </w:tcPr>
          <w:p w14:paraId="60A9D6A4" w14:textId="77777777" w:rsidR="00AC63E8" w:rsidRPr="00837156" w:rsidRDefault="00AC63E8" w:rsidP="00E50BB9">
            <w:pPr>
              <w:pStyle w:val="Table"/>
              <w:rPr>
                <w:b w:val="0"/>
              </w:rPr>
            </w:pPr>
            <w:r>
              <w:rPr>
                <w:b w:val="0"/>
              </w:rPr>
              <w:t>21 (2.4)</w:t>
            </w:r>
          </w:p>
        </w:tc>
        <w:tc>
          <w:tcPr>
            <w:tcW w:w="1149" w:type="pct"/>
            <w:gridSpan w:val="2"/>
          </w:tcPr>
          <w:p w14:paraId="6E9C3B26" w14:textId="77777777" w:rsidR="00AC63E8" w:rsidRPr="00837156" w:rsidRDefault="00AC63E8" w:rsidP="00E50BB9">
            <w:pPr>
              <w:pStyle w:val="Table"/>
              <w:rPr>
                <w:b w:val="0"/>
                <w:szCs w:val="18"/>
              </w:rPr>
            </w:pPr>
            <w:r w:rsidRPr="00837156">
              <w:rPr>
                <w:b w:val="0"/>
              </w:rPr>
              <w:t>27 (2.6)</w:t>
            </w:r>
          </w:p>
        </w:tc>
      </w:tr>
      <w:tr w:rsidR="00AC63E8" w14:paraId="1789A73B" w14:textId="77777777" w:rsidTr="00E50BB9">
        <w:tc>
          <w:tcPr>
            <w:tcW w:w="1552" w:type="pct"/>
          </w:tcPr>
          <w:p w14:paraId="6C187FEC" w14:textId="77777777" w:rsidR="00AC63E8" w:rsidRPr="00837156" w:rsidRDefault="00AC63E8" w:rsidP="00E50BB9">
            <w:pPr>
              <w:pStyle w:val="Table"/>
              <w:rPr>
                <w:b w:val="0"/>
                <w:szCs w:val="18"/>
              </w:rPr>
            </w:pPr>
            <w:r w:rsidRPr="00837156">
              <w:rPr>
                <w:b w:val="0"/>
              </w:rPr>
              <w:t>Vomiting</w:t>
            </w:r>
          </w:p>
        </w:tc>
        <w:tc>
          <w:tcPr>
            <w:tcW w:w="1150" w:type="pct"/>
          </w:tcPr>
          <w:p w14:paraId="02F0775A" w14:textId="77777777" w:rsidR="00AC63E8" w:rsidRPr="00837156" w:rsidRDefault="00AC63E8" w:rsidP="00E50BB9">
            <w:pPr>
              <w:pStyle w:val="Table"/>
              <w:rPr>
                <w:b w:val="0"/>
                <w:szCs w:val="18"/>
              </w:rPr>
            </w:pPr>
            <w:r w:rsidRPr="00837156">
              <w:rPr>
                <w:b w:val="0"/>
              </w:rPr>
              <w:t>5 (1.0)</w:t>
            </w:r>
          </w:p>
        </w:tc>
        <w:tc>
          <w:tcPr>
            <w:tcW w:w="1149" w:type="pct"/>
          </w:tcPr>
          <w:p w14:paraId="5E1F597D" w14:textId="77777777" w:rsidR="00AC63E8" w:rsidRPr="00837156" w:rsidRDefault="00AC63E8" w:rsidP="00E50BB9">
            <w:pPr>
              <w:pStyle w:val="Table"/>
              <w:rPr>
                <w:b w:val="0"/>
              </w:rPr>
            </w:pPr>
            <w:r>
              <w:rPr>
                <w:b w:val="0"/>
              </w:rPr>
              <w:t>7 (0.8)</w:t>
            </w:r>
          </w:p>
        </w:tc>
        <w:tc>
          <w:tcPr>
            <w:tcW w:w="1149" w:type="pct"/>
            <w:gridSpan w:val="2"/>
          </w:tcPr>
          <w:p w14:paraId="73B8E72D" w14:textId="77777777" w:rsidR="00AC63E8" w:rsidRPr="00837156" w:rsidRDefault="00AC63E8" w:rsidP="00E50BB9">
            <w:pPr>
              <w:pStyle w:val="Table"/>
              <w:rPr>
                <w:b w:val="0"/>
                <w:szCs w:val="18"/>
              </w:rPr>
            </w:pPr>
            <w:r w:rsidRPr="00837156">
              <w:rPr>
                <w:b w:val="0"/>
              </w:rPr>
              <w:t>12 (1.2)</w:t>
            </w:r>
          </w:p>
        </w:tc>
      </w:tr>
      <w:tr w:rsidR="00AC63E8" w14:paraId="59C3F2F8" w14:textId="77777777" w:rsidTr="00E50BB9">
        <w:trPr>
          <w:gridAfter w:val="1"/>
          <w:wAfter w:w="57" w:type="pct"/>
        </w:trPr>
        <w:tc>
          <w:tcPr>
            <w:tcW w:w="4943" w:type="pct"/>
            <w:gridSpan w:val="4"/>
          </w:tcPr>
          <w:p w14:paraId="16E13BE8" w14:textId="77777777" w:rsidR="00AC63E8" w:rsidRDefault="00AC63E8" w:rsidP="00E50BB9">
            <w:pPr>
              <w:pStyle w:val="Table"/>
              <w:rPr>
                <w:szCs w:val="18"/>
              </w:rPr>
            </w:pPr>
            <w:r w:rsidRPr="00DC5F98">
              <w:t>General disorders and administration site conditions</w:t>
            </w:r>
          </w:p>
        </w:tc>
      </w:tr>
      <w:tr w:rsidR="00AC63E8" w14:paraId="0827A85C" w14:textId="77777777" w:rsidTr="00E50BB9">
        <w:tc>
          <w:tcPr>
            <w:tcW w:w="1552" w:type="pct"/>
          </w:tcPr>
          <w:p w14:paraId="4D4CFD11" w14:textId="77777777" w:rsidR="00AC63E8" w:rsidRPr="00837156" w:rsidRDefault="00AC63E8" w:rsidP="00E50BB9">
            <w:pPr>
              <w:pStyle w:val="Table"/>
              <w:rPr>
                <w:b w:val="0"/>
                <w:szCs w:val="18"/>
              </w:rPr>
            </w:pPr>
            <w:r w:rsidRPr="00837156">
              <w:rPr>
                <w:b w:val="0"/>
              </w:rPr>
              <w:t>Fatigue</w:t>
            </w:r>
          </w:p>
        </w:tc>
        <w:tc>
          <w:tcPr>
            <w:tcW w:w="1150" w:type="pct"/>
          </w:tcPr>
          <w:p w14:paraId="1D956160" w14:textId="77777777" w:rsidR="00AC63E8" w:rsidRPr="00837156" w:rsidRDefault="00AC63E8" w:rsidP="00E50BB9">
            <w:pPr>
              <w:pStyle w:val="Table"/>
              <w:rPr>
                <w:b w:val="0"/>
                <w:szCs w:val="18"/>
              </w:rPr>
            </w:pPr>
            <w:r w:rsidRPr="00837156">
              <w:rPr>
                <w:b w:val="0"/>
              </w:rPr>
              <w:t>10 (2.0)</w:t>
            </w:r>
          </w:p>
        </w:tc>
        <w:tc>
          <w:tcPr>
            <w:tcW w:w="1149" w:type="pct"/>
          </w:tcPr>
          <w:p w14:paraId="06C55E72" w14:textId="77777777" w:rsidR="00AC63E8" w:rsidRPr="00837156" w:rsidRDefault="00AC63E8" w:rsidP="00E50BB9">
            <w:pPr>
              <w:pStyle w:val="Table"/>
              <w:rPr>
                <w:b w:val="0"/>
              </w:rPr>
            </w:pPr>
            <w:r>
              <w:rPr>
                <w:b w:val="0"/>
              </w:rPr>
              <w:t>20 (2.2)</w:t>
            </w:r>
          </w:p>
        </w:tc>
        <w:tc>
          <w:tcPr>
            <w:tcW w:w="1149" w:type="pct"/>
            <w:gridSpan w:val="2"/>
          </w:tcPr>
          <w:p w14:paraId="5CC4E23A" w14:textId="77777777" w:rsidR="00AC63E8" w:rsidRPr="00837156" w:rsidRDefault="00AC63E8" w:rsidP="00E50BB9">
            <w:pPr>
              <w:pStyle w:val="Table"/>
              <w:rPr>
                <w:b w:val="0"/>
                <w:szCs w:val="18"/>
              </w:rPr>
            </w:pPr>
            <w:r w:rsidRPr="00837156">
              <w:rPr>
                <w:b w:val="0"/>
              </w:rPr>
              <w:t>18 (1.7)</w:t>
            </w:r>
          </w:p>
        </w:tc>
      </w:tr>
      <w:tr w:rsidR="00AC63E8" w14:paraId="372F2C4D" w14:textId="77777777" w:rsidTr="00E50BB9">
        <w:tc>
          <w:tcPr>
            <w:tcW w:w="1552" w:type="pct"/>
          </w:tcPr>
          <w:p w14:paraId="74728A5D" w14:textId="77777777" w:rsidR="00AC63E8" w:rsidRPr="00837156" w:rsidRDefault="00AC63E8" w:rsidP="00E50BB9">
            <w:pPr>
              <w:pStyle w:val="Table"/>
              <w:rPr>
                <w:b w:val="0"/>
                <w:szCs w:val="18"/>
              </w:rPr>
            </w:pPr>
            <w:r w:rsidRPr="00837156">
              <w:rPr>
                <w:b w:val="0"/>
              </w:rPr>
              <w:t>Injection site erythema</w:t>
            </w:r>
          </w:p>
        </w:tc>
        <w:tc>
          <w:tcPr>
            <w:tcW w:w="1150" w:type="pct"/>
          </w:tcPr>
          <w:p w14:paraId="693313C9" w14:textId="77777777" w:rsidR="00AC63E8" w:rsidRPr="00837156" w:rsidRDefault="00AC63E8" w:rsidP="00E50BB9">
            <w:pPr>
              <w:pStyle w:val="Table"/>
              <w:rPr>
                <w:b w:val="0"/>
                <w:szCs w:val="18"/>
              </w:rPr>
            </w:pPr>
            <w:r w:rsidRPr="00837156">
              <w:rPr>
                <w:b w:val="0"/>
              </w:rPr>
              <w:t>10 (2.0)</w:t>
            </w:r>
          </w:p>
        </w:tc>
        <w:tc>
          <w:tcPr>
            <w:tcW w:w="1149" w:type="pct"/>
          </w:tcPr>
          <w:p w14:paraId="678AE58D" w14:textId="77777777" w:rsidR="00AC63E8" w:rsidRPr="00837156" w:rsidRDefault="00AC63E8" w:rsidP="00E50BB9">
            <w:pPr>
              <w:pStyle w:val="Table"/>
              <w:rPr>
                <w:b w:val="0"/>
              </w:rPr>
            </w:pPr>
            <w:r>
              <w:rPr>
                <w:b w:val="0"/>
              </w:rPr>
              <w:t>9 (1.0)</w:t>
            </w:r>
          </w:p>
        </w:tc>
        <w:tc>
          <w:tcPr>
            <w:tcW w:w="1149" w:type="pct"/>
            <w:gridSpan w:val="2"/>
          </w:tcPr>
          <w:p w14:paraId="569542C4" w14:textId="77777777" w:rsidR="00AC63E8" w:rsidRPr="00837156" w:rsidRDefault="00AC63E8" w:rsidP="00E50BB9">
            <w:pPr>
              <w:pStyle w:val="Table"/>
              <w:rPr>
                <w:b w:val="0"/>
                <w:szCs w:val="18"/>
              </w:rPr>
            </w:pPr>
            <w:r w:rsidRPr="00837156">
              <w:rPr>
                <w:b w:val="0"/>
              </w:rPr>
              <w:t>2 (0.2)</w:t>
            </w:r>
          </w:p>
        </w:tc>
      </w:tr>
      <w:tr w:rsidR="00AC63E8" w14:paraId="2610C49C" w14:textId="77777777" w:rsidTr="00E50BB9">
        <w:tc>
          <w:tcPr>
            <w:tcW w:w="1552" w:type="pct"/>
          </w:tcPr>
          <w:p w14:paraId="27C34A4F" w14:textId="77777777" w:rsidR="00AC63E8" w:rsidRPr="00837156" w:rsidRDefault="00AC63E8" w:rsidP="00E50BB9">
            <w:pPr>
              <w:pStyle w:val="Table"/>
              <w:rPr>
                <w:b w:val="0"/>
                <w:szCs w:val="18"/>
              </w:rPr>
            </w:pPr>
            <w:r w:rsidRPr="00837156">
              <w:rPr>
                <w:b w:val="0"/>
              </w:rPr>
              <w:t>Injection site pain</w:t>
            </w:r>
          </w:p>
        </w:tc>
        <w:tc>
          <w:tcPr>
            <w:tcW w:w="1150" w:type="pct"/>
          </w:tcPr>
          <w:p w14:paraId="0A06855B" w14:textId="77777777" w:rsidR="00AC63E8" w:rsidRPr="00837156" w:rsidRDefault="00AC63E8" w:rsidP="00E50BB9">
            <w:pPr>
              <w:pStyle w:val="Table"/>
              <w:rPr>
                <w:b w:val="0"/>
                <w:szCs w:val="18"/>
              </w:rPr>
            </w:pPr>
            <w:r w:rsidRPr="00837156">
              <w:rPr>
                <w:b w:val="0"/>
              </w:rPr>
              <w:t>8 (1.6)</w:t>
            </w:r>
          </w:p>
        </w:tc>
        <w:tc>
          <w:tcPr>
            <w:tcW w:w="1149" w:type="pct"/>
          </w:tcPr>
          <w:p w14:paraId="3736A091" w14:textId="77777777" w:rsidR="00AC63E8" w:rsidRPr="00837156" w:rsidRDefault="00AC63E8" w:rsidP="00E50BB9">
            <w:pPr>
              <w:pStyle w:val="Table"/>
              <w:rPr>
                <w:b w:val="0"/>
              </w:rPr>
            </w:pPr>
            <w:r>
              <w:rPr>
                <w:b w:val="0"/>
              </w:rPr>
              <w:t>33 (3.7)</w:t>
            </w:r>
          </w:p>
        </w:tc>
        <w:tc>
          <w:tcPr>
            <w:tcW w:w="1149" w:type="pct"/>
            <w:gridSpan w:val="2"/>
          </w:tcPr>
          <w:p w14:paraId="45BAB078" w14:textId="77777777" w:rsidR="00AC63E8" w:rsidRPr="00837156" w:rsidRDefault="00AC63E8" w:rsidP="00E50BB9">
            <w:pPr>
              <w:pStyle w:val="Table"/>
              <w:rPr>
                <w:b w:val="0"/>
                <w:szCs w:val="18"/>
              </w:rPr>
            </w:pPr>
            <w:r w:rsidRPr="00837156">
              <w:rPr>
                <w:b w:val="0"/>
              </w:rPr>
              <w:t>18 (1.7)</w:t>
            </w:r>
          </w:p>
        </w:tc>
      </w:tr>
      <w:tr w:rsidR="00AC63E8" w14:paraId="568CF73A" w14:textId="77777777" w:rsidTr="00E50BB9">
        <w:trPr>
          <w:gridAfter w:val="1"/>
          <w:wAfter w:w="57" w:type="pct"/>
        </w:trPr>
        <w:tc>
          <w:tcPr>
            <w:tcW w:w="4943" w:type="pct"/>
            <w:gridSpan w:val="4"/>
            <w:tcBorders>
              <w:top w:val="single" w:sz="4" w:space="0" w:color="auto"/>
              <w:bottom w:val="single" w:sz="4" w:space="0" w:color="auto"/>
            </w:tcBorders>
          </w:tcPr>
          <w:p w14:paraId="6C53666B" w14:textId="77777777" w:rsidR="00AC63E8" w:rsidRDefault="00AC63E8" w:rsidP="00E50BB9">
            <w:pPr>
              <w:pStyle w:val="Table"/>
              <w:rPr>
                <w:szCs w:val="18"/>
              </w:rPr>
            </w:pPr>
            <w:r w:rsidRPr="00DC5F98">
              <w:t>Infections and infestations</w:t>
            </w:r>
          </w:p>
        </w:tc>
      </w:tr>
      <w:tr w:rsidR="00AC63E8" w14:paraId="54E294BF" w14:textId="77777777" w:rsidTr="00E50BB9">
        <w:tc>
          <w:tcPr>
            <w:tcW w:w="1552" w:type="pct"/>
          </w:tcPr>
          <w:p w14:paraId="78F55CAF" w14:textId="77777777" w:rsidR="00AC63E8" w:rsidRPr="00837156" w:rsidRDefault="00AC63E8" w:rsidP="00E50BB9">
            <w:pPr>
              <w:pStyle w:val="Table"/>
              <w:rPr>
                <w:b w:val="0"/>
                <w:szCs w:val="18"/>
              </w:rPr>
            </w:pPr>
            <w:r w:rsidRPr="00837156">
              <w:rPr>
                <w:b w:val="0"/>
              </w:rPr>
              <w:t>Bronchitis</w:t>
            </w:r>
          </w:p>
        </w:tc>
        <w:tc>
          <w:tcPr>
            <w:tcW w:w="1150" w:type="pct"/>
          </w:tcPr>
          <w:p w14:paraId="77F1A600" w14:textId="77777777" w:rsidR="00AC63E8" w:rsidRPr="00837156" w:rsidRDefault="00AC63E8" w:rsidP="00E50BB9">
            <w:pPr>
              <w:pStyle w:val="Table"/>
              <w:rPr>
                <w:b w:val="0"/>
                <w:szCs w:val="18"/>
              </w:rPr>
            </w:pPr>
            <w:r w:rsidRPr="00837156">
              <w:rPr>
                <w:b w:val="0"/>
              </w:rPr>
              <w:t>7 (1.4)</w:t>
            </w:r>
          </w:p>
        </w:tc>
        <w:tc>
          <w:tcPr>
            <w:tcW w:w="1149" w:type="pct"/>
          </w:tcPr>
          <w:p w14:paraId="0C7A34BB" w14:textId="77777777" w:rsidR="00AC63E8" w:rsidRPr="00837156" w:rsidRDefault="00AC63E8" w:rsidP="00E50BB9">
            <w:pPr>
              <w:pStyle w:val="Table"/>
              <w:rPr>
                <w:b w:val="0"/>
              </w:rPr>
            </w:pPr>
            <w:r>
              <w:rPr>
                <w:b w:val="0"/>
              </w:rPr>
              <w:t>9 (1.0)</w:t>
            </w:r>
          </w:p>
        </w:tc>
        <w:tc>
          <w:tcPr>
            <w:tcW w:w="1149" w:type="pct"/>
            <w:gridSpan w:val="2"/>
          </w:tcPr>
          <w:p w14:paraId="47459E9C" w14:textId="77777777" w:rsidR="00AC63E8" w:rsidRPr="00837156" w:rsidRDefault="00AC63E8" w:rsidP="00E50BB9">
            <w:pPr>
              <w:pStyle w:val="Table"/>
              <w:rPr>
                <w:b w:val="0"/>
                <w:szCs w:val="18"/>
              </w:rPr>
            </w:pPr>
            <w:r w:rsidRPr="00837156">
              <w:rPr>
                <w:b w:val="0"/>
              </w:rPr>
              <w:t>6 (0.6)</w:t>
            </w:r>
          </w:p>
        </w:tc>
      </w:tr>
      <w:tr w:rsidR="00AC63E8" w14:paraId="566099EA" w14:textId="77777777" w:rsidTr="00E50BB9">
        <w:tc>
          <w:tcPr>
            <w:tcW w:w="1552" w:type="pct"/>
          </w:tcPr>
          <w:p w14:paraId="13714792" w14:textId="77777777" w:rsidR="00AC63E8" w:rsidRPr="00837156" w:rsidRDefault="00AC63E8" w:rsidP="00E50BB9">
            <w:pPr>
              <w:pStyle w:val="Table"/>
              <w:rPr>
                <w:b w:val="0"/>
                <w:szCs w:val="18"/>
              </w:rPr>
            </w:pPr>
            <w:r w:rsidRPr="00837156">
              <w:rPr>
                <w:b w:val="0"/>
              </w:rPr>
              <w:t>Influenza</w:t>
            </w:r>
          </w:p>
        </w:tc>
        <w:tc>
          <w:tcPr>
            <w:tcW w:w="1150" w:type="pct"/>
          </w:tcPr>
          <w:p w14:paraId="7BD359E4" w14:textId="77777777" w:rsidR="00AC63E8" w:rsidRPr="00837156" w:rsidRDefault="00AC63E8" w:rsidP="00E50BB9">
            <w:pPr>
              <w:pStyle w:val="Table"/>
              <w:rPr>
                <w:b w:val="0"/>
                <w:szCs w:val="18"/>
              </w:rPr>
            </w:pPr>
            <w:r w:rsidRPr="00837156">
              <w:rPr>
                <w:b w:val="0"/>
              </w:rPr>
              <w:t>6 (1.2)</w:t>
            </w:r>
          </w:p>
        </w:tc>
        <w:tc>
          <w:tcPr>
            <w:tcW w:w="1149" w:type="pct"/>
          </w:tcPr>
          <w:p w14:paraId="762C8652" w14:textId="77777777" w:rsidR="00AC63E8" w:rsidRPr="00837156" w:rsidRDefault="00AC63E8" w:rsidP="00E50BB9">
            <w:pPr>
              <w:pStyle w:val="Table"/>
              <w:rPr>
                <w:b w:val="0"/>
              </w:rPr>
            </w:pPr>
            <w:r>
              <w:rPr>
                <w:b w:val="0"/>
              </w:rPr>
              <w:t>19 (2.0)</w:t>
            </w:r>
          </w:p>
        </w:tc>
        <w:tc>
          <w:tcPr>
            <w:tcW w:w="1149" w:type="pct"/>
            <w:gridSpan w:val="2"/>
          </w:tcPr>
          <w:p w14:paraId="2529F9CB" w14:textId="77777777" w:rsidR="00AC63E8" w:rsidRPr="00837156" w:rsidRDefault="00AC63E8" w:rsidP="00E50BB9">
            <w:pPr>
              <w:pStyle w:val="Table"/>
              <w:rPr>
                <w:b w:val="0"/>
                <w:szCs w:val="18"/>
              </w:rPr>
            </w:pPr>
            <w:r w:rsidRPr="00837156">
              <w:rPr>
                <w:b w:val="0"/>
              </w:rPr>
              <w:t>18 (1.7)</w:t>
            </w:r>
          </w:p>
        </w:tc>
      </w:tr>
      <w:tr w:rsidR="00AC63E8" w14:paraId="77B8E6A9" w14:textId="77777777" w:rsidTr="00E50BB9">
        <w:tc>
          <w:tcPr>
            <w:tcW w:w="1552" w:type="pct"/>
          </w:tcPr>
          <w:p w14:paraId="52FD968D" w14:textId="77777777" w:rsidR="00AC63E8" w:rsidRPr="00837156" w:rsidRDefault="00AC63E8" w:rsidP="00E50BB9">
            <w:pPr>
              <w:pStyle w:val="Table"/>
              <w:rPr>
                <w:b w:val="0"/>
                <w:szCs w:val="18"/>
              </w:rPr>
            </w:pPr>
            <w:proofErr w:type="spellStart"/>
            <w:r w:rsidRPr="00837156">
              <w:rPr>
                <w:b w:val="0"/>
              </w:rPr>
              <w:t>Nasopharyngitis</w:t>
            </w:r>
            <w:proofErr w:type="spellEnd"/>
          </w:p>
        </w:tc>
        <w:tc>
          <w:tcPr>
            <w:tcW w:w="1150" w:type="pct"/>
          </w:tcPr>
          <w:p w14:paraId="65857251" w14:textId="77777777" w:rsidR="00AC63E8" w:rsidRPr="00837156" w:rsidRDefault="00AC63E8" w:rsidP="00E50BB9">
            <w:pPr>
              <w:pStyle w:val="Table"/>
              <w:rPr>
                <w:b w:val="0"/>
                <w:szCs w:val="18"/>
              </w:rPr>
            </w:pPr>
            <w:r w:rsidRPr="00837156">
              <w:rPr>
                <w:b w:val="0"/>
              </w:rPr>
              <w:t>28 (5.5)</w:t>
            </w:r>
          </w:p>
        </w:tc>
        <w:tc>
          <w:tcPr>
            <w:tcW w:w="1149" w:type="pct"/>
          </w:tcPr>
          <w:p w14:paraId="4B7F7820" w14:textId="77777777" w:rsidR="00AC63E8" w:rsidRPr="00837156" w:rsidRDefault="00AC63E8" w:rsidP="00E50BB9">
            <w:pPr>
              <w:pStyle w:val="Table"/>
              <w:rPr>
                <w:b w:val="0"/>
              </w:rPr>
            </w:pPr>
            <w:r>
              <w:rPr>
                <w:b w:val="0"/>
              </w:rPr>
              <w:t>53 (5.9)</w:t>
            </w:r>
          </w:p>
        </w:tc>
        <w:tc>
          <w:tcPr>
            <w:tcW w:w="1149" w:type="pct"/>
            <w:gridSpan w:val="2"/>
          </w:tcPr>
          <w:p w14:paraId="74303046" w14:textId="77777777" w:rsidR="00AC63E8" w:rsidRPr="00837156" w:rsidRDefault="00AC63E8" w:rsidP="00E50BB9">
            <w:pPr>
              <w:pStyle w:val="Table"/>
              <w:rPr>
                <w:b w:val="0"/>
                <w:szCs w:val="18"/>
              </w:rPr>
            </w:pPr>
            <w:r w:rsidRPr="00837156">
              <w:rPr>
                <w:b w:val="0"/>
              </w:rPr>
              <w:t>76 (7.3)</w:t>
            </w:r>
          </w:p>
        </w:tc>
      </w:tr>
      <w:tr w:rsidR="00AC63E8" w14:paraId="6B969C9F" w14:textId="77777777" w:rsidTr="00E50BB9">
        <w:tc>
          <w:tcPr>
            <w:tcW w:w="1552" w:type="pct"/>
          </w:tcPr>
          <w:p w14:paraId="0B75DDB4" w14:textId="77777777" w:rsidR="00AC63E8" w:rsidRPr="00837156" w:rsidRDefault="00AC63E8" w:rsidP="00E50BB9">
            <w:pPr>
              <w:pStyle w:val="Table"/>
              <w:rPr>
                <w:b w:val="0"/>
                <w:szCs w:val="18"/>
              </w:rPr>
            </w:pPr>
            <w:r w:rsidRPr="00837156">
              <w:rPr>
                <w:b w:val="0"/>
              </w:rPr>
              <w:t>Sinusitis</w:t>
            </w:r>
          </w:p>
        </w:tc>
        <w:tc>
          <w:tcPr>
            <w:tcW w:w="1150" w:type="pct"/>
          </w:tcPr>
          <w:p w14:paraId="43C7030E" w14:textId="77777777" w:rsidR="00AC63E8" w:rsidRPr="00837156" w:rsidRDefault="00AC63E8" w:rsidP="00E50BB9">
            <w:pPr>
              <w:pStyle w:val="Table"/>
              <w:rPr>
                <w:b w:val="0"/>
                <w:szCs w:val="18"/>
              </w:rPr>
            </w:pPr>
            <w:r w:rsidRPr="00837156">
              <w:rPr>
                <w:b w:val="0"/>
              </w:rPr>
              <w:t>10 (2.0)</w:t>
            </w:r>
          </w:p>
        </w:tc>
        <w:tc>
          <w:tcPr>
            <w:tcW w:w="1149" w:type="pct"/>
          </w:tcPr>
          <w:p w14:paraId="44CD008F" w14:textId="77777777" w:rsidR="00AC63E8" w:rsidRPr="00837156" w:rsidRDefault="00AC63E8" w:rsidP="00E50BB9">
            <w:pPr>
              <w:pStyle w:val="Table"/>
              <w:rPr>
                <w:b w:val="0"/>
              </w:rPr>
            </w:pPr>
            <w:r>
              <w:rPr>
                <w:b w:val="0"/>
              </w:rPr>
              <w:t>14 (1.6)</w:t>
            </w:r>
          </w:p>
        </w:tc>
        <w:tc>
          <w:tcPr>
            <w:tcW w:w="1149" w:type="pct"/>
            <w:gridSpan w:val="2"/>
          </w:tcPr>
          <w:p w14:paraId="079B4AF0" w14:textId="77777777" w:rsidR="00AC63E8" w:rsidRPr="00837156" w:rsidRDefault="00AC63E8" w:rsidP="00E50BB9">
            <w:pPr>
              <w:pStyle w:val="Table"/>
              <w:rPr>
                <w:b w:val="0"/>
                <w:szCs w:val="18"/>
              </w:rPr>
            </w:pPr>
            <w:r w:rsidRPr="00837156">
              <w:rPr>
                <w:b w:val="0"/>
              </w:rPr>
              <w:t>17 (1.6)</w:t>
            </w:r>
          </w:p>
        </w:tc>
      </w:tr>
      <w:tr w:rsidR="00AC63E8" w14:paraId="0CFCC168" w14:textId="77777777" w:rsidTr="00E50BB9">
        <w:tc>
          <w:tcPr>
            <w:tcW w:w="1552" w:type="pct"/>
          </w:tcPr>
          <w:p w14:paraId="0C036BE3" w14:textId="77777777" w:rsidR="00AC63E8" w:rsidRPr="00837156" w:rsidRDefault="00AC63E8" w:rsidP="00E50BB9">
            <w:pPr>
              <w:pStyle w:val="Table"/>
              <w:rPr>
                <w:b w:val="0"/>
                <w:szCs w:val="18"/>
              </w:rPr>
            </w:pPr>
            <w:r w:rsidRPr="00837156">
              <w:rPr>
                <w:b w:val="0"/>
              </w:rPr>
              <w:t>Upper respiratory tract infection</w:t>
            </w:r>
          </w:p>
        </w:tc>
        <w:tc>
          <w:tcPr>
            <w:tcW w:w="1150" w:type="pct"/>
          </w:tcPr>
          <w:p w14:paraId="7A4E9B22" w14:textId="77777777" w:rsidR="00AC63E8" w:rsidRPr="00837156" w:rsidRDefault="00AC63E8" w:rsidP="00E50BB9">
            <w:pPr>
              <w:pStyle w:val="Table"/>
              <w:rPr>
                <w:b w:val="0"/>
                <w:szCs w:val="18"/>
              </w:rPr>
            </w:pPr>
            <w:r w:rsidRPr="00837156">
              <w:rPr>
                <w:b w:val="0"/>
              </w:rPr>
              <w:t>14 (2.8)</w:t>
            </w:r>
          </w:p>
        </w:tc>
        <w:tc>
          <w:tcPr>
            <w:tcW w:w="1149" w:type="pct"/>
          </w:tcPr>
          <w:p w14:paraId="34A265FB" w14:textId="77777777" w:rsidR="00AC63E8" w:rsidRPr="00837156" w:rsidRDefault="00AC63E8" w:rsidP="00E50BB9">
            <w:pPr>
              <w:pStyle w:val="Table"/>
              <w:rPr>
                <w:b w:val="0"/>
              </w:rPr>
            </w:pPr>
            <w:r>
              <w:rPr>
                <w:b w:val="0"/>
              </w:rPr>
              <w:t>40 (4.5)</w:t>
            </w:r>
          </w:p>
        </w:tc>
        <w:tc>
          <w:tcPr>
            <w:tcW w:w="1149" w:type="pct"/>
            <w:gridSpan w:val="2"/>
          </w:tcPr>
          <w:p w14:paraId="552F271F" w14:textId="77777777" w:rsidR="00AC63E8" w:rsidRPr="00837156" w:rsidRDefault="00AC63E8" w:rsidP="00E50BB9">
            <w:pPr>
              <w:pStyle w:val="Table"/>
              <w:rPr>
                <w:b w:val="0"/>
                <w:szCs w:val="18"/>
              </w:rPr>
            </w:pPr>
            <w:r w:rsidRPr="00837156">
              <w:rPr>
                <w:b w:val="0"/>
              </w:rPr>
              <w:t>31 (3.0)</w:t>
            </w:r>
          </w:p>
        </w:tc>
      </w:tr>
      <w:tr w:rsidR="00AC63E8" w14:paraId="1C1AAEDA" w14:textId="77777777" w:rsidTr="00E50BB9">
        <w:tc>
          <w:tcPr>
            <w:tcW w:w="1552" w:type="pct"/>
          </w:tcPr>
          <w:p w14:paraId="579470E5" w14:textId="77777777" w:rsidR="00AC63E8" w:rsidRPr="00837156" w:rsidRDefault="00AC63E8" w:rsidP="00E50BB9">
            <w:pPr>
              <w:pStyle w:val="Table"/>
              <w:rPr>
                <w:b w:val="0"/>
                <w:szCs w:val="18"/>
              </w:rPr>
            </w:pPr>
            <w:r w:rsidRPr="00837156">
              <w:rPr>
                <w:b w:val="0"/>
              </w:rPr>
              <w:t>Urinary tract infection</w:t>
            </w:r>
          </w:p>
        </w:tc>
        <w:tc>
          <w:tcPr>
            <w:tcW w:w="1150" w:type="pct"/>
          </w:tcPr>
          <w:p w14:paraId="74BBF148" w14:textId="77777777" w:rsidR="00AC63E8" w:rsidRPr="00837156" w:rsidRDefault="00AC63E8" w:rsidP="00E50BB9">
            <w:pPr>
              <w:pStyle w:val="Table"/>
              <w:rPr>
                <w:b w:val="0"/>
                <w:szCs w:val="18"/>
              </w:rPr>
            </w:pPr>
            <w:r w:rsidRPr="00837156">
              <w:rPr>
                <w:b w:val="0"/>
              </w:rPr>
              <w:t>6 (1.2)</w:t>
            </w:r>
          </w:p>
        </w:tc>
        <w:tc>
          <w:tcPr>
            <w:tcW w:w="1149" w:type="pct"/>
          </w:tcPr>
          <w:p w14:paraId="69244D2B" w14:textId="77777777" w:rsidR="00AC63E8" w:rsidRPr="00837156" w:rsidRDefault="00AC63E8" w:rsidP="00E50BB9">
            <w:pPr>
              <w:pStyle w:val="Table"/>
              <w:rPr>
                <w:b w:val="0"/>
              </w:rPr>
            </w:pPr>
            <w:r>
              <w:rPr>
                <w:b w:val="0"/>
              </w:rPr>
              <w:t>10 (1.1)</w:t>
            </w:r>
          </w:p>
        </w:tc>
        <w:tc>
          <w:tcPr>
            <w:tcW w:w="1149" w:type="pct"/>
            <w:gridSpan w:val="2"/>
          </w:tcPr>
          <w:p w14:paraId="30B147C2" w14:textId="77777777" w:rsidR="00AC63E8" w:rsidRPr="00837156" w:rsidRDefault="00AC63E8" w:rsidP="00E50BB9">
            <w:pPr>
              <w:pStyle w:val="Table"/>
              <w:rPr>
                <w:b w:val="0"/>
                <w:szCs w:val="18"/>
              </w:rPr>
            </w:pPr>
            <w:r w:rsidRPr="00837156">
              <w:rPr>
                <w:b w:val="0"/>
              </w:rPr>
              <w:t>15 (1.4)</w:t>
            </w:r>
          </w:p>
        </w:tc>
      </w:tr>
      <w:tr w:rsidR="00AC63E8" w14:paraId="4D7F8AD3" w14:textId="77777777" w:rsidTr="00E50BB9">
        <w:trPr>
          <w:gridAfter w:val="1"/>
          <w:wAfter w:w="57" w:type="pct"/>
        </w:trPr>
        <w:tc>
          <w:tcPr>
            <w:tcW w:w="4943" w:type="pct"/>
            <w:gridSpan w:val="4"/>
            <w:tcBorders>
              <w:top w:val="single" w:sz="4" w:space="0" w:color="auto"/>
              <w:bottom w:val="single" w:sz="4" w:space="0" w:color="auto"/>
            </w:tcBorders>
          </w:tcPr>
          <w:p w14:paraId="46B29EB6" w14:textId="77777777" w:rsidR="00AC63E8" w:rsidRDefault="00AC63E8" w:rsidP="00E50BB9">
            <w:pPr>
              <w:pStyle w:val="Table"/>
              <w:rPr>
                <w:szCs w:val="18"/>
              </w:rPr>
            </w:pPr>
            <w:r w:rsidRPr="00DC5F98">
              <w:t>Musculoskeletal and connective tissue disorders</w:t>
            </w:r>
          </w:p>
        </w:tc>
      </w:tr>
      <w:tr w:rsidR="00AC63E8" w14:paraId="6647E1BD" w14:textId="77777777" w:rsidTr="00E50BB9">
        <w:tc>
          <w:tcPr>
            <w:tcW w:w="1552" w:type="pct"/>
          </w:tcPr>
          <w:p w14:paraId="30FDB145" w14:textId="77777777" w:rsidR="00AC63E8" w:rsidRPr="00837156" w:rsidRDefault="00AC63E8" w:rsidP="00E50BB9">
            <w:pPr>
              <w:pStyle w:val="Table"/>
              <w:rPr>
                <w:b w:val="0"/>
                <w:szCs w:val="18"/>
              </w:rPr>
            </w:pPr>
            <w:r w:rsidRPr="00837156">
              <w:rPr>
                <w:b w:val="0"/>
              </w:rPr>
              <w:t>Back pain</w:t>
            </w:r>
          </w:p>
        </w:tc>
        <w:tc>
          <w:tcPr>
            <w:tcW w:w="1150" w:type="pct"/>
          </w:tcPr>
          <w:p w14:paraId="0F867E22" w14:textId="77777777" w:rsidR="00AC63E8" w:rsidRPr="00837156" w:rsidRDefault="00AC63E8" w:rsidP="00E50BB9">
            <w:pPr>
              <w:pStyle w:val="Table"/>
              <w:rPr>
                <w:b w:val="0"/>
                <w:szCs w:val="18"/>
              </w:rPr>
            </w:pPr>
            <w:r w:rsidRPr="00837156">
              <w:rPr>
                <w:b w:val="0"/>
              </w:rPr>
              <w:t>5 (1.0)</w:t>
            </w:r>
          </w:p>
        </w:tc>
        <w:tc>
          <w:tcPr>
            <w:tcW w:w="1149" w:type="pct"/>
          </w:tcPr>
          <w:p w14:paraId="35A19E91" w14:textId="77777777" w:rsidR="00AC63E8" w:rsidRPr="00837156" w:rsidRDefault="00AC63E8" w:rsidP="00E50BB9">
            <w:pPr>
              <w:pStyle w:val="Table"/>
              <w:rPr>
                <w:b w:val="0"/>
              </w:rPr>
            </w:pPr>
            <w:r>
              <w:rPr>
                <w:b w:val="0"/>
              </w:rPr>
              <w:t>12 (1.3)</w:t>
            </w:r>
          </w:p>
        </w:tc>
        <w:tc>
          <w:tcPr>
            <w:tcW w:w="1149" w:type="pct"/>
            <w:gridSpan w:val="2"/>
          </w:tcPr>
          <w:p w14:paraId="144CEDB4" w14:textId="77777777" w:rsidR="00AC63E8" w:rsidRPr="00431A6B" w:rsidRDefault="00AC63E8" w:rsidP="00E50BB9">
            <w:pPr>
              <w:pStyle w:val="Table"/>
              <w:rPr>
                <w:b w:val="0"/>
                <w:strike/>
                <w:szCs w:val="18"/>
              </w:rPr>
            </w:pPr>
            <w:r w:rsidRPr="00837156">
              <w:rPr>
                <w:b w:val="0"/>
              </w:rPr>
              <w:t>18 (1.7)</w:t>
            </w:r>
          </w:p>
        </w:tc>
      </w:tr>
      <w:tr w:rsidR="00AC63E8" w14:paraId="40E0CE9D" w14:textId="77777777" w:rsidTr="00E50BB9">
        <w:tc>
          <w:tcPr>
            <w:tcW w:w="1552" w:type="pct"/>
          </w:tcPr>
          <w:p w14:paraId="6EABF735" w14:textId="77777777" w:rsidR="00AC63E8" w:rsidRPr="00837156" w:rsidRDefault="00AC63E8" w:rsidP="00E50BB9">
            <w:pPr>
              <w:pStyle w:val="Table"/>
              <w:rPr>
                <w:b w:val="0"/>
                <w:szCs w:val="18"/>
              </w:rPr>
            </w:pPr>
            <w:r w:rsidRPr="00837156">
              <w:rPr>
                <w:b w:val="0"/>
              </w:rPr>
              <w:t>Muscle spasms</w:t>
            </w:r>
          </w:p>
        </w:tc>
        <w:tc>
          <w:tcPr>
            <w:tcW w:w="1150" w:type="pct"/>
          </w:tcPr>
          <w:p w14:paraId="5637AD81" w14:textId="77777777" w:rsidR="00AC63E8" w:rsidRPr="00837156" w:rsidRDefault="00AC63E8" w:rsidP="00E50BB9">
            <w:pPr>
              <w:pStyle w:val="Table"/>
              <w:rPr>
                <w:b w:val="0"/>
                <w:szCs w:val="18"/>
              </w:rPr>
            </w:pPr>
            <w:r w:rsidRPr="00837156">
              <w:rPr>
                <w:b w:val="0"/>
              </w:rPr>
              <w:t>10 (2.0)</w:t>
            </w:r>
          </w:p>
        </w:tc>
        <w:tc>
          <w:tcPr>
            <w:tcW w:w="1149" w:type="pct"/>
          </w:tcPr>
          <w:p w14:paraId="31081471" w14:textId="77777777" w:rsidR="00AC63E8" w:rsidRPr="00837156" w:rsidRDefault="00AC63E8" w:rsidP="00E50BB9">
            <w:pPr>
              <w:pStyle w:val="Table"/>
              <w:rPr>
                <w:b w:val="0"/>
              </w:rPr>
            </w:pPr>
            <w:r>
              <w:rPr>
                <w:b w:val="0"/>
              </w:rPr>
              <w:t>1 (0.1)</w:t>
            </w:r>
          </w:p>
        </w:tc>
        <w:tc>
          <w:tcPr>
            <w:tcW w:w="1149" w:type="pct"/>
            <w:gridSpan w:val="2"/>
          </w:tcPr>
          <w:p w14:paraId="1E050014" w14:textId="77777777" w:rsidR="00AC63E8" w:rsidRPr="00837156" w:rsidRDefault="00AC63E8" w:rsidP="00E50BB9">
            <w:pPr>
              <w:pStyle w:val="Table"/>
              <w:rPr>
                <w:b w:val="0"/>
                <w:szCs w:val="18"/>
              </w:rPr>
            </w:pPr>
            <w:r w:rsidRPr="00837156">
              <w:rPr>
                <w:b w:val="0"/>
              </w:rPr>
              <w:t>4 (0.4)</w:t>
            </w:r>
          </w:p>
        </w:tc>
      </w:tr>
      <w:tr w:rsidR="00AC63E8" w14:paraId="7A4B0961" w14:textId="77777777" w:rsidTr="00E50BB9">
        <w:trPr>
          <w:gridAfter w:val="1"/>
          <w:wAfter w:w="57" w:type="pct"/>
        </w:trPr>
        <w:tc>
          <w:tcPr>
            <w:tcW w:w="4943" w:type="pct"/>
            <w:gridSpan w:val="4"/>
            <w:tcBorders>
              <w:top w:val="single" w:sz="4" w:space="0" w:color="auto"/>
              <w:bottom w:val="single" w:sz="4" w:space="0" w:color="auto"/>
            </w:tcBorders>
          </w:tcPr>
          <w:p w14:paraId="0B634497" w14:textId="77777777" w:rsidR="00AC63E8" w:rsidRPr="00431A6B" w:rsidRDefault="00AC63E8" w:rsidP="00E50BB9">
            <w:pPr>
              <w:pStyle w:val="Table"/>
            </w:pPr>
            <w:r w:rsidRPr="00431A6B">
              <w:t>Nervous system disorders</w:t>
            </w:r>
          </w:p>
        </w:tc>
      </w:tr>
      <w:tr w:rsidR="00AC63E8" w14:paraId="634EC062" w14:textId="77777777" w:rsidTr="00E50BB9">
        <w:tc>
          <w:tcPr>
            <w:tcW w:w="1552" w:type="pct"/>
          </w:tcPr>
          <w:p w14:paraId="2BB3B4BE" w14:textId="77777777" w:rsidR="00AC63E8" w:rsidRPr="00837156" w:rsidRDefault="00AC63E8" w:rsidP="00E50BB9">
            <w:pPr>
              <w:pStyle w:val="Table"/>
              <w:rPr>
                <w:b w:val="0"/>
                <w:szCs w:val="18"/>
              </w:rPr>
            </w:pPr>
            <w:r w:rsidRPr="00837156">
              <w:rPr>
                <w:b w:val="0"/>
              </w:rPr>
              <w:t>Dizziness</w:t>
            </w:r>
          </w:p>
        </w:tc>
        <w:tc>
          <w:tcPr>
            <w:tcW w:w="1150" w:type="pct"/>
          </w:tcPr>
          <w:p w14:paraId="2829A315" w14:textId="77777777" w:rsidR="00AC63E8" w:rsidRPr="00837156" w:rsidRDefault="00AC63E8" w:rsidP="00E50BB9">
            <w:pPr>
              <w:pStyle w:val="Table"/>
              <w:rPr>
                <w:b w:val="0"/>
                <w:szCs w:val="18"/>
              </w:rPr>
            </w:pPr>
            <w:r w:rsidRPr="00837156">
              <w:rPr>
                <w:b w:val="0"/>
              </w:rPr>
              <w:t>7 (1.4)</w:t>
            </w:r>
          </w:p>
        </w:tc>
        <w:tc>
          <w:tcPr>
            <w:tcW w:w="1149" w:type="pct"/>
          </w:tcPr>
          <w:p w14:paraId="60623019" w14:textId="77777777" w:rsidR="00AC63E8" w:rsidRPr="00837156" w:rsidRDefault="00AC63E8" w:rsidP="00E50BB9">
            <w:pPr>
              <w:pStyle w:val="Table"/>
              <w:rPr>
                <w:b w:val="0"/>
              </w:rPr>
            </w:pPr>
            <w:r>
              <w:rPr>
                <w:b w:val="0"/>
              </w:rPr>
              <w:t>9 (1.0)</w:t>
            </w:r>
          </w:p>
        </w:tc>
        <w:tc>
          <w:tcPr>
            <w:tcW w:w="1149" w:type="pct"/>
            <w:gridSpan w:val="2"/>
          </w:tcPr>
          <w:p w14:paraId="31DC1642" w14:textId="77777777" w:rsidR="00AC63E8" w:rsidRPr="00837156" w:rsidRDefault="00AC63E8" w:rsidP="00E50BB9">
            <w:pPr>
              <w:pStyle w:val="Table"/>
              <w:rPr>
                <w:b w:val="0"/>
                <w:szCs w:val="18"/>
              </w:rPr>
            </w:pPr>
            <w:r w:rsidRPr="00837156">
              <w:rPr>
                <w:b w:val="0"/>
              </w:rPr>
              <w:t>11 (1.1)</w:t>
            </w:r>
          </w:p>
        </w:tc>
      </w:tr>
      <w:tr w:rsidR="00AC63E8" w14:paraId="189C22A9" w14:textId="77777777" w:rsidTr="00E50BB9">
        <w:tc>
          <w:tcPr>
            <w:tcW w:w="1552" w:type="pct"/>
          </w:tcPr>
          <w:p w14:paraId="5F376AB5" w14:textId="77777777" w:rsidR="00AC63E8" w:rsidRPr="00837156" w:rsidRDefault="00AC63E8" w:rsidP="00E50BB9">
            <w:pPr>
              <w:pStyle w:val="Table"/>
              <w:rPr>
                <w:b w:val="0"/>
                <w:szCs w:val="18"/>
              </w:rPr>
            </w:pPr>
            <w:r w:rsidRPr="00837156">
              <w:rPr>
                <w:b w:val="0"/>
              </w:rPr>
              <w:t>Migraine</w:t>
            </w:r>
          </w:p>
        </w:tc>
        <w:tc>
          <w:tcPr>
            <w:tcW w:w="1150" w:type="pct"/>
          </w:tcPr>
          <w:p w14:paraId="6C058C4D" w14:textId="77777777" w:rsidR="00AC63E8" w:rsidRPr="00837156" w:rsidRDefault="00AC63E8" w:rsidP="00E50BB9">
            <w:pPr>
              <w:pStyle w:val="Table"/>
              <w:rPr>
                <w:b w:val="0"/>
                <w:szCs w:val="18"/>
              </w:rPr>
            </w:pPr>
            <w:r w:rsidRPr="00837156">
              <w:rPr>
                <w:b w:val="0"/>
              </w:rPr>
              <w:t>5 (1.0)</w:t>
            </w:r>
          </w:p>
        </w:tc>
        <w:tc>
          <w:tcPr>
            <w:tcW w:w="1149" w:type="pct"/>
          </w:tcPr>
          <w:p w14:paraId="2BE44B0D" w14:textId="77777777" w:rsidR="00AC63E8" w:rsidRPr="00837156" w:rsidRDefault="00AC63E8" w:rsidP="00E50BB9">
            <w:pPr>
              <w:pStyle w:val="Table"/>
              <w:rPr>
                <w:b w:val="0"/>
              </w:rPr>
            </w:pPr>
            <w:r>
              <w:rPr>
                <w:b w:val="0"/>
              </w:rPr>
              <w:t>14 (1.6)</w:t>
            </w:r>
          </w:p>
        </w:tc>
        <w:tc>
          <w:tcPr>
            <w:tcW w:w="1149" w:type="pct"/>
            <w:gridSpan w:val="2"/>
          </w:tcPr>
          <w:p w14:paraId="70200CE8" w14:textId="77777777" w:rsidR="00AC63E8" w:rsidRPr="00837156" w:rsidRDefault="00AC63E8" w:rsidP="00E50BB9">
            <w:pPr>
              <w:pStyle w:val="Table"/>
              <w:rPr>
                <w:b w:val="0"/>
                <w:szCs w:val="18"/>
              </w:rPr>
            </w:pPr>
            <w:r w:rsidRPr="00837156">
              <w:rPr>
                <w:b w:val="0"/>
              </w:rPr>
              <w:t>21 (2.0)</w:t>
            </w:r>
          </w:p>
        </w:tc>
      </w:tr>
      <w:tr w:rsidR="00AC63E8" w14:paraId="12E39911" w14:textId="77777777" w:rsidTr="00E50BB9">
        <w:trPr>
          <w:gridAfter w:val="1"/>
          <w:wAfter w:w="57" w:type="pct"/>
        </w:trPr>
        <w:tc>
          <w:tcPr>
            <w:tcW w:w="4943" w:type="pct"/>
            <w:gridSpan w:val="4"/>
            <w:tcBorders>
              <w:top w:val="single" w:sz="4" w:space="0" w:color="auto"/>
              <w:bottom w:val="single" w:sz="4" w:space="0" w:color="auto"/>
            </w:tcBorders>
          </w:tcPr>
          <w:p w14:paraId="38EA62F8" w14:textId="77777777" w:rsidR="00AC63E8" w:rsidRDefault="00AC63E8" w:rsidP="00E50BB9">
            <w:pPr>
              <w:pStyle w:val="Table"/>
              <w:rPr>
                <w:szCs w:val="18"/>
              </w:rPr>
            </w:pPr>
            <w:r w:rsidRPr="00DC5F98">
              <w:t>Psychiatric disorders</w:t>
            </w:r>
          </w:p>
        </w:tc>
      </w:tr>
      <w:tr w:rsidR="00AC63E8" w14:paraId="278BB259" w14:textId="77777777" w:rsidTr="00E50BB9">
        <w:tc>
          <w:tcPr>
            <w:tcW w:w="1552" w:type="pct"/>
          </w:tcPr>
          <w:p w14:paraId="4073D3E7" w14:textId="77777777" w:rsidR="00AC63E8" w:rsidRPr="00837156" w:rsidRDefault="00AC63E8" w:rsidP="00E50BB9">
            <w:pPr>
              <w:pStyle w:val="Table"/>
              <w:rPr>
                <w:b w:val="0"/>
                <w:szCs w:val="18"/>
              </w:rPr>
            </w:pPr>
            <w:r w:rsidRPr="00837156">
              <w:rPr>
                <w:b w:val="0"/>
              </w:rPr>
              <w:t>Insomnia</w:t>
            </w:r>
          </w:p>
        </w:tc>
        <w:tc>
          <w:tcPr>
            <w:tcW w:w="1150" w:type="pct"/>
          </w:tcPr>
          <w:p w14:paraId="36951DA2" w14:textId="77777777" w:rsidR="00AC63E8" w:rsidRPr="00837156" w:rsidRDefault="00AC63E8" w:rsidP="00E50BB9">
            <w:pPr>
              <w:pStyle w:val="Table"/>
              <w:rPr>
                <w:b w:val="0"/>
                <w:szCs w:val="18"/>
              </w:rPr>
            </w:pPr>
            <w:r w:rsidRPr="00837156">
              <w:rPr>
                <w:b w:val="0"/>
              </w:rPr>
              <w:t>6 (1.2)</w:t>
            </w:r>
          </w:p>
        </w:tc>
        <w:tc>
          <w:tcPr>
            <w:tcW w:w="1149" w:type="pct"/>
          </w:tcPr>
          <w:p w14:paraId="119EAC17" w14:textId="77777777" w:rsidR="00AC63E8" w:rsidRPr="00837156" w:rsidRDefault="00AC63E8" w:rsidP="00E50BB9">
            <w:pPr>
              <w:pStyle w:val="Table"/>
              <w:rPr>
                <w:b w:val="0"/>
              </w:rPr>
            </w:pPr>
            <w:r>
              <w:rPr>
                <w:b w:val="0"/>
              </w:rPr>
              <w:t>6 (0.7)</w:t>
            </w:r>
          </w:p>
        </w:tc>
        <w:tc>
          <w:tcPr>
            <w:tcW w:w="1149" w:type="pct"/>
            <w:gridSpan w:val="2"/>
          </w:tcPr>
          <w:p w14:paraId="0F3CB8D6" w14:textId="77777777" w:rsidR="00AC63E8" w:rsidRPr="00837156" w:rsidRDefault="00AC63E8" w:rsidP="00E50BB9">
            <w:pPr>
              <w:pStyle w:val="Table"/>
              <w:rPr>
                <w:b w:val="0"/>
                <w:szCs w:val="18"/>
              </w:rPr>
            </w:pPr>
            <w:r w:rsidRPr="00837156">
              <w:rPr>
                <w:b w:val="0"/>
              </w:rPr>
              <w:t>8 (0.8)</w:t>
            </w:r>
          </w:p>
        </w:tc>
      </w:tr>
      <w:tr w:rsidR="00AC63E8" w14:paraId="53DDFB02" w14:textId="77777777" w:rsidTr="00E50BB9">
        <w:trPr>
          <w:gridAfter w:val="1"/>
          <w:wAfter w:w="57" w:type="pct"/>
        </w:trPr>
        <w:tc>
          <w:tcPr>
            <w:tcW w:w="4943" w:type="pct"/>
            <w:gridSpan w:val="4"/>
            <w:tcBorders>
              <w:top w:val="single" w:sz="4" w:space="0" w:color="auto"/>
              <w:bottom w:val="single" w:sz="4" w:space="0" w:color="auto"/>
            </w:tcBorders>
          </w:tcPr>
          <w:p w14:paraId="3545DA8C" w14:textId="77777777" w:rsidR="00AC63E8" w:rsidRDefault="00AC63E8" w:rsidP="00E50BB9">
            <w:pPr>
              <w:pStyle w:val="Table"/>
              <w:rPr>
                <w:szCs w:val="18"/>
              </w:rPr>
            </w:pPr>
            <w:r w:rsidRPr="00DC5F98">
              <w:t>Respiratory, thoracic and mediastinal disorders</w:t>
            </w:r>
          </w:p>
        </w:tc>
      </w:tr>
      <w:tr w:rsidR="00AC63E8" w14:paraId="712CD750" w14:textId="77777777" w:rsidTr="00E50BB9">
        <w:tc>
          <w:tcPr>
            <w:tcW w:w="1552" w:type="pct"/>
          </w:tcPr>
          <w:p w14:paraId="05F366E1" w14:textId="77777777" w:rsidR="00AC63E8" w:rsidRPr="00837156" w:rsidRDefault="00AC63E8" w:rsidP="00E50BB9">
            <w:pPr>
              <w:pStyle w:val="Table"/>
              <w:rPr>
                <w:b w:val="0"/>
                <w:szCs w:val="18"/>
              </w:rPr>
            </w:pPr>
            <w:r w:rsidRPr="00837156">
              <w:rPr>
                <w:b w:val="0"/>
              </w:rPr>
              <w:t>Cough</w:t>
            </w:r>
          </w:p>
        </w:tc>
        <w:tc>
          <w:tcPr>
            <w:tcW w:w="1150" w:type="pct"/>
          </w:tcPr>
          <w:p w14:paraId="65BE6F79" w14:textId="77777777" w:rsidR="00AC63E8" w:rsidRPr="00837156" w:rsidRDefault="00AC63E8" w:rsidP="00E50BB9">
            <w:pPr>
              <w:pStyle w:val="Table"/>
              <w:rPr>
                <w:b w:val="0"/>
                <w:szCs w:val="18"/>
              </w:rPr>
            </w:pPr>
            <w:r w:rsidRPr="00837156">
              <w:rPr>
                <w:b w:val="0"/>
              </w:rPr>
              <w:t>7 (1.4)</w:t>
            </w:r>
          </w:p>
        </w:tc>
        <w:tc>
          <w:tcPr>
            <w:tcW w:w="1149" w:type="pct"/>
          </w:tcPr>
          <w:p w14:paraId="55C75577" w14:textId="77777777" w:rsidR="00AC63E8" w:rsidRPr="00837156" w:rsidRDefault="00AC63E8" w:rsidP="00E50BB9">
            <w:pPr>
              <w:pStyle w:val="Table"/>
              <w:rPr>
                <w:b w:val="0"/>
              </w:rPr>
            </w:pPr>
            <w:r>
              <w:rPr>
                <w:b w:val="0"/>
              </w:rPr>
              <w:t>6 (0.7)</w:t>
            </w:r>
          </w:p>
        </w:tc>
        <w:tc>
          <w:tcPr>
            <w:tcW w:w="1149" w:type="pct"/>
            <w:gridSpan w:val="2"/>
          </w:tcPr>
          <w:p w14:paraId="5B268E45" w14:textId="77777777" w:rsidR="00AC63E8" w:rsidRPr="00837156" w:rsidRDefault="00AC63E8" w:rsidP="00E50BB9">
            <w:pPr>
              <w:pStyle w:val="Table"/>
              <w:rPr>
                <w:b w:val="0"/>
                <w:szCs w:val="18"/>
              </w:rPr>
            </w:pPr>
            <w:r w:rsidRPr="00837156">
              <w:rPr>
                <w:b w:val="0"/>
              </w:rPr>
              <w:t>10 (1.0)</w:t>
            </w:r>
          </w:p>
        </w:tc>
      </w:tr>
      <w:tr w:rsidR="00AC63E8" w14:paraId="062A972A" w14:textId="77777777" w:rsidTr="00E50BB9">
        <w:trPr>
          <w:gridAfter w:val="1"/>
          <w:wAfter w:w="57" w:type="pct"/>
        </w:trPr>
        <w:tc>
          <w:tcPr>
            <w:tcW w:w="4943" w:type="pct"/>
            <w:gridSpan w:val="4"/>
            <w:tcBorders>
              <w:top w:val="single" w:sz="4" w:space="0" w:color="auto"/>
              <w:bottom w:val="single" w:sz="4" w:space="0" w:color="auto"/>
            </w:tcBorders>
          </w:tcPr>
          <w:p w14:paraId="604D07A1" w14:textId="77777777" w:rsidR="00AC63E8" w:rsidRDefault="00AC63E8" w:rsidP="00E50BB9">
            <w:pPr>
              <w:pStyle w:val="Table"/>
              <w:rPr>
                <w:szCs w:val="18"/>
              </w:rPr>
            </w:pPr>
            <w:r w:rsidRPr="00DC5F98">
              <w:t>Skin and subcutaneous tissue disorders</w:t>
            </w:r>
          </w:p>
        </w:tc>
      </w:tr>
      <w:tr w:rsidR="00AC63E8" w14:paraId="0ECD4782" w14:textId="77777777" w:rsidTr="00E50BB9">
        <w:tc>
          <w:tcPr>
            <w:tcW w:w="1552" w:type="pct"/>
          </w:tcPr>
          <w:p w14:paraId="2AF5DA69" w14:textId="77777777" w:rsidR="00AC63E8" w:rsidRPr="00837156" w:rsidRDefault="00AC63E8" w:rsidP="00E50BB9">
            <w:pPr>
              <w:pStyle w:val="Table"/>
              <w:rPr>
                <w:b w:val="0"/>
                <w:szCs w:val="18"/>
              </w:rPr>
            </w:pPr>
            <w:r w:rsidRPr="00837156">
              <w:rPr>
                <w:b w:val="0"/>
              </w:rPr>
              <w:lastRenderedPageBreak/>
              <w:t xml:space="preserve">Pruritus </w:t>
            </w:r>
            <w:proofErr w:type="spellStart"/>
            <w:r w:rsidRPr="00837156">
              <w:rPr>
                <w:b w:val="0"/>
              </w:rPr>
              <w:t>generalised</w:t>
            </w:r>
            <w:proofErr w:type="spellEnd"/>
          </w:p>
        </w:tc>
        <w:tc>
          <w:tcPr>
            <w:tcW w:w="1150" w:type="pct"/>
          </w:tcPr>
          <w:p w14:paraId="34C8B1CE" w14:textId="77777777" w:rsidR="00AC63E8" w:rsidRPr="00837156" w:rsidRDefault="00AC63E8" w:rsidP="00E50BB9">
            <w:pPr>
              <w:pStyle w:val="Table"/>
              <w:rPr>
                <w:b w:val="0"/>
                <w:szCs w:val="18"/>
              </w:rPr>
            </w:pPr>
            <w:r w:rsidRPr="00837156">
              <w:rPr>
                <w:b w:val="0"/>
              </w:rPr>
              <w:t>6 (1.2)</w:t>
            </w:r>
          </w:p>
        </w:tc>
        <w:tc>
          <w:tcPr>
            <w:tcW w:w="1149" w:type="pct"/>
          </w:tcPr>
          <w:p w14:paraId="125A0681" w14:textId="77777777" w:rsidR="00AC63E8" w:rsidRPr="00837156" w:rsidRDefault="00AC63E8" w:rsidP="00E50BB9">
            <w:pPr>
              <w:pStyle w:val="Table"/>
              <w:rPr>
                <w:b w:val="0"/>
              </w:rPr>
            </w:pPr>
            <w:r>
              <w:rPr>
                <w:b w:val="0"/>
              </w:rPr>
              <w:t>0 (0.0)</w:t>
            </w:r>
          </w:p>
        </w:tc>
        <w:tc>
          <w:tcPr>
            <w:tcW w:w="1149" w:type="pct"/>
            <w:gridSpan w:val="2"/>
          </w:tcPr>
          <w:p w14:paraId="22B82E19" w14:textId="77777777" w:rsidR="00AC63E8" w:rsidRPr="00837156" w:rsidRDefault="00AC63E8" w:rsidP="00E50BB9">
            <w:pPr>
              <w:pStyle w:val="Table"/>
              <w:rPr>
                <w:b w:val="0"/>
                <w:szCs w:val="18"/>
              </w:rPr>
            </w:pPr>
            <w:r w:rsidRPr="00837156">
              <w:rPr>
                <w:b w:val="0"/>
              </w:rPr>
              <w:t>1 (&lt;0.1)</w:t>
            </w:r>
          </w:p>
        </w:tc>
      </w:tr>
    </w:tbl>
    <w:p w14:paraId="5BD92249" w14:textId="77777777" w:rsidR="00A07173" w:rsidRDefault="00A07173" w:rsidP="00AC63E8">
      <w:pPr>
        <w:spacing w:line="240" w:lineRule="auto"/>
        <w:rPr>
          <w:i/>
          <w:color w:val="000000" w:themeColor="text1"/>
        </w:rPr>
      </w:pPr>
      <w:bookmarkStart w:id="1" w:name="_Ref482697175"/>
    </w:p>
    <w:p w14:paraId="34052795" w14:textId="145EF96C" w:rsidR="007050EC" w:rsidRPr="008D141E" w:rsidRDefault="007050EC" w:rsidP="008D141E">
      <w:pPr>
        <w:pStyle w:val="Caption"/>
      </w:pPr>
      <w:bookmarkStart w:id="2" w:name="_Ref516047408"/>
      <w:bookmarkEnd w:id="1"/>
      <w:r w:rsidRPr="008D141E">
        <w:t xml:space="preserve">Table </w:t>
      </w:r>
      <w:r w:rsidRPr="008D141E">
        <w:fldChar w:fldCharType="begin"/>
      </w:r>
      <w:r w:rsidRPr="008D141E">
        <w:instrText xml:space="preserve"> SEQ Table \* ARABIC </w:instrText>
      </w:r>
      <w:r w:rsidRPr="008D141E">
        <w:fldChar w:fldCharType="separate"/>
      </w:r>
      <w:r w:rsidR="00250856">
        <w:rPr>
          <w:noProof/>
        </w:rPr>
        <w:t>2</w:t>
      </w:r>
      <w:r w:rsidRPr="008D141E">
        <w:fldChar w:fldCharType="end"/>
      </w:r>
      <w:bookmarkEnd w:id="2"/>
      <w:r w:rsidRPr="008D141E">
        <w:t xml:space="preserve"> Adverse Reactions with AIMOVIG</w:t>
      </w:r>
    </w:p>
    <w:tbl>
      <w:tblPr>
        <w:tblW w:w="5000" w:type="pct"/>
        <w:tblCellMar>
          <w:left w:w="0" w:type="dxa"/>
          <w:right w:w="0" w:type="dxa"/>
        </w:tblCellMar>
        <w:tblLook w:val="04A0" w:firstRow="1" w:lastRow="0" w:firstColumn="1" w:lastColumn="0" w:noHBand="0" w:noVBand="1"/>
      </w:tblPr>
      <w:tblGrid>
        <w:gridCol w:w="2494"/>
        <w:gridCol w:w="1770"/>
        <w:gridCol w:w="16"/>
        <w:gridCol w:w="6"/>
        <w:gridCol w:w="1651"/>
        <w:gridCol w:w="1526"/>
        <w:gridCol w:w="1526"/>
        <w:gridCol w:w="22"/>
      </w:tblGrid>
      <w:tr w:rsidR="00AC63E8" w:rsidRPr="00990087" w14:paraId="417D50F2" w14:textId="77777777" w:rsidTr="00E50BB9">
        <w:trPr>
          <w:trHeight w:val="314"/>
        </w:trPr>
        <w:tc>
          <w:tcPr>
            <w:tcW w:w="1384" w:type="pct"/>
            <w:vMerge w:val="restart"/>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hideMark/>
          </w:tcPr>
          <w:p w14:paraId="44CC4988" w14:textId="77777777" w:rsidR="00AC63E8" w:rsidRPr="00990087" w:rsidRDefault="00AC63E8" w:rsidP="00E50BB9">
            <w:pPr>
              <w:pStyle w:val="TextBold"/>
              <w:rPr>
                <w:sz w:val="22"/>
                <w:szCs w:val="20"/>
                <w:lang w:val="en-AU"/>
              </w:rPr>
            </w:pPr>
            <w:r w:rsidRPr="00990087">
              <w:rPr>
                <w:sz w:val="22"/>
                <w:szCs w:val="20"/>
                <w:lang w:val="en-AU"/>
              </w:rPr>
              <w:t>System Organ Class</w:t>
            </w:r>
          </w:p>
        </w:tc>
        <w:tc>
          <w:tcPr>
            <w:tcW w:w="982" w:type="pct"/>
            <w:vMerge w:val="restar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6C2DCE68" w14:textId="77777777" w:rsidR="00AC63E8" w:rsidRPr="00990087" w:rsidRDefault="00AC63E8" w:rsidP="00E50BB9">
            <w:pPr>
              <w:pStyle w:val="TextBold"/>
              <w:ind w:right="-151"/>
              <w:rPr>
                <w:sz w:val="22"/>
                <w:szCs w:val="20"/>
                <w:lang w:val="en-AU"/>
              </w:rPr>
            </w:pPr>
            <w:r w:rsidRPr="00990087">
              <w:rPr>
                <w:sz w:val="22"/>
                <w:szCs w:val="20"/>
                <w:lang w:val="en-AU"/>
              </w:rPr>
              <w:t>Adverse Reaction</w:t>
            </w:r>
            <w:r w:rsidRPr="00990087">
              <w:rPr>
                <w:sz w:val="22"/>
                <w:szCs w:val="20"/>
                <w:lang w:val="en-AU"/>
              </w:rPr>
              <w:br/>
              <w:t>Preferred Term</w:t>
            </w:r>
          </w:p>
        </w:tc>
        <w:tc>
          <w:tcPr>
            <w:tcW w:w="9" w:type="pct"/>
            <w:tcBorders>
              <w:top w:val="single" w:sz="12" w:space="0" w:color="auto"/>
              <w:left w:val="nil"/>
              <w:bottom w:val="single" w:sz="12" w:space="0" w:color="auto"/>
              <w:right w:val="nil"/>
            </w:tcBorders>
            <w:vAlign w:val="center"/>
          </w:tcPr>
          <w:p w14:paraId="34544A1E" w14:textId="77777777" w:rsidR="00AC63E8" w:rsidRPr="00990087" w:rsidRDefault="00AC63E8" w:rsidP="00E50BB9">
            <w:pPr>
              <w:pStyle w:val="TextBold"/>
              <w:rPr>
                <w:sz w:val="22"/>
                <w:szCs w:val="20"/>
                <w:lang w:val="en-AU"/>
              </w:rPr>
            </w:pPr>
          </w:p>
        </w:tc>
        <w:tc>
          <w:tcPr>
            <w:tcW w:w="3" w:type="pct"/>
            <w:tcBorders>
              <w:top w:val="single" w:sz="12" w:space="0" w:color="auto"/>
              <w:left w:val="nil"/>
              <w:bottom w:val="single" w:sz="12" w:space="0" w:color="auto"/>
              <w:right w:val="nil"/>
            </w:tcBorders>
            <w:vAlign w:val="center"/>
          </w:tcPr>
          <w:p w14:paraId="20AC2EC0" w14:textId="77777777" w:rsidR="00AC63E8" w:rsidRPr="00990087" w:rsidRDefault="00AC63E8" w:rsidP="00E50BB9">
            <w:pPr>
              <w:pStyle w:val="TextBold"/>
              <w:rPr>
                <w:sz w:val="22"/>
                <w:szCs w:val="20"/>
                <w:lang w:val="en-AU"/>
              </w:rPr>
            </w:pPr>
          </w:p>
        </w:tc>
        <w:tc>
          <w:tcPr>
            <w:tcW w:w="916" w:type="pct"/>
            <w:vMerge w:val="restar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14:paraId="088A4B07" w14:textId="77777777" w:rsidR="00AC63E8" w:rsidRPr="00990087" w:rsidRDefault="00AC63E8" w:rsidP="00E50BB9">
            <w:pPr>
              <w:pStyle w:val="TextBold"/>
              <w:ind w:right="-151"/>
              <w:rPr>
                <w:sz w:val="22"/>
                <w:szCs w:val="20"/>
                <w:lang w:val="en-AU"/>
              </w:rPr>
            </w:pPr>
            <w:r w:rsidRPr="00990087">
              <w:rPr>
                <w:sz w:val="22"/>
                <w:szCs w:val="20"/>
                <w:lang w:val="en-AU"/>
              </w:rPr>
              <w:t>Frequency Category</w:t>
            </w:r>
          </w:p>
        </w:tc>
        <w:tc>
          <w:tcPr>
            <w:tcW w:w="847" w:type="pct"/>
            <w:vMerge w:val="restart"/>
            <w:tcBorders>
              <w:top w:val="single" w:sz="12" w:space="0" w:color="auto"/>
              <w:left w:val="nil"/>
              <w:right w:val="single" w:sz="4" w:space="0" w:color="auto"/>
            </w:tcBorders>
          </w:tcPr>
          <w:p w14:paraId="3C6D05C3" w14:textId="77777777" w:rsidR="00AC63E8" w:rsidRPr="00990087" w:rsidRDefault="00AC63E8" w:rsidP="00E50BB9">
            <w:pPr>
              <w:pStyle w:val="TextBold"/>
              <w:ind w:right="-157"/>
              <w:rPr>
                <w:sz w:val="22"/>
                <w:szCs w:val="20"/>
                <w:lang w:val="en-AU"/>
              </w:rPr>
            </w:pPr>
            <w:r w:rsidRPr="00B4771D">
              <w:rPr>
                <w:sz w:val="22"/>
                <w:szCs w:val="20"/>
                <w:lang w:val="en-AU"/>
              </w:rPr>
              <w:t xml:space="preserve">Overall subject incidence at 70 mg </w:t>
            </w:r>
            <w:r w:rsidRPr="00B4771D">
              <w:rPr>
                <w:sz w:val="22"/>
                <w:szCs w:val="20"/>
                <w:lang w:val="en-AU"/>
              </w:rPr>
              <w:br/>
              <w:t xml:space="preserve">(N = 893) </w:t>
            </w:r>
            <w:r w:rsidRPr="00B4771D">
              <w:rPr>
                <w:sz w:val="22"/>
                <w:szCs w:val="20"/>
                <w:lang w:val="en-AU"/>
              </w:rPr>
              <w:br/>
              <w:t>n (%)</w:t>
            </w:r>
          </w:p>
        </w:tc>
        <w:tc>
          <w:tcPr>
            <w:tcW w:w="847" w:type="pct"/>
            <w:vMerge w:val="restart"/>
            <w:tcBorders>
              <w:top w:val="single" w:sz="12" w:space="0" w:color="auto"/>
              <w:left w:val="single" w:sz="4" w:space="0" w:color="auto"/>
              <w:bottom w:val="single" w:sz="12" w:space="0" w:color="auto"/>
              <w:right w:val="single" w:sz="8" w:space="0" w:color="auto"/>
            </w:tcBorders>
            <w:tcMar>
              <w:top w:w="0" w:type="dxa"/>
              <w:left w:w="108" w:type="dxa"/>
              <w:bottom w:w="0" w:type="dxa"/>
              <w:right w:w="108" w:type="dxa"/>
            </w:tcMar>
            <w:vAlign w:val="center"/>
            <w:hideMark/>
          </w:tcPr>
          <w:p w14:paraId="3D82E8D9" w14:textId="77777777" w:rsidR="00AC63E8" w:rsidRPr="00990087" w:rsidRDefault="00AC63E8" w:rsidP="00E50BB9">
            <w:pPr>
              <w:pStyle w:val="TextBold"/>
              <w:ind w:right="-157"/>
              <w:rPr>
                <w:sz w:val="22"/>
                <w:szCs w:val="20"/>
                <w:lang w:val="en-AU"/>
              </w:rPr>
            </w:pPr>
            <w:r w:rsidRPr="00990087">
              <w:rPr>
                <w:sz w:val="22"/>
                <w:szCs w:val="20"/>
                <w:lang w:val="en-AU"/>
              </w:rPr>
              <w:t xml:space="preserve">Overall subject incidence at 140 mg </w:t>
            </w:r>
            <w:r w:rsidRPr="00990087">
              <w:rPr>
                <w:sz w:val="22"/>
                <w:szCs w:val="20"/>
                <w:lang w:val="en-AU"/>
              </w:rPr>
              <w:br/>
              <w:t xml:space="preserve">(N = 507) </w:t>
            </w:r>
            <w:r w:rsidRPr="00990087">
              <w:rPr>
                <w:sz w:val="22"/>
                <w:szCs w:val="20"/>
                <w:lang w:val="en-AU"/>
              </w:rPr>
              <w:br/>
              <w:t>n (%)</w:t>
            </w:r>
          </w:p>
        </w:tc>
        <w:tc>
          <w:tcPr>
            <w:tcW w:w="12" w:type="pct"/>
            <w:tcBorders>
              <w:left w:val="single" w:sz="12" w:space="0" w:color="auto"/>
            </w:tcBorders>
            <w:vAlign w:val="center"/>
            <w:hideMark/>
          </w:tcPr>
          <w:p w14:paraId="622BB2F5" w14:textId="77777777" w:rsidR="00AC63E8" w:rsidRPr="00990087" w:rsidRDefault="00AC63E8" w:rsidP="00E50BB9">
            <w:pPr>
              <w:rPr>
                <w:szCs w:val="20"/>
              </w:rPr>
            </w:pPr>
          </w:p>
        </w:tc>
      </w:tr>
      <w:tr w:rsidR="00AC63E8" w:rsidRPr="00990087" w14:paraId="16C4F065" w14:textId="77777777" w:rsidTr="00E50BB9">
        <w:trPr>
          <w:trHeight w:val="276"/>
        </w:trPr>
        <w:tc>
          <w:tcPr>
            <w:tcW w:w="1384" w:type="pct"/>
            <w:vMerge/>
            <w:tcBorders>
              <w:top w:val="single" w:sz="8" w:space="0" w:color="auto"/>
              <w:left w:val="single" w:sz="12" w:space="0" w:color="auto"/>
              <w:bottom w:val="single" w:sz="12" w:space="0" w:color="auto"/>
              <w:right w:val="single" w:sz="8" w:space="0" w:color="auto"/>
            </w:tcBorders>
            <w:vAlign w:val="center"/>
            <w:hideMark/>
          </w:tcPr>
          <w:p w14:paraId="7F973BFC" w14:textId="77777777" w:rsidR="00AC63E8" w:rsidRPr="00990087" w:rsidRDefault="00AC63E8" w:rsidP="00E50BB9">
            <w:pPr>
              <w:rPr>
                <w:rFonts w:eastAsia="MS Mincho"/>
                <w:szCs w:val="20"/>
              </w:rPr>
            </w:pPr>
          </w:p>
        </w:tc>
        <w:tc>
          <w:tcPr>
            <w:tcW w:w="982" w:type="pct"/>
            <w:vMerge/>
            <w:tcBorders>
              <w:top w:val="single" w:sz="8" w:space="0" w:color="auto"/>
              <w:left w:val="nil"/>
              <w:bottom w:val="single" w:sz="12" w:space="0" w:color="auto"/>
              <w:right w:val="single" w:sz="8" w:space="0" w:color="auto"/>
            </w:tcBorders>
            <w:vAlign w:val="center"/>
            <w:hideMark/>
          </w:tcPr>
          <w:p w14:paraId="67E53E36" w14:textId="77777777" w:rsidR="00AC63E8" w:rsidRPr="00990087" w:rsidRDefault="00AC63E8" w:rsidP="00E50BB9">
            <w:pPr>
              <w:rPr>
                <w:rFonts w:eastAsia="MS Mincho"/>
                <w:szCs w:val="20"/>
              </w:rPr>
            </w:pPr>
          </w:p>
        </w:tc>
        <w:tc>
          <w:tcPr>
            <w:tcW w:w="9" w:type="pct"/>
            <w:tcBorders>
              <w:top w:val="single" w:sz="8" w:space="0" w:color="auto"/>
              <w:left w:val="nil"/>
              <w:bottom w:val="single" w:sz="12" w:space="0" w:color="auto"/>
              <w:right w:val="nil"/>
            </w:tcBorders>
            <w:vAlign w:val="center"/>
          </w:tcPr>
          <w:p w14:paraId="60908DA2" w14:textId="77777777" w:rsidR="00AC63E8" w:rsidRPr="00990087" w:rsidRDefault="00AC63E8" w:rsidP="00E50BB9">
            <w:pPr>
              <w:rPr>
                <w:rFonts w:eastAsia="MS Mincho"/>
                <w:szCs w:val="20"/>
              </w:rPr>
            </w:pPr>
          </w:p>
        </w:tc>
        <w:tc>
          <w:tcPr>
            <w:tcW w:w="3" w:type="pct"/>
            <w:tcBorders>
              <w:top w:val="single" w:sz="8" w:space="0" w:color="auto"/>
              <w:left w:val="nil"/>
              <w:bottom w:val="single" w:sz="12" w:space="0" w:color="auto"/>
              <w:right w:val="nil"/>
            </w:tcBorders>
            <w:vAlign w:val="center"/>
          </w:tcPr>
          <w:p w14:paraId="24966EE6" w14:textId="77777777" w:rsidR="00AC63E8" w:rsidRPr="00990087" w:rsidRDefault="00AC63E8" w:rsidP="00E50BB9">
            <w:pPr>
              <w:rPr>
                <w:rFonts w:eastAsia="MS Mincho"/>
                <w:szCs w:val="20"/>
              </w:rPr>
            </w:pPr>
          </w:p>
        </w:tc>
        <w:tc>
          <w:tcPr>
            <w:tcW w:w="916" w:type="pct"/>
            <w:vMerge/>
            <w:tcBorders>
              <w:top w:val="single" w:sz="8" w:space="0" w:color="auto"/>
              <w:left w:val="nil"/>
              <w:bottom w:val="single" w:sz="12" w:space="0" w:color="auto"/>
              <w:right w:val="single" w:sz="8" w:space="0" w:color="auto"/>
            </w:tcBorders>
            <w:vAlign w:val="center"/>
            <w:hideMark/>
          </w:tcPr>
          <w:p w14:paraId="3A292860" w14:textId="77777777" w:rsidR="00AC63E8" w:rsidRPr="00990087" w:rsidRDefault="00AC63E8" w:rsidP="00E50BB9">
            <w:pPr>
              <w:rPr>
                <w:rFonts w:eastAsia="MS Mincho"/>
                <w:szCs w:val="20"/>
              </w:rPr>
            </w:pPr>
          </w:p>
        </w:tc>
        <w:tc>
          <w:tcPr>
            <w:tcW w:w="847" w:type="pct"/>
            <w:vMerge/>
            <w:tcBorders>
              <w:left w:val="nil"/>
              <w:bottom w:val="single" w:sz="12" w:space="0" w:color="auto"/>
              <w:right w:val="single" w:sz="4" w:space="0" w:color="auto"/>
            </w:tcBorders>
            <w:vAlign w:val="center"/>
          </w:tcPr>
          <w:p w14:paraId="57FEB4E7" w14:textId="77777777" w:rsidR="00AC63E8" w:rsidRPr="00990087" w:rsidRDefault="00AC63E8" w:rsidP="00E50BB9">
            <w:pPr>
              <w:pStyle w:val="TextBold"/>
              <w:ind w:right="-157"/>
              <w:rPr>
                <w:sz w:val="22"/>
                <w:szCs w:val="20"/>
                <w:lang w:val="en-AU"/>
              </w:rPr>
            </w:pPr>
          </w:p>
        </w:tc>
        <w:tc>
          <w:tcPr>
            <w:tcW w:w="847" w:type="pct"/>
            <w:vMerge/>
            <w:tcBorders>
              <w:top w:val="single" w:sz="8" w:space="0" w:color="auto"/>
              <w:left w:val="single" w:sz="4" w:space="0" w:color="auto"/>
              <w:bottom w:val="single" w:sz="12" w:space="0" w:color="auto"/>
              <w:right w:val="single" w:sz="8" w:space="0" w:color="auto"/>
            </w:tcBorders>
            <w:vAlign w:val="center"/>
            <w:hideMark/>
          </w:tcPr>
          <w:p w14:paraId="616EED70" w14:textId="77777777" w:rsidR="00AC63E8" w:rsidRPr="00990087" w:rsidRDefault="00AC63E8" w:rsidP="00E50BB9">
            <w:pPr>
              <w:rPr>
                <w:rFonts w:eastAsia="MS Mincho"/>
                <w:szCs w:val="20"/>
              </w:rPr>
            </w:pPr>
          </w:p>
        </w:tc>
        <w:tc>
          <w:tcPr>
            <w:tcW w:w="12" w:type="pct"/>
            <w:tcBorders>
              <w:left w:val="single" w:sz="12" w:space="0" w:color="auto"/>
            </w:tcBorders>
            <w:vAlign w:val="center"/>
            <w:hideMark/>
          </w:tcPr>
          <w:p w14:paraId="7797D4A0" w14:textId="77777777" w:rsidR="00AC63E8" w:rsidRPr="00990087" w:rsidRDefault="00AC63E8" w:rsidP="00E50BB9">
            <w:pPr>
              <w:rPr>
                <w:szCs w:val="20"/>
              </w:rPr>
            </w:pPr>
          </w:p>
        </w:tc>
      </w:tr>
      <w:tr w:rsidR="00AC63E8" w:rsidRPr="00990087" w14:paraId="5F12453D" w14:textId="77777777" w:rsidTr="00E50BB9">
        <w:trPr>
          <w:trHeight w:val="489"/>
        </w:trPr>
        <w:tc>
          <w:tcPr>
            <w:tcW w:w="1384" w:type="pc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1C470652" w14:textId="77777777" w:rsidR="00AC63E8" w:rsidRPr="00990087" w:rsidRDefault="00AC63E8" w:rsidP="00E50BB9">
            <w:pPr>
              <w:pStyle w:val="TextBold"/>
              <w:ind w:right="-108"/>
              <w:rPr>
                <w:b w:val="0"/>
                <w:sz w:val="22"/>
                <w:szCs w:val="20"/>
                <w:lang w:val="en-AU"/>
              </w:rPr>
            </w:pPr>
            <w:r w:rsidRPr="00990087">
              <w:rPr>
                <w:b w:val="0"/>
                <w:sz w:val="22"/>
                <w:szCs w:val="20"/>
                <w:lang w:val="en-AU"/>
              </w:rPr>
              <w:t>General disorders and administration site conditions</w:t>
            </w:r>
          </w:p>
        </w:tc>
        <w:tc>
          <w:tcPr>
            <w:tcW w:w="982" w:type="pc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6BCA3108" w14:textId="77777777" w:rsidR="00AC63E8" w:rsidRPr="00990087" w:rsidRDefault="00AC63E8" w:rsidP="00E50BB9">
            <w:pPr>
              <w:pStyle w:val="TextBold"/>
              <w:ind w:right="-108"/>
              <w:rPr>
                <w:b w:val="0"/>
                <w:sz w:val="22"/>
                <w:szCs w:val="20"/>
                <w:lang w:val="en-AU"/>
              </w:rPr>
            </w:pPr>
            <w:r w:rsidRPr="00990087">
              <w:rPr>
                <w:b w:val="0"/>
                <w:sz w:val="22"/>
                <w:szCs w:val="20"/>
                <w:lang w:val="en-AU"/>
              </w:rPr>
              <w:t xml:space="preserve">Injection site </w:t>
            </w:r>
            <w:proofErr w:type="spellStart"/>
            <w:r w:rsidRPr="00990087">
              <w:rPr>
                <w:b w:val="0"/>
                <w:sz w:val="22"/>
                <w:szCs w:val="20"/>
                <w:lang w:val="en-AU"/>
              </w:rPr>
              <w:t>reactions</w:t>
            </w:r>
            <w:r w:rsidRPr="00990087">
              <w:rPr>
                <w:b w:val="0"/>
                <w:sz w:val="22"/>
                <w:szCs w:val="20"/>
                <w:vertAlign w:val="superscript"/>
                <w:lang w:val="en-AU"/>
              </w:rPr>
              <w:t>a</w:t>
            </w:r>
            <w:proofErr w:type="spellEnd"/>
          </w:p>
        </w:tc>
        <w:tc>
          <w:tcPr>
            <w:tcW w:w="9" w:type="pct"/>
            <w:tcBorders>
              <w:top w:val="single" w:sz="12" w:space="0" w:color="auto"/>
              <w:left w:val="nil"/>
              <w:bottom w:val="single" w:sz="8" w:space="0" w:color="auto"/>
              <w:right w:val="nil"/>
            </w:tcBorders>
            <w:vAlign w:val="center"/>
          </w:tcPr>
          <w:p w14:paraId="46C7F76B" w14:textId="77777777" w:rsidR="00AC63E8" w:rsidRPr="00990087" w:rsidRDefault="00AC63E8" w:rsidP="00E50BB9">
            <w:pPr>
              <w:pStyle w:val="TextBold"/>
              <w:ind w:right="-108"/>
              <w:rPr>
                <w:b w:val="0"/>
                <w:sz w:val="22"/>
                <w:szCs w:val="20"/>
                <w:lang w:val="en-AU"/>
              </w:rPr>
            </w:pPr>
          </w:p>
        </w:tc>
        <w:tc>
          <w:tcPr>
            <w:tcW w:w="3" w:type="pct"/>
            <w:tcBorders>
              <w:top w:val="single" w:sz="12" w:space="0" w:color="auto"/>
              <w:left w:val="nil"/>
              <w:bottom w:val="single" w:sz="8" w:space="0" w:color="auto"/>
              <w:right w:val="nil"/>
            </w:tcBorders>
            <w:vAlign w:val="center"/>
          </w:tcPr>
          <w:p w14:paraId="006B92ED" w14:textId="77777777" w:rsidR="00AC63E8" w:rsidRPr="00990087" w:rsidRDefault="00AC63E8" w:rsidP="00E50BB9">
            <w:pPr>
              <w:pStyle w:val="TextBold"/>
              <w:ind w:right="-108"/>
              <w:rPr>
                <w:b w:val="0"/>
                <w:sz w:val="22"/>
                <w:szCs w:val="20"/>
                <w:lang w:val="en-AU"/>
              </w:rPr>
            </w:pPr>
          </w:p>
        </w:tc>
        <w:tc>
          <w:tcPr>
            <w:tcW w:w="916" w:type="pc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39F0336A" w14:textId="77777777" w:rsidR="00AC63E8" w:rsidRPr="00990087" w:rsidRDefault="00AC63E8" w:rsidP="00E50BB9">
            <w:pPr>
              <w:pStyle w:val="TextBold"/>
              <w:ind w:right="-108"/>
              <w:rPr>
                <w:b w:val="0"/>
                <w:sz w:val="22"/>
                <w:szCs w:val="20"/>
                <w:lang w:val="en-AU"/>
              </w:rPr>
            </w:pPr>
            <w:r w:rsidRPr="00990087">
              <w:rPr>
                <w:b w:val="0"/>
                <w:sz w:val="22"/>
                <w:szCs w:val="20"/>
                <w:lang w:val="en-AU"/>
              </w:rPr>
              <w:t>Common</w:t>
            </w:r>
          </w:p>
        </w:tc>
        <w:tc>
          <w:tcPr>
            <w:tcW w:w="847" w:type="pct"/>
            <w:tcBorders>
              <w:top w:val="single" w:sz="12" w:space="0" w:color="auto"/>
              <w:left w:val="nil"/>
              <w:bottom w:val="single" w:sz="8" w:space="0" w:color="auto"/>
              <w:right w:val="single" w:sz="4" w:space="0" w:color="auto"/>
            </w:tcBorders>
            <w:vAlign w:val="center"/>
          </w:tcPr>
          <w:p w14:paraId="4EF12E84" w14:textId="77777777" w:rsidR="00AC63E8" w:rsidRPr="00990087" w:rsidRDefault="00AC63E8" w:rsidP="00E50BB9">
            <w:pPr>
              <w:pStyle w:val="TextBold"/>
              <w:ind w:right="-108"/>
              <w:rPr>
                <w:b w:val="0"/>
                <w:sz w:val="22"/>
                <w:szCs w:val="20"/>
                <w:lang w:val="en-AU"/>
              </w:rPr>
            </w:pPr>
            <w:r w:rsidRPr="00B4771D">
              <w:rPr>
                <w:b w:val="0"/>
                <w:sz w:val="22"/>
                <w:szCs w:val="20"/>
                <w:lang w:val="en-AU"/>
              </w:rPr>
              <w:t>50 (5.6)</w:t>
            </w:r>
            <w:r w:rsidRPr="00B4771D">
              <w:rPr>
                <w:b w:val="0"/>
                <w:sz w:val="22"/>
                <w:szCs w:val="20"/>
                <w:vertAlign w:val="superscript"/>
                <w:lang w:val="en-AU"/>
              </w:rPr>
              <w:t>a</w:t>
            </w:r>
          </w:p>
        </w:tc>
        <w:tc>
          <w:tcPr>
            <w:tcW w:w="847" w:type="pct"/>
            <w:tcBorders>
              <w:top w:val="single" w:sz="12"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5926E6C" w14:textId="77777777" w:rsidR="00AC63E8" w:rsidRPr="00990087" w:rsidRDefault="00AC63E8" w:rsidP="00E50BB9">
            <w:pPr>
              <w:pStyle w:val="TextBold"/>
              <w:ind w:right="-108"/>
              <w:rPr>
                <w:b w:val="0"/>
                <w:sz w:val="22"/>
                <w:szCs w:val="20"/>
                <w:lang w:val="en-AU"/>
              </w:rPr>
            </w:pPr>
            <w:r w:rsidRPr="00990087">
              <w:rPr>
                <w:b w:val="0"/>
                <w:sz w:val="22"/>
                <w:szCs w:val="20"/>
                <w:lang w:val="en-AU"/>
              </w:rPr>
              <w:t>23 (4.5)</w:t>
            </w:r>
            <w:r w:rsidRPr="00990087">
              <w:rPr>
                <w:b w:val="0"/>
                <w:sz w:val="22"/>
                <w:szCs w:val="20"/>
                <w:vertAlign w:val="superscript"/>
                <w:lang w:val="en-AU"/>
              </w:rPr>
              <w:t>a</w:t>
            </w:r>
          </w:p>
        </w:tc>
        <w:tc>
          <w:tcPr>
            <w:tcW w:w="12" w:type="pct"/>
            <w:tcBorders>
              <w:left w:val="single" w:sz="12" w:space="0" w:color="auto"/>
            </w:tcBorders>
            <w:vAlign w:val="center"/>
            <w:hideMark/>
          </w:tcPr>
          <w:p w14:paraId="2DA2F15D" w14:textId="77777777" w:rsidR="00AC63E8" w:rsidRPr="00990087" w:rsidRDefault="00AC63E8" w:rsidP="00E50BB9">
            <w:pPr>
              <w:rPr>
                <w:szCs w:val="20"/>
              </w:rPr>
            </w:pPr>
          </w:p>
        </w:tc>
      </w:tr>
      <w:tr w:rsidR="00AC63E8" w:rsidRPr="00990087" w14:paraId="55D129E0" w14:textId="77777777" w:rsidTr="00E50BB9">
        <w:trPr>
          <w:trHeight w:val="281"/>
        </w:trPr>
        <w:tc>
          <w:tcPr>
            <w:tcW w:w="1384" w:type="pct"/>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5AF727CD" w14:textId="77777777" w:rsidR="00AC63E8" w:rsidRPr="00990087" w:rsidRDefault="00AC63E8" w:rsidP="00E50BB9">
            <w:pPr>
              <w:pStyle w:val="TextBold"/>
              <w:ind w:right="-108"/>
              <w:rPr>
                <w:b w:val="0"/>
                <w:sz w:val="22"/>
                <w:szCs w:val="20"/>
                <w:lang w:val="en-AU"/>
              </w:rPr>
            </w:pPr>
            <w:r w:rsidRPr="00990087">
              <w:rPr>
                <w:b w:val="0"/>
                <w:sz w:val="22"/>
                <w:szCs w:val="20"/>
                <w:lang w:val="en-AU"/>
              </w:rPr>
              <w:t>Gastrointestinal disorders</w:t>
            </w:r>
          </w:p>
        </w:tc>
        <w:tc>
          <w:tcPr>
            <w:tcW w:w="9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BEB9DD" w14:textId="77777777" w:rsidR="00AC63E8" w:rsidRPr="00990087" w:rsidRDefault="00AC63E8" w:rsidP="00E50BB9">
            <w:pPr>
              <w:pStyle w:val="TextBold"/>
              <w:ind w:right="-108"/>
              <w:rPr>
                <w:b w:val="0"/>
                <w:sz w:val="22"/>
                <w:szCs w:val="20"/>
                <w:lang w:val="en-AU"/>
              </w:rPr>
            </w:pPr>
            <w:r w:rsidRPr="00990087">
              <w:rPr>
                <w:b w:val="0"/>
                <w:sz w:val="22"/>
                <w:szCs w:val="20"/>
                <w:lang w:val="en-AU"/>
              </w:rPr>
              <w:t>Constipation</w:t>
            </w:r>
          </w:p>
        </w:tc>
        <w:tc>
          <w:tcPr>
            <w:tcW w:w="9" w:type="pct"/>
            <w:tcBorders>
              <w:top w:val="single" w:sz="8" w:space="0" w:color="auto"/>
              <w:left w:val="nil"/>
              <w:bottom w:val="single" w:sz="8" w:space="0" w:color="auto"/>
              <w:right w:val="nil"/>
            </w:tcBorders>
            <w:vAlign w:val="center"/>
          </w:tcPr>
          <w:p w14:paraId="6DED3DAE" w14:textId="77777777" w:rsidR="00AC63E8" w:rsidRPr="00990087" w:rsidRDefault="00AC63E8" w:rsidP="00E50BB9">
            <w:pPr>
              <w:pStyle w:val="TextBold"/>
              <w:ind w:right="-108"/>
              <w:rPr>
                <w:b w:val="0"/>
                <w:sz w:val="22"/>
                <w:szCs w:val="20"/>
                <w:lang w:val="en-AU"/>
              </w:rPr>
            </w:pPr>
          </w:p>
        </w:tc>
        <w:tc>
          <w:tcPr>
            <w:tcW w:w="3" w:type="pct"/>
            <w:tcBorders>
              <w:top w:val="single" w:sz="8" w:space="0" w:color="auto"/>
              <w:left w:val="nil"/>
              <w:bottom w:val="single" w:sz="8" w:space="0" w:color="auto"/>
              <w:right w:val="nil"/>
            </w:tcBorders>
            <w:vAlign w:val="center"/>
          </w:tcPr>
          <w:p w14:paraId="416439B7" w14:textId="77777777" w:rsidR="00AC63E8" w:rsidRPr="00990087" w:rsidRDefault="00AC63E8" w:rsidP="00E50BB9">
            <w:pPr>
              <w:pStyle w:val="TextBold"/>
              <w:ind w:right="-108"/>
              <w:rPr>
                <w:b w:val="0"/>
                <w:sz w:val="22"/>
                <w:szCs w:val="20"/>
                <w:lang w:val="en-AU"/>
              </w:rPr>
            </w:pP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0704E9" w14:textId="77777777" w:rsidR="00AC63E8" w:rsidRPr="00990087" w:rsidRDefault="00AC63E8" w:rsidP="00E50BB9">
            <w:pPr>
              <w:pStyle w:val="TextBold"/>
              <w:ind w:right="-108"/>
              <w:rPr>
                <w:b w:val="0"/>
                <w:sz w:val="22"/>
                <w:szCs w:val="20"/>
                <w:lang w:val="en-AU"/>
              </w:rPr>
            </w:pPr>
            <w:r w:rsidRPr="00990087">
              <w:rPr>
                <w:b w:val="0"/>
                <w:sz w:val="22"/>
                <w:szCs w:val="20"/>
                <w:lang w:val="en-AU"/>
              </w:rPr>
              <w:t>Common</w:t>
            </w:r>
          </w:p>
        </w:tc>
        <w:tc>
          <w:tcPr>
            <w:tcW w:w="847" w:type="pct"/>
            <w:tcBorders>
              <w:top w:val="single" w:sz="8" w:space="0" w:color="auto"/>
              <w:left w:val="nil"/>
              <w:bottom w:val="single" w:sz="8" w:space="0" w:color="auto"/>
              <w:right w:val="single" w:sz="4" w:space="0" w:color="auto"/>
            </w:tcBorders>
            <w:vAlign w:val="center"/>
          </w:tcPr>
          <w:p w14:paraId="515439E8" w14:textId="77777777" w:rsidR="00AC63E8" w:rsidRPr="00990087" w:rsidRDefault="00AC63E8" w:rsidP="00E50BB9">
            <w:pPr>
              <w:pStyle w:val="TextBold"/>
              <w:ind w:right="-108"/>
              <w:rPr>
                <w:b w:val="0"/>
                <w:sz w:val="22"/>
                <w:szCs w:val="20"/>
                <w:lang w:val="en-AU"/>
              </w:rPr>
            </w:pPr>
            <w:r w:rsidRPr="00B4771D">
              <w:rPr>
                <w:b w:val="0"/>
                <w:sz w:val="22"/>
                <w:szCs w:val="20"/>
                <w:lang w:val="en-AU"/>
              </w:rPr>
              <w:t>12 (1.3)</w:t>
            </w:r>
          </w:p>
        </w:tc>
        <w:tc>
          <w:tcPr>
            <w:tcW w:w="84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73E5C43" w14:textId="77777777" w:rsidR="00AC63E8" w:rsidRPr="00990087" w:rsidRDefault="00AC63E8" w:rsidP="00E50BB9">
            <w:pPr>
              <w:pStyle w:val="TextBold"/>
              <w:ind w:right="-108"/>
              <w:rPr>
                <w:b w:val="0"/>
                <w:sz w:val="22"/>
                <w:szCs w:val="20"/>
                <w:lang w:val="en-AU"/>
              </w:rPr>
            </w:pPr>
            <w:r w:rsidRPr="00990087">
              <w:rPr>
                <w:b w:val="0"/>
                <w:sz w:val="22"/>
                <w:szCs w:val="20"/>
                <w:lang w:val="en-AU"/>
              </w:rPr>
              <w:t>16 (3.2)</w:t>
            </w:r>
          </w:p>
        </w:tc>
        <w:tc>
          <w:tcPr>
            <w:tcW w:w="12" w:type="pct"/>
            <w:tcBorders>
              <w:left w:val="single" w:sz="12" w:space="0" w:color="auto"/>
            </w:tcBorders>
            <w:vAlign w:val="center"/>
            <w:hideMark/>
          </w:tcPr>
          <w:p w14:paraId="1E664E28" w14:textId="77777777" w:rsidR="00AC63E8" w:rsidRPr="00990087" w:rsidRDefault="00AC63E8" w:rsidP="00E50BB9">
            <w:pPr>
              <w:rPr>
                <w:szCs w:val="20"/>
              </w:rPr>
            </w:pPr>
          </w:p>
        </w:tc>
      </w:tr>
      <w:tr w:rsidR="00AC63E8" w:rsidRPr="00990087" w14:paraId="4D9B748A" w14:textId="77777777" w:rsidTr="00E50BB9">
        <w:trPr>
          <w:trHeight w:val="281"/>
        </w:trPr>
        <w:tc>
          <w:tcPr>
            <w:tcW w:w="1384" w:type="pct"/>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54404BF1" w14:textId="77777777" w:rsidR="00AC63E8" w:rsidRPr="00990087" w:rsidRDefault="00AC63E8" w:rsidP="00E50BB9">
            <w:pPr>
              <w:pStyle w:val="TextBold"/>
              <w:ind w:right="-108"/>
              <w:rPr>
                <w:b w:val="0"/>
                <w:sz w:val="22"/>
                <w:szCs w:val="20"/>
                <w:lang w:val="en-AU"/>
              </w:rPr>
            </w:pPr>
            <w:r w:rsidRPr="00990087">
              <w:rPr>
                <w:b w:val="0"/>
                <w:sz w:val="22"/>
                <w:szCs w:val="20"/>
                <w:lang w:val="en-AU"/>
              </w:rPr>
              <w:t>Musculoskeletal and connective tissue disorders</w:t>
            </w:r>
          </w:p>
        </w:tc>
        <w:tc>
          <w:tcPr>
            <w:tcW w:w="9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AE4706" w14:textId="77777777" w:rsidR="00AC63E8" w:rsidRPr="00990087" w:rsidRDefault="00AC63E8" w:rsidP="00E50BB9">
            <w:pPr>
              <w:pStyle w:val="TextBold"/>
              <w:ind w:right="-108"/>
              <w:rPr>
                <w:b w:val="0"/>
                <w:sz w:val="22"/>
                <w:szCs w:val="20"/>
                <w:lang w:val="en-AU"/>
              </w:rPr>
            </w:pPr>
            <w:r w:rsidRPr="00990087">
              <w:rPr>
                <w:b w:val="0"/>
                <w:sz w:val="22"/>
                <w:szCs w:val="20"/>
                <w:lang w:val="en-AU"/>
              </w:rPr>
              <w:t>Muscle spasm</w:t>
            </w:r>
          </w:p>
        </w:tc>
        <w:tc>
          <w:tcPr>
            <w:tcW w:w="9" w:type="pct"/>
            <w:tcBorders>
              <w:top w:val="single" w:sz="8" w:space="0" w:color="auto"/>
              <w:left w:val="nil"/>
              <w:bottom w:val="single" w:sz="8" w:space="0" w:color="auto"/>
              <w:right w:val="nil"/>
            </w:tcBorders>
            <w:vAlign w:val="center"/>
          </w:tcPr>
          <w:p w14:paraId="55E78F4A" w14:textId="77777777" w:rsidR="00AC63E8" w:rsidRPr="00990087" w:rsidRDefault="00AC63E8" w:rsidP="00E50BB9">
            <w:pPr>
              <w:pStyle w:val="TextBold"/>
              <w:ind w:right="-108"/>
              <w:rPr>
                <w:b w:val="0"/>
                <w:sz w:val="22"/>
                <w:szCs w:val="20"/>
                <w:lang w:val="en-AU"/>
              </w:rPr>
            </w:pPr>
          </w:p>
        </w:tc>
        <w:tc>
          <w:tcPr>
            <w:tcW w:w="3" w:type="pct"/>
            <w:tcBorders>
              <w:top w:val="single" w:sz="8" w:space="0" w:color="auto"/>
              <w:left w:val="nil"/>
              <w:bottom w:val="single" w:sz="8" w:space="0" w:color="auto"/>
              <w:right w:val="nil"/>
            </w:tcBorders>
            <w:vAlign w:val="center"/>
          </w:tcPr>
          <w:p w14:paraId="2F70E91E" w14:textId="77777777" w:rsidR="00AC63E8" w:rsidRPr="00990087" w:rsidRDefault="00AC63E8" w:rsidP="00E50BB9">
            <w:pPr>
              <w:pStyle w:val="TextBold"/>
              <w:ind w:right="-108"/>
              <w:rPr>
                <w:b w:val="0"/>
                <w:sz w:val="22"/>
                <w:szCs w:val="20"/>
                <w:lang w:val="en-AU"/>
              </w:rPr>
            </w:pP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ABF892" w14:textId="77777777" w:rsidR="00AC63E8" w:rsidRPr="00990087" w:rsidRDefault="00AC63E8" w:rsidP="00E50BB9">
            <w:pPr>
              <w:pStyle w:val="TextBold"/>
              <w:ind w:right="-108"/>
              <w:rPr>
                <w:b w:val="0"/>
                <w:sz w:val="22"/>
                <w:szCs w:val="20"/>
                <w:lang w:val="en-AU"/>
              </w:rPr>
            </w:pPr>
            <w:r w:rsidRPr="00990087">
              <w:rPr>
                <w:b w:val="0"/>
                <w:sz w:val="22"/>
                <w:szCs w:val="20"/>
                <w:lang w:val="en-AU"/>
              </w:rPr>
              <w:t>Common</w:t>
            </w:r>
          </w:p>
        </w:tc>
        <w:tc>
          <w:tcPr>
            <w:tcW w:w="847" w:type="pct"/>
            <w:tcBorders>
              <w:top w:val="single" w:sz="8" w:space="0" w:color="auto"/>
              <w:left w:val="nil"/>
              <w:bottom w:val="single" w:sz="8" w:space="0" w:color="auto"/>
              <w:right w:val="single" w:sz="4" w:space="0" w:color="auto"/>
            </w:tcBorders>
            <w:vAlign w:val="center"/>
          </w:tcPr>
          <w:p w14:paraId="756BB641" w14:textId="77777777" w:rsidR="00AC63E8" w:rsidRPr="00990087" w:rsidRDefault="00AC63E8" w:rsidP="00E50BB9">
            <w:pPr>
              <w:pStyle w:val="TextBold"/>
              <w:ind w:right="-108"/>
              <w:rPr>
                <w:b w:val="0"/>
                <w:sz w:val="22"/>
                <w:szCs w:val="20"/>
                <w:lang w:val="en-AU"/>
              </w:rPr>
            </w:pPr>
            <w:r w:rsidRPr="00B4771D">
              <w:rPr>
                <w:b w:val="0"/>
                <w:sz w:val="22"/>
                <w:szCs w:val="20"/>
                <w:lang w:val="en-AU"/>
              </w:rPr>
              <w:t>1 (0.1)</w:t>
            </w:r>
          </w:p>
        </w:tc>
        <w:tc>
          <w:tcPr>
            <w:tcW w:w="84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03BC4D0" w14:textId="77777777" w:rsidR="00AC63E8" w:rsidRPr="00990087" w:rsidRDefault="00AC63E8" w:rsidP="00E50BB9">
            <w:pPr>
              <w:pStyle w:val="TextBold"/>
              <w:ind w:right="-108"/>
              <w:rPr>
                <w:b w:val="0"/>
                <w:sz w:val="22"/>
                <w:szCs w:val="20"/>
                <w:lang w:val="en-AU"/>
              </w:rPr>
            </w:pPr>
            <w:r w:rsidRPr="00990087">
              <w:rPr>
                <w:b w:val="0"/>
                <w:sz w:val="22"/>
                <w:szCs w:val="20"/>
                <w:lang w:val="en-AU"/>
              </w:rPr>
              <w:t>10 (2.0)</w:t>
            </w:r>
          </w:p>
        </w:tc>
        <w:tc>
          <w:tcPr>
            <w:tcW w:w="12" w:type="pct"/>
            <w:tcBorders>
              <w:left w:val="single" w:sz="12" w:space="0" w:color="auto"/>
            </w:tcBorders>
            <w:vAlign w:val="center"/>
            <w:hideMark/>
          </w:tcPr>
          <w:p w14:paraId="4FFA3A4D" w14:textId="77777777" w:rsidR="00AC63E8" w:rsidRPr="00990087" w:rsidRDefault="00AC63E8" w:rsidP="00E50BB9">
            <w:pPr>
              <w:rPr>
                <w:szCs w:val="20"/>
              </w:rPr>
            </w:pPr>
          </w:p>
        </w:tc>
      </w:tr>
      <w:tr w:rsidR="00AC63E8" w:rsidRPr="00990087" w14:paraId="252049AD" w14:textId="77777777" w:rsidTr="00E50BB9">
        <w:trPr>
          <w:trHeight w:val="141"/>
        </w:trPr>
        <w:tc>
          <w:tcPr>
            <w:tcW w:w="1384" w:type="pct"/>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vAlign w:val="center"/>
            <w:hideMark/>
          </w:tcPr>
          <w:p w14:paraId="5FD2A06E" w14:textId="77777777" w:rsidR="00AC63E8" w:rsidRPr="00990087" w:rsidRDefault="00AC63E8" w:rsidP="00E50BB9">
            <w:pPr>
              <w:pStyle w:val="TextBold"/>
              <w:ind w:right="-108"/>
              <w:rPr>
                <w:b w:val="0"/>
                <w:sz w:val="22"/>
                <w:szCs w:val="20"/>
                <w:lang w:val="en-AU"/>
              </w:rPr>
            </w:pPr>
            <w:r w:rsidRPr="00990087">
              <w:rPr>
                <w:b w:val="0"/>
                <w:sz w:val="22"/>
                <w:szCs w:val="20"/>
                <w:lang w:val="en-AU"/>
              </w:rPr>
              <w:t>Skin and subcutaneous tissue disorders</w:t>
            </w:r>
          </w:p>
        </w:tc>
        <w:tc>
          <w:tcPr>
            <w:tcW w:w="982" w:type="pct"/>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2E61950C" w14:textId="77777777" w:rsidR="00AC63E8" w:rsidRPr="00990087" w:rsidRDefault="00AC63E8" w:rsidP="00E50BB9">
            <w:pPr>
              <w:pStyle w:val="TextBold"/>
              <w:ind w:right="-108"/>
              <w:rPr>
                <w:b w:val="0"/>
                <w:sz w:val="22"/>
                <w:szCs w:val="20"/>
                <w:lang w:val="en-AU"/>
              </w:rPr>
            </w:pPr>
            <w:proofErr w:type="spellStart"/>
            <w:r w:rsidRPr="00990087">
              <w:rPr>
                <w:b w:val="0"/>
                <w:sz w:val="22"/>
                <w:szCs w:val="20"/>
                <w:lang w:val="en-AU"/>
              </w:rPr>
              <w:t>Pruritus</w:t>
            </w:r>
            <w:r w:rsidRPr="00990087">
              <w:rPr>
                <w:b w:val="0"/>
                <w:sz w:val="22"/>
                <w:szCs w:val="20"/>
                <w:vertAlign w:val="superscript"/>
                <w:lang w:val="en-AU"/>
              </w:rPr>
              <w:t>b</w:t>
            </w:r>
            <w:proofErr w:type="spellEnd"/>
          </w:p>
        </w:tc>
        <w:tc>
          <w:tcPr>
            <w:tcW w:w="9" w:type="pct"/>
            <w:tcBorders>
              <w:top w:val="single" w:sz="8" w:space="0" w:color="auto"/>
              <w:left w:val="nil"/>
              <w:bottom w:val="single" w:sz="12" w:space="0" w:color="auto"/>
              <w:right w:val="nil"/>
            </w:tcBorders>
            <w:vAlign w:val="center"/>
          </w:tcPr>
          <w:p w14:paraId="709FB537" w14:textId="77777777" w:rsidR="00AC63E8" w:rsidRPr="00990087" w:rsidRDefault="00AC63E8" w:rsidP="00E50BB9">
            <w:pPr>
              <w:pStyle w:val="TextBold"/>
              <w:ind w:right="-108"/>
              <w:rPr>
                <w:b w:val="0"/>
                <w:sz w:val="22"/>
                <w:szCs w:val="20"/>
                <w:lang w:val="en-AU"/>
              </w:rPr>
            </w:pPr>
          </w:p>
        </w:tc>
        <w:tc>
          <w:tcPr>
            <w:tcW w:w="3" w:type="pct"/>
            <w:tcBorders>
              <w:top w:val="single" w:sz="8" w:space="0" w:color="auto"/>
              <w:left w:val="nil"/>
              <w:bottom w:val="single" w:sz="12" w:space="0" w:color="auto"/>
              <w:right w:val="nil"/>
            </w:tcBorders>
            <w:vAlign w:val="center"/>
          </w:tcPr>
          <w:p w14:paraId="39F7E03D" w14:textId="77777777" w:rsidR="00AC63E8" w:rsidRPr="00990087" w:rsidRDefault="00AC63E8" w:rsidP="00E50BB9">
            <w:pPr>
              <w:pStyle w:val="TextBold"/>
              <w:ind w:right="-108"/>
              <w:rPr>
                <w:b w:val="0"/>
                <w:sz w:val="22"/>
                <w:szCs w:val="20"/>
                <w:lang w:val="en-AU"/>
              </w:rPr>
            </w:pPr>
          </w:p>
        </w:tc>
        <w:tc>
          <w:tcPr>
            <w:tcW w:w="916" w:type="pct"/>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7562554E" w14:textId="77777777" w:rsidR="00AC63E8" w:rsidRPr="00990087" w:rsidRDefault="00AC63E8" w:rsidP="00E50BB9">
            <w:pPr>
              <w:pStyle w:val="TextBold"/>
              <w:ind w:right="-108"/>
              <w:rPr>
                <w:b w:val="0"/>
                <w:sz w:val="22"/>
                <w:szCs w:val="20"/>
                <w:lang w:val="en-AU"/>
              </w:rPr>
            </w:pPr>
            <w:r w:rsidRPr="00990087">
              <w:rPr>
                <w:b w:val="0"/>
                <w:sz w:val="22"/>
                <w:szCs w:val="20"/>
                <w:lang w:val="en-AU"/>
              </w:rPr>
              <w:t>Common</w:t>
            </w:r>
          </w:p>
        </w:tc>
        <w:tc>
          <w:tcPr>
            <w:tcW w:w="847" w:type="pct"/>
            <w:tcBorders>
              <w:top w:val="single" w:sz="8" w:space="0" w:color="auto"/>
              <w:left w:val="nil"/>
              <w:bottom w:val="single" w:sz="12" w:space="0" w:color="auto"/>
              <w:right w:val="single" w:sz="4" w:space="0" w:color="auto"/>
            </w:tcBorders>
            <w:vAlign w:val="center"/>
          </w:tcPr>
          <w:p w14:paraId="586F86AC" w14:textId="77777777" w:rsidR="00AC63E8" w:rsidRPr="00990087" w:rsidRDefault="00AC63E8" w:rsidP="00E50BB9">
            <w:pPr>
              <w:pStyle w:val="TextBold"/>
              <w:ind w:right="-108"/>
              <w:rPr>
                <w:b w:val="0"/>
                <w:sz w:val="22"/>
                <w:szCs w:val="20"/>
                <w:lang w:val="en-AU"/>
              </w:rPr>
            </w:pPr>
            <w:r w:rsidRPr="00B4771D">
              <w:rPr>
                <w:b w:val="0"/>
                <w:sz w:val="22"/>
                <w:szCs w:val="20"/>
                <w:lang w:val="en-AU"/>
              </w:rPr>
              <w:t>6 (0.7)</w:t>
            </w:r>
            <w:r w:rsidRPr="00B4771D">
              <w:rPr>
                <w:b w:val="0"/>
                <w:sz w:val="22"/>
                <w:szCs w:val="20"/>
                <w:vertAlign w:val="superscript"/>
                <w:lang w:val="en-AU"/>
              </w:rPr>
              <w:t>b</w:t>
            </w:r>
          </w:p>
        </w:tc>
        <w:tc>
          <w:tcPr>
            <w:tcW w:w="847" w:type="pct"/>
            <w:tcBorders>
              <w:top w:val="single" w:sz="8" w:space="0" w:color="auto"/>
              <w:left w:val="single" w:sz="4" w:space="0" w:color="auto"/>
              <w:bottom w:val="single" w:sz="12" w:space="0" w:color="auto"/>
              <w:right w:val="single" w:sz="8" w:space="0" w:color="auto"/>
            </w:tcBorders>
            <w:tcMar>
              <w:top w:w="0" w:type="dxa"/>
              <w:left w:w="108" w:type="dxa"/>
              <w:bottom w:w="0" w:type="dxa"/>
              <w:right w:w="108" w:type="dxa"/>
            </w:tcMar>
            <w:vAlign w:val="center"/>
            <w:hideMark/>
          </w:tcPr>
          <w:p w14:paraId="498E5FB5" w14:textId="77777777" w:rsidR="00AC63E8" w:rsidRPr="00990087" w:rsidRDefault="00AC63E8" w:rsidP="00E50BB9">
            <w:pPr>
              <w:pStyle w:val="TextBold"/>
              <w:ind w:right="-108"/>
              <w:rPr>
                <w:b w:val="0"/>
                <w:sz w:val="22"/>
                <w:szCs w:val="20"/>
                <w:lang w:val="en-AU"/>
              </w:rPr>
            </w:pPr>
            <w:r w:rsidRPr="00990087">
              <w:rPr>
                <w:b w:val="0"/>
                <w:sz w:val="22"/>
                <w:szCs w:val="20"/>
                <w:lang w:val="en-AU"/>
              </w:rPr>
              <w:t>9 (1.8)</w:t>
            </w:r>
            <w:r w:rsidRPr="00990087">
              <w:rPr>
                <w:b w:val="0"/>
                <w:sz w:val="22"/>
                <w:szCs w:val="20"/>
                <w:vertAlign w:val="superscript"/>
                <w:lang w:val="en-AU"/>
              </w:rPr>
              <w:t>b</w:t>
            </w:r>
          </w:p>
        </w:tc>
        <w:tc>
          <w:tcPr>
            <w:tcW w:w="12" w:type="pct"/>
            <w:tcBorders>
              <w:left w:val="single" w:sz="12" w:space="0" w:color="auto"/>
            </w:tcBorders>
            <w:vAlign w:val="center"/>
            <w:hideMark/>
          </w:tcPr>
          <w:p w14:paraId="75FA79D1" w14:textId="77777777" w:rsidR="00AC63E8" w:rsidRPr="00990087" w:rsidRDefault="00AC63E8" w:rsidP="00E50BB9">
            <w:pPr>
              <w:rPr>
                <w:szCs w:val="20"/>
              </w:rPr>
            </w:pPr>
          </w:p>
        </w:tc>
      </w:tr>
    </w:tbl>
    <w:p w14:paraId="62B74A56" w14:textId="77777777" w:rsidR="00AC63E8" w:rsidRPr="008D141E" w:rsidRDefault="00AC63E8" w:rsidP="00AC63E8">
      <w:pPr>
        <w:pStyle w:val="TableCenterAlign"/>
        <w:jc w:val="both"/>
        <w:rPr>
          <w:rFonts w:asciiTheme="minorHAnsi" w:hAnsiTheme="minorHAnsi" w:cstheme="minorHAnsi"/>
          <w:sz w:val="20"/>
          <w:szCs w:val="22"/>
          <w:lang w:val="en-AU"/>
        </w:rPr>
      </w:pPr>
      <w:r w:rsidRPr="008D141E">
        <w:rPr>
          <w:rFonts w:asciiTheme="minorHAnsi" w:hAnsiTheme="minorHAnsi" w:cstheme="minorHAnsi"/>
          <w:sz w:val="20"/>
          <w:szCs w:val="22"/>
          <w:lang w:val="en-AU"/>
        </w:rPr>
        <w:t>Note: Frequency is provided by CIOMS category (e.g., Very Common (≥ 10%), Common (≥ 1% and &lt; 10%), uncommon (≥ 0.1% and &lt; 1%), rare (≥ 0.01% and &lt; 0.1%), very rare (&lt; 0.01%)).</w:t>
      </w:r>
    </w:p>
    <w:p w14:paraId="2CABB2F0" w14:textId="77777777" w:rsidR="00AC63E8" w:rsidRPr="008D141E" w:rsidRDefault="00AC63E8" w:rsidP="00AC63E8">
      <w:pPr>
        <w:pStyle w:val="FootnoteText0"/>
        <w:jc w:val="both"/>
        <w:rPr>
          <w:rFonts w:asciiTheme="minorHAnsi" w:hAnsiTheme="minorHAnsi" w:cstheme="minorHAnsi"/>
          <w:sz w:val="20"/>
          <w:szCs w:val="22"/>
          <w:lang w:val="en-AU"/>
        </w:rPr>
      </w:pPr>
      <w:proofErr w:type="spellStart"/>
      <w:r w:rsidRPr="008D141E">
        <w:rPr>
          <w:rFonts w:asciiTheme="minorHAnsi" w:hAnsiTheme="minorHAnsi" w:cstheme="minorHAnsi"/>
          <w:sz w:val="20"/>
          <w:szCs w:val="22"/>
          <w:vertAlign w:val="superscript"/>
          <w:lang w:val="en-AU"/>
        </w:rPr>
        <w:t>a</w:t>
      </w:r>
      <w:proofErr w:type="spellEnd"/>
      <w:r w:rsidRPr="008D141E">
        <w:rPr>
          <w:rFonts w:asciiTheme="minorHAnsi" w:hAnsiTheme="minorHAnsi" w:cstheme="minorHAnsi"/>
          <w:sz w:val="20"/>
          <w:szCs w:val="22"/>
          <w:lang w:val="en-AU"/>
        </w:rPr>
        <w:t xml:space="preserve"> Injection Site Reactions includes multiple preferred terms, such as injection site pain and injection site erythema.</w:t>
      </w:r>
    </w:p>
    <w:p w14:paraId="51FC7807" w14:textId="77777777" w:rsidR="00AC63E8" w:rsidRPr="008D141E" w:rsidRDefault="00AC63E8" w:rsidP="00AC63E8">
      <w:pPr>
        <w:pStyle w:val="FootnoteText0"/>
        <w:jc w:val="both"/>
        <w:rPr>
          <w:rFonts w:asciiTheme="minorHAnsi" w:hAnsiTheme="minorHAnsi" w:cstheme="minorHAnsi"/>
          <w:sz w:val="20"/>
          <w:szCs w:val="22"/>
          <w:lang w:val="en-AU"/>
        </w:rPr>
      </w:pPr>
      <w:r w:rsidRPr="008D141E">
        <w:rPr>
          <w:rFonts w:asciiTheme="minorHAnsi" w:hAnsiTheme="minorHAnsi" w:cstheme="minorHAnsi"/>
          <w:sz w:val="20"/>
          <w:szCs w:val="22"/>
          <w:vertAlign w:val="superscript"/>
          <w:lang w:val="en-AU"/>
        </w:rPr>
        <w:t>b</w:t>
      </w:r>
      <w:r w:rsidRPr="008D141E">
        <w:rPr>
          <w:rFonts w:asciiTheme="minorHAnsi" w:hAnsiTheme="minorHAnsi" w:cstheme="minorHAnsi"/>
          <w:sz w:val="20"/>
          <w:szCs w:val="22"/>
          <w:lang w:val="en-AU"/>
        </w:rPr>
        <w:t xml:space="preserve"> Pruritus includes preferred terms of generalised pruritus, pruritus, and pruritic rash.</w:t>
      </w:r>
    </w:p>
    <w:p w14:paraId="5D959263" w14:textId="77777777" w:rsidR="00AC63E8" w:rsidRPr="004C584E" w:rsidRDefault="00AC63E8" w:rsidP="00AC63E8">
      <w:pPr>
        <w:pStyle w:val="TableCenterAlign"/>
        <w:contextualSpacing w:val="0"/>
        <w:jc w:val="both"/>
        <w:rPr>
          <w:rFonts w:asciiTheme="minorHAnsi" w:hAnsiTheme="minorHAnsi" w:cstheme="minorHAnsi"/>
          <w:lang w:val="en-AU"/>
        </w:rPr>
      </w:pPr>
      <w:r w:rsidRPr="004C584E">
        <w:rPr>
          <w:rFonts w:asciiTheme="minorHAnsi" w:hAnsiTheme="minorHAnsi" w:cstheme="minorHAnsi"/>
          <w:lang w:val="en-AU"/>
        </w:rPr>
        <w:t>The incidence of severe adverse events was 1.0 % for AIMOVIG 140 mg and 1.5 % for placebo. The incidence of discontinuation due to adverse events was 2.0 % for AIMOVIG 140 mg and 1.0 % for placebo.</w:t>
      </w:r>
    </w:p>
    <w:p w14:paraId="4E1DC4BE" w14:textId="77777777" w:rsidR="00AC63E8" w:rsidRPr="004C584E" w:rsidRDefault="00AC63E8" w:rsidP="00AC63E8">
      <w:pPr>
        <w:pStyle w:val="TableCenterAlign"/>
        <w:contextualSpacing w:val="0"/>
        <w:jc w:val="both"/>
        <w:rPr>
          <w:rFonts w:asciiTheme="minorHAnsi" w:hAnsiTheme="minorHAnsi" w:cstheme="minorHAnsi"/>
          <w:lang w:val="en-AU"/>
        </w:rPr>
      </w:pPr>
      <w:r w:rsidRPr="004C584E">
        <w:rPr>
          <w:rFonts w:asciiTheme="minorHAnsi" w:hAnsiTheme="minorHAnsi" w:cstheme="minorHAnsi"/>
          <w:lang w:val="en-AU"/>
        </w:rPr>
        <w:t>In the integrated 12-week placebo controlled period of studies, majority of all AEs, 93.1% in the AIMOVIG 140 mg group and 93.5% in the placebo group, respectively were grade 1 (mild) or 2 (moderate) in severity and were balanced across the groups.  A limited number of grade ≥ 3 (severe) adverse events were reported. None of common adverse events were grade 4 (life-threatening) or grade 5 (fatal). Subject incidence rates of adverse events in the Cardiac disorders SOC was 1.2% in the placebo group and 1.4% in the AIMOVIG 140 mg group.  There was no evidence of AIMOVIG related adverse effects on cardiovascular system.</w:t>
      </w:r>
    </w:p>
    <w:p w14:paraId="671192A0" w14:textId="77777777" w:rsidR="00AC63E8" w:rsidRPr="004C584E" w:rsidRDefault="00AC63E8" w:rsidP="00AC63E8">
      <w:pPr>
        <w:pStyle w:val="TableCenterAlign"/>
        <w:contextualSpacing w:val="0"/>
        <w:jc w:val="both"/>
        <w:rPr>
          <w:rFonts w:asciiTheme="minorHAnsi" w:hAnsiTheme="minorHAnsi" w:cstheme="minorHAnsi"/>
          <w:lang w:val="en-AU"/>
        </w:rPr>
      </w:pPr>
      <w:r w:rsidRPr="004C584E">
        <w:rPr>
          <w:rFonts w:asciiTheme="minorHAnsi" w:hAnsiTheme="minorHAnsi" w:cstheme="minorHAnsi"/>
          <w:lang w:val="en-AU"/>
        </w:rPr>
        <w:t>While the data are limited for a comprehensive assessment of withdrawal and rebound effects, there is no evidence of such an effect based on review of migraine adverse events.</w:t>
      </w:r>
    </w:p>
    <w:p w14:paraId="2832E9A8" w14:textId="77777777" w:rsidR="00AC63E8" w:rsidRPr="004C584E" w:rsidRDefault="00AC63E8" w:rsidP="004C584E">
      <w:pPr>
        <w:pStyle w:val="TableCenterAlign"/>
        <w:contextualSpacing w:val="0"/>
        <w:jc w:val="both"/>
        <w:rPr>
          <w:rFonts w:asciiTheme="minorHAnsi" w:hAnsiTheme="minorHAnsi" w:cstheme="minorHAnsi"/>
          <w:lang w:val="en-AU"/>
        </w:rPr>
      </w:pPr>
      <w:r w:rsidRPr="004C584E">
        <w:rPr>
          <w:rFonts w:asciiTheme="minorHAnsi" w:hAnsiTheme="minorHAnsi" w:cstheme="minorHAnsi"/>
          <w:lang w:val="en-AU"/>
        </w:rPr>
        <w:t>Review of adverse events open-label extension/active treatment period combined over a minimum period of 1 year did not reveal any signals or trends that would suggest a potential safety concern with long-term exposure to AIMOVIG.</w:t>
      </w:r>
    </w:p>
    <w:p w14:paraId="443A8A3A" w14:textId="77777777" w:rsidR="00AC63E8" w:rsidRPr="008D141E" w:rsidRDefault="00AC63E8" w:rsidP="008D141E">
      <w:pPr>
        <w:pStyle w:val="Heading2"/>
        <w:numPr>
          <w:ilvl w:val="0"/>
          <w:numId w:val="0"/>
        </w:numPr>
        <w:ind w:left="578" w:hanging="578"/>
      </w:pPr>
      <w:r w:rsidRPr="008D141E">
        <w:t>Description of Selected Adverse Reactions</w:t>
      </w:r>
    </w:p>
    <w:p w14:paraId="14D5B5C1" w14:textId="77777777" w:rsidR="00AC63E8" w:rsidRPr="00990087" w:rsidRDefault="00AC63E8" w:rsidP="00AC63E8">
      <w:pPr>
        <w:pStyle w:val="TableCenterAlign"/>
        <w:contextualSpacing w:val="0"/>
        <w:jc w:val="both"/>
        <w:rPr>
          <w:rFonts w:ascii="Times New Roman" w:eastAsia="Arial" w:hAnsi="Times New Roman"/>
          <w:b/>
          <w:sz w:val="24"/>
          <w:lang w:val="en-AU"/>
        </w:rPr>
      </w:pPr>
      <w:r w:rsidRPr="00990087">
        <w:rPr>
          <w:rFonts w:ascii="Times New Roman" w:eastAsia="Arial" w:hAnsi="Times New Roman"/>
          <w:b/>
          <w:sz w:val="24"/>
          <w:lang w:val="en-AU"/>
        </w:rPr>
        <w:t>Injection site reactions</w:t>
      </w:r>
    </w:p>
    <w:p w14:paraId="65AA690E" w14:textId="77777777" w:rsidR="00AC63E8" w:rsidRPr="008D141E" w:rsidRDefault="00AC63E8" w:rsidP="00AC63E8">
      <w:pPr>
        <w:pStyle w:val="TableCenterAlign"/>
        <w:contextualSpacing w:val="0"/>
        <w:jc w:val="both"/>
        <w:rPr>
          <w:rFonts w:asciiTheme="minorHAnsi" w:hAnsiTheme="minorHAnsi" w:cstheme="minorHAnsi"/>
          <w:lang w:val="en-AU"/>
        </w:rPr>
      </w:pPr>
      <w:r w:rsidRPr="008D141E">
        <w:rPr>
          <w:rFonts w:asciiTheme="minorHAnsi" w:hAnsiTheme="minorHAnsi" w:cstheme="minorHAnsi"/>
          <w:lang w:val="en-AU"/>
        </w:rPr>
        <w:t xml:space="preserve">In the integrated 12-week placebo controlled period of studies, in subjects treated with AIMOVIG the most frequent injection site reactions were injection site pain, injection site erythema, and injection site pruritus. A majority of injection site reactions were mild in severity.  No subjects </w:t>
      </w:r>
      <w:r w:rsidRPr="008D141E">
        <w:rPr>
          <w:rFonts w:asciiTheme="minorHAnsi" w:hAnsiTheme="minorHAnsi" w:cstheme="minorHAnsi"/>
          <w:lang w:val="en-AU"/>
        </w:rPr>
        <w:lastRenderedPageBreak/>
        <w:t>treated with AIMOVIG 140 mg SC discontinued due to injection site reactions in the 12-week placebo-controlled period of studies.</w:t>
      </w:r>
    </w:p>
    <w:p w14:paraId="558D23EA" w14:textId="3C4093C7" w:rsidR="00AC63E8" w:rsidRPr="008D141E" w:rsidRDefault="00AC63E8" w:rsidP="008D141E">
      <w:pPr>
        <w:pStyle w:val="Heading2"/>
        <w:numPr>
          <w:ilvl w:val="0"/>
          <w:numId w:val="0"/>
        </w:numPr>
        <w:ind w:left="578" w:hanging="578"/>
      </w:pPr>
      <w:r w:rsidRPr="008D141E">
        <w:t>Immunogenicity</w:t>
      </w:r>
    </w:p>
    <w:p w14:paraId="22A79C14" w14:textId="77777777" w:rsidR="00AC63E8" w:rsidRPr="008D141E" w:rsidRDefault="00AC63E8" w:rsidP="00AC63E8">
      <w:pPr>
        <w:pStyle w:val="TableCenterAlign"/>
        <w:contextualSpacing w:val="0"/>
        <w:jc w:val="both"/>
        <w:rPr>
          <w:rFonts w:asciiTheme="minorHAnsi" w:hAnsiTheme="minorHAnsi" w:cstheme="minorHAnsi"/>
          <w:lang w:val="en-AU"/>
        </w:rPr>
      </w:pPr>
      <w:r w:rsidRPr="008D141E">
        <w:rPr>
          <w:rFonts w:asciiTheme="minorHAnsi" w:hAnsiTheme="minorHAnsi" w:cstheme="minorHAnsi"/>
          <w:lang w:val="en-AU"/>
        </w:rPr>
        <w:t>As with all therapeutic proteins, there is potential for immunogenicity.  The immunogenicity of AIMOVIG has been evaluated using an immunoassay for the detection of binding anti</w:t>
      </w:r>
      <w:r w:rsidRPr="008D141E">
        <w:rPr>
          <w:rFonts w:asciiTheme="minorHAnsi" w:hAnsiTheme="minorHAnsi" w:cstheme="minorHAnsi"/>
          <w:lang w:val="en-AU"/>
        </w:rPr>
        <w:noBreakHyphen/>
        <w:t>erenumab antibodies.  For patients whose sera tested positive in the screening immunoassay, an in vitro biological assay was performed to detect neutralising antibodies.</w:t>
      </w:r>
    </w:p>
    <w:p w14:paraId="131B7D77" w14:textId="77777777" w:rsidR="00AC63E8" w:rsidRPr="008D141E" w:rsidRDefault="00AC63E8" w:rsidP="00AC63E8">
      <w:pPr>
        <w:pStyle w:val="TableCenterAlign"/>
        <w:contextualSpacing w:val="0"/>
        <w:jc w:val="both"/>
        <w:rPr>
          <w:rFonts w:asciiTheme="minorHAnsi" w:hAnsiTheme="minorHAnsi" w:cstheme="minorHAnsi"/>
          <w:lang w:val="en-AU"/>
        </w:rPr>
      </w:pPr>
      <w:r w:rsidRPr="008D141E">
        <w:rPr>
          <w:rFonts w:asciiTheme="minorHAnsi" w:hAnsiTheme="minorHAnsi" w:cstheme="minorHAnsi"/>
          <w:lang w:val="en-AU"/>
        </w:rPr>
        <w:t>In the pivotal studies, the incidence of anti-erenumab antibody development among subjects receiving 140 mg dose of AIMOVIG was 2.6%. None of these had in vitro neutralising activity.  The mean trough levels of erenumab at week 12 were 40% lower among anti-erenumab antibody-positive subjects than among antibody-negative subjects.  There was no impact of anti-erenumab antibody development on efficacy or safety of erenumab.</w:t>
      </w:r>
    </w:p>
    <w:p w14:paraId="20A8FBAD" w14:textId="77777777" w:rsidR="00AC63E8" w:rsidRPr="00282E57" w:rsidRDefault="00AC63E8" w:rsidP="00282E57">
      <w:pPr>
        <w:pStyle w:val="TableCenterAlign"/>
        <w:contextualSpacing w:val="0"/>
        <w:jc w:val="both"/>
        <w:rPr>
          <w:rFonts w:asciiTheme="minorHAnsi" w:hAnsiTheme="minorHAnsi" w:cstheme="minorHAnsi"/>
          <w:lang w:val="en-AU"/>
        </w:rPr>
      </w:pPr>
      <w:r w:rsidRPr="008D141E">
        <w:rPr>
          <w:rFonts w:asciiTheme="minorHAnsi" w:hAnsiTheme="minorHAnsi" w:cstheme="minorHAnsi"/>
          <w:lang w:val="en-AU"/>
        </w:rPr>
        <w:t>The incidence of anti-drug antibodies (ADAs) is highly dependent on the sensitivity and specificity of the assay.  Additionally, the observed incidence of antibody (including neutralising antibody) positivity in an assay may be influenced by several factors, including assay methodology, sample handling, timing of sample collection, concomitant medications, and underlying disease.  For these reasons, comparison of the incidence of antibodies to erenumab with the incidence of antibodies to other products may be misleading.</w:t>
      </w:r>
    </w:p>
    <w:p w14:paraId="0DCBCD3B" w14:textId="77777777" w:rsidR="0021200F" w:rsidRPr="002B424E" w:rsidRDefault="0021200F" w:rsidP="0021200F">
      <w:pPr>
        <w:pStyle w:val="Heading3"/>
      </w:pPr>
      <w:r>
        <w:t>Reporting suspected adverse effects</w:t>
      </w:r>
    </w:p>
    <w:p w14:paraId="5E8CF872" w14:textId="77777777" w:rsidR="005B2812" w:rsidRPr="009345EC" w:rsidRDefault="005B2812" w:rsidP="009345EC">
      <w:pPr>
        <w:pStyle w:val="TableCenterAlign"/>
        <w:spacing w:after="360"/>
        <w:contextualSpacing w:val="0"/>
        <w:jc w:val="both"/>
        <w:rPr>
          <w:rFonts w:asciiTheme="minorHAnsi" w:eastAsia="Arial" w:hAnsiTheme="minorHAnsi" w:cstheme="minorHAnsi"/>
          <w:lang w:val="en-AU"/>
        </w:rPr>
      </w:pPr>
      <w:r w:rsidRPr="009345EC">
        <w:rPr>
          <w:rFonts w:asciiTheme="minorHAnsi" w:eastAsia="Arial" w:hAnsiTheme="minorHAnsi" w:cstheme="minorHAnsi"/>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9" w:history="1">
        <w:r w:rsidRPr="009345EC">
          <w:rPr>
            <w:rFonts w:asciiTheme="minorHAnsi" w:eastAsia="Arial" w:hAnsiTheme="minorHAnsi"/>
            <w:lang w:val="en-AU"/>
          </w:rPr>
          <w:t>www.tga.gov.au/reporting-problems</w:t>
        </w:r>
      </w:hyperlink>
      <w:r w:rsidRPr="009345EC">
        <w:rPr>
          <w:rFonts w:asciiTheme="minorHAnsi" w:eastAsia="Arial" w:hAnsiTheme="minorHAnsi" w:cstheme="minorHAnsi"/>
          <w:lang w:val="en-AU"/>
        </w:rPr>
        <w:t>.</w:t>
      </w:r>
    </w:p>
    <w:p w14:paraId="6124071A" w14:textId="77777777" w:rsidR="001A3992" w:rsidRDefault="001A3992" w:rsidP="001A3992">
      <w:pPr>
        <w:pStyle w:val="Heading2"/>
        <w:keepNext/>
        <w:keepLines/>
        <w:spacing w:before="0" w:after="120"/>
      </w:pPr>
      <w:r>
        <w:t>Overdose</w:t>
      </w:r>
    </w:p>
    <w:p w14:paraId="3E315A8B" w14:textId="77777777" w:rsidR="00E529EC" w:rsidRPr="008D141E" w:rsidRDefault="00E529EC" w:rsidP="00282E57">
      <w:pPr>
        <w:pStyle w:val="TableCenterAlign"/>
        <w:spacing w:after="120"/>
        <w:contextualSpacing w:val="0"/>
        <w:jc w:val="both"/>
        <w:rPr>
          <w:rFonts w:asciiTheme="minorHAnsi" w:eastAsia="Arial" w:hAnsiTheme="minorHAnsi" w:cstheme="minorHAnsi"/>
          <w:lang w:val="en-AU"/>
        </w:rPr>
      </w:pPr>
      <w:r w:rsidRPr="008D141E">
        <w:rPr>
          <w:rFonts w:asciiTheme="minorHAnsi" w:eastAsia="Arial" w:hAnsiTheme="minorHAnsi" w:cstheme="minorHAnsi"/>
          <w:lang w:val="en-AU"/>
        </w:rPr>
        <w:t>There is no experience with overdose in clinical trials with AIMOVIG. Doses up to 280 mg SC have been administered in clinical trials with no evidence of dose limiting toxicity.</w:t>
      </w:r>
    </w:p>
    <w:p w14:paraId="066B6822" w14:textId="77777777" w:rsidR="00E529EC" w:rsidRPr="008D141E" w:rsidRDefault="00E529EC" w:rsidP="00282E57">
      <w:pPr>
        <w:pStyle w:val="TableCenterAlign"/>
        <w:spacing w:after="120"/>
        <w:contextualSpacing w:val="0"/>
        <w:jc w:val="both"/>
        <w:rPr>
          <w:rFonts w:asciiTheme="minorHAnsi" w:hAnsiTheme="minorHAnsi" w:cstheme="minorHAnsi"/>
          <w:lang w:val="en-AU"/>
        </w:rPr>
      </w:pPr>
      <w:r w:rsidRPr="008D141E">
        <w:rPr>
          <w:rFonts w:asciiTheme="minorHAnsi" w:eastAsia="Arial" w:hAnsiTheme="minorHAnsi" w:cstheme="minorHAnsi"/>
          <w:lang w:val="en-AU"/>
        </w:rPr>
        <w:t>In the event of an overdose, the patient should be treated symptomatically and supportive measures instituted as required.</w:t>
      </w:r>
    </w:p>
    <w:p w14:paraId="61868776" w14:textId="77777777" w:rsidR="005B2812" w:rsidRPr="00282E57" w:rsidRDefault="005B2812" w:rsidP="00282E57">
      <w:pPr>
        <w:spacing w:after="360"/>
        <w:jc w:val="both"/>
        <w:rPr>
          <w:rFonts w:cstheme="minorHAnsi"/>
          <w:b/>
        </w:rPr>
      </w:pPr>
      <w:r w:rsidRPr="00282E57">
        <w:rPr>
          <w:rFonts w:cstheme="minorHAnsi"/>
          <w:b/>
          <w:lang w:val="en"/>
        </w:rPr>
        <w:t>For information on the management of overdose, contact the Poisons Information Centre on 13 11 26 (Australia).</w:t>
      </w:r>
    </w:p>
    <w:p w14:paraId="0107B308" w14:textId="77777777" w:rsidR="001A3992" w:rsidRDefault="001A3992" w:rsidP="001A3992">
      <w:pPr>
        <w:pStyle w:val="Heading1"/>
        <w:spacing w:before="0" w:after="120"/>
        <w:rPr>
          <w:lang w:val="en-US"/>
        </w:rPr>
      </w:pPr>
      <w:r w:rsidRPr="00035C95">
        <w:rPr>
          <w:lang w:val="en-US"/>
        </w:rPr>
        <w:t>Pharmacolog</w:t>
      </w:r>
      <w:r>
        <w:rPr>
          <w:lang w:val="en-US"/>
        </w:rPr>
        <w:t>ical properties</w:t>
      </w:r>
    </w:p>
    <w:p w14:paraId="1F6BE25F" w14:textId="77777777" w:rsidR="001A3992" w:rsidRDefault="001A3992" w:rsidP="001A3992">
      <w:pPr>
        <w:pStyle w:val="Heading2"/>
        <w:spacing w:before="0" w:after="120"/>
        <w:rPr>
          <w:lang w:val="en-US"/>
        </w:rPr>
      </w:pPr>
      <w:proofErr w:type="spellStart"/>
      <w:r w:rsidRPr="00EC3C40">
        <w:rPr>
          <w:lang w:val="en-US"/>
        </w:rPr>
        <w:t>Pharmacodynamic</w:t>
      </w:r>
      <w:proofErr w:type="spellEnd"/>
      <w:r w:rsidRPr="00EC3C40">
        <w:rPr>
          <w:lang w:val="en-US"/>
        </w:rPr>
        <w:t xml:space="preserve"> properties </w:t>
      </w:r>
    </w:p>
    <w:p w14:paraId="08D80D4A" w14:textId="77777777" w:rsidR="001A3992" w:rsidRDefault="001A3992" w:rsidP="001A3992">
      <w:pPr>
        <w:pStyle w:val="Heading3"/>
        <w:spacing w:before="0" w:after="120"/>
      </w:pPr>
      <w:r w:rsidRPr="00B878CC">
        <w:t>Mechanism of action</w:t>
      </w:r>
    </w:p>
    <w:p w14:paraId="63828664" w14:textId="77777777" w:rsidR="00AC63E8" w:rsidRPr="008D141E" w:rsidRDefault="00AC63E8" w:rsidP="00AC63E8">
      <w:pPr>
        <w:pStyle w:val="TableCenterAlign"/>
        <w:contextualSpacing w:val="0"/>
        <w:jc w:val="both"/>
        <w:rPr>
          <w:rFonts w:asciiTheme="minorHAnsi" w:eastAsia="Arial" w:hAnsiTheme="minorHAnsi" w:cstheme="minorHAnsi"/>
          <w:lang w:val="en-AU"/>
        </w:rPr>
      </w:pPr>
      <w:r w:rsidRPr="008D141E">
        <w:rPr>
          <w:rFonts w:asciiTheme="minorHAnsi" w:eastAsia="Arial" w:hAnsiTheme="minorHAnsi" w:cstheme="minorHAnsi"/>
          <w:lang w:val="en-AU"/>
        </w:rPr>
        <w:t xml:space="preserve">Erenumab is a human monoclonal antagonist antibody against the CGRP receptor with no significant pharmacological activity at </w:t>
      </w:r>
      <w:proofErr w:type="spellStart"/>
      <w:r w:rsidRPr="008D141E">
        <w:rPr>
          <w:rFonts w:asciiTheme="minorHAnsi" w:eastAsia="Arial" w:hAnsiTheme="minorHAnsi" w:cstheme="minorHAnsi"/>
          <w:lang w:val="en-AU"/>
        </w:rPr>
        <w:t>adrenomedullin</w:t>
      </w:r>
      <w:proofErr w:type="spellEnd"/>
      <w:r w:rsidRPr="008D141E">
        <w:rPr>
          <w:rFonts w:asciiTheme="minorHAnsi" w:eastAsia="Arial" w:hAnsiTheme="minorHAnsi" w:cstheme="minorHAnsi"/>
          <w:lang w:val="en-AU"/>
        </w:rPr>
        <w:t>, calcitonin, and amylin receptors and lacks agonist activity at the CGRP receptor.</w:t>
      </w:r>
    </w:p>
    <w:p w14:paraId="216A9CDC" w14:textId="77777777" w:rsidR="00282E57" w:rsidRDefault="00AC63E8" w:rsidP="00AC63E8">
      <w:pPr>
        <w:pStyle w:val="TableCenterAlign"/>
        <w:contextualSpacing w:val="0"/>
        <w:jc w:val="both"/>
        <w:rPr>
          <w:rFonts w:asciiTheme="minorHAnsi" w:hAnsiTheme="minorHAnsi" w:cstheme="minorHAnsi"/>
          <w:lang w:val="en-AU"/>
        </w:rPr>
      </w:pPr>
      <w:r w:rsidRPr="008D141E">
        <w:rPr>
          <w:rFonts w:asciiTheme="minorHAnsi" w:hAnsiTheme="minorHAnsi" w:cstheme="minorHAnsi"/>
          <w:lang w:val="en-AU"/>
        </w:rPr>
        <w:t xml:space="preserve">CGRP is a neuropeptide that modulates nociceptive signalling and a vasodilator that has been associated with migraine pathophysiology. In contrast with other neuropeptides, CGRP levels </w:t>
      </w:r>
      <w:r w:rsidRPr="008D141E">
        <w:rPr>
          <w:rFonts w:asciiTheme="minorHAnsi" w:hAnsiTheme="minorHAnsi" w:cstheme="minorHAnsi"/>
          <w:lang w:val="en-AU"/>
        </w:rPr>
        <w:lastRenderedPageBreak/>
        <w:t>have been shown to increase significantly during migraine and return to normal with headache relief. Intravenous infusion of CGRP induces migraine-like headache in patients</w:t>
      </w:r>
      <w:r w:rsidRPr="008D141E">
        <w:rPr>
          <w:rFonts w:asciiTheme="minorHAnsi" w:hAnsiTheme="minorHAnsi" w:cstheme="minorHAnsi"/>
          <w:bCs/>
          <w:sz w:val="20"/>
          <w:lang w:val="en-AU"/>
        </w:rPr>
        <w:t xml:space="preserve"> </w:t>
      </w:r>
      <w:r w:rsidRPr="008D141E">
        <w:rPr>
          <w:rFonts w:asciiTheme="minorHAnsi" w:hAnsiTheme="minorHAnsi" w:cstheme="minorHAnsi"/>
          <w:lang w:val="en-AU"/>
        </w:rPr>
        <w:t>suggesting that CGRP may play a causal role in migraine.</w:t>
      </w:r>
    </w:p>
    <w:p w14:paraId="12105CB8" w14:textId="77777777" w:rsidR="00AC63E8" w:rsidRDefault="00AC63E8" w:rsidP="00282E57">
      <w:pPr>
        <w:pStyle w:val="TableCenterAlign"/>
        <w:spacing w:after="240"/>
        <w:contextualSpacing w:val="0"/>
        <w:jc w:val="both"/>
        <w:rPr>
          <w:rFonts w:asciiTheme="minorHAnsi" w:hAnsiTheme="minorHAnsi" w:cstheme="minorHAnsi"/>
          <w:lang w:val="en-AU"/>
        </w:rPr>
      </w:pPr>
      <w:r w:rsidRPr="008D141E">
        <w:rPr>
          <w:rFonts w:asciiTheme="minorHAnsi" w:hAnsiTheme="minorHAnsi" w:cstheme="minorHAnsi"/>
          <w:lang w:val="en-AU"/>
        </w:rPr>
        <w:t>CGRP receptor is located at sites that are relevant to migraine pathophysiology. Erenumab potently and specifically competes with the binding of CGRP and inhibits its function at the CGRP receptor.</w:t>
      </w:r>
    </w:p>
    <w:p w14:paraId="18C1CC8C" w14:textId="77777777" w:rsidR="00282E57" w:rsidRPr="00282E57" w:rsidRDefault="00282E57" w:rsidP="00282E57">
      <w:pPr>
        <w:pStyle w:val="Heading3"/>
        <w:spacing w:before="0" w:after="120"/>
      </w:pPr>
      <w:r w:rsidRPr="00282E57">
        <w:t>Pharmacodynamics</w:t>
      </w:r>
    </w:p>
    <w:p w14:paraId="5DD0D832" w14:textId="77777777" w:rsidR="00282E57" w:rsidRPr="008D141E" w:rsidRDefault="00282E57" w:rsidP="00282E57">
      <w:pPr>
        <w:pStyle w:val="TableCenterAlign"/>
        <w:jc w:val="both"/>
        <w:rPr>
          <w:rFonts w:asciiTheme="minorHAnsi" w:hAnsiTheme="minorHAnsi" w:cstheme="minorHAnsi"/>
          <w:lang w:val="en-AU"/>
        </w:rPr>
      </w:pPr>
      <w:r w:rsidRPr="008D141E">
        <w:rPr>
          <w:rFonts w:asciiTheme="minorHAnsi" w:hAnsiTheme="minorHAnsi" w:cstheme="minorHAnsi"/>
          <w:lang w:val="en-AU"/>
        </w:rPr>
        <w:t>In a randomised, double-blind, placebo-controlled study (20140254) to evaluate the effect of AIMOVIG (140 mg IV, single dose) in patients with stable angina, AIMOVIG did not decrease exercise duration during a treadmill test compared to placebo.</w:t>
      </w:r>
    </w:p>
    <w:p w14:paraId="3002DEFD" w14:textId="77777777" w:rsidR="00282E57" w:rsidRPr="008D141E" w:rsidRDefault="00282E57" w:rsidP="00282E57">
      <w:pPr>
        <w:pStyle w:val="TableCenterAlign"/>
        <w:jc w:val="both"/>
        <w:rPr>
          <w:rFonts w:asciiTheme="minorHAnsi" w:hAnsiTheme="minorHAnsi" w:cstheme="minorHAnsi"/>
          <w:lang w:val="en-AU"/>
        </w:rPr>
      </w:pPr>
    </w:p>
    <w:p w14:paraId="79316E2B" w14:textId="18D5BB6A" w:rsidR="00282E57" w:rsidRPr="00282E57" w:rsidRDefault="00282E57" w:rsidP="00282E57">
      <w:pPr>
        <w:pStyle w:val="TableCenterAlign"/>
        <w:spacing w:after="240"/>
        <w:jc w:val="both"/>
        <w:rPr>
          <w:rFonts w:asciiTheme="minorHAnsi" w:hAnsiTheme="minorHAnsi" w:cstheme="minorHAnsi"/>
          <w:lang w:val="en-AU"/>
        </w:rPr>
      </w:pPr>
      <w:r w:rsidRPr="008D141E">
        <w:rPr>
          <w:rFonts w:asciiTheme="minorHAnsi" w:hAnsiTheme="minorHAnsi" w:cstheme="minorHAnsi"/>
          <w:lang w:val="en-AU"/>
        </w:rPr>
        <w:t>A benefit of treatment with erenumab was seen within 4 weeks of commencing treatment.</w:t>
      </w:r>
    </w:p>
    <w:p w14:paraId="785C54CA" w14:textId="77777777" w:rsidR="001A3992" w:rsidRDefault="001A3992" w:rsidP="001A3992">
      <w:pPr>
        <w:pStyle w:val="Heading3"/>
        <w:spacing w:before="0" w:after="120"/>
        <w:rPr>
          <w:lang w:val="en-US"/>
        </w:rPr>
      </w:pPr>
      <w:r w:rsidRPr="00B878CC">
        <w:t>Clinical</w:t>
      </w:r>
      <w:r w:rsidRPr="00B878CC">
        <w:rPr>
          <w:lang w:val="en-US"/>
        </w:rPr>
        <w:t xml:space="preserve"> trials</w:t>
      </w:r>
    </w:p>
    <w:p w14:paraId="092DBC40" w14:textId="77777777" w:rsidR="00E50BB9" w:rsidRPr="00282E57" w:rsidRDefault="00E50BB9" w:rsidP="00282E57">
      <w:pPr>
        <w:pStyle w:val="TableCenterAlign"/>
        <w:contextualSpacing w:val="0"/>
        <w:jc w:val="both"/>
        <w:rPr>
          <w:rFonts w:asciiTheme="minorHAnsi" w:hAnsiTheme="minorHAnsi" w:cstheme="minorHAnsi"/>
        </w:rPr>
      </w:pPr>
      <w:r w:rsidRPr="00282E57">
        <w:rPr>
          <w:rFonts w:asciiTheme="minorHAnsi" w:hAnsiTheme="minorHAnsi" w:cstheme="minorHAnsi"/>
        </w:rPr>
        <w:t xml:space="preserve">AIMOVIG was evaluated for prophylaxis of migraine in 2 pivotal studies across the spectrum of episodic and chronic migraine.  Both studies enrolled patients with a history of migraine, with or without aura according to the International Classification of Headache Disorders (ICHD-III) diagnostic criteria. </w:t>
      </w:r>
    </w:p>
    <w:p w14:paraId="3A9BA842" w14:textId="77777777" w:rsidR="00E50BB9" w:rsidRPr="00282E57" w:rsidRDefault="00E50BB9" w:rsidP="00282E57">
      <w:pPr>
        <w:pStyle w:val="TableCenterAlign"/>
        <w:contextualSpacing w:val="0"/>
        <w:jc w:val="both"/>
        <w:rPr>
          <w:rFonts w:asciiTheme="minorHAnsi" w:hAnsiTheme="minorHAnsi" w:cstheme="minorHAnsi"/>
        </w:rPr>
      </w:pPr>
      <w:r w:rsidRPr="00282E57">
        <w:rPr>
          <w:rFonts w:asciiTheme="minorHAnsi" w:hAnsiTheme="minorHAnsi" w:cstheme="minorHAnsi"/>
        </w:rPr>
        <w:t xml:space="preserve">Excluded from the study were migraine patients with myocardial infarction, stroke, transient </w:t>
      </w:r>
      <w:proofErr w:type="spellStart"/>
      <w:r w:rsidRPr="00282E57">
        <w:rPr>
          <w:rFonts w:asciiTheme="minorHAnsi" w:hAnsiTheme="minorHAnsi" w:cstheme="minorHAnsi"/>
        </w:rPr>
        <w:t>ischaemic</w:t>
      </w:r>
      <w:proofErr w:type="spellEnd"/>
      <w:r w:rsidRPr="00282E57">
        <w:rPr>
          <w:rFonts w:asciiTheme="minorHAnsi" w:hAnsiTheme="minorHAnsi" w:cstheme="minorHAnsi"/>
        </w:rPr>
        <w:t xml:space="preserve"> attacks, unstable angina, coronary artery bypass surgery or other </w:t>
      </w:r>
      <w:proofErr w:type="spellStart"/>
      <w:r w:rsidRPr="00282E57">
        <w:rPr>
          <w:rFonts w:asciiTheme="minorHAnsi" w:hAnsiTheme="minorHAnsi" w:cstheme="minorHAnsi"/>
        </w:rPr>
        <w:t>revascularisation</w:t>
      </w:r>
      <w:proofErr w:type="spellEnd"/>
      <w:r w:rsidRPr="00282E57">
        <w:rPr>
          <w:rFonts w:asciiTheme="minorHAnsi" w:hAnsiTheme="minorHAnsi" w:cstheme="minorHAnsi"/>
        </w:rPr>
        <w:t xml:space="preserve"> procedures within 12 months prior to screening.</w:t>
      </w:r>
    </w:p>
    <w:p w14:paraId="0092D0FC" w14:textId="77777777" w:rsidR="00E50BB9" w:rsidRPr="00282E57" w:rsidRDefault="00E50BB9" w:rsidP="00282E57">
      <w:pPr>
        <w:pStyle w:val="TableCenterAlign"/>
        <w:contextualSpacing w:val="0"/>
        <w:jc w:val="both"/>
        <w:rPr>
          <w:rFonts w:asciiTheme="minorHAnsi" w:hAnsiTheme="minorHAnsi" w:cstheme="minorHAnsi"/>
        </w:rPr>
      </w:pPr>
      <w:r w:rsidRPr="00282E57">
        <w:rPr>
          <w:rFonts w:asciiTheme="minorHAnsi" w:hAnsiTheme="minorHAnsi" w:cstheme="minorHAnsi"/>
        </w:rPr>
        <w:t>AIMOVIG treatment demonstrated statistically significant and clinically meaningful improvements from baseline compared to placebo for key efficacy outcomes.</w:t>
      </w:r>
    </w:p>
    <w:p w14:paraId="1B680155" w14:textId="77777777" w:rsidR="00E50BB9" w:rsidRPr="00E50BB9" w:rsidRDefault="00E50BB9" w:rsidP="00E50BB9">
      <w:pPr>
        <w:suppressAutoHyphens/>
        <w:spacing w:before="60" w:after="60" w:line="240" w:lineRule="atLeast"/>
        <w:ind w:right="482"/>
        <w:contextualSpacing/>
        <w:jc w:val="both"/>
        <w:rPr>
          <w:rFonts w:ascii="Times New Roman" w:eastAsia="Times New Roman" w:hAnsi="Times New Roman" w:cs="Times New Roman"/>
          <w:b/>
          <w:sz w:val="24"/>
          <w:szCs w:val="20"/>
          <w:u w:val="single"/>
        </w:rPr>
      </w:pPr>
    </w:p>
    <w:p w14:paraId="0007CCB0" w14:textId="77777777" w:rsidR="00E50BB9" w:rsidRPr="00E50BB9" w:rsidRDefault="00E50BB9" w:rsidP="00E50BB9">
      <w:pPr>
        <w:suppressAutoHyphens/>
        <w:spacing w:before="60" w:after="60" w:line="240" w:lineRule="atLeast"/>
        <w:ind w:right="482"/>
        <w:contextualSpacing/>
        <w:jc w:val="both"/>
        <w:rPr>
          <w:rFonts w:ascii="Times New Roman" w:eastAsia="Times New Roman" w:hAnsi="Times New Roman" w:cs="Times New Roman"/>
          <w:b/>
          <w:sz w:val="24"/>
          <w:szCs w:val="20"/>
          <w:u w:val="single"/>
        </w:rPr>
      </w:pPr>
      <w:r w:rsidRPr="00E50BB9">
        <w:rPr>
          <w:rFonts w:ascii="Times New Roman" w:eastAsia="Times New Roman" w:hAnsi="Times New Roman" w:cs="Times New Roman"/>
          <w:b/>
          <w:sz w:val="24"/>
          <w:szCs w:val="20"/>
          <w:u w:val="single"/>
        </w:rPr>
        <w:t>Chronic Migraine</w:t>
      </w:r>
    </w:p>
    <w:p w14:paraId="46441A65" w14:textId="77777777" w:rsidR="00E50BB9" w:rsidRPr="00E50BB9" w:rsidRDefault="00E50BB9" w:rsidP="00E50BB9">
      <w:pPr>
        <w:suppressAutoHyphens/>
        <w:spacing w:before="60" w:after="60" w:line="240" w:lineRule="atLeast"/>
        <w:ind w:right="482"/>
        <w:contextualSpacing/>
        <w:jc w:val="both"/>
        <w:rPr>
          <w:rFonts w:ascii="Times New Roman" w:eastAsia="Times New Roman" w:hAnsi="Times New Roman" w:cs="Times New Roman"/>
          <w:b/>
          <w:sz w:val="24"/>
          <w:szCs w:val="20"/>
          <w:u w:val="single"/>
        </w:rPr>
      </w:pPr>
    </w:p>
    <w:p w14:paraId="3DB57B75" w14:textId="77777777" w:rsidR="00E50BB9" w:rsidRPr="00647C4F" w:rsidRDefault="00E50BB9" w:rsidP="00647C4F">
      <w:pPr>
        <w:pStyle w:val="TableCenterAlign"/>
        <w:spacing w:after="120"/>
        <w:contextualSpacing w:val="0"/>
        <w:jc w:val="both"/>
        <w:rPr>
          <w:rFonts w:ascii="Times New Roman" w:hAnsi="Times New Roman"/>
          <w:b/>
          <w:bCs/>
          <w:sz w:val="24"/>
        </w:rPr>
      </w:pPr>
      <w:r w:rsidRPr="00647C4F">
        <w:rPr>
          <w:rFonts w:ascii="Times New Roman" w:hAnsi="Times New Roman"/>
          <w:b/>
          <w:bCs/>
          <w:sz w:val="24"/>
        </w:rPr>
        <w:t>Study 1 (Study 20120295)</w:t>
      </w:r>
    </w:p>
    <w:p w14:paraId="764E1071" w14:textId="77777777" w:rsidR="00E50BB9" w:rsidRPr="00647C4F" w:rsidRDefault="00E50BB9" w:rsidP="00647C4F">
      <w:pPr>
        <w:pStyle w:val="TableCenterAlign"/>
        <w:spacing w:after="120"/>
        <w:contextualSpacing w:val="0"/>
        <w:jc w:val="both"/>
        <w:rPr>
          <w:rFonts w:asciiTheme="minorHAnsi" w:eastAsia="Arial" w:hAnsiTheme="minorHAnsi"/>
        </w:rPr>
      </w:pPr>
      <w:r w:rsidRPr="00647C4F">
        <w:rPr>
          <w:rFonts w:asciiTheme="minorHAnsi" w:hAnsiTheme="minorHAnsi" w:cstheme="minorHAnsi"/>
        </w:rPr>
        <w:t xml:space="preserve">AIMOVIG was evaluated for prophylaxis of chronic migraine in a </w:t>
      </w:r>
      <w:proofErr w:type="spellStart"/>
      <w:r w:rsidRPr="00647C4F">
        <w:rPr>
          <w:rFonts w:asciiTheme="minorHAnsi" w:hAnsiTheme="minorHAnsi" w:cstheme="minorHAnsi"/>
        </w:rPr>
        <w:t>randomised</w:t>
      </w:r>
      <w:proofErr w:type="spellEnd"/>
      <w:r w:rsidRPr="00647C4F">
        <w:rPr>
          <w:rFonts w:asciiTheme="minorHAnsi" w:hAnsiTheme="minorHAnsi" w:cstheme="minorHAnsi"/>
        </w:rPr>
        <w:t>, multi</w:t>
      </w:r>
      <w:r w:rsidRPr="00647C4F">
        <w:rPr>
          <w:rFonts w:asciiTheme="minorHAnsi" w:hAnsiTheme="minorHAnsi" w:cstheme="minorHAnsi"/>
        </w:rPr>
        <w:noBreakHyphen/>
      </w:r>
      <w:proofErr w:type="spellStart"/>
      <w:r w:rsidRPr="00647C4F">
        <w:rPr>
          <w:rFonts w:asciiTheme="minorHAnsi" w:hAnsiTheme="minorHAnsi" w:cstheme="minorHAnsi"/>
        </w:rPr>
        <w:t>centre</w:t>
      </w:r>
      <w:proofErr w:type="spellEnd"/>
      <w:r w:rsidRPr="00647C4F">
        <w:rPr>
          <w:rFonts w:asciiTheme="minorHAnsi" w:hAnsiTheme="minorHAnsi" w:cstheme="minorHAnsi"/>
        </w:rPr>
        <w:t>, 12</w:t>
      </w:r>
      <w:r w:rsidRPr="00647C4F">
        <w:rPr>
          <w:rFonts w:asciiTheme="minorHAnsi" w:hAnsiTheme="minorHAnsi" w:cstheme="minorHAnsi"/>
        </w:rPr>
        <w:noBreakHyphen/>
        <w:t>week, placebo</w:t>
      </w:r>
      <w:r w:rsidRPr="00647C4F">
        <w:rPr>
          <w:rFonts w:asciiTheme="minorHAnsi" w:hAnsiTheme="minorHAnsi" w:cstheme="minorHAnsi"/>
        </w:rPr>
        <w:noBreakHyphen/>
        <w:t>controlled, double</w:t>
      </w:r>
      <w:r w:rsidRPr="00647C4F">
        <w:rPr>
          <w:rFonts w:asciiTheme="minorHAnsi" w:hAnsiTheme="minorHAnsi" w:cstheme="minorHAnsi"/>
        </w:rPr>
        <w:noBreakHyphen/>
        <w:t xml:space="preserve">blind study. </w:t>
      </w:r>
      <w:r w:rsidRPr="00647C4F">
        <w:rPr>
          <w:rFonts w:asciiTheme="minorHAnsi" w:eastAsia="Arial" w:hAnsiTheme="minorHAnsi"/>
        </w:rPr>
        <w:t>Patients with a history of migraine with or without aura (</w:t>
      </w:r>
      <w:r w:rsidRPr="00647C4F">
        <w:rPr>
          <w:rFonts w:asciiTheme="minorHAnsi" w:hAnsiTheme="minorHAnsi" w:cstheme="minorHAnsi"/>
        </w:rPr>
        <w:t>≥</w:t>
      </w:r>
      <w:r w:rsidRPr="00647C4F">
        <w:rPr>
          <w:rFonts w:asciiTheme="minorHAnsi" w:eastAsia="Arial" w:hAnsiTheme="minorHAnsi"/>
        </w:rPr>
        <w:t xml:space="preserve"> 15 headache days per month with </w:t>
      </w:r>
      <w:r w:rsidRPr="00647C4F">
        <w:rPr>
          <w:rFonts w:asciiTheme="minorHAnsi" w:hAnsiTheme="minorHAnsi" w:cstheme="minorHAnsi"/>
        </w:rPr>
        <w:t>≥</w:t>
      </w:r>
      <w:r w:rsidRPr="00647C4F">
        <w:rPr>
          <w:rFonts w:asciiTheme="minorHAnsi" w:eastAsia="Arial" w:hAnsiTheme="minorHAnsi"/>
        </w:rPr>
        <w:t xml:space="preserve"> 8 migraine days per month) were </w:t>
      </w:r>
      <w:proofErr w:type="spellStart"/>
      <w:r w:rsidRPr="00647C4F">
        <w:rPr>
          <w:rFonts w:asciiTheme="minorHAnsi" w:eastAsia="Arial" w:hAnsiTheme="minorHAnsi"/>
        </w:rPr>
        <w:t>randomised</w:t>
      </w:r>
      <w:proofErr w:type="spellEnd"/>
      <w:r w:rsidRPr="00647C4F">
        <w:rPr>
          <w:rFonts w:asciiTheme="minorHAnsi" w:eastAsia="Arial" w:hAnsiTheme="minorHAnsi"/>
        </w:rPr>
        <w:t xml:space="preserve"> to receive placebo (n = 286), AIMOVIG 70 mg (n = 191) or AIMOVIG 140 mg (n = 190) subcutaneous injections every 4 weeks for 12 weeks.  </w:t>
      </w:r>
      <w:proofErr w:type="spellStart"/>
      <w:r w:rsidRPr="00647C4F">
        <w:rPr>
          <w:rFonts w:asciiTheme="minorHAnsi" w:eastAsia="Arial" w:hAnsiTheme="minorHAnsi"/>
        </w:rPr>
        <w:t>Randomisation</w:t>
      </w:r>
      <w:proofErr w:type="spellEnd"/>
      <w:r w:rsidRPr="00647C4F">
        <w:rPr>
          <w:rFonts w:asciiTheme="minorHAnsi" w:eastAsia="Arial" w:hAnsiTheme="minorHAnsi"/>
        </w:rPr>
        <w:t xml:space="preserve"> was stratified by region (North America vs. other) and the presence of acute medication overuse (present in 41% of overall patients) excluding patients with opioid overuse.  The mean migraine frequency at baseline was approximately 18 migraine days per month and was similar across treatment groups.  Patients were allowed to use acute headache treatments including </w:t>
      </w:r>
      <w:proofErr w:type="spellStart"/>
      <w:r w:rsidRPr="00647C4F">
        <w:rPr>
          <w:rFonts w:asciiTheme="minorHAnsi" w:eastAsia="Arial" w:hAnsiTheme="minorHAnsi"/>
        </w:rPr>
        <w:t>triptans</w:t>
      </w:r>
      <w:proofErr w:type="spellEnd"/>
      <w:r w:rsidRPr="00647C4F">
        <w:rPr>
          <w:rFonts w:asciiTheme="minorHAnsi" w:eastAsia="Arial" w:hAnsiTheme="minorHAnsi"/>
        </w:rPr>
        <w:t>, ergotamine derivatives and NSAIDs during the study.</w:t>
      </w:r>
    </w:p>
    <w:p w14:paraId="2BD9B032" w14:textId="77777777" w:rsidR="00E50BB9" w:rsidRPr="00647C4F" w:rsidRDefault="00E50BB9" w:rsidP="00647C4F">
      <w:pPr>
        <w:pStyle w:val="TableCenterAlign"/>
        <w:spacing w:after="120"/>
        <w:contextualSpacing w:val="0"/>
        <w:jc w:val="both"/>
        <w:rPr>
          <w:rFonts w:asciiTheme="minorHAnsi" w:hAnsiTheme="minorHAnsi" w:cstheme="minorHAnsi"/>
        </w:rPr>
      </w:pPr>
      <w:r w:rsidRPr="00647C4F">
        <w:rPr>
          <w:rFonts w:asciiTheme="minorHAnsi" w:hAnsiTheme="minorHAnsi" w:cstheme="minorHAnsi"/>
        </w:rPr>
        <w:t xml:space="preserve">Patients had a median age of 43 years (range: 18 – 66 years), 83% were female and 94% were White.  Patients could have failed (i.e. no therapeutic response) up to 3 previous prophylactic treatment categories due to lack of efficacy, while there was no limit to the number of previous failures for poor tolerability.  Overall in this study population, 68% had failed 1 or more previous prophylactic treatments due to lack of efficacy or poor tolerability, and 49% had failed 2 or more previous prophylactic treatments due to lack of efficacy or poor tolerability.  In addition to excluding patients with opioid overuse, the study excluded patients with concurrent use of migraine prophylactic treatments. </w:t>
      </w:r>
      <w:r w:rsidRPr="00647C4F">
        <w:rPr>
          <w:rFonts w:asciiTheme="minorHAnsi" w:hAnsiTheme="minorHAnsi"/>
        </w:rPr>
        <w:t xml:space="preserve">A total of 182 (96%) patients in the AIMOVIG 140 mg group, 184 (96%) patients in the AIMOVIG 70 mg group and 265 (93%) patients in the placebo arm </w:t>
      </w:r>
      <w:r w:rsidRPr="00647C4F">
        <w:rPr>
          <w:rFonts w:asciiTheme="minorHAnsi" w:hAnsiTheme="minorHAnsi"/>
        </w:rPr>
        <w:lastRenderedPageBreak/>
        <w:t xml:space="preserve">completed the study (completed week 12 assessment). Of the 17 (3.6%) patients who discontinued treatment, </w:t>
      </w:r>
      <w:r w:rsidRPr="00647C4F">
        <w:rPr>
          <w:rFonts w:asciiTheme="minorHAnsi" w:hAnsiTheme="minorHAnsi" w:cstheme="minorHAnsi"/>
        </w:rPr>
        <w:t>2 patients in the AIMOVIG 140 mg group, none of the patients in the AIMOVIG 70 mg group and 2 patients in the placebo group discontinued due to adverse events.</w:t>
      </w:r>
    </w:p>
    <w:p w14:paraId="59492C6E" w14:textId="12AD003F" w:rsidR="00E50BB9" w:rsidRPr="00647C4F" w:rsidRDefault="00E50BB9" w:rsidP="00647C4F">
      <w:pPr>
        <w:pStyle w:val="TableCenterAlign"/>
        <w:spacing w:after="120"/>
        <w:contextualSpacing w:val="0"/>
        <w:jc w:val="both"/>
        <w:rPr>
          <w:rFonts w:asciiTheme="minorHAnsi" w:hAnsiTheme="minorHAnsi" w:cstheme="minorHAnsi"/>
        </w:rPr>
      </w:pPr>
      <w:r w:rsidRPr="00647C4F">
        <w:rPr>
          <w:rFonts w:asciiTheme="minorHAnsi" w:hAnsiTheme="minorHAnsi" w:cstheme="minorHAnsi"/>
        </w:rPr>
        <w:t xml:space="preserve">The primary outcome measure was the change from baseline at month 3 in monthly migraine days. Secondary outcome measures included the achievement of at least 50% reduction in monthly migraine days from baseline (≥50% responders), change from baseline in monthly acute migraine-specific medication days, and change from baseline in cumulative monthly headache hours. Other than for cumulative monthly headache hours, AIMOVIG treatment demonstrated statistically significant and clinically meaningful improvements from baseline at month 3 compared to placebo for efficacy outcomes as </w:t>
      </w:r>
      <w:proofErr w:type="spellStart"/>
      <w:r w:rsidRPr="00647C4F">
        <w:rPr>
          <w:rFonts w:asciiTheme="minorHAnsi" w:hAnsiTheme="minorHAnsi" w:cstheme="minorHAnsi"/>
        </w:rPr>
        <w:t>summarised</w:t>
      </w:r>
      <w:proofErr w:type="spellEnd"/>
      <w:r w:rsidRPr="00647C4F">
        <w:rPr>
          <w:rFonts w:asciiTheme="minorHAnsi" w:hAnsiTheme="minorHAnsi" w:cstheme="minorHAnsi"/>
        </w:rPr>
        <w:t xml:space="preserve"> in </w:t>
      </w:r>
      <w:r w:rsidRPr="00647C4F">
        <w:rPr>
          <w:rFonts w:asciiTheme="minorHAnsi" w:hAnsiTheme="minorHAnsi" w:cstheme="minorHAnsi"/>
        </w:rPr>
        <w:fldChar w:fldCharType="begin"/>
      </w:r>
      <w:r w:rsidRPr="00647C4F">
        <w:rPr>
          <w:rFonts w:asciiTheme="minorHAnsi" w:hAnsiTheme="minorHAnsi" w:cstheme="minorHAnsi"/>
        </w:rPr>
        <w:instrText xml:space="preserve"> REF _Ref482698827 \h  \* MERGEFORMAT </w:instrText>
      </w:r>
      <w:r w:rsidRPr="00647C4F">
        <w:rPr>
          <w:rFonts w:asciiTheme="minorHAnsi" w:hAnsiTheme="minorHAnsi" w:cstheme="minorHAnsi"/>
        </w:rPr>
      </w:r>
      <w:r w:rsidRPr="00647C4F">
        <w:rPr>
          <w:rFonts w:asciiTheme="minorHAnsi" w:hAnsiTheme="minorHAnsi" w:cstheme="minorHAnsi"/>
        </w:rPr>
        <w:fldChar w:fldCharType="separate"/>
      </w:r>
      <w:r w:rsidR="00250856" w:rsidRPr="00250856">
        <w:rPr>
          <w:rFonts w:asciiTheme="minorHAnsi" w:hAnsiTheme="minorHAnsi" w:cstheme="minorHAnsi"/>
        </w:rPr>
        <w:t>Figure 1</w:t>
      </w:r>
      <w:r w:rsidRPr="00647C4F">
        <w:rPr>
          <w:rFonts w:asciiTheme="minorHAnsi" w:hAnsiTheme="minorHAnsi" w:cstheme="minorHAnsi"/>
        </w:rPr>
        <w:fldChar w:fldCharType="end"/>
      </w:r>
      <w:r w:rsidRPr="00647C4F">
        <w:rPr>
          <w:rFonts w:asciiTheme="minorHAnsi" w:hAnsiTheme="minorHAnsi" w:cstheme="minorHAnsi"/>
        </w:rPr>
        <w:t xml:space="preserve"> and </w:t>
      </w:r>
      <w:r w:rsidR="00647C4F">
        <w:rPr>
          <w:rFonts w:asciiTheme="minorHAnsi" w:hAnsiTheme="minorHAnsi" w:cstheme="minorHAnsi"/>
        </w:rPr>
        <w:fldChar w:fldCharType="begin"/>
      </w:r>
      <w:r w:rsidR="00647C4F">
        <w:rPr>
          <w:rFonts w:asciiTheme="minorHAnsi" w:hAnsiTheme="minorHAnsi" w:cstheme="minorHAnsi"/>
        </w:rPr>
        <w:instrText xml:space="preserve"> REF _Ref482698856 \h  \* MERGEFORMAT </w:instrText>
      </w:r>
      <w:r w:rsidR="00647C4F">
        <w:rPr>
          <w:rFonts w:asciiTheme="minorHAnsi" w:hAnsiTheme="minorHAnsi" w:cstheme="minorHAnsi"/>
        </w:rPr>
      </w:r>
      <w:r w:rsidR="00647C4F">
        <w:rPr>
          <w:rFonts w:asciiTheme="minorHAnsi" w:hAnsiTheme="minorHAnsi" w:cstheme="minorHAnsi"/>
        </w:rPr>
        <w:fldChar w:fldCharType="separate"/>
      </w:r>
      <w:r w:rsidR="00250856" w:rsidRPr="00250856">
        <w:rPr>
          <w:rFonts w:asciiTheme="minorHAnsi" w:hAnsiTheme="minorHAnsi" w:cstheme="minorHAnsi"/>
        </w:rPr>
        <w:t>Table 3</w:t>
      </w:r>
      <w:r w:rsidR="00647C4F">
        <w:rPr>
          <w:rFonts w:asciiTheme="minorHAnsi" w:hAnsiTheme="minorHAnsi" w:cstheme="minorHAnsi"/>
        </w:rPr>
        <w:fldChar w:fldCharType="end"/>
      </w:r>
      <w:r w:rsidRPr="00647C4F">
        <w:rPr>
          <w:rFonts w:asciiTheme="minorHAnsi" w:hAnsiTheme="minorHAnsi" w:cstheme="minorHAnsi"/>
        </w:rPr>
        <w:t xml:space="preserve">.  Reduction in mean monthly migraine days from placebo was observed in a monthly analysis as early as month 1 and in </w:t>
      </w:r>
      <w:r w:rsidRPr="00541216">
        <w:rPr>
          <w:rFonts w:asciiTheme="minorHAnsi" w:hAnsiTheme="minorHAnsi" w:cstheme="minorHAnsi"/>
        </w:rPr>
        <w:t>a follow-up weekly analysis an onset of AIMOVIG effect was seen as early as the first week of administration.</w:t>
      </w:r>
    </w:p>
    <w:p w14:paraId="673A4FA0" w14:textId="77777777" w:rsidR="00E50BB9" w:rsidRDefault="00E50BB9" w:rsidP="00647C4F">
      <w:pPr>
        <w:suppressAutoHyphens/>
        <w:spacing w:before="60" w:after="120" w:line="240" w:lineRule="atLeast"/>
        <w:ind w:right="482"/>
        <w:jc w:val="both"/>
        <w:rPr>
          <w:rFonts w:eastAsia="Times New Roman" w:cstheme="minorHAnsi"/>
          <w:szCs w:val="20"/>
        </w:rPr>
      </w:pPr>
      <w:r w:rsidRPr="008D141E">
        <w:rPr>
          <w:rFonts w:eastAsia="Times New Roman" w:cstheme="minorHAnsi"/>
          <w:szCs w:val="20"/>
        </w:rPr>
        <w:t xml:space="preserve">The mean difference from placebo in the number of migraine days per month for AIMOVIG 140 mg after 12 weeks of treatment was 2.45 days on a background of 18 migraine days per month. No comparisons between the 70 mg and 140 mg AIMOVIG dose regimens were performed. </w:t>
      </w:r>
    </w:p>
    <w:p w14:paraId="430D9AE5" w14:textId="77777777" w:rsidR="00071C88" w:rsidRPr="008D141E" w:rsidRDefault="00071C88" w:rsidP="00E50BB9">
      <w:pPr>
        <w:suppressAutoHyphens/>
        <w:spacing w:before="60" w:after="60" w:line="240" w:lineRule="atLeast"/>
        <w:ind w:right="482"/>
        <w:contextualSpacing/>
        <w:jc w:val="both"/>
        <w:rPr>
          <w:rFonts w:eastAsia="Times New Roman" w:cstheme="minorHAnsi"/>
          <w:szCs w:val="20"/>
        </w:rPr>
      </w:pPr>
    </w:p>
    <w:p w14:paraId="7BFC2100" w14:textId="086BE9F7" w:rsidR="00E50BB9" w:rsidRPr="00E50BB9" w:rsidRDefault="00E50BB9" w:rsidP="00E50BB9">
      <w:pPr>
        <w:keepNext/>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ind w:right="482"/>
        <w:contextualSpacing/>
        <w:jc w:val="both"/>
        <w:rPr>
          <w:rFonts w:ascii="Times New Roman" w:eastAsia="Times New Roman" w:hAnsi="Times New Roman" w:cs="Times New Roman"/>
          <w:b/>
          <w:iCs/>
          <w:color w:val="000000"/>
          <w:sz w:val="24"/>
          <w:szCs w:val="18"/>
          <w:vertAlign w:val="superscript"/>
        </w:rPr>
      </w:pPr>
      <w:bookmarkStart w:id="3" w:name="_Ref482698827"/>
      <w:bookmarkStart w:id="4" w:name="_Ref482698820"/>
      <w:r w:rsidRPr="00E50BB9">
        <w:rPr>
          <w:rFonts w:ascii="Times New Roman" w:eastAsia="Times New Roman" w:hAnsi="Times New Roman" w:cs="Times New Roman"/>
          <w:b/>
          <w:iCs/>
          <w:color w:val="000000"/>
          <w:sz w:val="24"/>
          <w:szCs w:val="18"/>
        </w:rPr>
        <w:t xml:space="preserve">Figure </w:t>
      </w:r>
      <w:r w:rsidRPr="00E50BB9">
        <w:rPr>
          <w:rFonts w:ascii="Times New Roman" w:eastAsia="Times New Roman" w:hAnsi="Times New Roman" w:cs="Times New Roman"/>
          <w:b/>
          <w:iCs/>
          <w:color w:val="000000"/>
          <w:sz w:val="24"/>
          <w:szCs w:val="18"/>
        </w:rPr>
        <w:fldChar w:fldCharType="begin"/>
      </w:r>
      <w:r w:rsidRPr="00E50BB9">
        <w:rPr>
          <w:rFonts w:ascii="Times New Roman" w:eastAsia="Times New Roman" w:hAnsi="Times New Roman" w:cs="Times New Roman"/>
          <w:b/>
          <w:iCs/>
          <w:color w:val="000000"/>
          <w:sz w:val="24"/>
          <w:szCs w:val="18"/>
        </w:rPr>
        <w:instrText xml:space="preserve"> SEQ Figure \* ARABIC </w:instrText>
      </w:r>
      <w:r w:rsidRPr="00E50BB9">
        <w:rPr>
          <w:rFonts w:ascii="Times New Roman" w:eastAsia="Times New Roman" w:hAnsi="Times New Roman" w:cs="Times New Roman"/>
          <w:b/>
          <w:iCs/>
          <w:color w:val="000000"/>
          <w:sz w:val="24"/>
          <w:szCs w:val="18"/>
        </w:rPr>
        <w:fldChar w:fldCharType="separate"/>
      </w:r>
      <w:r w:rsidR="00250856">
        <w:rPr>
          <w:rFonts w:ascii="Times New Roman" w:eastAsia="Times New Roman" w:hAnsi="Times New Roman" w:cs="Times New Roman"/>
          <w:b/>
          <w:iCs/>
          <w:noProof/>
          <w:color w:val="000000"/>
          <w:sz w:val="24"/>
          <w:szCs w:val="18"/>
        </w:rPr>
        <w:t>1</w:t>
      </w:r>
      <w:r w:rsidRPr="00E50BB9">
        <w:rPr>
          <w:rFonts w:ascii="Times New Roman" w:eastAsia="Times New Roman" w:hAnsi="Times New Roman" w:cs="Times New Roman"/>
          <w:b/>
          <w:iCs/>
          <w:color w:val="000000"/>
          <w:sz w:val="24"/>
          <w:szCs w:val="18"/>
        </w:rPr>
        <w:fldChar w:fldCharType="end"/>
      </w:r>
      <w:bookmarkEnd w:id="3"/>
      <w:r w:rsidRPr="00E50BB9">
        <w:rPr>
          <w:rFonts w:ascii="Times New Roman" w:eastAsia="Times New Roman" w:hAnsi="Times New Roman" w:cs="Times New Roman"/>
          <w:b/>
          <w:iCs/>
          <w:color w:val="000000"/>
          <w:sz w:val="24"/>
          <w:szCs w:val="18"/>
        </w:rPr>
        <w:t xml:space="preserve">  Change From Baseline in Monthly Migraine Days in Study 1</w:t>
      </w:r>
      <w:bookmarkEnd w:id="4"/>
      <w:r w:rsidRPr="00E50BB9">
        <w:rPr>
          <w:rFonts w:ascii="Times New Roman" w:eastAsia="Times New Roman" w:hAnsi="Times New Roman" w:cs="Times New Roman"/>
          <w:b/>
          <w:iCs/>
          <w:color w:val="000000"/>
          <w:sz w:val="24"/>
          <w:szCs w:val="18"/>
          <w:vertAlign w:val="superscript"/>
        </w:rPr>
        <w:t>a</w:t>
      </w:r>
    </w:p>
    <w:p w14:paraId="128AE6BA"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4"/>
          <w:szCs w:val="24"/>
        </w:rPr>
      </w:pPr>
      <w:r w:rsidRPr="00E50BB9">
        <w:rPr>
          <w:rFonts w:ascii="Times New Roman" w:eastAsia="Times New Roman" w:hAnsi="Times New Roman" w:cs="Times New Roman"/>
          <w:b/>
          <w:noProof/>
          <w:sz w:val="24"/>
          <w:szCs w:val="24"/>
          <w:lang w:eastAsia="en-AU"/>
        </w:rPr>
        <w:drawing>
          <wp:inline distT="0" distB="0" distL="0" distR="0" wp14:anchorId="027BB1A6" wp14:editId="5E5AE8A5">
            <wp:extent cx="5746750" cy="3192639"/>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6750" cy="3192639"/>
                    </a:xfrm>
                    <a:prstGeom prst="rect">
                      <a:avLst/>
                    </a:prstGeom>
                    <a:noFill/>
                    <a:ln>
                      <a:noFill/>
                    </a:ln>
                  </pic:spPr>
                </pic:pic>
              </a:graphicData>
            </a:graphic>
          </wp:inline>
        </w:drawing>
      </w:r>
    </w:p>
    <w:p w14:paraId="75C22C6F" w14:textId="3D3F9AAD" w:rsid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0" w:line="240" w:lineRule="auto"/>
        <w:ind w:right="482"/>
        <w:contextualSpacing/>
        <w:jc w:val="both"/>
        <w:rPr>
          <w:rFonts w:ascii="Times New Roman" w:eastAsia="Times New Roman" w:hAnsi="Times New Roman" w:cs="Times New Roman"/>
          <w:color w:val="000000"/>
          <w:sz w:val="20"/>
          <w:szCs w:val="24"/>
        </w:rPr>
      </w:pPr>
      <w:proofErr w:type="spellStart"/>
      <w:r w:rsidRPr="00E50BB9">
        <w:rPr>
          <w:rFonts w:ascii="Times New Roman" w:eastAsia="Times New Roman" w:hAnsi="Times New Roman" w:cs="Times New Roman"/>
          <w:color w:val="000000"/>
          <w:sz w:val="20"/>
          <w:szCs w:val="24"/>
          <w:vertAlign w:val="superscript"/>
        </w:rPr>
        <w:t>a</w:t>
      </w:r>
      <w:proofErr w:type="spellEnd"/>
      <w:r w:rsidRPr="00E50BB9">
        <w:rPr>
          <w:rFonts w:ascii="Times New Roman" w:eastAsia="Times New Roman" w:hAnsi="Times New Roman" w:cs="Times New Roman"/>
          <w:color w:val="000000"/>
          <w:sz w:val="20"/>
          <w:szCs w:val="24"/>
        </w:rPr>
        <w:t xml:space="preserve"> Least-square means and 95% confidence intervals are presented.</w:t>
      </w:r>
      <w:r w:rsidRPr="00E50BB9">
        <w:rPr>
          <w:rFonts w:ascii="Times New Roman" w:eastAsia="Times New Roman" w:hAnsi="Times New Roman" w:cs="Times New Roman"/>
          <w:color w:val="000000"/>
          <w:sz w:val="20"/>
          <w:szCs w:val="24"/>
        </w:rPr>
        <w:br/>
        <w:t>The p-value for the difference in least-square means between erenumab and placebo assessed at Month 3 (primary outcome measure) was &lt; 0.001.</w:t>
      </w:r>
    </w:p>
    <w:p w14:paraId="0F029F66" w14:textId="18F9CF47" w:rsidR="00E50BB9" w:rsidRPr="00E50BB9" w:rsidRDefault="00E50BB9" w:rsidP="00FB1999">
      <w:pPr>
        <w:keepNext/>
        <w:keepLines/>
        <w:pageBreakBefore/>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ind w:left="1123" w:right="482" w:hanging="1123"/>
        <w:contextualSpacing/>
        <w:jc w:val="both"/>
        <w:rPr>
          <w:rFonts w:ascii="Times New Roman" w:eastAsia="Times New Roman" w:hAnsi="Times New Roman" w:cs="Times New Roman"/>
          <w:b/>
          <w:iCs/>
          <w:color w:val="000000"/>
          <w:sz w:val="24"/>
          <w:szCs w:val="18"/>
        </w:rPr>
      </w:pPr>
      <w:bookmarkStart w:id="5" w:name="_Ref482698856"/>
      <w:r w:rsidRPr="00E50BB9">
        <w:rPr>
          <w:rFonts w:ascii="Times New Roman" w:eastAsia="Times New Roman" w:hAnsi="Times New Roman" w:cs="Times New Roman"/>
          <w:b/>
          <w:iCs/>
          <w:color w:val="000000"/>
          <w:sz w:val="24"/>
          <w:szCs w:val="18"/>
        </w:rPr>
        <w:t xml:space="preserve">Table </w:t>
      </w:r>
      <w:r w:rsidRPr="00E50BB9">
        <w:rPr>
          <w:rFonts w:ascii="Times New Roman" w:eastAsia="Times New Roman" w:hAnsi="Times New Roman" w:cs="Times New Roman"/>
          <w:b/>
          <w:iCs/>
          <w:color w:val="000000"/>
          <w:sz w:val="24"/>
          <w:szCs w:val="18"/>
        </w:rPr>
        <w:fldChar w:fldCharType="begin"/>
      </w:r>
      <w:r w:rsidRPr="00E50BB9">
        <w:rPr>
          <w:rFonts w:ascii="Times New Roman" w:eastAsia="Times New Roman" w:hAnsi="Times New Roman" w:cs="Times New Roman"/>
          <w:b/>
          <w:iCs/>
          <w:color w:val="000000"/>
          <w:sz w:val="24"/>
          <w:szCs w:val="18"/>
        </w:rPr>
        <w:instrText xml:space="preserve"> SEQ Table \* ARABIC </w:instrText>
      </w:r>
      <w:r w:rsidRPr="00E50BB9">
        <w:rPr>
          <w:rFonts w:ascii="Times New Roman" w:eastAsia="Times New Roman" w:hAnsi="Times New Roman" w:cs="Times New Roman"/>
          <w:b/>
          <w:iCs/>
          <w:color w:val="000000"/>
          <w:sz w:val="24"/>
          <w:szCs w:val="18"/>
        </w:rPr>
        <w:fldChar w:fldCharType="separate"/>
      </w:r>
      <w:r w:rsidR="00250856">
        <w:rPr>
          <w:rFonts w:ascii="Times New Roman" w:eastAsia="Times New Roman" w:hAnsi="Times New Roman" w:cs="Times New Roman"/>
          <w:b/>
          <w:iCs/>
          <w:noProof/>
          <w:color w:val="000000"/>
          <w:sz w:val="24"/>
          <w:szCs w:val="18"/>
        </w:rPr>
        <w:t>3</w:t>
      </w:r>
      <w:r w:rsidRPr="00E50BB9">
        <w:rPr>
          <w:rFonts w:ascii="Times New Roman" w:eastAsia="Times New Roman" w:hAnsi="Times New Roman" w:cs="Times New Roman"/>
          <w:b/>
          <w:iCs/>
          <w:color w:val="000000"/>
          <w:sz w:val="24"/>
          <w:szCs w:val="18"/>
        </w:rPr>
        <w:fldChar w:fldCharType="end"/>
      </w:r>
      <w:bookmarkEnd w:id="5"/>
      <w:r w:rsidRPr="00E50BB9">
        <w:rPr>
          <w:rFonts w:ascii="Times New Roman" w:eastAsia="Times New Roman" w:hAnsi="Times New Roman" w:cs="Times New Roman"/>
          <w:b/>
          <w:iCs/>
          <w:color w:val="000000"/>
          <w:sz w:val="24"/>
          <w:szCs w:val="18"/>
        </w:rPr>
        <w:tab/>
        <w:t>Change from baseline in efficacy and patient</w:t>
      </w:r>
      <w:r w:rsidRPr="00E50BB9">
        <w:rPr>
          <w:rFonts w:ascii="Times New Roman" w:eastAsia="Times New Roman" w:hAnsi="Times New Roman" w:cs="Times New Roman"/>
          <w:b/>
          <w:iCs/>
          <w:color w:val="000000"/>
          <w:sz w:val="24"/>
          <w:szCs w:val="18"/>
        </w:rPr>
        <w:noBreakHyphen/>
        <w:t>reported outcomes at Week 12 in Study 1</w:t>
      </w:r>
    </w:p>
    <w:tbl>
      <w:tblPr>
        <w:tblpPr w:leftFromText="180" w:rightFromText="180" w:vertAnchor="text" w:tblpY="1"/>
        <w:tblOverlap w:val="never"/>
        <w:tblW w:w="502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4"/>
        <w:gridCol w:w="1607"/>
        <w:gridCol w:w="1374"/>
        <w:gridCol w:w="1385"/>
        <w:gridCol w:w="1695"/>
        <w:gridCol w:w="961"/>
      </w:tblGrid>
      <w:tr w:rsidR="00E50BB9" w:rsidRPr="00E50BB9" w14:paraId="4CD5662E" w14:textId="77777777" w:rsidTr="004C584E">
        <w:tc>
          <w:tcPr>
            <w:tcW w:w="1127" w:type="pct"/>
            <w:tcBorders>
              <w:top w:val="single" w:sz="4" w:space="0" w:color="auto"/>
              <w:bottom w:val="single" w:sz="4" w:space="0" w:color="auto"/>
            </w:tcBorders>
            <w:shd w:val="clear" w:color="auto" w:fill="auto"/>
          </w:tcPr>
          <w:p w14:paraId="72A9D18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p>
        </w:tc>
        <w:tc>
          <w:tcPr>
            <w:tcW w:w="886" w:type="pct"/>
            <w:tcBorders>
              <w:top w:val="single" w:sz="4" w:space="0" w:color="auto"/>
              <w:bottom w:val="single" w:sz="4" w:space="0" w:color="auto"/>
            </w:tcBorders>
            <w:shd w:val="clear" w:color="auto" w:fill="auto"/>
          </w:tcPr>
          <w:p w14:paraId="77D7770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Aimovig 140 mg</w:t>
            </w:r>
          </w:p>
          <w:p w14:paraId="1FFE9C9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(n = 187)</w:t>
            </w:r>
          </w:p>
        </w:tc>
        <w:tc>
          <w:tcPr>
            <w:tcW w:w="758" w:type="pct"/>
            <w:tcBorders>
              <w:top w:val="single" w:sz="4" w:space="0" w:color="auto"/>
              <w:bottom w:val="single" w:sz="4" w:space="0" w:color="auto"/>
            </w:tcBorders>
          </w:tcPr>
          <w:p w14:paraId="05C929B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Aimovig 70 mg</w:t>
            </w:r>
          </w:p>
          <w:p w14:paraId="115300F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(n = 188)</w:t>
            </w:r>
          </w:p>
        </w:tc>
        <w:tc>
          <w:tcPr>
            <w:tcW w:w="764" w:type="pct"/>
            <w:tcBorders>
              <w:top w:val="single" w:sz="4" w:space="0" w:color="auto"/>
              <w:bottom w:val="single" w:sz="4" w:space="0" w:color="auto"/>
            </w:tcBorders>
            <w:shd w:val="clear" w:color="auto" w:fill="auto"/>
          </w:tcPr>
          <w:p w14:paraId="3857E9C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Placebo</w:t>
            </w:r>
          </w:p>
          <w:p w14:paraId="1FAF608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(n = 281)</w:t>
            </w:r>
          </w:p>
        </w:tc>
        <w:tc>
          <w:tcPr>
            <w:tcW w:w="935" w:type="pct"/>
            <w:tcBorders>
              <w:top w:val="single" w:sz="4" w:space="0" w:color="auto"/>
              <w:bottom w:val="single" w:sz="4" w:space="0" w:color="auto"/>
            </w:tcBorders>
            <w:shd w:val="clear" w:color="auto" w:fill="auto"/>
          </w:tcPr>
          <w:p w14:paraId="2617564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 xml:space="preserve">Treatment difference Odds </w:t>
            </w:r>
            <w:proofErr w:type="spellStart"/>
            <w:r w:rsidRPr="00E50BB9">
              <w:rPr>
                <w:rFonts w:ascii="Times New Roman" w:eastAsia="Times New Roman" w:hAnsi="Times New Roman" w:cs="Times New Roman"/>
                <w:b/>
                <w:sz w:val="20"/>
                <w:szCs w:val="20"/>
                <w:lang w:val="en-GB"/>
              </w:rPr>
              <w:t>ratioc</w:t>
            </w:r>
            <w:proofErr w:type="spellEnd"/>
            <w:r w:rsidRPr="00E50BB9">
              <w:rPr>
                <w:rFonts w:ascii="Times New Roman" w:eastAsia="Times New Roman" w:hAnsi="Times New Roman" w:cs="Times New Roman"/>
                <w:b/>
                <w:sz w:val="20"/>
                <w:szCs w:val="20"/>
                <w:lang w:val="en-GB"/>
              </w:rPr>
              <w:t xml:space="preserve"> (95% CI)</w:t>
            </w:r>
          </w:p>
        </w:tc>
        <w:tc>
          <w:tcPr>
            <w:tcW w:w="530" w:type="pct"/>
            <w:tcBorders>
              <w:top w:val="single" w:sz="4" w:space="0" w:color="auto"/>
              <w:bottom w:val="single" w:sz="4" w:space="0" w:color="auto"/>
            </w:tcBorders>
            <w:shd w:val="clear" w:color="auto" w:fill="auto"/>
          </w:tcPr>
          <w:p w14:paraId="68562BA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p</w:t>
            </w:r>
            <w:r w:rsidRPr="00E50BB9">
              <w:rPr>
                <w:rFonts w:ascii="Times New Roman" w:eastAsia="Times New Roman" w:hAnsi="Times New Roman" w:cs="Times New Roman"/>
                <w:b/>
                <w:sz w:val="20"/>
                <w:szCs w:val="20"/>
                <w:lang w:val="en-GB"/>
              </w:rPr>
              <w:noBreakHyphen/>
            </w:r>
            <w:proofErr w:type="spellStart"/>
            <w:r w:rsidRPr="00E50BB9">
              <w:rPr>
                <w:rFonts w:ascii="Times New Roman" w:eastAsia="Times New Roman" w:hAnsi="Times New Roman" w:cs="Times New Roman"/>
                <w:b/>
                <w:sz w:val="20"/>
                <w:szCs w:val="20"/>
                <w:lang w:val="en-GB"/>
              </w:rPr>
              <w:t>valu</w:t>
            </w:r>
            <w:r w:rsidR="00647C4F">
              <w:rPr>
                <w:rFonts w:ascii="Times New Roman" w:eastAsia="Times New Roman" w:hAnsi="Times New Roman" w:cs="Times New Roman"/>
                <w:b/>
                <w:sz w:val="20"/>
                <w:szCs w:val="20"/>
                <w:lang w:val="en-GB"/>
              </w:rPr>
              <w:t>e</w:t>
            </w:r>
            <w:r w:rsidRPr="00647C4F">
              <w:rPr>
                <w:rFonts w:ascii="Times New Roman" w:eastAsia="Times New Roman" w:hAnsi="Times New Roman" w:cs="Times New Roman"/>
                <w:b/>
                <w:sz w:val="20"/>
                <w:szCs w:val="20"/>
                <w:vertAlign w:val="superscript"/>
                <w:lang w:val="en-GB"/>
              </w:rPr>
              <w:t>a</w:t>
            </w:r>
            <w:proofErr w:type="spellEnd"/>
          </w:p>
        </w:tc>
      </w:tr>
      <w:tr w:rsidR="00E50BB9" w:rsidRPr="00E50BB9" w14:paraId="796D479A" w14:textId="77777777" w:rsidTr="00647C4F">
        <w:tc>
          <w:tcPr>
            <w:tcW w:w="2013" w:type="pct"/>
            <w:gridSpan w:val="2"/>
            <w:tcBorders>
              <w:top w:val="single" w:sz="4" w:space="0" w:color="auto"/>
            </w:tcBorders>
            <w:shd w:val="clear" w:color="auto" w:fill="auto"/>
          </w:tcPr>
          <w:p w14:paraId="31BDDB9D" w14:textId="77777777" w:rsidR="00E50BB9" w:rsidRPr="00E50BB9" w:rsidRDefault="00E50BB9" w:rsidP="00E50BB9">
            <w:pPr>
              <w:keepNext/>
              <w:keepLines/>
              <w:widowControl w:val="0"/>
              <w:spacing w:after="0" w:line="240" w:lineRule="auto"/>
              <w:rPr>
                <w:rFonts w:ascii="Times New Roman" w:eastAsia="Times New Roman" w:hAnsi="Times New Roman" w:cs="Times New Roman"/>
                <w:b/>
                <w:sz w:val="24"/>
                <w:szCs w:val="24"/>
                <w:lang w:val="en-GB"/>
              </w:rPr>
            </w:pPr>
            <w:r w:rsidRPr="00E50BB9">
              <w:rPr>
                <w:rFonts w:ascii="Times New Roman" w:eastAsia="Times New Roman" w:hAnsi="Times New Roman" w:cs="Times New Roman"/>
                <w:b/>
                <w:sz w:val="20"/>
                <w:szCs w:val="20"/>
                <w:lang w:val="en-GB"/>
              </w:rPr>
              <w:t>Efficacy outcomes</w:t>
            </w:r>
          </w:p>
        </w:tc>
        <w:tc>
          <w:tcPr>
            <w:tcW w:w="758" w:type="pct"/>
            <w:tcBorders>
              <w:top w:val="single" w:sz="4" w:space="0" w:color="auto"/>
            </w:tcBorders>
          </w:tcPr>
          <w:p w14:paraId="5B9ED4E6"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4"/>
                <w:szCs w:val="24"/>
                <w:lang w:val="en-GB"/>
              </w:rPr>
            </w:pPr>
          </w:p>
        </w:tc>
        <w:tc>
          <w:tcPr>
            <w:tcW w:w="764" w:type="pct"/>
            <w:tcBorders>
              <w:top w:val="single" w:sz="4" w:space="0" w:color="auto"/>
            </w:tcBorders>
            <w:shd w:val="clear" w:color="auto" w:fill="auto"/>
          </w:tcPr>
          <w:p w14:paraId="775A649A"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4"/>
                <w:szCs w:val="24"/>
                <w:lang w:val="en-GB"/>
              </w:rPr>
            </w:pPr>
          </w:p>
        </w:tc>
        <w:tc>
          <w:tcPr>
            <w:tcW w:w="935" w:type="pct"/>
            <w:tcBorders>
              <w:top w:val="single" w:sz="4" w:space="0" w:color="auto"/>
            </w:tcBorders>
            <w:shd w:val="clear" w:color="auto" w:fill="auto"/>
          </w:tcPr>
          <w:p w14:paraId="61D25B1C"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4"/>
                <w:szCs w:val="24"/>
                <w:lang w:val="en-GB"/>
              </w:rPr>
            </w:pPr>
          </w:p>
        </w:tc>
        <w:tc>
          <w:tcPr>
            <w:tcW w:w="531" w:type="pct"/>
            <w:tcBorders>
              <w:top w:val="single" w:sz="4" w:space="0" w:color="auto"/>
            </w:tcBorders>
            <w:shd w:val="clear" w:color="auto" w:fill="auto"/>
          </w:tcPr>
          <w:p w14:paraId="5DFE220D"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4"/>
                <w:szCs w:val="24"/>
                <w:lang w:val="en-GB"/>
              </w:rPr>
            </w:pPr>
          </w:p>
        </w:tc>
      </w:tr>
      <w:tr w:rsidR="00E50BB9" w:rsidRPr="00E50BB9" w14:paraId="17AC9C78" w14:textId="77777777" w:rsidTr="00647C4F">
        <w:tc>
          <w:tcPr>
            <w:tcW w:w="1127" w:type="pct"/>
            <w:tcBorders>
              <w:top w:val="single" w:sz="4" w:space="0" w:color="auto"/>
            </w:tcBorders>
            <w:shd w:val="clear" w:color="auto" w:fill="auto"/>
          </w:tcPr>
          <w:p w14:paraId="7060DAF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Monthly migraine days (MMD) </w:t>
            </w:r>
            <w:r w:rsidRPr="00E50BB9">
              <w:rPr>
                <w:rFonts w:ascii="Times New Roman" w:eastAsia="Times New Roman" w:hAnsi="Times New Roman" w:cs="Times New Roman"/>
                <w:sz w:val="20"/>
                <w:szCs w:val="20"/>
                <w:lang w:val="en-GB"/>
              </w:rPr>
              <w:br/>
              <w:t xml:space="preserve">Mean </w:t>
            </w:r>
            <w:proofErr w:type="spellStart"/>
            <w:r w:rsidRPr="00E50BB9">
              <w:rPr>
                <w:rFonts w:ascii="Times New Roman" w:eastAsia="Times New Roman" w:hAnsi="Times New Roman" w:cs="Times New Roman"/>
                <w:sz w:val="20"/>
                <w:szCs w:val="20"/>
                <w:lang w:val="en-GB"/>
              </w:rPr>
              <w:t>change</w:t>
            </w:r>
            <w:r w:rsidRPr="00647C4F">
              <w:rPr>
                <w:rFonts w:ascii="Times New Roman" w:eastAsia="Times New Roman" w:hAnsi="Times New Roman" w:cs="Times New Roman"/>
                <w:sz w:val="20"/>
                <w:szCs w:val="20"/>
                <w:vertAlign w:val="superscript"/>
                <w:lang w:val="en-GB"/>
              </w:rPr>
              <w:t>b</w:t>
            </w:r>
            <w:proofErr w:type="spellEnd"/>
            <w:r w:rsidRPr="00E50BB9">
              <w:rPr>
                <w:rFonts w:ascii="Times New Roman" w:eastAsia="Times New Roman" w:hAnsi="Times New Roman" w:cs="Times New Roman"/>
                <w:sz w:val="20"/>
                <w:szCs w:val="20"/>
                <w:lang w:val="en-GB"/>
              </w:rPr>
              <w:t xml:space="preserve"> (95% CI)</w:t>
            </w:r>
          </w:p>
        </w:tc>
        <w:tc>
          <w:tcPr>
            <w:tcW w:w="886" w:type="pct"/>
            <w:tcBorders>
              <w:top w:val="single" w:sz="4" w:space="0" w:color="auto"/>
            </w:tcBorders>
            <w:shd w:val="clear" w:color="auto" w:fill="auto"/>
          </w:tcPr>
          <w:p w14:paraId="4EBC8DC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329885C8"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205105C0"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6.63 (</w:t>
            </w:r>
            <w:r w:rsidRPr="00E50BB9">
              <w:rPr>
                <w:rFonts w:ascii="Times New Roman" w:eastAsia="Times New Roman" w:hAnsi="Times New Roman" w:cs="Times New Roman"/>
                <w:sz w:val="20"/>
                <w:szCs w:val="20"/>
                <w:lang w:val="en-GB"/>
              </w:rPr>
              <w:noBreakHyphen/>
              <w:t xml:space="preserve">7.45; </w:t>
            </w:r>
            <w:r w:rsidRPr="00E50BB9">
              <w:rPr>
                <w:rFonts w:ascii="Times New Roman" w:eastAsia="Times New Roman" w:hAnsi="Times New Roman" w:cs="Times New Roman"/>
                <w:sz w:val="20"/>
                <w:szCs w:val="20"/>
                <w:lang w:val="en-GB"/>
              </w:rPr>
              <w:noBreakHyphen/>
              <w:t>5.80)</w:t>
            </w:r>
          </w:p>
        </w:tc>
        <w:tc>
          <w:tcPr>
            <w:tcW w:w="758" w:type="pct"/>
            <w:tcBorders>
              <w:top w:val="single" w:sz="4" w:space="0" w:color="auto"/>
            </w:tcBorders>
          </w:tcPr>
          <w:p w14:paraId="5F56642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104CF800"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73D2C494"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-6.64 (-7.47, -5.81)</w:t>
            </w:r>
          </w:p>
        </w:tc>
        <w:tc>
          <w:tcPr>
            <w:tcW w:w="764" w:type="pct"/>
            <w:tcBorders>
              <w:top w:val="single" w:sz="4" w:space="0" w:color="auto"/>
            </w:tcBorders>
            <w:shd w:val="clear" w:color="auto" w:fill="auto"/>
          </w:tcPr>
          <w:p w14:paraId="77CC64E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774753D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669722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4.18 (</w:t>
            </w:r>
            <w:r w:rsidRPr="00E50BB9">
              <w:rPr>
                <w:rFonts w:ascii="Times New Roman" w:eastAsia="Times New Roman" w:hAnsi="Times New Roman" w:cs="Times New Roman"/>
                <w:sz w:val="20"/>
                <w:szCs w:val="20"/>
                <w:lang w:val="en-GB"/>
              </w:rPr>
              <w:noBreakHyphen/>
              <w:t xml:space="preserve">4.86; </w:t>
            </w:r>
            <w:r w:rsidRPr="00E50BB9">
              <w:rPr>
                <w:rFonts w:ascii="Times New Roman" w:eastAsia="Times New Roman" w:hAnsi="Times New Roman" w:cs="Times New Roman"/>
                <w:sz w:val="20"/>
                <w:szCs w:val="20"/>
                <w:lang w:val="en-GB"/>
              </w:rPr>
              <w:noBreakHyphen/>
              <w:t>3.50)</w:t>
            </w:r>
          </w:p>
        </w:tc>
        <w:tc>
          <w:tcPr>
            <w:tcW w:w="935" w:type="pct"/>
            <w:tcBorders>
              <w:top w:val="single" w:sz="4" w:space="0" w:color="auto"/>
            </w:tcBorders>
            <w:shd w:val="clear" w:color="auto" w:fill="auto"/>
          </w:tcPr>
          <w:p w14:paraId="164CD115"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1BFDCBB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TD</w:t>
            </w:r>
          </w:p>
          <w:p w14:paraId="727D61C7"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140 mg: </w:t>
            </w:r>
            <w:r w:rsidRPr="00E50BB9">
              <w:rPr>
                <w:rFonts w:ascii="Times New Roman" w:eastAsia="Times New Roman" w:hAnsi="Times New Roman" w:cs="Times New Roman"/>
                <w:sz w:val="20"/>
                <w:szCs w:val="20"/>
                <w:lang w:val="en-GB"/>
              </w:rPr>
              <w:noBreakHyphen/>
              <w:t>2.45 (</w:t>
            </w:r>
            <w:r w:rsidRPr="00E50BB9">
              <w:rPr>
                <w:rFonts w:ascii="Times New Roman" w:eastAsia="Times New Roman" w:hAnsi="Times New Roman" w:cs="Times New Roman"/>
                <w:sz w:val="20"/>
                <w:szCs w:val="20"/>
                <w:lang w:val="en-GB"/>
              </w:rPr>
              <w:noBreakHyphen/>
              <w:t xml:space="preserve">3.51; </w:t>
            </w:r>
            <w:r w:rsidRPr="00E50BB9">
              <w:rPr>
                <w:rFonts w:ascii="Times New Roman" w:eastAsia="Times New Roman" w:hAnsi="Times New Roman" w:cs="Times New Roman"/>
                <w:sz w:val="20"/>
                <w:szCs w:val="20"/>
                <w:lang w:val="en-GB"/>
              </w:rPr>
              <w:noBreakHyphen/>
              <w:t>1.38)</w:t>
            </w:r>
          </w:p>
          <w:p w14:paraId="4F1D0CD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70 mg: -2.46 </w:t>
            </w:r>
            <w:r w:rsidRPr="00E50BB9">
              <w:rPr>
                <w:rFonts w:ascii="Times New Roman" w:eastAsia="Times New Roman" w:hAnsi="Times New Roman" w:cs="Times New Roman"/>
                <w:sz w:val="20"/>
                <w:szCs w:val="20"/>
                <w:lang w:val="en-GB"/>
              </w:rPr>
              <w:br/>
              <w:t>(-3.52, -1.39)</w:t>
            </w:r>
          </w:p>
        </w:tc>
        <w:tc>
          <w:tcPr>
            <w:tcW w:w="531" w:type="pct"/>
            <w:tcBorders>
              <w:top w:val="single" w:sz="4" w:space="0" w:color="auto"/>
            </w:tcBorders>
            <w:shd w:val="clear" w:color="auto" w:fill="auto"/>
          </w:tcPr>
          <w:p w14:paraId="2883B15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5F37006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5C17C9F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&lt;0.001</w:t>
            </w:r>
          </w:p>
        </w:tc>
      </w:tr>
      <w:tr w:rsidR="00E50BB9" w:rsidRPr="00E50BB9" w14:paraId="5276CD9B" w14:textId="77777777" w:rsidTr="00647C4F">
        <w:tc>
          <w:tcPr>
            <w:tcW w:w="1127" w:type="pct"/>
            <w:tcBorders>
              <w:top w:val="single" w:sz="4" w:space="0" w:color="auto"/>
            </w:tcBorders>
            <w:shd w:val="clear" w:color="auto" w:fill="auto"/>
          </w:tcPr>
          <w:p w14:paraId="53FB6BD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≥50% MMD </w:t>
            </w:r>
            <w:proofErr w:type="spellStart"/>
            <w:r w:rsidRPr="00E50BB9">
              <w:rPr>
                <w:rFonts w:ascii="Times New Roman" w:eastAsia="Times New Roman" w:hAnsi="Times New Roman" w:cs="Times New Roman"/>
                <w:sz w:val="20"/>
                <w:szCs w:val="20"/>
                <w:lang w:val="en-GB"/>
              </w:rPr>
              <w:t>responders</w:t>
            </w:r>
            <w:r w:rsidRPr="00647C4F">
              <w:rPr>
                <w:rFonts w:ascii="Times New Roman" w:eastAsia="Times New Roman" w:hAnsi="Times New Roman" w:cs="Times New Roman"/>
                <w:sz w:val="20"/>
                <w:szCs w:val="20"/>
                <w:vertAlign w:val="superscript"/>
                <w:lang w:val="en-GB"/>
              </w:rPr>
              <w:t>c</w:t>
            </w:r>
            <w:proofErr w:type="spellEnd"/>
          </w:p>
          <w:p w14:paraId="6F65763D"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Percentage [%]</w:t>
            </w:r>
          </w:p>
        </w:tc>
        <w:tc>
          <w:tcPr>
            <w:tcW w:w="886" w:type="pct"/>
            <w:tcBorders>
              <w:top w:val="single" w:sz="4" w:space="0" w:color="auto"/>
            </w:tcBorders>
            <w:shd w:val="clear" w:color="auto" w:fill="auto"/>
          </w:tcPr>
          <w:p w14:paraId="2275FF84"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23D8407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41.2%</w:t>
            </w:r>
          </w:p>
        </w:tc>
        <w:tc>
          <w:tcPr>
            <w:tcW w:w="758" w:type="pct"/>
            <w:tcBorders>
              <w:top w:val="single" w:sz="4" w:space="0" w:color="auto"/>
            </w:tcBorders>
          </w:tcPr>
          <w:p w14:paraId="3A2D38E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73ED719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39.9</w:t>
            </w:r>
          </w:p>
        </w:tc>
        <w:tc>
          <w:tcPr>
            <w:tcW w:w="764" w:type="pct"/>
            <w:tcBorders>
              <w:top w:val="single" w:sz="4" w:space="0" w:color="auto"/>
            </w:tcBorders>
            <w:shd w:val="clear" w:color="auto" w:fill="auto"/>
          </w:tcPr>
          <w:p w14:paraId="772BFFCD"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6E015A2D"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23.5%</w:t>
            </w:r>
          </w:p>
        </w:tc>
        <w:tc>
          <w:tcPr>
            <w:tcW w:w="935" w:type="pct"/>
            <w:tcBorders>
              <w:top w:val="single" w:sz="4" w:space="0" w:color="auto"/>
            </w:tcBorders>
            <w:shd w:val="clear" w:color="auto" w:fill="auto"/>
          </w:tcPr>
          <w:p w14:paraId="44ED502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roofErr w:type="spellStart"/>
            <w:r w:rsidRPr="00E50BB9">
              <w:rPr>
                <w:rFonts w:ascii="Times New Roman" w:eastAsia="Times New Roman" w:hAnsi="Times New Roman" w:cs="Times New Roman"/>
                <w:sz w:val="20"/>
                <w:szCs w:val="20"/>
                <w:lang w:val="en-GB"/>
              </w:rPr>
              <w:t>OR</w:t>
            </w:r>
            <w:r w:rsidRPr="00E50BB9">
              <w:rPr>
                <w:rFonts w:ascii="Times New Roman" w:eastAsia="Times New Roman" w:hAnsi="Times New Roman" w:cs="Times New Roman"/>
                <w:sz w:val="20"/>
                <w:szCs w:val="20"/>
                <w:vertAlign w:val="superscript"/>
                <w:lang w:val="en-GB"/>
              </w:rPr>
              <w:t>d</w:t>
            </w:r>
            <w:proofErr w:type="spellEnd"/>
          </w:p>
          <w:p w14:paraId="5F29DAD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140 mg: 2.34 (1.56; 3.51) </w:t>
            </w:r>
            <w:r w:rsidRPr="00E50BB9">
              <w:rPr>
                <w:rFonts w:ascii="Times New Roman" w:eastAsia="Times New Roman" w:hAnsi="Times New Roman" w:cs="Times New Roman"/>
                <w:sz w:val="20"/>
                <w:szCs w:val="20"/>
                <w:lang w:val="en-GB"/>
              </w:rPr>
              <w:br/>
              <w:t xml:space="preserve">70 mg: </w:t>
            </w:r>
            <w:r w:rsidRPr="00E50BB9">
              <w:rPr>
                <w:rFonts w:ascii="Times New Roman" w:eastAsia="Times New Roman" w:hAnsi="Times New Roman" w:cs="Times New Roman"/>
                <w:sz w:val="20"/>
                <w:szCs w:val="20"/>
                <w:lang w:val="en-GB"/>
              </w:rPr>
              <w:br/>
              <w:t>2.18 (1.46, 3.27)</w:t>
            </w:r>
          </w:p>
        </w:tc>
        <w:tc>
          <w:tcPr>
            <w:tcW w:w="531" w:type="pct"/>
            <w:tcBorders>
              <w:top w:val="single" w:sz="4" w:space="0" w:color="auto"/>
            </w:tcBorders>
            <w:shd w:val="clear" w:color="auto" w:fill="auto"/>
          </w:tcPr>
          <w:p w14:paraId="63BD33A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6C74A8A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&lt;0.001</w:t>
            </w:r>
          </w:p>
        </w:tc>
      </w:tr>
      <w:tr w:rsidR="00E50BB9" w:rsidRPr="00E50BB9" w14:paraId="3A77EAB7" w14:textId="77777777" w:rsidTr="00647C4F">
        <w:tc>
          <w:tcPr>
            <w:tcW w:w="1127" w:type="pct"/>
            <w:tcBorders>
              <w:top w:val="single" w:sz="4" w:space="0" w:color="auto"/>
              <w:bottom w:val="single" w:sz="4" w:space="0" w:color="auto"/>
            </w:tcBorders>
            <w:shd w:val="clear" w:color="auto" w:fill="auto"/>
          </w:tcPr>
          <w:p w14:paraId="32BAA354"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Monthly acute migraine</w:t>
            </w:r>
            <w:r w:rsidRPr="00E50BB9">
              <w:rPr>
                <w:rFonts w:ascii="Times New Roman" w:eastAsia="Times New Roman" w:hAnsi="Times New Roman" w:cs="Times New Roman"/>
                <w:sz w:val="20"/>
                <w:szCs w:val="20"/>
                <w:lang w:val="en-GB"/>
              </w:rPr>
              <w:noBreakHyphen/>
            </w:r>
            <w:r w:rsidRPr="00E50BB9">
              <w:rPr>
                <w:rFonts w:ascii="Times New Roman" w:eastAsia="Times New Roman" w:hAnsi="Times New Roman" w:cs="Times New Roman"/>
                <w:sz w:val="20"/>
                <w:szCs w:val="20"/>
                <w:lang w:val="en-GB"/>
              </w:rPr>
              <w:br/>
              <w:t xml:space="preserve">specific medication </w:t>
            </w:r>
            <w:proofErr w:type="spellStart"/>
            <w:r w:rsidRPr="00E50BB9">
              <w:rPr>
                <w:rFonts w:ascii="Times New Roman" w:eastAsia="Times New Roman" w:hAnsi="Times New Roman" w:cs="Times New Roman"/>
                <w:sz w:val="20"/>
                <w:szCs w:val="20"/>
                <w:lang w:val="en-GB"/>
              </w:rPr>
              <w:t>days</w:t>
            </w:r>
            <w:r w:rsidRPr="00647C4F">
              <w:rPr>
                <w:rFonts w:ascii="Times New Roman" w:eastAsia="Times New Roman" w:hAnsi="Times New Roman" w:cs="Times New Roman"/>
                <w:sz w:val="20"/>
                <w:szCs w:val="20"/>
                <w:vertAlign w:val="superscript"/>
                <w:lang w:val="en-GB"/>
              </w:rPr>
              <w:t>e</w:t>
            </w:r>
            <w:proofErr w:type="spellEnd"/>
          </w:p>
          <w:p w14:paraId="3D189632"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Mean </w:t>
            </w:r>
            <w:proofErr w:type="spellStart"/>
            <w:r w:rsidRPr="00E50BB9">
              <w:rPr>
                <w:rFonts w:ascii="Times New Roman" w:eastAsia="Times New Roman" w:hAnsi="Times New Roman" w:cs="Times New Roman"/>
                <w:sz w:val="20"/>
                <w:szCs w:val="20"/>
                <w:lang w:val="en-GB"/>
              </w:rPr>
              <w:t>change</w:t>
            </w:r>
            <w:r w:rsidRPr="00647C4F">
              <w:rPr>
                <w:rFonts w:ascii="Times New Roman" w:eastAsia="Times New Roman" w:hAnsi="Times New Roman" w:cs="Times New Roman"/>
                <w:sz w:val="20"/>
                <w:szCs w:val="20"/>
                <w:vertAlign w:val="superscript"/>
                <w:lang w:val="en-GB"/>
              </w:rPr>
              <w:t>b</w:t>
            </w:r>
            <w:proofErr w:type="spellEnd"/>
            <w:r w:rsidRPr="00E50BB9">
              <w:rPr>
                <w:rFonts w:ascii="Times New Roman" w:eastAsia="Times New Roman" w:hAnsi="Times New Roman" w:cs="Times New Roman"/>
                <w:sz w:val="20"/>
                <w:szCs w:val="20"/>
                <w:lang w:val="en-GB"/>
              </w:rPr>
              <w:t xml:space="preserve"> (95% CI)</w:t>
            </w:r>
          </w:p>
        </w:tc>
        <w:tc>
          <w:tcPr>
            <w:tcW w:w="886" w:type="pct"/>
            <w:tcBorders>
              <w:top w:val="single" w:sz="4" w:space="0" w:color="auto"/>
              <w:bottom w:val="single" w:sz="4" w:space="0" w:color="auto"/>
            </w:tcBorders>
            <w:shd w:val="clear" w:color="auto" w:fill="auto"/>
          </w:tcPr>
          <w:p w14:paraId="7346DD58"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0A6695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B24D9F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4.13 (</w:t>
            </w:r>
            <w:r w:rsidRPr="00E50BB9">
              <w:rPr>
                <w:rFonts w:ascii="Times New Roman" w:eastAsia="Times New Roman" w:hAnsi="Times New Roman" w:cs="Times New Roman"/>
                <w:sz w:val="20"/>
                <w:szCs w:val="20"/>
                <w:lang w:val="en-GB"/>
              </w:rPr>
              <w:noBreakHyphen/>
              <w:t xml:space="preserve">4.70; </w:t>
            </w:r>
            <w:r w:rsidRPr="00E50BB9">
              <w:rPr>
                <w:rFonts w:ascii="Times New Roman" w:eastAsia="Times New Roman" w:hAnsi="Times New Roman" w:cs="Times New Roman"/>
                <w:sz w:val="20"/>
                <w:szCs w:val="20"/>
                <w:lang w:val="en-GB"/>
              </w:rPr>
              <w:noBreakHyphen/>
              <w:t>3.56)</w:t>
            </w:r>
          </w:p>
        </w:tc>
        <w:tc>
          <w:tcPr>
            <w:tcW w:w="758" w:type="pct"/>
            <w:tcBorders>
              <w:top w:val="single" w:sz="4" w:space="0" w:color="auto"/>
              <w:bottom w:val="single" w:sz="4" w:space="0" w:color="auto"/>
            </w:tcBorders>
          </w:tcPr>
          <w:p w14:paraId="1FC9E57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1F75EA2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9A5A8E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-3.45 (-4.02, -2.87)</w:t>
            </w:r>
          </w:p>
        </w:tc>
        <w:tc>
          <w:tcPr>
            <w:tcW w:w="764" w:type="pct"/>
            <w:tcBorders>
              <w:top w:val="single" w:sz="4" w:space="0" w:color="auto"/>
              <w:bottom w:val="single" w:sz="4" w:space="0" w:color="auto"/>
            </w:tcBorders>
            <w:shd w:val="clear" w:color="auto" w:fill="auto"/>
          </w:tcPr>
          <w:p w14:paraId="334DCBB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4A8C5414"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4824E6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1.58 (</w:t>
            </w:r>
            <w:r w:rsidRPr="00E50BB9">
              <w:rPr>
                <w:rFonts w:ascii="Times New Roman" w:eastAsia="Times New Roman" w:hAnsi="Times New Roman" w:cs="Times New Roman"/>
                <w:sz w:val="20"/>
                <w:szCs w:val="20"/>
                <w:lang w:val="en-GB"/>
              </w:rPr>
              <w:noBreakHyphen/>
              <w:t xml:space="preserve">2.05; </w:t>
            </w:r>
            <w:r w:rsidRPr="00E50BB9">
              <w:rPr>
                <w:rFonts w:ascii="Times New Roman" w:eastAsia="Times New Roman" w:hAnsi="Times New Roman" w:cs="Times New Roman"/>
                <w:sz w:val="20"/>
                <w:szCs w:val="20"/>
                <w:lang w:val="en-GB"/>
              </w:rPr>
              <w:noBreakHyphen/>
              <w:t>1.11)</w:t>
            </w:r>
          </w:p>
        </w:tc>
        <w:tc>
          <w:tcPr>
            <w:tcW w:w="935" w:type="pct"/>
            <w:tcBorders>
              <w:top w:val="single" w:sz="4" w:space="0" w:color="auto"/>
              <w:bottom w:val="single" w:sz="4" w:space="0" w:color="auto"/>
            </w:tcBorders>
            <w:shd w:val="clear" w:color="auto" w:fill="auto"/>
          </w:tcPr>
          <w:p w14:paraId="1605CFE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7806BE7D"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TD</w:t>
            </w:r>
          </w:p>
          <w:p w14:paraId="35C6CA3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140 mg:  </w:t>
            </w:r>
            <w:r w:rsidRPr="00E50BB9">
              <w:rPr>
                <w:rFonts w:ascii="Times New Roman" w:eastAsia="Times New Roman" w:hAnsi="Times New Roman" w:cs="Times New Roman"/>
                <w:sz w:val="20"/>
                <w:szCs w:val="20"/>
                <w:lang w:val="en-GB"/>
              </w:rPr>
              <w:br/>
            </w:r>
            <w:r w:rsidRPr="00E50BB9">
              <w:rPr>
                <w:rFonts w:ascii="Times New Roman" w:eastAsia="Times New Roman" w:hAnsi="Times New Roman" w:cs="Times New Roman"/>
                <w:sz w:val="20"/>
                <w:szCs w:val="20"/>
                <w:lang w:val="en-GB"/>
              </w:rPr>
              <w:noBreakHyphen/>
              <w:t>2.55 (</w:t>
            </w:r>
            <w:r w:rsidRPr="00E50BB9">
              <w:rPr>
                <w:rFonts w:ascii="Times New Roman" w:eastAsia="Times New Roman" w:hAnsi="Times New Roman" w:cs="Times New Roman"/>
                <w:sz w:val="20"/>
                <w:szCs w:val="20"/>
                <w:lang w:val="en-GB"/>
              </w:rPr>
              <w:noBreakHyphen/>
              <w:t xml:space="preserve">3.28; </w:t>
            </w:r>
            <w:r w:rsidRPr="00E50BB9">
              <w:rPr>
                <w:rFonts w:ascii="Times New Roman" w:eastAsia="Times New Roman" w:hAnsi="Times New Roman" w:cs="Times New Roman"/>
                <w:sz w:val="20"/>
                <w:szCs w:val="20"/>
                <w:lang w:val="en-GB"/>
              </w:rPr>
              <w:noBreakHyphen/>
              <w:t>1.82)</w:t>
            </w:r>
            <w:r w:rsidRPr="00E50BB9">
              <w:rPr>
                <w:rFonts w:ascii="Times New Roman" w:eastAsia="Times New Roman" w:hAnsi="Times New Roman" w:cs="Times New Roman"/>
                <w:sz w:val="20"/>
                <w:szCs w:val="20"/>
                <w:lang w:val="en-GB"/>
              </w:rPr>
              <w:br/>
              <w:t>70 mg:</w:t>
            </w:r>
            <w:r w:rsidRPr="00E50BB9">
              <w:rPr>
                <w:rFonts w:ascii="Times New Roman" w:eastAsia="Times New Roman" w:hAnsi="Times New Roman" w:cs="Times New Roman"/>
                <w:sz w:val="20"/>
                <w:szCs w:val="20"/>
                <w:lang w:val="en-GB"/>
              </w:rPr>
              <w:br/>
              <w:t>-1.86 (-2.60, -1.13</w:t>
            </w:r>
          </w:p>
        </w:tc>
        <w:tc>
          <w:tcPr>
            <w:tcW w:w="531" w:type="pct"/>
            <w:tcBorders>
              <w:top w:val="single" w:sz="4" w:space="0" w:color="auto"/>
              <w:bottom w:val="single" w:sz="4" w:space="0" w:color="auto"/>
            </w:tcBorders>
            <w:shd w:val="clear" w:color="auto" w:fill="auto"/>
          </w:tcPr>
          <w:p w14:paraId="264906FC"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5A9DCB4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728D86C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&lt;0.001</w:t>
            </w:r>
          </w:p>
        </w:tc>
      </w:tr>
      <w:tr w:rsidR="00E50BB9" w:rsidRPr="00E50BB9" w14:paraId="5BD78C95" w14:textId="77777777" w:rsidTr="00647C4F">
        <w:tc>
          <w:tcPr>
            <w:tcW w:w="5000" w:type="pct"/>
            <w:gridSpan w:val="6"/>
            <w:tcBorders>
              <w:top w:val="single" w:sz="4" w:space="0" w:color="auto"/>
            </w:tcBorders>
            <w:shd w:val="clear" w:color="auto" w:fill="auto"/>
          </w:tcPr>
          <w:p w14:paraId="4F7F42C6" w14:textId="7A4B9716"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right="482"/>
              <w:contextualSpacing/>
              <w:jc w:val="both"/>
              <w:rPr>
                <w:rFonts w:ascii="Times New Roman" w:eastAsia="Times New Roman" w:hAnsi="Times New Roman" w:cs="Times New Roman"/>
                <w:sz w:val="20"/>
                <w:szCs w:val="24"/>
                <w:lang w:val="en-GB"/>
              </w:rPr>
            </w:pPr>
            <w:r w:rsidRPr="00E50BB9">
              <w:rPr>
                <w:rFonts w:ascii="Times New Roman" w:eastAsia="Times New Roman" w:hAnsi="Times New Roman" w:cs="Times New Roman"/>
                <w:sz w:val="20"/>
                <w:szCs w:val="24"/>
                <w:lang w:val="en-GB"/>
              </w:rPr>
              <w:t>CI = confidence interval; MMD = monthly migraine days; TD = treatment difference; OR = odds ratio</w:t>
            </w:r>
          </w:p>
          <w:p w14:paraId="60317CFF" w14:textId="77777777" w:rsidR="00E50BB9" w:rsidRPr="00E50BB9" w:rsidRDefault="00E50BB9" w:rsidP="00E50BB9">
            <w:pPr>
              <w:tabs>
                <w:tab w:val="left" w:pos="-720"/>
                <w:tab w:val="left" w:pos="738"/>
                <w:tab w:val="left" w:pos="880"/>
                <w:tab w:val="left" w:pos="2160"/>
                <w:tab w:val="left" w:pos="2880"/>
                <w:tab w:val="left" w:pos="3600"/>
                <w:tab w:val="left" w:pos="4320"/>
              </w:tabs>
              <w:autoSpaceDE w:val="0"/>
              <w:autoSpaceDN w:val="0"/>
              <w:adjustRightInd w:val="0"/>
              <w:spacing w:after="0" w:line="240" w:lineRule="auto"/>
              <w:ind w:left="738" w:right="482" w:hanging="738"/>
              <w:contextualSpacing/>
              <w:jc w:val="both"/>
              <w:rPr>
                <w:rFonts w:ascii="Times New Roman" w:eastAsia="Times New Roman" w:hAnsi="Times New Roman" w:cs="Times New Roman"/>
                <w:sz w:val="20"/>
                <w:szCs w:val="24"/>
                <w:lang w:val="en-GB"/>
              </w:rPr>
            </w:pPr>
            <w:proofErr w:type="spellStart"/>
            <w:r w:rsidRPr="00E50BB9">
              <w:rPr>
                <w:rFonts w:ascii="Times New Roman" w:eastAsia="Times New Roman" w:hAnsi="Times New Roman" w:cs="Times New Roman"/>
                <w:sz w:val="20"/>
                <w:szCs w:val="24"/>
                <w:vertAlign w:val="superscript"/>
                <w:lang w:val="en-GB"/>
              </w:rPr>
              <w:t>a</w:t>
            </w:r>
            <w:proofErr w:type="spellEnd"/>
            <w:r w:rsidRPr="00E50BB9">
              <w:rPr>
                <w:rFonts w:ascii="Times New Roman" w:eastAsia="Times New Roman" w:hAnsi="Times New Roman" w:cs="Times New Roman"/>
                <w:sz w:val="20"/>
                <w:szCs w:val="24"/>
                <w:lang w:val="en-GB"/>
              </w:rPr>
              <w:tab/>
              <w:t>All p</w:t>
            </w:r>
            <w:r w:rsidRPr="00E50BB9">
              <w:rPr>
                <w:rFonts w:ascii="Times New Roman" w:eastAsia="Times New Roman" w:hAnsi="Times New Roman" w:cs="Times New Roman"/>
                <w:sz w:val="20"/>
                <w:szCs w:val="24"/>
                <w:lang w:val="en-GB"/>
              </w:rPr>
              <w:noBreakHyphen/>
              <w:t>values are reported as unadjusted p</w:t>
            </w:r>
            <w:r w:rsidRPr="00E50BB9">
              <w:rPr>
                <w:rFonts w:ascii="Times New Roman" w:eastAsia="Times New Roman" w:hAnsi="Times New Roman" w:cs="Times New Roman"/>
                <w:sz w:val="20"/>
                <w:szCs w:val="24"/>
                <w:lang w:val="en-GB"/>
              </w:rPr>
              <w:noBreakHyphen/>
              <w:t>values and are statistically significant after adjustment for multiple comparisons.</w:t>
            </w:r>
          </w:p>
          <w:p w14:paraId="65951F05" w14:textId="77777777" w:rsidR="00E50BB9" w:rsidRPr="00E50BB9" w:rsidRDefault="00E50BB9" w:rsidP="00E50BB9">
            <w:pPr>
              <w:tabs>
                <w:tab w:val="left" w:pos="-720"/>
                <w:tab w:val="left" w:pos="738"/>
                <w:tab w:val="left" w:pos="1440"/>
                <w:tab w:val="left" w:pos="2160"/>
                <w:tab w:val="left" w:pos="2880"/>
                <w:tab w:val="left" w:pos="3600"/>
                <w:tab w:val="left" w:pos="4320"/>
              </w:tabs>
              <w:autoSpaceDE w:val="0"/>
              <w:autoSpaceDN w:val="0"/>
              <w:adjustRightInd w:val="0"/>
              <w:spacing w:after="0" w:line="240" w:lineRule="auto"/>
              <w:ind w:left="738" w:right="482" w:hanging="709"/>
              <w:contextualSpacing/>
              <w:jc w:val="both"/>
              <w:rPr>
                <w:rFonts w:ascii="Times New Roman" w:eastAsia="Times New Roman" w:hAnsi="Times New Roman" w:cs="Times New Roman"/>
                <w:sz w:val="20"/>
                <w:szCs w:val="24"/>
                <w:lang w:val="en-GB"/>
              </w:rPr>
            </w:pPr>
            <w:r w:rsidRPr="00E50BB9">
              <w:rPr>
                <w:rFonts w:ascii="Times New Roman" w:eastAsia="Times New Roman" w:hAnsi="Times New Roman" w:cs="Times New Roman"/>
                <w:sz w:val="20"/>
                <w:szCs w:val="24"/>
                <w:vertAlign w:val="superscript"/>
                <w:lang w:val="en-GB"/>
              </w:rPr>
              <w:t>b</w:t>
            </w:r>
            <w:r w:rsidRPr="00E50BB9">
              <w:rPr>
                <w:rFonts w:ascii="Times New Roman" w:eastAsia="Times New Roman" w:hAnsi="Times New Roman" w:cs="Times New Roman"/>
                <w:sz w:val="20"/>
                <w:szCs w:val="24"/>
                <w:lang w:val="en-GB"/>
              </w:rPr>
              <w:tab/>
              <w:t>LS mean change from baseline at Month 3, treatment difference and p</w:t>
            </w:r>
            <w:r w:rsidRPr="00E50BB9">
              <w:rPr>
                <w:rFonts w:ascii="Times New Roman" w:eastAsia="Times New Roman" w:hAnsi="Times New Roman" w:cs="Times New Roman"/>
                <w:sz w:val="20"/>
                <w:szCs w:val="24"/>
                <w:lang w:val="en-GB"/>
              </w:rPr>
              <w:noBreakHyphen/>
              <w:t>value are based on a</w:t>
            </w:r>
            <w:r w:rsidRPr="00E50BB9">
              <w:rPr>
                <w:rFonts w:ascii="Times New Roman" w:eastAsia="Calibri" w:hAnsi="Times New Roman" w:cs="Times New Roman"/>
                <w:sz w:val="20"/>
                <w:szCs w:val="24"/>
                <w:lang w:val="en-GB"/>
              </w:rPr>
              <w:t xml:space="preserve"> </w:t>
            </w:r>
            <w:r w:rsidRPr="00E50BB9">
              <w:rPr>
                <w:rFonts w:ascii="Times New Roman" w:eastAsia="Times New Roman" w:hAnsi="Times New Roman" w:cs="Times New Roman"/>
                <w:sz w:val="20"/>
                <w:szCs w:val="24"/>
                <w:lang w:val="en-GB"/>
              </w:rPr>
              <w:t>linear mixed effects model including treatment group, baseline monthly value, stratification factors (region [North America versus other] and medication overuse [presence versus absence]), scheduled visit and the interaction of treatment group with scheduled visit, without any imputation for missing data.</w:t>
            </w:r>
          </w:p>
          <w:p w14:paraId="24D40199" w14:textId="77250DE7" w:rsidR="00E50BB9" w:rsidRPr="00E50BB9" w:rsidRDefault="00E50BB9" w:rsidP="00E50BB9">
            <w:pPr>
              <w:tabs>
                <w:tab w:val="left" w:pos="-720"/>
                <w:tab w:val="left" w:pos="738"/>
                <w:tab w:val="left" w:pos="1440"/>
                <w:tab w:val="left" w:pos="2160"/>
                <w:tab w:val="left" w:pos="2880"/>
                <w:tab w:val="left" w:pos="3600"/>
                <w:tab w:val="left" w:pos="4320"/>
              </w:tabs>
              <w:autoSpaceDE w:val="0"/>
              <w:autoSpaceDN w:val="0"/>
              <w:adjustRightInd w:val="0"/>
              <w:spacing w:after="0" w:line="240" w:lineRule="auto"/>
              <w:ind w:left="738" w:right="482" w:hanging="738"/>
              <w:contextualSpacing/>
              <w:jc w:val="both"/>
              <w:rPr>
                <w:rFonts w:ascii="Times New Roman" w:eastAsia="Times New Roman" w:hAnsi="Times New Roman" w:cs="Times New Roman"/>
                <w:sz w:val="20"/>
                <w:szCs w:val="24"/>
                <w:lang w:val="en-GB"/>
              </w:rPr>
            </w:pPr>
            <w:r w:rsidRPr="00E50BB9">
              <w:rPr>
                <w:rFonts w:ascii="Times New Roman" w:eastAsia="Times New Roman" w:hAnsi="Times New Roman" w:cs="Times New Roman"/>
                <w:sz w:val="20"/>
                <w:szCs w:val="24"/>
                <w:vertAlign w:val="superscript"/>
                <w:lang w:val="en-GB"/>
              </w:rPr>
              <w:t>c</w:t>
            </w:r>
            <w:r w:rsidRPr="00E50BB9">
              <w:rPr>
                <w:rFonts w:ascii="Times New Roman" w:eastAsia="Times New Roman" w:hAnsi="Times New Roman" w:cs="Times New Roman"/>
                <w:sz w:val="20"/>
                <w:szCs w:val="24"/>
                <w:lang w:val="en-GB"/>
              </w:rPr>
              <w:tab/>
              <w:t xml:space="preserve">Responders are defined as patients who achieve ≥50% </w:t>
            </w:r>
            <w:r w:rsidR="00AD4A42">
              <w:rPr>
                <w:rFonts w:ascii="Times New Roman" w:eastAsia="Times New Roman" w:hAnsi="Times New Roman" w:cs="Times New Roman"/>
                <w:sz w:val="20"/>
                <w:szCs w:val="24"/>
                <w:lang w:val="en-GB"/>
              </w:rPr>
              <w:t xml:space="preserve">reduction </w:t>
            </w:r>
            <w:r w:rsidRPr="00E50BB9">
              <w:rPr>
                <w:rFonts w:ascii="Times New Roman" w:eastAsia="Times New Roman" w:hAnsi="Times New Roman" w:cs="Times New Roman"/>
                <w:sz w:val="20"/>
                <w:szCs w:val="24"/>
                <w:lang w:val="en-GB"/>
              </w:rPr>
              <w:t>on MMD from baseline</w:t>
            </w:r>
          </w:p>
          <w:p w14:paraId="744E0AF1" w14:textId="147E8B13"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right="482"/>
              <w:contextualSpacing/>
              <w:jc w:val="both"/>
              <w:rPr>
                <w:rFonts w:ascii="Times New Roman" w:eastAsia="Times New Roman" w:hAnsi="Times New Roman" w:cs="Times New Roman"/>
                <w:sz w:val="20"/>
                <w:szCs w:val="24"/>
                <w:lang w:val="en-GB"/>
              </w:rPr>
            </w:pPr>
            <w:r w:rsidRPr="00E50BB9">
              <w:rPr>
                <w:rFonts w:ascii="Times New Roman" w:eastAsia="Times New Roman" w:hAnsi="Times New Roman" w:cs="Times New Roman"/>
                <w:sz w:val="20"/>
                <w:szCs w:val="24"/>
                <w:vertAlign w:val="superscript"/>
                <w:lang w:val="en-GB"/>
              </w:rPr>
              <w:t>d</w:t>
            </w:r>
            <w:r w:rsidRPr="00E50BB9">
              <w:rPr>
                <w:rFonts w:ascii="Times New Roman" w:eastAsia="Times New Roman" w:hAnsi="Times New Roman" w:cs="Times New Roman"/>
                <w:sz w:val="20"/>
                <w:szCs w:val="24"/>
                <w:lang w:val="en-GB"/>
              </w:rPr>
              <w:tab/>
              <w:t>Odds ratio and p</w:t>
            </w:r>
            <w:r w:rsidRPr="00E50BB9">
              <w:rPr>
                <w:rFonts w:ascii="Times New Roman" w:eastAsia="Times New Roman" w:hAnsi="Times New Roman" w:cs="Times New Roman"/>
                <w:sz w:val="20"/>
                <w:szCs w:val="24"/>
                <w:lang w:val="en-GB"/>
              </w:rPr>
              <w:noBreakHyphen/>
              <w:t>value for ≥50%</w:t>
            </w:r>
            <w:r w:rsidR="001E21B5">
              <w:rPr>
                <w:rFonts w:ascii="Times New Roman" w:eastAsia="Times New Roman" w:hAnsi="Times New Roman" w:cs="Times New Roman"/>
                <w:sz w:val="20"/>
                <w:szCs w:val="24"/>
                <w:lang w:val="en-GB"/>
              </w:rPr>
              <w:t xml:space="preserve"> </w:t>
            </w:r>
            <w:r w:rsidRPr="00E50BB9">
              <w:rPr>
                <w:rFonts w:ascii="Times New Roman" w:eastAsia="Times New Roman" w:hAnsi="Times New Roman" w:cs="Times New Roman"/>
                <w:sz w:val="20"/>
                <w:szCs w:val="24"/>
                <w:lang w:val="en-GB"/>
              </w:rPr>
              <w:t xml:space="preserve">responders at Month 3 are based on a stratified </w:t>
            </w:r>
            <w:r w:rsidRPr="00E50BB9">
              <w:rPr>
                <w:rFonts w:ascii="Times New Roman" w:eastAsia="Times New Roman" w:hAnsi="Times New Roman" w:cs="Times New Roman"/>
                <w:sz w:val="20"/>
                <w:szCs w:val="24"/>
                <w:lang w:val="en-GB"/>
              </w:rPr>
              <w:tab/>
              <w:t>Cochran</w:t>
            </w:r>
            <w:r w:rsidRPr="00E50BB9">
              <w:rPr>
                <w:rFonts w:ascii="Times New Roman" w:eastAsia="Times New Roman" w:hAnsi="Times New Roman" w:cs="Times New Roman"/>
                <w:sz w:val="20"/>
                <w:szCs w:val="24"/>
                <w:lang w:val="en-GB"/>
              </w:rPr>
              <w:noBreakHyphen/>
              <w:t>Mantel</w:t>
            </w:r>
            <w:r w:rsidRPr="00E50BB9">
              <w:rPr>
                <w:rFonts w:ascii="Times New Roman" w:eastAsia="Times New Roman" w:hAnsi="Times New Roman" w:cs="Times New Roman"/>
                <w:sz w:val="20"/>
                <w:szCs w:val="24"/>
                <w:lang w:val="en-GB"/>
              </w:rPr>
              <w:noBreakHyphen/>
            </w:r>
            <w:proofErr w:type="spellStart"/>
            <w:r w:rsidRPr="00E50BB9">
              <w:rPr>
                <w:rFonts w:ascii="Times New Roman" w:eastAsia="Times New Roman" w:hAnsi="Times New Roman" w:cs="Times New Roman"/>
                <w:sz w:val="20"/>
                <w:szCs w:val="24"/>
                <w:lang w:val="en-GB"/>
              </w:rPr>
              <w:t>Haenszel</w:t>
            </w:r>
            <w:proofErr w:type="spellEnd"/>
            <w:r w:rsidRPr="00E50BB9">
              <w:rPr>
                <w:rFonts w:ascii="Times New Roman" w:eastAsia="Times New Roman" w:hAnsi="Times New Roman" w:cs="Times New Roman"/>
                <w:sz w:val="20"/>
                <w:szCs w:val="24"/>
                <w:lang w:val="en-GB"/>
              </w:rPr>
              <w:t xml:space="preserve"> test after missing data were imputed as non</w:t>
            </w:r>
            <w:r w:rsidRPr="00E50BB9">
              <w:rPr>
                <w:rFonts w:ascii="Times New Roman" w:eastAsia="Times New Roman" w:hAnsi="Times New Roman" w:cs="Times New Roman"/>
                <w:sz w:val="20"/>
                <w:szCs w:val="24"/>
                <w:lang w:val="en-GB"/>
              </w:rPr>
              <w:noBreakHyphen/>
              <w:t>response.</w:t>
            </w:r>
          </w:p>
          <w:p w14:paraId="7106C0E0"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right="482"/>
              <w:contextualSpacing/>
              <w:jc w:val="both"/>
              <w:rPr>
                <w:rFonts w:ascii="Times New Roman" w:eastAsia="Times New Roman" w:hAnsi="Times New Roman" w:cs="Times New Roman"/>
                <w:sz w:val="20"/>
                <w:szCs w:val="24"/>
                <w:lang w:val="en-GB"/>
              </w:rPr>
            </w:pPr>
            <w:r w:rsidRPr="00E50BB9">
              <w:rPr>
                <w:rFonts w:ascii="Times New Roman" w:eastAsia="Times New Roman" w:hAnsi="Times New Roman" w:cs="Times New Roman"/>
                <w:sz w:val="20"/>
                <w:szCs w:val="24"/>
                <w:vertAlign w:val="superscript"/>
                <w:lang w:val="en-GB"/>
              </w:rPr>
              <w:t>e</w:t>
            </w:r>
            <w:r w:rsidRPr="00E50BB9">
              <w:rPr>
                <w:rFonts w:ascii="Times New Roman" w:eastAsia="Times New Roman" w:hAnsi="Times New Roman" w:cs="Times New Roman"/>
                <w:sz w:val="20"/>
                <w:szCs w:val="24"/>
                <w:lang w:val="en-GB"/>
              </w:rPr>
              <w:tab/>
              <w:t>Migraine</w:t>
            </w:r>
            <w:r w:rsidRPr="00E50BB9">
              <w:rPr>
                <w:rFonts w:ascii="Times New Roman" w:eastAsia="Times New Roman" w:hAnsi="Times New Roman" w:cs="Times New Roman"/>
                <w:sz w:val="20"/>
                <w:szCs w:val="24"/>
                <w:lang w:val="en-GB"/>
              </w:rPr>
              <w:noBreakHyphen/>
              <w:t xml:space="preserve">specific medications include </w:t>
            </w:r>
            <w:proofErr w:type="spellStart"/>
            <w:r w:rsidRPr="00E50BB9">
              <w:rPr>
                <w:rFonts w:ascii="Times New Roman" w:eastAsia="Times New Roman" w:hAnsi="Times New Roman" w:cs="Times New Roman"/>
                <w:sz w:val="20"/>
                <w:szCs w:val="24"/>
                <w:lang w:val="en-GB"/>
              </w:rPr>
              <w:t>triptans</w:t>
            </w:r>
            <w:proofErr w:type="spellEnd"/>
            <w:r w:rsidRPr="00E50BB9">
              <w:rPr>
                <w:rFonts w:ascii="Times New Roman" w:eastAsia="Times New Roman" w:hAnsi="Times New Roman" w:cs="Times New Roman"/>
                <w:sz w:val="20"/>
                <w:szCs w:val="24"/>
                <w:lang w:val="en-GB"/>
              </w:rPr>
              <w:t xml:space="preserve"> and ergotamine derivatives.</w:t>
            </w:r>
          </w:p>
          <w:p w14:paraId="2B223EFF" w14:textId="47B24DDA" w:rsidR="00E50BB9" w:rsidRPr="00E50BB9" w:rsidRDefault="00E50BB9" w:rsidP="00E50BB9">
            <w:pPr>
              <w:tabs>
                <w:tab w:val="left" w:pos="-720"/>
                <w:tab w:val="left" w:pos="738"/>
                <w:tab w:val="left" w:pos="1440"/>
                <w:tab w:val="left" w:pos="2160"/>
                <w:tab w:val="left" w:pos="2880"/>
                <w:tab w:val="left" w:pos="3600"/>
                <w:tab w:val="left" w:pos="4320"/>
              </w:tabs>
              <w:autoSpaceDE w:val="0"/>
              <w:autoSpaceDN w:val="0"/>
              <w:adjustRightInd w:val="0"/>
              <w:spacing w:after="0" w:line="240" w:lineRule="auto"/>
              <w:ind w:left="738" w:right="482" w:hanging="738"/>
              <w:contextualSpacing/>
              <w:jc w:val="both"/>
              <w:rPr>
                <w:rFonts w:ascii="Times New Roman" w:eastAsia="Times New Roman" w:hAnsi="Times New Roman" w:cs="Times New Roman"/>
                <w:sz w:val="20"/>
                <w:szCs w:val="24"/>
                <w:lang w:val="en-US"/>
              </w:rPr>
            </w:pPr>
          </w:p>
        </w:tc>
      </w:tr>
    </w:tbl>
    <w:p w14:paraId="66E92B18" w14:textId="77777777" w:rsidR="00E50BB9" w:rsidRPr="008D141E" w:rsidRDefault="00E50BB9" w:rsidP="008D141E">
      <w:pPr>
        <w:widowControl w:val="0"/>
        <w:autoSpaceDE w:val="0"/>
        <w:autoSpaceDN w:val="0"/>
        <w:adjustRightInd w:val="0"/>
        <w:spacing w:after="0" w:line="240" w:lineRule="auto"/>
        <w:jc w:val="both"/>
        <w:rPr>
          <w:rFonts w:eastAsia="Times New Roman" w:cstheme="minorHAnsi"/>
          <w:lang w:val="en-GB"/>
        </w:rPr>
      </w:pPr>
    </w:p>
    <w:p w14:paraId="1A27214C" w14:textId="348763B2" w:rsidR="00E50BB9" w:rsidRPr="008D141E" w:rsidRDefault="00E50BB9" w:rsidP="008D141E">
      <w:pPr>
        <w:widowControl w:val="0"/>
        <w:autoSpaceDE w:val="0"/>
        <w:autoSpaceDN w:val="0"/>
        <w:adjustRightInd w:val="0"/>
        <w:spacing w:after="0" w:line="240" w:lineRule="auto"/>
        <w:jc w:val="both"/>
        <w:rPr>
          <w:rFonts w:eastAsia="Times New Roman" w:cstheme="minorHAnsi"/>
          <w:lang w:val="en-GB"/>
        </w:rPr>
      </w:pPr>
      <w:r w:rsidRPr="008D141E">
        <w:rPr>
          <w:rFonts w:eastAsia="Times New Roman" w:cstheme="minorHAnsi"/>
          <w:lang w:val="en-GB"/>
        </w:rPr>
        <w:t>Based on a pre-specified analysis, Aimovig was efficacious in patients who had previously failed migraine prophylactic treatments due to lack of efficacy or intolerance</w:t>
      </w:r>
      <w:r w:rsidR="00AD719B">
        <w:rPr>
          <w:rFonts w:eastAsia="Times New Roman" w:cstheme="minorHAnsi"/>
          <w:lang w:val="en-GB"/>
        </w:rPr>
        <w:t xml:space="preserve"> </w:t>
      </w:r>
      <w:r w:rsidR="00AD719B">
        <w:t>and in patients with a history of medication overuse.</w:t>
      </w:r>
    </w:p>
    <w:p w14:paraId="6A351176" w14:textId="77777777" w:rsidR="00E50BB9" w:rsidRPr="00E50BB9" w:rsidRDefault="00E50BB9" w:rsidP="00E50BB9">
      <w:pPr>
        <w:keepNext/>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ind w:right="482"/>
        <w:contextualSpacing/>
        <w:jc w:val="both"/>
        <w:rPr>
          <w:rFonts w:ascii="Times New Roman" w:eastAsia="Times New Roman" w:hAnsi="Times New Roman" w:cs="Times New Roman"/>
          <w:b/>
          <w:iCs/>
          <w:color w:val="000000"/>
          <w:sz w:val="24"/>
          <w:szCs w:val="18"/>
        </w:rPr>
      </w:pPr>
    </w:p>
    <w:p w14:paraId="1E82EEBD" w14:textId="77777777" w:rsidR="00E50BB9" w:rsidRPr="00647C4F" w:rsidRDefault="00E50BB9" w:rsidP="00647C4F">
      <w:pPr>
        <w:pStyle w:val="TableCenterAlign"/>
        <w:jc w:val="both"/>
        <w:rPr>
          <w:rFonts w:asciiTheme="minorHAnsi" w:eastAsia="Arial" w:hAnsiTheme="minorHAnsi" w:cstheme="minorHAnsi"/>
        </w:rPr>
      </w:pPr>
      <w:r w:rsidRPr="00647C4F">
        <w:rPr>
          <w:rFonts w:asciiTheme="minorHAnsi" w:eastAsia="Arial" w:hAnsiTheme="minorHAnsi" w:cstheme="minorHAnsi"/>
        </w:rPr>
        <w:t>In general, the efficacy of Aimovig across subgroups in this study were robust and comparable to the general population.</w:t>
      </w:r>
    </w:p>
    <w:p w14:paraId="200D8F52" w14:textId="77777777" w:rsidR="00E50BB9" w:rsidRPr="00E50BB9" w:rsidRDefault="00E50BB9" w:rsidP="00E50BB9">
      <w:pPr>
        <w:suppressAutoHyphens/>
        <w:spacing w:before="60" w:after="60" w:line="240" w:lineRule="atLeast"/>
        <w:ind w:right="482"/>
        <w:contextualSpacing/>
        <w:jc w:val="both"/>
        <w:rPr>
          <w:rFonts w:ascii="Times New Roman" w:eastAsia="Times New Roman" w:hAnsi="Times New Roman" w:cs="Times New Roman"/>
          <w:sz w:val="24"/>
          <w:szCs w:val="20"/>
        </w:rPr>
      </w:pPr>
    </w:p>
    <w:p w14:paraId="433FFB48" w14:textId="77777777" w:rsidR="00E50BB9" w:rsidRPr="00E50BB9" w:rsidRDefault="00E50BB9" w:rsidP="00E50BB9">
      <w:pPr>
        <w:suppressAutoHyphens/>
        <w:spacing w:before="60" w:after="60" w:line="240" w:lineRule="atLeast"/>
        <w:ind w:right="482"/>
        <w:contextualSpacing/>
        <w:jc w:val="both"/>
        <w:rPr>
          <w:rFonts w:ascii="Times New Roman" w:eastAsia="Times New Roman" w:hAnsi="Times New Roman" w:cs="Times New Roman"/>
          <w:b/>
          <w:sz w:val="24"/>
          <w:szCs w:val="20"/>
          <w:u w:val="single"/>
        </w:rPr>
      </w:pPr>
      <w:r w:rsidRPr="00E50BB9">
        <w:rPr>
          <w:rFonts w:ascii="Times New Roman" w:eastAsia="Times New Roman" w:hAnsi="Times New Roman" w:cs="Times New Roman"/>
          <w:b/>
          <w:sz w:val="24"/>
          <w:szCs w:val="20"/>
          <w:u w:val="single"/>
        </w:rPr>
        <w:t>Episodic Migraine</w:t>
      </w:r>
    </w:p>
    <w:p w14:paraId="0897BF5E" w14:textId="77777777" w:rsidR="00E50BB9" w:rsidRPr="00E50BB9" w:rsidRDefault="00E50BB9" w:rsidP="00E50BB9">
      <w:pPr>
        <w:suppressAutoHyphens/>
        <w:spacing w:before="60" w:after="60" w:line="240" w:lineRule="atLeast"/>
        <w:ind w:right="482"/>
        <w:contextualSpacing/>
        <w:jc w:val="both"/>
        <w:rPr>
          <w:rFonts w:ascii="Times New Roman" w:eastAsia="Times New Roman" w:hAnsi="Times New Roman" w:cs="Times New Roman"/>
          <w:sz w:val="24"/>
          <w:szCs w:val="20"/>
        </w:rPr>
      </w:pPr>
    </w:p>
    <w:p w14:paraId="40953431" w14:textId="77777777" w:rsidR="00E50BB9" w:rsidRPr="00647C4F" w:rsidRDefault="00E50BB9" w:rsidP="00647C4F">
      <w:pPr>
        <w:pStyle w:val="TableCenterAlign"/>
        <w:spacing w:after="120"/>
        <w:contextualSpacing w:val="0"/>
        <w:jc w:val="both"/>
        <w:rPr>
          <w:rFonts w:asciiTheme="minorHAnsi" w:hAnsiTheme="minorHAnsi" w:cstheme="minorHAnsi"/>
          <w:b/>
          <w:bCs/>
        </w:rPr>
      </w:pPr>
      <w:r w:rsidRPr="00647C4F">
        <w:rPr>
          <w:rFonts w:asciiTheme="minorHAnsi" w:hAnsiTheme="minorHAnsi" w:cstheme="minorHAnsi"/>
          <w:b/>
          <w:bCs/>
        </w:rPr>
        <w:t>Study 2 (Study 20120296, STRIVE)</w:t>
      </w:r>
    </w:p>
    <w:p w14:paraId="37001ABC" w14:textId="77777777" w:rsidR="00E50BB9" w:rsidRPr="00647C4F" w:rsidRDefault="00E50BB9" w:rsidP="00647C4F">
      <w:pPr>
        <w:pStyle w:val="TableCenterAlign"/>
        <w:spacing w:after="120"/>
        <w:contextualSpacing w:val="0"/>
        <w:jc w:val="both"/>
        <w:rPr>
          <w:rFonts w:asciiTheme="minorHAnsi" w:hAnsiTheme="minorHAnsi" w:cstheme="minorHAnsi"/>
          <w:bCs/>
        </w:rPr>
      </w:pPr>
      <w:r w:rsidRPr="00647C4F">
        <w:rPr>
          <w:rFonts w:asciiTheme="minorHAnsi" w:hAnsiTheme="minorHAnsi" w:cstheme="minorHAnsi"/>
          <w:bCs/>
        </w:rPr>
        <w:t xml:space="preserve">Study 2 was a </w:t>
      </w:r>
      <w:proofErr w:type="spellStart"/>
      <w:r w:rsidRPr="00647C4F">
        <w:rPr>
          <w:rFonts w:asciiTheme="minorHAnsi" w:hAnsiTheme="minorHAnsi" w:cstheme="minorHAnsi"/>
          <w:bCs/>
        </w:rPr>
        <w:t>randomised</w:t>
      </w:r>
      <w:proofErr w:type="spellEnd"/>
      <w:r w:rsidRPr="00647C4F">
        <w:rPr>
          <w:rFonts w:asciiTheme="minorHAnsi" w:hAnsiTheme="minorHAnsi" w:cstheme="minorHAnsi"/>
          <w:bCs/>
        </w:rPr>
        <w:t>, multi</w:t>
      </w:r>
      <w:r w:rsidRPr="00647C4F">
        <w:rPr>
          <w:rFonts w:asciiTheme="minorHAnsi" w:hAnsiTheme="minorHAnsi" w:cstheme="minorHAnsi"/>
          <w:bCs/>
        </w:rPr>
        <w:noBreakHyphen/>
      </w:r>
      <w:proofErr w:type="spellStart"/>
      <w:r w:rsidRPr="00647C4F">
        <w:rPr>
          <w:rFonts w:asciiTheme="minorHAnsi" w:hAnsiTheme="minorHAnsi" w:cstheme="minorHAnsi"/>
          <w:bCs/>
        </w:rPr>
        <w:t>centre</w:t>
      </w:r>
      <w:proofErr w:type="spellEnd"/>
      <w:r w:rsidRPr="00647C4F">
        <w:rPr>
          <w:rFonts w:asciiTheme="minorHAnsi" w:hAnsiTheme="minorHAnsi" w:cstheme="minorHAnsi"/>
          <w:bCs/>
        </w:rPr>
        <w:t>, 24</w:t>
      </w:r>
      <w:r w:rsidRPr="00647C4F">
        <w:rPr>
          <w:rFonts w:asciiTheme="minorHAnsi" w:hAnsiTheme="minorHAnsi" w:cstheme="minorHAnsi"/>
          <w:bCs/>
        </w:rPr>
        <w:noBreakHyphen/>
        <w:t>week, placebo</w:t>
      </w:r>
      <w:r w:rsidRPr="00647C4F">
        <w:rPr>
          <w:rFonts w:asciiTheme="minorHAnsi" w:hAnsiTheme="minorHAnsi" w:cstheme="minorHAnsi"/>
          <w:bCs/>
        </w:rPr>
        <w:noBreakHyphen/>
        <w:t>controlled, double</w:t>
      </w:r>
      <w:r w:rsidRPr="00647C4F">
        <w:rPr>
          <w:rFonts w:asciiTheme="minorHAnsi" w:hAnsiTheme="minorHAnsi" w:cstheme="minorHAnsi"/>
          <w:bCs/>
        </w:rPr>
        <w:noBreakHyphen/>
        <w:t>blind study evaluating AIMOVIG for prophylaxis of episodic migraine.  Patients with history of migraine with or without aura for a duration of ≥ 12 months and 4</w:t>
      </w:r>
      <w:r w:rsidRPr="00647C4F">
        <w:rPr>
          <w:rFonts w:asciiTheme="minorHAnsi" w:hAnsiTheme="minorHAnsi" w:cstheme="minorHAnsi"/>
          <w:bCs/>
        </w:rPr>
        <w:noBreakHyphen/>
        <w:t xml:space="preserve">14 migraine days per month were </w:t>
      </w:r>
      <w:proofErr w:type="spellStart"/>
      <w:r w:rsidRPr="00647C4F">
        <w:rPr>
          <w:rFonts w:asciiTheme="minorHAnsi" w:hAnsiTheme="minorHAnsi" w:cstheme="minorHAnsi"/>
          <w:bCs/>
        </w:rPr>
        <w:t>randomised</w:t>
      </w:r>
      <w:proofErr w:type="spellEnd"/>
      <w:r w:rsidRPr="00647C4F">
        <w:rPr>
          <w:rFonts w:asciiTheme="minorHAnsi" w:hAnsiTheme="minorHAnsi" w:cstheme="minorHAnsi"/>
          <w:bCs/>
        </w:rPr>
        <w:t xml:space="preserve"> to receive either AIMOVIG 140 mg (n = 319), AIMOVIG 70 mg (n = 317) or placebo </w:t>
      </w:r>
      <w:r w:rsidRPr="00647C4F">
        <w:rPr>
          <w:rFonts w:asciiTheme="minorHAnsi" w:hAnsiTheme="minorHAnsi" w:cstheme="minorHAnsi"/>
          <w:bCs/>
        </w:rPr>
        <w:lastRenderedPageBreak/>
        <w:t xml:space="preserve">(n = 319) by subcutaneous injection every 4 weeks  for 6 months.  </w:t>
      </w:r>
      <w:proofErr w:type="spellStart"/>
      <w:r w:rsidRPr="00647C4F">
        <w:rPr>
          <w:rFonts w:asciiTheme="minorHAnsi" w:hAnsiTheme="minorHAnsi" w:cstheme="minorHAnsi"/>
          <w:bCs/>
        </w:rPr>
        <w:t>Randomisation</w:t>
      </w:r>
      <w:proofErr w:type="spellEnd"/>
      <w:r w:rsidRPr="00647C4F">
        <w:rPr>
          <w:rFonts w:asciiTheme="minorHAnsi" w:hAnsiTheme="minorHAnsi" w:cstheme="minorHAnsi"/>
          <w:bCs/>
        </w:rPr>
        <w:t xml:space="preserve"> was stratified by prior, concomitant, or no prior use of prophylactic medications and region (North America vs. other).  The mean migraine frequency at baseline was approximately 8 migraine days per month and was similar across treatment groups.  Patients were allowed to use acute headache treatments including </w:t>
      </w:r>
      <w:proofErr w:type="spellStart"/>
      <w:r w:rsidRPr="00647C4F">
        <w:rPr>
          <w:rFonts w:asciiTheme="minorHAnsi" w:hAnsiTheme="minorHAnsi" w:cstheme="minorHAnsi"/>
          <w:bCs/>
        </w:rPr>
        <w:t>triptans</w:t>
      </w:r>
      <w:proofErr w:type="spellEnd"/>
      <w:r w:rsidRPr="00647C4F">
        <w:rPr>
          <w:rFonts w:asciiTheme="minorHAnsi" w:hAnsiTheme="minorHAnsi" w:cstheme="minorHAnsi"/>
          <w:bCs/>
        </w:rPr>
        <w:t>, ergotamine derivatives and NSAIDs during the study. Concomitant use of prophylactic medication was allowed in a subset of patients. 10 patients (3.1%) in the placebo group and 8 patients (2.5 %) in the 140 mg group received concomitant prophylactic medication.</w:t>
      </w:r>
    </w:p>
    <w:p w14:paraId="1A0E7D75" w14:textId="77777777" w:rsidR="00647C4F" w:rsidRDefault="00E50BB9" w:rsidP="00647C4F">
      <w:pPr>
        <w:pStyle w:val="TableCenterAlign"/>
        <w:spacing w:after="120"/>
        <w:contextualSpacing w:val="0"/>
        <w:jc w:val="both"/>
        <w:rPr>
          <w:rFonts w:asciiTheme="minorHAnsi" w:hAnsiTheme="minorHAnsi" w:cstheme="minorHAnsi"/>
        </w:rPr>
      </w:pPr>
      <w:r w:rsidRPr="00647C4F">
        <w:rPr>
          <w:rFonts w:asciiTheme="minorHAnsi" w:hAnsiTheme="minorHAnsi" w:cstheme="minorHAnsi"/>
        </w:rPr>
        <w:t xml:space="preserve">Patients had a median age of 42 years (range: 18 – 65 years), 85% were female and 89% were White.  Patients could have failed to respond up to 2 previous prophylactic treatments.  </w:t>
      </w:r>
      <w:r w:rsidRPr="00647C4F">
        <w:rPr>
          <w:rFonts w:asciiTheme="minorHAnsi" w:hAnsiTheme="minorHAnsi" w:cstheme="minorHAnsi"/>
          <w:bCs/>
        </w:rPr>
        <w:t xml:space="preserve">The study excluded patients with medication overuse. </w:t>
      </w:r>
      <w:r w:rsidRPr="00647C4F">
        <w:rPr>
          <w:rFonts w:asciiTheme="minorHAnsi" w:eastAsia="Arial" w:hAnsiTheme="minorHAnsi"/>
        </w:rPr>
        <w:t xml:space="preserve"> A total of 292 (92%) patients in the AIMOVIG 140 mg group, 284 (89%) patients in the AIMOVIG 70 mg group and 282 (88%) patients in the placebo arm</w:t>
      </w:r>
      <w:r w:rsidRPr="00647C4F" w:rsidDel="00C94826">
        <w:rPr>
          <w:rFonts w:asciiTheme="minorHAnsi" w:eastAsia="Arial" w:hAnsiTheme="minorHAnsi"/>
        </w:rPr>
        <w:t xml:space="preserve"> </w:t>
      </w:r>
      <w:r w:rsidRPr="00647C4F">
        <w:rPr>
          <w:rFonts w:asciiTheme="minorHAnsi" w:eastAsia="Arial" w:hAnsiTheme="minorHAnsi"/>
        </w:rPr>
        <w:t>completed the double-blind phase. Of the 87 (9.</w:t>
      </w:r>
      <w:r w:rsidRPr="00647C4F" w:rsidDel="00681039">
        <w:rPr>
          <w:rFonts w:asciiTheme="minorHAnsi" w:eastAsia="Arial" w:hAnsiTheme="minorHAnsi"/>
        </w:rPr>
        <w:t xml:space="preserve"> </w:t>
      </w:r>
      <w:r w:rsidRPr="00647C4F">
        <w:rPr>
          <w:rFonts w:asciiTheme="minorHAnsi" w:eastAsia="Arial" w:hAnsiTheme="minorHAnsi"/>
        </w:rPr>
        <w:t xml:space="preserve">1%) patients who discontinued treatment, </w:t>
      </w:r>
      <w:r w:rsidRPr="00647C4F">
        <w:rPr>
          <w:rFonts w:asciiTheme="minorHAnsi" w:hAnsiTheme="minorHAnsi" w:cstheme="minorHAnsi"/>
        </w:rPr>
        <w:t>7 patients each in the AIMOVIG</w:t>
      </w:r>
      <w:r w:rsidRPr="00647C4F" w:rsidDel="00993500">
        <w:rPr>
          <w:rFonts w:asciiTheme="minorHAnsi" w:hAnsiTheme="minorHAnsi" w:cstheme="minorHAnsi"/>
        </w:rPr>
        <w:t xml:space="preserve"> </w:t>
      </w:r>
      <w:r w:rsidRPr="00647C4F">
        <w:rPr>
          <w:rFonts w:asciiTheme="minorHAnsi" w:hAnsiTheme="minorHAnsi" w:cstheme="minorHAnsi"/>
        </w:rPr>
        <w:t>treated groups and 8 patients in the placebo group discontinued due to adverse events.</w:t>
      </w:r>
    </w:p>
    <w:p w14:paraId="38EFBF35" w14:textId="2CAD489E" w:rsidR="00E50BB9" w:rsidRPr="00647C4F" w:rsidRDefault="00E50BB9" w:rsidP="00647C4F">
      <w:pPr>
        <w:pStyle w:val="TableCenterAlign"/>
        <w:spacing w:after="120"/>
        <w:contextualSpacing w:val="0"/>
        <w:jc w:val="both"/>
        <w:rPr>
          <w:rFonts w:asciiTheme="minorHAnsi" w:eastAsia="Arial" w:hAnsiTheme="minorHAnsi" w:cstheme="minorHAnsi"/>
        </w:rPr>
      </w:pPr>
      <w:r w:rsidRPr="00647C4F">
        <w:rPr>
          <w:rFonts w:asciiTheme="minorHAnsi" w:eastAsia="Arial" w:hAnsiTheme="minorHAnsi" w:cstheme="minorHAnsi"/>
        </w:rPr>
        <w:t>The primary outcome measure was the change from baseline</w:t>
      </w:r>
      <w:r w:rsidRPr="00647C4F">
        <w:rPr>
          <w:rFonts w:asciiTheme="minorHAnsi" w:hAnsiTheme="minorHAnsi" w:cstheme="minorHAnsi"/>
        </w:rPr>
        <w:t xml:space="preserve"> </w:t>
      </w:r>
      <w:r w:rsidRPr="00647C4F">
        <w:rPr>
          <w:rFonts w:asciiTheme="minorHAnsi" w:eastAsia="Arial" w:hAnsiTheme="minorHAnsi" w:cstheme="minorHAnsi"/>
        </w:rPr>
        <w:t>during months 4-6 in monthly migraine days.  Secondary outcome measures included the achievement of a at least 50% reduction in mean monthly migraine days from baseline (≥ 50% responders), change from baseline in mean monthly acute migraine</w:t>
      </w:r>
      <w:r w:rsidRPr="00647C4F">
        <w:rPr>
          <w:rFonts w:asciiTheme="minorHAnsi" w:eastAsia="Arial" w:hAnsiTheme="minorHAnsi" w:cstheme="minorHAnsi"/>
        </w:rPr>
        <w:noBreakHyphen/>
        <w:t xml:space="preserve">specific medication days and change from baseline in the 2 Migraine Physical Function Impact Diary (MPFID) domains scores: physical impairment (PI) and impact on everyday activities (EA). </w:t>
      </w:r>
      <w:r w:rsidR="003964A2" w:rsidRPr="003964A2">
        <w:rPr>
          <w:rFonts w:asciiTheme="minorHAnsi" w:eastAsia="Arial" w:hAnsiTheme="minorHAnsi" w:cstheme="minorHAnsi"/>
        </w:rPr>
        <w:t>The MPFID measures the impact of migraine on everyday activities (EA) and physical impairment (PI) using an electronic diary administered daily. Monthly MPFID scores are averaged over 28 days, including days with and without migraine; scores are scaled from 0 to 100. Higher scores indicate worse impact on EA and PI. Reductions from baseline in MPFID scores indicate improvement</w:t>
      </w:r>
    </w:p>
    <w:p w14:paraId="60871597" w14:textId="2AAC498D" w:rsidR="00E50BB9" w:rsidRPr="00647C4F" w:rsidRDefault="00E50BB9" w:rsidP="00647C4F">
      <w:pPr>
        <w:pStyle w:val="TableCenterAlign"/>
        <w:jc w:val="both"/>
        <w:rPr>
          <w:rFonts w:asciiTheme="minorHAnsi" w:eastAsia="Arial" w:hAnsiTheme="minorHAnsi" w:cstheme="minorHAnsi"/>
        </w:rPr>
      </w:pPr>
      <w:r w:rsidRPr="00647C4F">
        <w:rPr>
          <w:rFonts w:asciiTheme="minorHAnsi" w:eastAsia="Arial" w:hAnsiTheme="minorHAnsi" w:cstheme="minorHAnsi"/>
        </w:rPr>
        <w:t xml:space="preserve">AIMOVIG treatment demonstrated statistically significant and clinically meaningful improvements from baseline during months 4-6 compared to placebo for efficacy outcomes as </w:t>
      </w:r>
      <w:proofErr w:type="spellStart"/>
      <w:r w:rsidRPr="00647C4F">
        <w:rPr>
          <w:rFonts w:asciiTheme="minorHAnsi" w:eastAsia="Arial" w:hAnsiTheme="minorHAnsi" w:cstheme="minorHAnsi"/>
        </w:rPr>
        <w:t>summarised</w:t>
      </w:r>
      <w:proofErr w:type="spellEnd"/>
      <w:r w:rsidRPr="00647C4F">
        <w:rPr>
          <w:rFonts w:asciiTheme="minorHAnsi" w:eastAsia="Arial" w:hAnsiTheme="minorHAnsi" w:cstheme="minorHAnsi"/>
        </w:rPr>
        <w:t xml:space="preserve"> in </w:t>
      </w:r>
      <w:r w:rsidRPr="00647C4F">
        <w:rPr>
          <w:rFonts w:asciiTheme="minorHAnsi" w:eastAsia="Arial" w:hAnsiTheme="minorHAnsi" w:cstheme="minorHAnsi"/>
        </w:rPr>
        <w:fldChar w:fldCharType="begin"/>
      </w:r>
      <w:r w:rsidRPr="00647C4F">
        <w:rPr>
          <w:rFonts w:asciiTheme="minorHAnsi" w:eastAsia="Arial" w:hAnsiTheme="minorHAnsi" w:cstheme="minorHAnsi"/>
        </w:rPr>
        <w:instrText xml:space="preserve"> REF _Ref482694826 \h  \* MERGEFORMAT </w:instrText>
      </w:r>
      <w:r w:rsidRPr="00647C4F">
        <w:rPr>
          <w:rFonts w:asciiTheme="minorHAnsi" w:eastAsia="Arial" w:hAnsiTheme="minorHAnsi" w:cstheme="minorHAnsi"/>
        </w:rPr>
      </w:r>
      <w:r w:rsidRPr="00647C4F">
        <w:rPr>
          <w:rFonts w:asciiTheme="minorHAnsi" w:eastAsia="Arial" w:hAnsiTheme="minorHAnsi" w:cstheme="minorHAnsi"/>
        </w:rPr>
        <w:fldChar w:fldCharType="separate"/>
      </w:r>
      <w:r w:rsidR="00250856" w:rsidRPr="00250856">
        <w:rPr>
          <w:rFonts w:asciiTheme="minorHAnsi" w:eastAsia="Arial" w:hAnsiTheme="minorHAnsi" w:cstheme="minorHAnsi"/>
        </w:rPr>
        <w:t>Figure 2</w:t>
      </w:r>
      <w:r w:rsidRPr="00647C4F">
        <w:rPr>
          <w:rFonts w:asciiTheme="minorHAnsi" w:eastAsia="Arial" w:hAnsiTheme="minorHAnsi" w:cstheme="minorHAnsi"/>
        </w:rPr>
        <w:fldChar w:fldCharType="end"/>
      </w:r>
      <w:r w:rsidRPr="00647C4F">
        <w:rPr>
          <w:rFonts w:asciiTheme="minorHAnsi" w:eastAsia="Arial" w:hAnsiTheme="minorHAnsi" w:cstheme="minorHAnsi"/>
        </w:rPr>
        <w:t xml:space="preserve"> and </w:t>
      </w:r>
      <w:r w:rsidR="00647C4F">
        <w:rPr>
          <w:rFonts w:asciiTheme="minorHAnsi" w:eastAsia="Arial" w:hAnsiTheme="minorHAnsi" w:cstheme="minorHAnsi"/>
        </w:rPr>
        <w:fldChar w:fldCharType="begin"/>
      </w:r>
      <w:r w:rsidR="00647C4F">
        <w:rPr>
          <w:rFonts w:asciiTheme="minorHAnsi" w:eastAsia="Arial" w:hAnsiTheme="minorHAnsi" w:cstheme="minorHAnsi"/>
        </w:rPr>
        <w:instrText xml:space="preserve"> REF _Ref484547720 \h  \* MERGEFORMAT </w:instrText>
      </w:r>
      <w:r w:rsidR="00647C4F">
        <w:rPr>
          <w:rFonts w:asciiTheme="minorHAnsi" w:eastAsia="Arial" w:hAnsiTheme="minorHAnsi" w:cstheme="minorHAnsi"/>
        </w:rPr>
      </w:r>
      <w:r w:rsidR="00647C4F">
        <w:rPr>
          <w:rFonts w:asciiTheme="minorHAnsi" w:eastAsia="Arial" w:hAnsiTheme="minorHAnsi" w:cstheme="minorHAnsi"/>
        </w:rPr>
        <w:fldChar w:fldCharType="separate"/>
      </w:r>
      <w:r w:rsidR="00250856" w:rsidRPr="00250856">
        <w:rPr>
          <w:rFonts w:asciiTheme="minorHAnsi" w:eastAsia="Arial" w:hAnsiTheme="minorHAnsi" w:cstheme="minorHAnsi"/>
        </w:rPr>
        <w:t>Table 4</w:t>
      </w:r>
      <w:r w:rsidR="00647C4F">
        <w:rPr>
          <w:rFonts w:asciiTheme="minorHAnsi" w:eastAsia="Arial" w:hAnsiTheme="minorHAnsi" w:cstheme="minorHAnsi"/>
        </w:rPr>
        <w:fldChar w:fldCharType="end"/>
      </w:r>
      <w:r w:rsidRPr="00647C4F">
        <w:rPr>
          <w:rFonts w:asciiTheme="minorHAnsi" w:eastAsia="Arial" w:hAnsiTheme="minorHAnsi" w:cstheme="minorHAnsi"/>
        </w:rPr>
        <w:t>. Differences from placebo were observed as early as month 1.</w:t>
      </w:r>
    </w:p>
    <w:p w14:paraId="39542AAE" w14:textId="77777777" w:rsidR="00E50BB9" w:rsidRDefault="00E50BB9" w:rsidP="00647C4F">
      <w:pPr>
        <w:suppressAutoHyphens/>
        <w:spacing w:before="60" w:after="60" w:line="240" w:lineRule="atLeast"/>
        <w:ind w:right="482"/>
        <w:contextualSpacing/>
        <w:jc w:val="both"/>
        <w:rPr>
          <w:rFonts w:eastAsia="Arial" w:cstheme="minorHAnsi"/>
          <w:spacing w:val="-5"/>
          <w:szCs w:val="20"/>
        </w:rPr>
      </w:pPr>
      <w:r w:rsidRPr="008D141E">
        <w:rPr>
          <w:rFonts w:eastAsia="Arial" w:cstheme="minorHAnsi"/>
          <w:spacing w:val="-5"/>
          <w:szCs w:val="20"/>
        </w:rPr>
        <w:t>The mean difference from placebo in the number of migraine days per month for AIMOVIG 140 mg after 4 – 6 months of treatment was 1.84 days per month on a background of 8 migraine days per month. No comparisons between the 70 mg and 140 mg AIMOVIG dose regimens were performed.</w:t>
      </w:r>
    </w:p>
    <w:p w14:paraId="6CF63378" w14:textId="77777777" w:rsidR="004719CB" w:rsidRDefault="004719CB" w:rsidP="00647C4F">
      <w:pPr>
        <w:suppressAutoHyphens/>
        <w:spacing w:before="60" w:after="60" w:line="240" w:lineRule="atLeast"/>
        <w:ind w:right="482"/>
        <w:contextualSpacing/>
        <w:jc w:val="both"/>
        <w:rPr>
          <w:rFonts w:eastAsia="Arial" w:cstheme="minorHAnsi"/>
          <w:spacing w:val="-5"/>
          <w:szCs w:val="20"/>
        </w:rPr>
      </w:pPr>
    </w:p>
    <w:p w14:paraId="3C216FC4" w14:textId="1705B7BE" w:rsidR="00E50BB9" w:rsidRPr="00E50BB9" w:rsidRDefault="00E50BB9" w:rsidP="00E50BB9">
      <w:pPr>
        <w:keepNext/>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ind w:right="482"/>
        <w:contextualSpacing/>
        <w:jc w:val="both"/>
        <w:rPr>
          <w:rFonts w:ascii="Times New Roman" w:eastAsia="Times New Roman" w:hAnsi="Times New Roman" w:cs="Times New Roman"/>
          <w:b/>
          <w:iCs/>
          <w:color w:val="000000"/>
          <w:sz w:val="24"/>
          <w:szCs w:val="18"/>
          <w:vertAlign w:val="superscript"/>
        </w:rPr>
      </w:pPr>
      <w:bookmarkStart w:id="6" w:name="_Ref482694826"/>
      <w:bookmarkStart w:id="7" w:name="_Ref482694807"/>
      <w:r w:rsidRPr="00E50BB9">
        <w:rPr>
          <w:rFonts w:ascii="Times New Roman" w:eastAsia="Times New Roman" w:hAnsi="Times New Roman" w:cs="Times New Roman"/>
          <w:b/>
          <w:iCs/>
          <w:color w:val="000000"/>
          <w:sz w:val="24"/>
          <w:szCs w:val="18"/>
        </w:rPr>
        <w:lastRenderedPageBreak/>
        <w:t xml:space="preserve">Figure </w:t>
      </w:r>
      <w:r w:rsidRPr="00E50BB9">
        <w:rPr>
          <w:rFonts w:ascii="Times New Roman" w:eastAsia="Times New Roman" w:hAnsi="Times New Roman" w:cs="Times New Roman"/>
          <w:b/>
          <w:iCs/>
          <w:color w:val="000000"/>
          <w:sz w:val="24"/>
          <w:szCs w:val="18"/>
        </w:rPr>
        <w:fldChar w:fldCharType="begin"/>
      </w:r>
      <w:r w:rsidRPr="00E50BB9">
        <w:rPr>
          <w:rFonts w:ascii="Times New Roman" w:eastAsia="Times New Roman" w:hAnsi="Times New Roman" w:cs="Times New Roman"/>
          <w:b/>
          <w:iCs/>
          <w:color w:val="000000"/>
          <w:sz w:val="24"/>
          <w:szCs w:val="18"/>
        </w:rPr>
        <w:instrText xml:space="preserve"> SEQ Figure \* ARABIC </w:instrText>
      </w:r>
      <w:r w:rsidRPr="00E50BB9">
        <w:rPr>
          <w:rFonts w:ascii="Times New Roman" w:eastAsia="Times New Roman" w:hAnsi="Times New Roman" w:cs="Times New Roman"/>
          <w:b/>
          <w:iCs/>
          <w:color w:val="000000"/>
          <w:sz w:val="24"/>
          <w:szCs w:val="18"/>
        </w:rPr>
        <w:fldChar w:fldCharType="separate"/>
      </w:r>
      <w:r w:rsidR="00250856">
        <w:rPr>
          <w:rFonts w:ascii="Times New Roman" w:eastAsia="Times New Roman" w:hAnsi="Times New Roman" w:cs="Times New Roman"/>
          <w:b/>
          <w:iCs/>
          <w:noProof/>
          <w:color w:val="000000"/>
          <w:sz w:val="24"/>
          <w:szCs w:val="18"/>
        </w:rPr>
        <w:t>2</w:t>
      </w:r>
      <w:r w:rsidRPr="00E50BB9">
        <w:rPr>
          <w:rFonts w:ascii="Times New Roman" w:eastAsia="Times New Roman" w:hAnsi="Times New Roman" w:cs="Times New Roman"/>
          <w:b/>
          <w:iCs/>
          <w:color w:val="000000"/>
          <w:sz w:val="24"/>
          <w:szCs w:val="18"/>
        </w:rPr>
        <w:fldChar w:fldCharType="end"/>
      </w:r>
      <w:bookmarkEnd w:id="6"/>
      <w:r w:rsidRPr="00E50BB9">
        <w:rPr>
          <w:rFonts w:ascii="Times New Roman" w:eastAsia="Times New Roman" w:hAnsi="Times New Roman" w:cs="Times New Roman"/>
          <w:b/>
          <w:iCs/>
          <w:color w:val="000000"/>
          <w:sz w:val="24"/>
          <w:szCs w:val="18"/>
        </w:rPr>
        <w:t xml:space="preserve"> </w:t>
      </w:r>
      <w:r w:rsidRPr="00E50BB9">
        <w:rPr>
          <w:rFonts w:ascii="Times New Roman" w:eastAsia="Times New Roman" w:hAnsi="Times New Roman" w:cs="Times New Roman"/>
          <w:b/>
          <w:iCs/>
          <w:color w:val="000000"/>
          <w:sz w:val="24"/>
          <w:szCs w:val="18"/>
        </w:rPr>
        <w:tab/>
      </w:r>
      <w:r w:rsidRPr="00E50BB9">
        <w:rPr>
          <w:rFonts w:ascii="Times New Roman" w:eastAsia="Times New Roman" w:hAnsi="Times New Roman" w:cs="Times New Roman"/>
          <w:b/>
          <w:iCs/>
          <w:color w:val="000000"/>
          <w:sz w:val="24"/>
          <w:szCs w:val="18"/>
        </w:rPr>
        <w:tab/>
        <w:t>Change From Baseline in Monthly Migraine Days in Study 2</w:t>
      </w:r>
      <w:r w:rsidRPr="00E50BB9">
        <w:rPr>
          <w:rFonts w:ascii="Times New Roman" w:eastAsia="Times New Roman" w:hAnsi="Times New Roman" w:cs="Times New Roman"/>
          <w:b/>
          <w:iCs/>
          <w:color w:val="000000"/>
          <w:sz w:val="24"/>
          <w:szCs w:val="18"/>
          <w:vertAlign w:val="superscript"/>
        </w:rPr>
        <w:t>a</w:t>
      </w:r>
      <w:bookmarkEnd w:id="7"/>
    </w:p>
    <w:p w14:paraId="69C97EB4"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4"/>
          <w:szCs w:val="24"/>
        </w:rPr>
      </w:pPr>
      <w:r w:rsidRPr="00E50BB9">
        <w:rPr>
          <w:rFonts w:ascii="Times New Roman" w:eastAsia="Times New Roman" w:hAnsi="Times New Roman" w:cs="Times New Roman"/>
          <w:b/>
          <w:noProof/>
          <w:sz w:val="24"/>
          <w:szCs w:val="24"/>
          <w:lang w:eastAsia="en-AU"/>
        </w:rPr>
        <w:drawing>
          <wp:inline distT="0" distB="0" distL="0" distR="0" wp14:anchorId="609BFCC0" wp14:editId="5B3C376D">
            <wp:extent cx="5746750" cy="3192639"/>
            <wp:effectExtent l="0" t="0" r="635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6750" cy="3192639"/>
                    </a:xfrm>
                    <a:prstGeom prst="rect">
                      <a:avLst/>
                    </a:prstGeom>
                    <a:noFill/>
                    <a:ln>
                      <a:noFill/>
                    </a:ln>
                  </pic:spPr>
                </pic:pic>
              </a:graphicData>
            </a:graphic>
          </wp:inline>
        </w:drawing>
      </w:r>
    </w:p>
    <w:p w14:paraId="37B6FFF9" w14:textId="77777777" w:rsidR="00E50BB9" w:rsidRPr="00E50BB9" w:rsidRDefault="00E50BB9" w:rsidP="00E50BB9">
      <w:pPr>
        <w:tabs>
          <w:tab w:val="left" w:pos="-720"/>
          <w:tab w:val="left" w:pos="0"/>
          <w:tab w:val="left" w:pos="142"/>
          <w:tab w:val="left" w:pos="1440"/>
          <w:tab w:val="left" w:pos="2160"/>
          <w:tab w:val="left" w:pos="2880"/>
          <w:tab w:val="left" w:pos="3600"/>
          <w:tab w:val="left" w:pos="4320"/>
        </w:tabs>
        <w:autoSpaceDE w:val="0"/>
        <w:autoSpaceDN w:val="0"/>
        <w:adjustRightInd w:val="0"/>
        <w:spacing w:before="120" w:after="0" w:line="240" w:lineRule="auto"/>
        <w:contextualSpacing/>
        <w:jc w:val="both"/>
        <w:rPr>
          <w:rFonts w:ascii="Times New Roman" w:eastAsia="Times New Roman" w:hAnsi="Times New Roman" w:cs="Times New Roman"/>
          <w:sz w:val="20"/>
          <w:szCs w:val="20"/>
        </w:rPr>
      </w:pPr>
      <w:proofErr w:type="spellStart"/>
      <w:r w:rsidRPr="00E50BB9">
        <w:rPr>
          <w:rFonts w:ascii="Times New Roman" w:eastAsia="Times New Roman" w:hAnsi="Times New Roman" w:cs="Times New Roman"/>
          <w:sz w:val="20"/>
          <w:szCs w:val="20"/>
          <w:vertAlign w:val="superscript"/>
        </w:rPr>
        <w:t>a</w:t>
      </w:r>
      <w:proofErr w:type="spellEnd"/>
      <w:r w:rsidRPr="00E50BB9">
        <w:rPr>
          <w:rFonts w:ascii="Times New Roman" w:eastAsia="Times New Roman" w:hAnsi="Times New Roman" w:cs="Times New Roman"/>
          <w:sz w:val="20"/>
          <w:szCs w:val="20"/>
          <w:vertAlign w:val="superscript"/>
        </w:rPr>
        <w:t xml:space="preserve"> </w:t>
      </w:r>
      <w:r w:rsidRPr="00E50BB9">
        <w:rPr>
          <w:rFonts w:ascii="Times New Roman" w:eastAsia="Times New Roman" w:hAnsi="Times New Roman" w:cs="Times New Roman"/>
          <w:sz w:val="20"/>
          <w:szCs w:val="20"/>
        </w:rPr>
        <w:t>Least-square means and 95% confidence intervals are presented.</w:t>
      </w:r>
      <w:r w:rsidRPr="00E50BB9">
        <w:rPr>
          <w:rFonts w:ascii="Times New Roman" w:eastAsia="Times New Roman" w:hAnsi="Times New Roman" w:cs="Times New Roman"/>
          <w:sz w:val="20"/>
          <w:szCs w:val="20"/>
        </w:rPr>
        <w:br/>
        <w:t>The p-value for the difference in least-square means between erenumab and placebo assessed as the average over Months 4, 5, and 6 (primary outcome measure) was &lt; 0.001.</w:t>
      </w:r>
    </w:p>
    <w:p w14:paraId="0286CBCD" w14:textId="77777777" w:rsidR="00E50BB9" w:rsidRPr="00E50BB9" w:rsidRDefault="00E50BB9" w:rsidP="00E50BB9">
      <w:pPr>
        <w:tabs>
          <w:tab w:val="left" w:pos="-720"/>
          <w:tab w:val="left" w:pos="0"/>
          <w:tab w:val="left" w:pos="142"/>
          <w:tab w:val="left" w:pos="1440"/>
          <w:tab w:val="left" w:pos="2160"/>
          <w:tab w:val="left" w:pos="2880"/>
          <w:tab w:val="left" w:pos="3600"/>
          <w:tab w:val="left" w:pos="4320"/>
        </w:tabs>
        <w:autoSpaceDE w:val="0"/>
        <w:autoSpaceDN w:val="0"/>
        <w:adjustRightInd w:val="0"/>
        <w:spacing w:before="120" w:after="0" w:line="240" w:lineRule="auto"/>
        <w:contextualSpacing/>
        <w:jc w:val="both"/>
        <w:rPr>
          <w:rFonts w:ascii="Times New Roman" w:eastAsia="Times New Roman" w:hAnsi="Times New Roman" w:cs="Times New Roman"/>
          <w:sz w:val="20"/>
          <w:szCs w:val="20"/>
          <w:vertAlign w:val="superscript"/>
        </w:rPr>
      </w:pPr>
    </w:p>
    <w:p w14:paraId="084530DF" w14:textId="5798F6C4" w:rsidR="00E50BB9" w:rsidRPr="00E50BB9" w:rsidRDefault="00E50BB9" w:rsidP="00E50BB9">
      <w:pPr>
        <w:spacing w:after="0" w:line="240" w:lineRule="auto"/>
        <w:ind w:left="1122" w:hanging="1122"/>
        <w:rPr>
          <w:rFonts w:ascii="Times New Roman" w:eastAsia="Times New Roman" w:hAnsi="Times New Roman" w:cs="Times New Roman"/>
          <w:b/>
          <w:iCs/>
          <w:color w:val="000000"/>
          <w:sz w:val="24"/>
          <w:szCs w:val="18"/>
        </w:rPr>
      </w:pPr>
      <w:bookmarkStart w:id="8" w:name="_Ref484547720"/>
      <w:bookmarkStart w:id="9" w:name="_Ref484547712"/>
      <w:r w:rsidRPr="00E50BB9">
        <w:rPr>
          <w:rFonts w:ascii="Times New Roman" w:eastAsia="Times New Roman" w:hAnsi="Times New Roman" w:cs="Times New Roman"/>
          <w:b/>
          <w:iCs/>
          <w:color w:val="000000"/>
          <w:sz w:val="24"/>
          <w:szCs w:val="18"/>
        </w:rPr>
        <w:t xml:space="preserve">Table </w:t>
      </w:r>
      <w:r w:rsidRPr="00E50BB9">
        <w:rPr>
          <w:rFonts w:ascii="Times New Roman" w:eastAsia="Times New Roman" w:hAnsi="Times New Roman" w:cs="Times New Roman"/>
          <w:b/>
          <w:iCs/>
          <w:color w:val="000000"/>
          <w:sz w:val="24"/>
          <w:szCs w:val="18"/>
        </w:rPr>
        <w:fldChar w:fldCharType="begin"/>
      </w:r>
      <w:r w:rsidRPr="00E50BB9">
        <w:rPr>
          <w:rFonts w:ascii="Times New Roman" w:eastAsia="Times New Roman" w:hAnsi="Times New Roman" w:cs="Times New Roman"/>
          <w:b/>
          <w:iCs/>
          <w:color w:val="000000"/>
          <w:sz w:val="24"/>
          <w:szCs w:val="18"/>
        </w:rPr>
        <w:instrText xml:space="preserve"> SEQ Table \* ARABIC </w:instrText>
      </w:r>
      <w:r w:rsidRPr="00E50BB9">
        <w:rPr>
          <w:rFonts w:ascii="Times New Roman" w:eastAsia="Times New Roman" w:hAnsi="Times New Roman" w:cs="Times New Roman"/>
          <w:b/>
          <w:iCs/>
          <w:color w:val="000000"/>
          <w:sz w:val="24"/>
          <w:szCs w:val="18"/>
        </w:rPr>
        <w:fldChar w:fldCharType="separate"/>
      </w:r>
      <w:r w:rsidR="00250856">
        <w:rPr>
          <w:rFonts w:ascii="Times New Roman" w:eastAsia="Times New Roman" w:hAnsi="Times New Roman" w:cs="Times New Roman"/>
          <w:b/>
          <w:iCs/>
          <w:noProof/>
          <w:color w:val="000000"/>
          <w:sz w:val="24"/>
          <w:szCs w:val="18"/>
        </w:rPr>
        <w:t>4</w:t>
      </w:r>
      <w:r w:rsidRPr="00E50BB9">
        <w:rPr>
          <w:rFonts w:ascii="Times New Roman" w:eastAsia="Times New Roman" w:hAnsi="Times New Roman" w:cs="Times New Roman"/>
          <w:b/>
          <w:iCs/>
          <w:color w:val="000000"/>
          <w:sz w:val="24"/>
          <w:szCs w:val="18"/>
        </w:rPr>
        <w:fldChar w:fldCharType="end"/>
      </w:r>
      <w:bookmarkEnd w:id="8"/>
      <w:r w:rsidRPr="00E50BB9">
        <w:rPr>
          <w:rFonts w:ascii="Times New Roman" w:eastAsia="Times New Roman" w:hAnsi="Times New Roman" w:cs="Times New Roman"/>
          <w:b/>
          <w:iCs/>
          <w:color w:val="000000"/>
          <w:sz w:val="24"/>
          <w:szCs w:val="18"/>
        </w:rPr>
        <w:t xml:space="preserve"> </w:t>
      </w:r>
      <w:r w:rsidRPr="00E50BB9">
        <w:rPr>
          <w:rFonts w:ascii="Times New Roman" w:eastAsia="Times New Roman" w:hAnsi="Times New Roman" w:cs="Times New Roman"/>
          <w:b/>
          <w:iCs/>
          <w:color w:val="000000"/>
          <w:sz w:val="24"/>
          <w:szCs w:val="18"/>
        </w:rPr>
        <w:tab/>
        <w:t>Change from baseline in efficacy and patient reported outcomes at Weeks 13-24 in Study 2</w:t>
      </w:r>
      <w:bookmarkEnd w:id="9"/>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61"/>
        <w:gridCol w:w="1387"/>
        <w:gridCol w:w="1392"/>
        <w:gridCol w:w="1293"/>
        <w:gridCol w:w="2167"/>
        <w:gridCol w:w="916"/>
      </w:tblGrid>
      <w:tr w:rsidR="00E50BB9" w:rsidRPr="00E50BB9" w14:paraId="5F1FFF39" w14:textId="77777777" w:rsidTr="004C584E">
        <w:tc>
          <w:tcPr>
            <w:tcW w:w="1032" w:type="pct"/>
            <w:tcBorders>
              <w:top w:val="single" w:sz="4" w:space="0" w:color="auto"/>
              <w:bottom w:val="single" w:sz="4" w:space="0" w:color="auto"/>
            </w:tcBorders>
            <w:shd w:val="clear" w:color="auto" w:fill="auto"/>
            <w:vAlign w:val="center"/>
          </w:tcPr>
          <w:p w14:paraId="617093BC"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p>
        </w:tc>
        <w:tc>
          <w:tcPr>
            <w:tcW w:w="769" w:type="pct"/>
            <w:tcBorders>
              <w:top w:val="single" w:sz="4" w:space="0" w:color="auto"/>
              <w:bottom w:val="single" w:sz="4" w:space="0" w:color="auto"/>
            </w:tcBorders>
            <w:shd w:val="clear" w:color="auto" w:fill="auto"/>
            <w:vAlign w:val="center"/>
          </w:tcPr>
          <w:p w14:paraId="36E0710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Aimovig 140 mg</w:t>
            </w:r>
          </w:p>
          <w:p w14:paraId="5B5CC6A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(n = 318)</w:t>
            </w:r>
          </w:p>
        </w:tc>
        <w:tc>
          <w:tcPr>
            <w:tcW w:w="772" w:type="pct"/>
            <w:tcBorders>
              <w:top w:val="single" w:sz="4" w:space="0" w:color="auto"/>
              <w:bottom w:val="single" w:sz="4" w:space="0" w:color="auto"/>
            </w:tcBorders>
            <w:vAlign w:val="center"/>
          </w:tcPr>
          <w:p w14:paraId="113DB57C"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Aimovig 70 mg</w:t>
            </w:r>
          </w:p>
          <w:p w14:paraId="07680E1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(n = 312)</w:t>
            </w:r>
          </w:p>
        </w:tc>
        <w:tc>
          <w:tcPr>
            <w:tcW w:w="717" w:type="pct"/>
            <w:tcBorders>
              <w:top w:val="single" w:sz="4" w:space="0" w:color="auto"/>
              <w:bottom w:val="single" w:sz="4" w:space="0" w:color="auto"/>
            </w:tcBorders>
            <w:shd w:val="clear" w:color="auto" w:fill="auto"/>
            <w:vAlign w:val="center"/>
          </w:tcPr>
          <w:p w14:paraId="3DF18377"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Placebo</w:t>
            </w:r>
          </w:p>
          <w:p w14:paraId="754D306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(n = 316)</w:t>
            </w:r>
          </w:p>
        </w:tc>
        <w:tc>
          <w:tcPr>
            <w:tcW w:w="1202" w:type="pct"/>
            <w:tcBorders>
              <w:top w:val="single" w:sz="4" w:space="0" w:color="auto"/>
              <w:bottom w:val="single" w:sz="4" w:space="0" w:color="auto"/>
            </w:tcBorders>
            <w:shd w:val="clear" w:color="auto" w:fill="auto"/>
            <w:vAlign w:val="center"/>
          </w:tcPr>
          <w:p w14:paraId="2D47379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Treatment difference / Odds ratio (95% CI)</w:t>
            </w:r>
          </w:p>
        </w:tc>
        <w:tc>
          <w:tcPr>
            <w:tcW w:w="508" w:type="pct"/>
            <w:tcBorders>
              <w:top w:val="single" w:sz="4" w:space="0" w:color="auto"/>
              <w:bottom w:val="single" w:sz="4" w:space="0" w:color="auto"/>
            </w:tcBorders>
            <w:vAlign w:val="center"/>
          </w:tcPr>
          <w:p w14:paraId="202C50A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p</w:t>
            </w:r>
            <w:r w:rsidRPr="00E50BB9">
              <w:rPr>
                <w:rFonts w:ascii="Times New Roman" w:eastAsia="Times New Roman" w:hAnsi="Times New Roman" w:cs="Times New Roman"/>
                <w:b/>
                <w:sz w:val="20"/>
                <w:szCs w:val="20"/>
                <w:lang w:val="en-GB"/>
              </w:rPr>
              <w:noBreakHyphen/>
            </w:r>
            <w:proofErr w:type="spellStart"/>
            <w:r w:rsidRPr="00E50BB9">
              <w:rPr>
                <w:rFonts w:ascii="Times New Roman" w:eastAsia="Times New Roman" w:hAnsi="Times New Roman" w:cs="Times New Roman"/>
                <w:b/>
                <w:sz w:val="20"/>
                <w:szCs w:val="20"/>
                <w:lang w:val="en-GB"/>
              </w:rPr>
              <w:t>value</w:t>
            </w:r>
            <w:r w:rsidRPr="00647C4F">
              <w:rPr>
                <w:rFonts w:ascii="Times New Roman" w:eastAsia="Times New Roman" w:hAnsi="Times New Roman" w:cs="Times New Roman"/>
                <w:b/>
                <w:sz w:val="20"/>
                <w:szCs w:val="20"/>
                <w:vertAlign w:val="superscript"/>
                <w:lang w:val="en-GB"/>
              </w:rPr>
              <w:t>a</w:t>
            </w:r>
            <w:proofErr w:type="spellEnd"/>
          </w:p>
        </w:tc>
      </w:tr>
      <w:tr w:rsidR="00E50BB9" w:rsidRPr="00E50BB9" w14:paraId="2F71D3E9" w14:textId="77777777" w:rsidTr="00E50BB9">
        <w:tc>
          <w:tcPr>
            <w:tcW w:w="5000" w:type="pct"/>
            <w:gridSpan w:val="6"/>
            <w:tcBorders>
              <w:top w:val="single" w:sz="4" w:space="0" w:color="auto"/>
            </w:tcBorders>
            <w:shd w:val="clear" w:color="auto" w:fill="auto"/>
            <w:vAlign w:val="center"/>
          </w:tcPr>
          <w:p w14:paraId="698F09A4"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Efficacy outcomes</w:t>
            </w:r>
          </w:p>
        </w:tc>
      </w:tr>
      <w:tr w:rsidR="00E50BB9" w:rsidRPr="00E50BB9" w14:paraId="12BF3E73" w14:textId="77777777" w:rsidTr="00E50BB9">
        <w:tc>
          <w:tcPr>
            <w:tcW w:w="1032" w:type="pct"/>
            <w:tcBorders>
              <w:top w:val="single" w:sz="4" w:space="0" w:color="auto"/>
            </w:tcBorders>
            <w:shd w:val="clear" w:color="auto" w:fill="auto"/>
            <w:vAlign w:val="center"/>
          </w:tcPr>
          <w:p w14:paraId="3CDB6ABC"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Monthly migraine days (MMD)</w:t>
            </w:r>
          </w:p>
          <w:p w14:paraId="489A870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Mean </w:t>
            </w:r>
            <w:proofErr w:type="spellStart"/>
            <w:r w:rsidRPr="00E50BB9">
              <w:rPr>
                <w:rFonts w:ascii="Times New Roman" w:eastAsia="Times New Roman" w:hAnsi="Times New Roman" w:cs="Times New Roman"/>
                <w:sz w:val="20"/>
                <w:szCs w:val="20"/>
                <w:lang w:val="en-GB"/>
              </w:rPr>
              <w:t>change</w:t>
            </w:r>
            <w:r w:rsidRPr="00647C4F">
              <w:rPr>
                <w:rFonts w:ascii="Times New Roman" w:eastAsia="Times New Roman" w:hAnsi="Times New Roman" w:cs="Times New Roman"/>
                <w:sz w:val="20"/>
                <w:szCs w:val="20"/>
                <w:vertAlign w:val="superscript"/>
                <w:lang w:val="en-GB"/>
              </w:rPr>
              <w:t>b</w:t>
            </w:r>
            <w:proofErr w:type="spellEnd"/>
            <w:r w:rsidRPr="00E50BB9">
              <w:rPr>
                <w:rFonts w:ascii="Times New Roman" w:eastAsia="Times New Roman" w:hAnsi="Times New Roman" w:cs="Times New Roman"/>
                <w:sz w:val="20"/>
                <w:szCs w:val="20"/>
                <w:lang w:val="en-GB"/>
              </w:rPr>
              <w:t xml:space="preserve"> (95% CI)</w:t>
            </w:r>
          </w:p>
        </w:tc>
        <w:tc>
          <w:tcPr>
            <w:tcW w:w="769" w:type="pct"/>
            <w:tcBorders>
              <w:top w:val="single" w:sz="4" w:space="0" w:color="auto"/>
            </w:tcBorders>
            <w:shd w:val="clear" w:color="auto" w:fill="auto"/>
            <w:vAlign w:val="center"/>
          </w:tcPr>
          <w:p w14:paraId="6B3A5A5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38A812F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22ED8965"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3.67 (</w:t>
            </w:r>
            <w:r w:rsidRPr="00E50BB9">
              <w:rPr>
                <w:rFonts w:ascii="Times New Roman" w:eastAsia="Times New Roman" w:hAnsi="Times New Roman" w:cs="Times New Roman"/>
                <w:sz w:val="20"/>
                <w:szCs w:val="20"/>
                <w:lang w:val="en-GB"/>
              </w:rPr>
              <w:noBreakHyphen/>
              <w:t xml:space="preserve">4.02; </w:t>
            </w:r>
            <w:r w:rsidRPr="00E50BB9">
              <w:rPr>
                <w:rFonts w:ascii="Times New Roman" w:eastAsia="Times New Roman" w:hAnsi="Times New Roman" w:cs="Times New Roman"/>
                <w:sz w:val="20"/>
                <w:szCs w:val="20"/>
                <w:lang w:val="en-GB"/>
              </w:rPr>
              <w:noBreakHyphen/>
              <w:t>3.33)</w:t>
            </w:r>
          </w:p>
        </w:tc>
        <w:tc>
          <w:tcPr>
            <w:tcW w:w="772" w:type="pct"/>
            <w:tcBorders>
              <w:top w:val="single" w:sz="4" w:space="0" w:color="auto"/>
            </w:tcBorders>
            <w:vAlign w:val="center"/>
          </w:tcPr>
          <w:p w14:paraId="0DBCA97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19BE9998"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401721C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-3.23 (-3.58, -2.88)</w:t>
            </w:r>
          </w:p>
        </w:tc>
        <w:tc>
          <w:tcPr>
            <w:tcW w:w="717" w:type="pct"/>
            <w:tcBorders>
              <w:top w:val="single" w:sz="4" w:space="0" w:color="auto"/>
            </w:tcBorders>
            <w:shd w:val="clear" w:color="auto" w:fill="auto"/>
            <w:vAlign w:val="center"/>
          </w:tcPr>
          <w:p w14:paraId="5276B22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2E9DF948"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7D711AF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1.83 (</w:t>
            </w:r>
            <w:r w:rsidRPr="00E50BB9">
              <w:rPr>
                <w:rFonts w:ascii="Times New Roman" w:eastAsia="Times New Roman" w:hAnsi="Times New Roman" w:cs="Times New Roman"/>
                <w:sz w:val="20"/>
                <w:szCs w:val="20"/>
                <w:lang w:val="en-GB"/>
              </w:rPr>
              <w:noBreakHyphen/>
              <w:t xml:space="preserve">2.18; </w:t>
            </w:r>
            <w:r w:rsidRPr="00E50BB9">
              <w:rPr>
                <w:rFonts w:ascii="Times New Roman" w:eastAsia="Times New Roman" w:hAnsi="Times New Roman" w:cs="Times New Roman"/>
                <w:sz w:val="20"/>
                <w:szCs w:val="20"/>
                <w:lang w:val="en-GB"/>
              </w:rPr>
              <w:noBreakHyphen/>
              <w:t>1.48)</w:t>
            </w:r>
          </w:p>
        </w:tc>
        <w:tc>
          <w:tcPr>
            <w:tcW w:w="1202" w:type="pct"/>
            <w:tcBorders>
              <w:top w:val="single" w:sz="4" w:space="0" w:color="auto"/>
            </w:tcBorders>
            <w:shd w:val="clear" w:color="auto" w:fill="auto"/>
            <w:vAlign w:val="center"/>
          </w:tcPr>
          <w:p w14:paraId="77237CF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277D313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TD</w:t>
            </w:r>
          </w:p>
          <w:p w14:paraId="08D715E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140 mg: </w:t>
            </w:r>
            <w:r w:rsidRPr="00E50BB9">
              <w:rPr>
                <w:rFonts w:ascii="Times New Roman" w:eastAsia="Times New Roman" w:hAnsi="Times New Roman" w:cs="Times New Roman"/>
                <w:sz w:val="20"/>
                <w:szCs w:val="20"/>
                <w:lang w:val="en-GB"/>
              </w:rPr>
              <w:noBreakHyphen/>
              <w:t>1.85 (</w:t>
            </w:r>
            <w:r w:rsidRPr="00E50BB9">
              <w:rPr>
                <w:rFonts w:ascii="Times New Roman" w:eastAsia="Times New Roman" w:hAnsi="Times New Roman" w:cs="Times New Roman"/>
                <w:sz w:val="20"/>
                <w:szCs w:val="20"/>
                <w:lang w:val="en-GB"/>
              </w:rPr>
              <w:noBreakHyphen/>
              <w:t xml:space="preserve">2.33; </w:t>
            </w:r>
            <w:r w:rsidRPr="00E50BB9">
              <w:rPr>
                <w:rFonts w:ascii="Times New Roman" w:eastAsia="Times New Roman" w:hAnsi="Times New Roman" w:cs="Times New Roman"/>
                <w:sz w:val="20"/>
                <w:szCs w:val="20"/>
                <w:lang w:val="en-GB"/>
              </w:rPr>
              <w:noBreakHyphen/>
              <w:t>1.37)</w:t>
            </w:r>
          </w:p>
          <w:p w14:paraId="3E710F5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70 mg: -1.40 (-1.88, -0.92)</w:t>
            </w:r>
          </w:p>
        </w:tc>
        <w:tc>
          <w:tcPr>
            <w:tcW w:w="507" w:type="pct"/>
            <w:tcBorders>
              <w:top w:val="single" w:sz="4" w:space="0" w:color="auto"/>
            </w:tcBorders>
            <w:vAlign w:val="center"/>
          </w:tcPr>
          <w:p w14:paraId="1266928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4107D5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7A652B2"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&lt;0.001</w:t>
            </w:r>
          </w:p>
        </w:tc>
      </w:tr>
      <w:tr w:rsidR="00E50BB9" w:rsidRPr="00E50BB9" w14:paraId="7823B198" w14:textId="77777777" w:rsidTr="00E50BB9">
        <w:tc>
          <w:tcPr>
            <w:tcW w:w="1032" w:type="pct"/>
            <w:tcBorders>
              <w:top w:val="single" w:sz="4" w:space="0" w:color="auto"/>
            </w:tcBorders>
            <w:shd w:val="clear" w:color="auto" w:fill="auto"/>
            <w:vAlign w:val="center"/>
          </w:tcPr>
          <w:p w14:paraId="4DCB75B4"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≥50% MMD </w:t>
            </w:r>
            <w:proofErr w:type="spellStart"/>
            <w:r w:rsidRPr="00E50BB9">
              <w:rPr>
                <w:rFonts w:ascii="Times New Roman" w:eastAsia="Times New Roman" w:hAnsi="Times New Roman" w:cs="Times New Roman"/>
                <w:sz w:val="20"/>
                <w:szCs w:val="20"/>
                <w:lang w:val="en-GB"/>
              </w:rPr>
              <w:t>responders</w:t>
            </w:r>
            <w:r w:rsidRPr="00647C4F">
              <w:rPr>
                <w:rFonts w:ascii="Times New Roman" w:eastAsia="Times New Roman" w:hAnsi="Times New Roman" w:cs="Times New Roman"/>
                <w:sz w:val="20"/>
                <w:szCs w:val="20"/>
                <w:vertAlign w:val="superscript"/>
                <w:lang w:val="en-GB"/>
              </w:rPr>
              <w:t>c</w:t>
            </w:r>
            <w:proofErr w:type="spellEnd"/>
          </w:p>
          <w:p w14:paraId="116F4F8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Percentage [%]</w:t>
            </w:r>
          </w:p>
        </w:tc>
        <w:tc>
          <w:tcPr>
            <w:tcW w:w="769" w:type="pct"/>
            <w:tcBorders>
              <w:top w:val="single" w:sz="4" w:space="0" w:color="auto"/>
            </w:tcBorders>
            <w:shd w:val="clear" w:color="auto" w:fill="auto"/>
            <w:vAlign w:val="center"/>
          </w:tcPr>
          <w:p w14:paraId="764A1540"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131E2F17"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50.0</w:t>
            </w:r>
          </w:p>
        </w:tc>
        <w:tc>
          <w:tcPr>
            <w:tcW w:w="772" w:type="pct"/>
            <w:tcBorders>
              <w:top w:val="single" w:sz="4" w:space="0" w:color="auto"/>
            </w:tcBorders>
            <w:vAlign w:val="center"/>
          </w:tcPr>
          <w:p w14:paraId="08013C22"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326C8F5D"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43.3%</w:t>
            </w:r>
          </w:p>
        </w:tc>
        <w:tc>
          <w:tcPr>
            <w:tcW w:w="717" w:type="pct"/>
            <w:tcBorders>
              <w:top w:val="single" w:sz="4" w:space="0" w:color="auto"/>
            </w:tcBorders>
            <w:shd w:val="clear" w:color="auto" w:fill="auto"/>
            <w:vAlign w:val="center"/>
          </w:tcPr>
          <w:p w14:paraId="09C4A04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574688A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26.6</w:t>
            </w:r>
          </w:p>
        </w:tc>
        <w:tc>
          <w:tcPr>
            <w:tcW w:w="1202" w:type="pct"/>
            <w:tcBorders>
              <w:top w:val="single" w:sz="4" w:space="0" w:color="auto"/>
            </w:tcBorders>
            <w:shd w:val="clear" w:color="auto" w:fill="auto"/>
            <w:vAlign w:val="center"/>
          </w:tcPr>
          <w:p w14:paraId="47F66BD4"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roofErr w:type="spellStart"/>
            <w:r w:rsidRPr="00E50BB9">
              <w:rPr>
                <w:rFonts w:ascii="Times New Roman" w:eastAsia="Times New Roman" w:hAnsi="Times New Roman" w:cs="Times New Roman"/>
                <w:sz w:val="20"/>
                <w:szCs w:val="20"/>
                <w:lang w:val="en-GB"/>
              </w:rPr>
              <w:t>OR</w:t>
            </w:r>
            <w:r w:rsidRPr="00E50BB9">
              <w:rPr>
                <w:rFonts w:ascii="Times New Roman" w:eastAsia="Times New Roman" w:hAnsi="Times New Roman" w:cs="Times New Roman"/>
                <w:sz w:val="20"/>
                <w:szCs w:val="20"/>
                <w:vertAlign w:val="superscript"/>
                <w:lang w:val="en-GB"/>
              </w:rPr>
              <w:t>d</w:t>
            </w:r>
            <w:proofErr w:type="spellEnd"/>
          </w:p>
          <w:p w14:paraId="53937E14"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ab/>
              <w:t>140 mg: 2.81 (2.01, 3.94)</w:t>
            </w:r>
          </w:p>
          <w:p w14:paraId="5C58ABD7"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70 mg: 2.13 (1.52, 2.98)</w:t>
            </w:r>
          </w:p>
        </w:tc>
        <w:tc>
          <w:tcPr>
            <w:tcW w:w="507" w:type="pct"/>
            <w:tcBorders>
              <w:top w:val="single" w:sz="4" w:space="0" w:color="auto"/>
            </w:tcBorders>
            <w:vAlign w:val="center"/>
          </w:tcPr>
          <w:p w14:paraId="50C54A7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3BC7B97D"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&lt;0.001</w:t>
            </w:r>
          </w:p>
        </w:tc>
      </w:tr>
      <w:tr w:rsidR="00E50BB9" w:rsidRPr="00E50BB9" w14:paraId="3C8F29F9" w14:textId="77777777" w:rsidTr="00E50BB9">
        <w:tc>
          <w:tcPr>
            <w:tcW w:w="1032" w:type="pct"/>
            <w:tcBorders>
              <w:top w:val="single" w:sz="4" w:space="0" w:color="auto"/>
            </w:tcBorders>
            <w:shd w:val="clear" w:color="auto" w:fill="auto"/>
            <w:vAlign w:val="center"/>
          </w:tcPr>
          <w:p w14:paraId="0C61157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Monthly acute migraine-specific medication </w:t>
            </w:r>
            <w:proofErr w:type="spellStart"/>
            <w:r w:rsidRPr="00E50BB9">
              <w:rPr>
                <w:rFonts w:ascii="Times New Roman" w:eastAsia="Times New Roman" w:hAnsi="Times New Roman" w:cs="Times New Roman"/>
                <w:sz w:val="20"/>
                <w:szCs w:val="20"/>
                <w:lang w:val="en-GB"/>
              </w:rPr>
              <w:t>days</w:t>
            </w:r>
            <w:r w:rsidRPr="00647C4F">
              <w:rPr>
                <w:rFonts w:ascii="Times New Roman" w:eastAsia="Times New Roman" w:hAnsi="Times New Roman" w:cs="Times New Roman"/>
                <w:sz w:val="20"/>
                <w:szCs w:val="20"/>
                <w:vertAlign w:val="superscript"/>
                <w:lang w:val="en-GB"/>
              </w:rPr>
              <w:t>e</w:t>
            </w:r>
            <w:proofErr w:type="spellEnd"/>
          </w:p>
          <w:p w14:paraId="0381832D"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Mean </w:t>
            </w:r>
            <w:proofErr w:type="spellStart"/>
            <w:r w:rsidRPr="00E50BB9">
              <w:rPr>
                <w:rFonts w:ascii="Times New Roman" w:eastAsia="Times New Roman" w:hAnsi="Times New Roman" w:cs="Times New Roman"/>
                <w:sz w:val="20"/>
                <w:szCs w:val="20"/>
                <w:lang w:val="en-GB"/>
              </w:rPr>
              <w:t>change</w:t>
            </w:r>
            <w:r w:rsidRPr="00647C4F">
              <w:rPr>
                <w:rFonts w:ascii="Times New Roman" w:eastAsia="Times New Roman" w:hAnsi="Times New Roman" w:cs="Times New Roman"/>
                <w:sz w:val="20"/>
                <w:szCs w:val="20"/>
                <w:vertAlign w:val="superscript"/>
                <w:lang w:val="en-GB"/>
              </w:rPr>
              <w:t>b</w:t>
            </w:r>
            <w:proofErr w:type="spellEnd"/>
            <w:r w:rsidRPr="00E50BB9">
              <w:rPr>
                <w:rFonts w:ascii="Times New Roman" w:eastAsia="Times New Roman" w:hAnsi="Times New Roman" w:cs="Times New Roman"/>
                <w:sz w:val="20"/>
                <w:szCs w:val="20"/>
                <w:lang w:val="en-GB"/>
              </w:rPr>
              <w:t xml:space="preserve"> (95% CI)</w:t>
            </w:r>
          </w:p>
        </w:tc>
        <w:tc>
          <w:tcPr>
            <w:tcW w:w="769" w:type="pct"/>
            <w:tcBorders>
              <w:top w:val="single" w:sz="4" w:space="0" w:color="auto"/>
            </w:tcBorders>
            <w:shd w:val="clear" w:color="auto" w:fill="auto"/>
            <w:vAlign w:val="center"/>
          </w:tcPr>
          <w:p w14:paraId="1A91FC0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6D7DCE70"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E65863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1.61 (</w:t>
            </w:r>
            <w:r w:rsidRPr="00E50BB9">
              <w:rPr>
                <w:rFonts w:ascii="Times New Roman" w:eastAsia="Times New Roman" w:hAnsi="Times New Roman" w:cs="Times New Roman"/>
                <w:sz w:val="20"/>
                <w:szCs w:val="20"/>
                <w:lang w:val="en-GB"/>
              </w:rPr>
              <w:noBreakHyphen/>
              <w:t xml:space="preserve">1.83; </w:t>
            </w:r>
            <w:r w:rsidRPr="00E50BB9">
              <w:rPr>
                <w:rFonts w:ascii="Times New Roman" w:eastAsia="Times New Roman" w:hAnsi="Times New Roman" w:cs="Times New Roman"/>
                <w:sz w:val="20"/>
                <w:szCs w:val="20"/>
                <w:lang w:val="en-GB"/>
              </w:rPr>
              <w:noBreakHyphen/>
              <w:t>1.40)</w:t>
            </w:r>
          </w:p>
        </w:tc>
        <w:tc>
          <w:tcPr>
            <w:tcW w:w="772" w:type="pct"/>
            <w:tcBorders>
              <w:top w:val="single" w:sz="4" w:space="0" w:color="auto"/>
            </w:tcBorders>
            <w:vAlign w:val="center"/>
          </w:tcPr>
          <w:p w14:paraId="67DBAD32"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71904B9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47B13720"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-1.13 ((-1.34, -0.92))</w:t>
            </w:r>
          </w:p>
        </w:tc>
        <w:tc>
          <w:tcPr>
            <w:tcW w:w="717" w:type="pct"/>
            <w:tcBorders>
              <w:top w:val="single" w:sz="4" w:space="0" w:color="auto"/>
            </w:tcBorders>
            <w:shd w:val="clear" w:color="auto" w:fill="auto"/>
            <w:vAlign w:val="center"/>
          </w:tcPr>
          <w:p w14:paraId="749C9AE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36F0107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32B4C96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0.20 (</w:t>
            </w:r>
            <w:r w:rsidRPr="00E50BB9">
              <w:rPr>
                <w:rFonts w:ascii="Times New Roman" w:eastAsia="Times New Roman" w:hAnsi="Times New Roman" w:cs="Times New Roman"/>
                <w:sz w:val="20"/>
                <w:szCs w:val="20"/>
                <w:lang w:val="en-GB"/>
              </w:rPr>
              <w:noBreakHyphen/>
              <w:t>0.41; 0.02)</w:t>
            </w:r>
          </w:p>
        </w:tc>
        <w:tc>
          <w:tcPr>
            <w:tcW w:w="1202" w:type="pct"/>
            <w:tcBorders>
              <w:top w:val="single" w:sz="4" w:space="0" w:color="auto"/>
            </w:tcBorders>
            <w:shd w:val="clear" w:color="auto" w:fill="auto"/>
            <w:vAlign w:val="center"/>
          </w:tcPr>
          <w:p w14:paraId="5C9F26E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60A4EF8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TD</w:t>
            </w:r>
          </w:p>
          <w:p w14:paraId="3286901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140 mg: </w:t>
            </w:r>
            <w:r w:rsidRPr="00E50BB9">
              <w:rPr>
                <w:rFonts w:ascii="Times New Roman" w:eastAsia="Times New Roman" w:hAnsi="Times New Roman" w:cs="Times New Roman"/>
                <w:sz w:val="20"/>
                <w:szCs w:val="20"/>
                <w:lang w:val="en-GB"/>
              </w:rPr>
              <w:noBreakHyphen/>
              <w:t>1.42 (</w:t>
            </w:r>
            <w:r w:rsidRPr="00E50BB9">
              <w:rPr>
                <w:rFonts w:ascii="Times New Roman" w:eastAsia="Times New Roman" w:hAnsi="Times New Roman" w:cs="Times New Roman"/>
                <w:sz w:val="20"/>
                <w:szCs w:val="20"/>
                <w:lang w:val="en-GB"/>
              </w:rPr>
              <w:noBreakHyphen/>
              <w:t xml:space="preserve">1.71; </w:t>
            </w:r>
            <w:r w:rsidRPr="00E50BB9">
              <w:rPr>
                <w:rFonts w:ascii="Times New Roman" w:eastAsia="Times New Roman" w:hAnsi="Times New Roman" w:cs="Times New Roman"/>
                <w:sz w:val="20"/>
                <w:szCs w:val="20"/>
                <w:lang w:val="en-GB"/>
              </w:rPr>
              <w:noBreakHyphen/>
              <w:t>1.12)</w:t>
            </w:r>
          </w:p>
          <w:p w14:paraId="6F52D86F"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70 mg: -0.94 (-1.23, -0.64)</w:t>
            </w:r>
          </w:p>
        </w:tc>
        <w:tc>
          <w:tcPr>
            <w:tcW w:w="507" w:type="pct"/>
            <w:tcBorders>
              <w:top w:val="single" w:sz="4" w:space="0" w:color="auto"/>
            </w:tcBorders>
            <w:vAlign w:val="center"/>
          </w:tcPr>
          <w:p w14:paraId="584613D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1374AA6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7DB8FB57"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&lt;0.001</w:t>
            </w:r>
          </w:p>
        </w:tc>
      </w:tr>
      <w:tr w:rsidR="00E50BB9" w:rsidRPr="00E50BB9" w14:paraId="344546FE" w14:textId="77777777" w:rsidTr="00E50BB9">
        <w:tc>
          <w:tcPr>
            <w:tcW w:w="1801" w:type="pct"/>
            <w:gridSpan w:val="2"/>
            <w:tcBorders>
              <w:top w:val="single" w:sz="4" w:space="0" w:color="auto"/>
            </w:tcBorders>
            <w:shd w:val="clear" w:color="auto" w:fill="auto"/>
            <w:vAlign w:val="center"/>
          </w:tcPr>
          <w:p w14:paraId="2372F884"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rPr>
                <w:rFonts w:ascii="Times New Roman" w:eastAsia="Times New Roman" w:hAnsi="Times New Roman" w:cs="Times New Roman"/>
                <w:b/>
                <w:sz w:val="20"/>
                <w:szCs w:val="20"/>
                <w:lang w:val="en-GB"/>
              </w:rPr>
            </w:pPr>
            <w:r w:rsidRPr="00E50BB9">
              <w:rPr>
                <w:rFonts w:ascii="Times New Roman" w:eastAsia="Times New Roman" w:hAnsi="Times New Roman" w:cs="Times New Roman"/>
                <w:b/>
                <w:sz w:val="20"/>
                <w:szCs w:val="20"/>
                <w:lang w:val="en-GB"/>
              </w:rPr>
              <w:t>Patient</w:t>
            </w:r>
            <w:r w:rsidRPr="00E50BB9">
              <w:rPr>
                <w:rFonts w:ascii="Times New Roman" w:eastAsia="Times New Roman" w:hAnsi="Times New Roman" w:cs="Times New Roman"/>
                <w:b/>
                <w:sz w:val="20"/>
                <w:szCs w:val="20"/>
                <w:lang w:val="en-GB"/>
              </w:rPr>
              <w:noBreakHyphen/>
              <w:t>reported outcome measures</w:t>
            </w:r>
          </w:p>
        </w:tc>
        <w:tc>
          <w:tcPr>
            <w:tcW w:w="772" w:type="pct"/>
            <w:tcBorders>
              <w:top w:val="single" w:sz="4" w:space="0" w:color="auto"/>
            </w:tcBorders>
            <w:vAlign w:val="center"/>
          </w:tcPr>
          <w:p w14:paraId="0CB49528"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0"/>
                <w:szCs w:val="20"/>
                <w:lang w:val="en-GB"/>
              </w:rPr>
            </w:pPr>
          </w:p>
        </w:tc>
        <w:tc>
          <w:tcPr>
            <w:tcW w:w="717" w:type="pct"/>
            <w:tcBorders>
              <w:top w:val="single" w:sz="4" w:space="0" w:color="auto"/>
            </w:tcBorders>
            <w:shd w:val="clear" w:color="auto" w:fill="auto"/>
            <w:vAlign w:val="center"/>
          </w:tcPr>
          <w:p w14:paraId="06CAD1A9"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0"/>
                <w:szCs w:val="20"/>
                <w:lang w:val="en-GB"/>
              </w:rPr>
            </w:pPr>
          </w:p>
        </w:tc>
        <w:tc>
          <w:tcPr>
            <w:tcW w:w="1202" w:type="pct"/>
            <w:tcBorders>
              <w:top w:val="single" w:sz="4" w:space="0" w:color="auto"/>
            </w:tcBorders>
            <w:shd w:val="clear" w:color="auto" w:fill="auto"/>
            <w:vAlign w:val="center"/>
          </w:tcPr>
          <w:p w14:paraId="2DDA07BA"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0"/>
                <w:szCs w:val="20"/>
                <w:lang w:val="en-GB"/>
              </w:rPr>
            </w:pPr>
          </w:p>
        </w:tc>
        <w:tc>
          <w:tcPr>
            <w:tcW w:w="507" w:type="pct"/>
            <w:tcBorders>
              <w:top w:val="single" w:sz="4" w:space="0" w:color="auto"/>
            </w:tcBorders>
            <w:vAlign w:val="center"/>
          </w:tcPr>
          <w:p w14:paraId="2067416A" w14:textId="77777777" w:rsidR="00E50BB9" w:rsidRPr="00E50BB9" w:rsidRDefault="00E50BB9" w:rsidP="00E50BB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rPr>
                <w:rFonts w:ascii="Times New Roman" w:eastAsia="Times New Roman" w:hAnsi="Times New Roman" w:cs="Times New Roman"/>
                <w:b/>
                <w:sz w:val="20"/>
                <w:szCs w:val="20"/>
                <w:lang w:val="en-GB"/>
              </w:rPr>
            </w:pPr>
          </w:p>
        </w:tc>
      </w:tr>
      <w:tr w:rsidR="00E50BB9" w:rsidRPr="00E50BB9" w14:paraId="53ADA302" w14:textId="77777777" w:rsidTr="004C584E">
        <w:tc>
          <w:tcPr>
            <w:tcW w:w="1032" w:type="pct"/>
            <w:tcBorders>
              <w:top w:val="single" w:sz="4" w:space="0" w:color="auto"/>
            </w:tcBorders>
            <w:shd w:val="clear" w:color="auto" w:fill="auto"/>
            <w:vAlign w:val="center"/>
          </w:tcPr>
          <w:p w14:paraId="60C13CB0"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MPFID physical impairment domain</w:t>
            </w:r>
          </w:p>
          <w:p w14:paraId="7042118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Mean </w:t>
            </w:r>
            <w:proofErr w:type="spellStart"/>
            <w:r w:rsidRPr="00E50BB9">
              <w:rPr>
                <w:rFonts w:ascii="Times New Roman" w:eastAsia="Times New Roman" w:hAnsi="Times New Roman" w:cs="Times New Roman"/>
                <w:sz w:val="20"/>
                <w:szCs w:val="20"/>
                <w:lang w:val="en-GB"/>
              </w:rPr>
              <w:t>change</w:t>
            </w:r>
            <w:r w:rsidRPr="00647C4F">
              <w:rPr>
                <w:rFonts w:ascii="Times New Roman" w:eastAsia="Times New Roman" w:hAnsi="Times New Roman" w:cs="Times New Roman"/>
                <w:sz w:val="20"/>
                <w:szCs w:val="20"/>
                <w:vertAlign w:val="superscript"/>
                <w:lang w:val="en-GB"/>
              </w:rPr>
              <w:t>b</w:t>
            </w:r>
            <w:proofErr w:type="spellEnd"/>
            <w:r w:rsidRPr="00E50BB9">
              <w:rPr>
                <w:rFonts w:ascii="Times New Roman" w:eastAsia="Times New Roman" w:hAnsi="Times New Roman" w:cs="Times New Roman"/>
                <w:sz w:val="20"/>
                <w:szCs w:val="20"/>
                <w:lang w:val="en-GB"/>
              </w:rPr>
              <w:t xml:space="preserve"> (95% CI)</w:t>
            </w:r>
          </w:p>
        </w:tc>
        <w:tc>
          <w:tcPr>
            <w:tcW w:w="769" w:type="pct"/>
            <w:tcBorders>
              <w:top w:val="single" w:sz="4" w:space="0" w:color="auto"/>
            </w:tcBorders>
            <w:shd w:val="clear" w:color="auto" w:fill="auto"/>
            <w:vAlign w:val="center"/>
          </w:tcPr>
          <w:p w14:paraId="31A7C0A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B96F208"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38CFE03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4.81 (</w:t>
            </w:r>
            <w:r w:rsidRPr="00E50BB9">
              <w:rPr>
                <w:rFonts w:ascii="Times New Roman" w:eastAsia="Times New Roman" w:hAnsi="Times New Roman" w:cs="Times New Roman"/>
                <w:sz w:val="20"/>
                <w:szCs w:val="20"/>
                <w:lang w:val="en-GB"/>
              </w:rPr>
              <w:noBreakHyphen/>
              <w:t xml:space="preserve">5.59; </w:t>
            </w:r>
            <w:r w:rsidRPr="00E50BB9">
              <w:rPr>
                <w:rFonts w:ascii="Times New Roman" w:eastAsia="Times New Roman" w:hAnsi="Times New Roman" w:cs="Times New Roman"/>
                <w:sz w:val="20"/>
                <w:szCs w:val="20"/>
                <w:lang w:val="en-GB"/>
              </w:rPr>
              <w:noBreakHyphen/>
              <w:t>4.03)</w:t>
            </w:r>
          </w:p>
        </w:tc>
        <w:tc>
          <w:tcPr>
            <w:tcW w:w="772" w:type="pct"/>
            <w:tcBorders>
              <w:top w:val="single" w:sz="4" w:space="0" w:color="auto"/>
            </w:tcBorders>
            <w:vAlign w:val="center"/>
          </w:tcPr>
          <w:p w14:paraId="19D895FD"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24FECAC0"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5DB4F84C"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-4.24 (-5.02, -3.45)</w:t>
            </w:r>
          </w:p>
        </w:tc>
        <w:tc>
          <w:tcPr>
            <w:tcW w:w="717" w:type="pct"/>
            <w:tcBorders>
              <w:top w:val="single" w:sz="4" w:space="0" w:color="auto"/>
            </w:tcBorders>
            <w:shd w:val="clear" w:color="auto" w:fill="auto"/>
            <w:vAlign w:val="center"/>
          </w:tcPr>
          <w:p w14:paraId="02A65F9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43ACFCF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5E726268"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2.38 (</w:t>
            </w:r>
            <w:r w:rsidRPr="00E50BB9">
              <w:rPr>
                <w:rFonts w:ascii="Times New Roman" w:eastAsia="Times New Roman" w:hAnsi="Times New Roman" w:cs="Times New Roman"/>
                <w:sz w:val="20"/>
                <w:szCs w:val="20"/>
                <w:lang w:val="en-GB"/>
              </w:rPr>
              <w:noBreakHyphen/>
              <w:t xml:space="preserve">3.16; </w:t>
            </w:r>
            <w:r w:rsidRPr="00E50BB9">
              <w:rPr>
                <w:rFonts w:ascii="Times New Roman" w:eastAsia="Times New Roman" w:hAnsi="Times New Roman" w:cs="Times New Roman"/>
                <w:sz w:val="20"/>
                <w:szCs w:val="20"/>
                <w:lang w:val="en-GB"/>
              </w:rPr>
              <w:noBreakHyphen/>
              <w:t>1.59)</w:t>
            </w:r>
          </w:p>
        </w:tc>
        <w:tc>
          <w:tcPr>
            <w:tcW w:w="1202" w:type="pct"/>
            <w:tcBorders>
              <w:top w:val="single" w:sz="4" w:space="0" w:color="auto"/>
            </w:tcBorders>
            <w:shd w:val="clear" w:color="auto" w:fill="auto"/>
            <w:vAlign w:val="center"/>
          </w:tcPr>
          <w:p w14:paraId="6536213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68A561B2"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TD</w:t>
            </w:r>
          </w:p>
          <w:p w14:paraId="2BA1C94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140 mg: </w:t>
            </w:r>
            <w:r w:rsidRPr="00E50BB9">
              <w:rPr>
                <w:rFonts w:ascii="Times New Roman" w:eastAsia="Times New Roman" w:hAnsi="Times New Roman" w:cs="Times New Roman"/>
                <w:sz w:val="20"/>
                <w:szCs w:val="20"/>
                <w:lang w:val="en-GB"/>
              </w:rPr>
              <w:noBreakHyphen/>
              <w:t>2.43 (</w:t>
            </w:r>
            <w:r w:rsidRPr="00E50BB9">
              <w:rPr>
                <w:rFonts w:ascii="Times New Roman" w:eastAsia="Times New Roman" w:hAnsi="Times New Roman" w:cs="Times New Roman"/>
                <w:sz w:val="20"/>
                <w:szCs w:val="20"/>
                <w:lang w:val="en-GB"/>
              </w:rPr>
              <w:noBreakHyphen/>
              <w:t xml:space="preserve">3.51; </w:t>
            </w:r>
            <w:r w:rsidRPr="00E50BB9">
              <w:rPr>
                <w:rFonts w:ascii="Times New Roman" w:eastAsia="Times New Roman" w:hAnsi="Times New Roman" w:cs="Times New Roman"/>
                <w:sz w:val="20"/>
                <w:szCs w:val="20"/>
                <w:lang w:val="en-GB"/>
              </w:rPr>
              <w:noBreakHyphen/>
              <w:t>1.35)</w:t>
            </w:r>
          </w:p>
          <w:p w14:paraId="78B35393"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lastRenderedPageBreak/>
              <w:t>70 mg: -1.86 (-2.95, -0.77)</w:t>
            </w:r>
          </w:p>
        </w:tc>
        <w:tc>
          <w:tcPr>
            <w:tcW w:w="508" w:type="pct"/>
            <w:tcBorders>
              <w:top w:val="single" w:sz="4" w:space="0" w:color="auto"/>
            </w:tcBorders>
            <w:vAlign w:val="center"/>
          </w:tcPr>
          <w:p w14:paraId="129A23B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3E59F4E2"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1C14592C"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&lt;0.001</w:t>
            </w:r>
          </w:p>
        </w:tc>
      </w:tr>
      <w:tr w:rsidR="00E50BB9" w:rsidRPr="00E50BB9" w14:paraId="5598542E" w14:textId="77777777" w:rsidTr="004C584E">
        <w:tc>
          <w:tcPr>
            <w:tcW w:w="1032" w:type="pct"/>
            <w:tcBorders>
              <w:top w:val="single" w:sz="4" w:space="0" w:color="auto"/>
              <w:bottom w:val="single" w:sz="4" w:space="0" w:color="auto"/>
            </w:tcBorders>
            <w:shd w:val="clear" w:color="auto" w:fill="auto"/>
            <w:vAlign w:val="center"/>
          </w:tcPr>
          <w:p w14:paraId="47535C24"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MPFID everyday activity domain</w:t>
            </w:r>
          </w:p>
          <w:p w14:paraId="6402B7CE"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Mean </w:t>
            </w:r>
            <w:proofErr w:type="spellStart"/>
            <w:r w:rsidRPr="00E50BB9">
              <w:rPr>
                <w:rFonts w:ascii="Times New Roman" w:eastAsia="Times New Roman" w:hAnsi="Times New Roman" w:cs="Times New Roman"/>
                <w:sz w:val="20"/>
                <w:szCs w:val="20"/>
                <w:lang w:val="en-GB"/>
              </w:rPr>
              <w:t>change</w:t>
            </w:r>
            <w:r w:rsidRPr="00647C4F">
              <w:rPr>
                <w:rFonts w:ascii="Times New Roman" w:eastAsia="Times New Roman" w:hAnsi="Times New Roman" w:cs="Times New Roman"/>
                <w:sz w:val="20"/>
                <w:szCs w:val="20"/>
                <w:vertAlign w:val="superscript"/>
                <w:lang w:val="en-GB"/>
              </w:rPr>
              <w:t>b</w:t>
            </w:r>
            <w:proofErr w:type="spellEnd"/>
            <w:r w:rsidRPr="00647C4F">
              <w:rPr>
                <w:rFonts w:ascii="Times New Roman" w:eastAsia="Times New Roman" w:hAnsi="Times New Roman" w:cs="Times New Roman"/>
                <w:sz w:val="20"/>
                <w:szCs w:val="20"/>
                <w:vertAlign w:val="superscript"/>
                <w:lang w:val="en-GB"/>
              </w:rPr>
              <w:t xml:space="preserve"> </w:t>
            </w:r>
            <w:r w:rsidRPr="00E50BB9">
              <w:rPr>
                <w:rFonts w:ascii="Times New Roman" w:eastAsia="Times New Roman" w:hAnsi="Times New Roman" w:cs="Times New Roman"/>
                <w:sz w:val="20"/>
                <w:szCs w:val="20"/>
                <w:lang w:val="en-GB"/>
              </w:rPr>
              <w:t>(95% CI)</w:t>
            </w:r>
          </w:p>
        </w:tc>
        <w:tc>
          <w:tcPr>
            <w:tcW w:w="769" w:type="pct"/>
            <w:tcBorders>
              <w:top w:val="single" w:sz="4" w:space="0" w:color="auto"/>
              <w:bottom w:val="single" w:sz="4" w:space="0" w:color="auto"/>
            </w:tcBorders>
            <w:shd w:val="clear" w:color="auto" w:fill="auto"/>
            <w:vAlign w:val="center"/>
          </w:tcPr>
          <w:p w14:paraId="575234CC"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07C06395"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7AB90D10"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5.86 (</w:t>
            </w:r>
            <w:r w:rsidRPr="00E50BB9">
              <w:rPr>
                <w:rFonts w:ascii="Times New Roman" w:eastAsia="Times New Roman" w:hAnsi="Times New Roman" w:cs="Times New Roman"/>
                <w:sz w:val="20"/>
                <w:szCs w:val="20"/>
                <w:lang w:val="en-GB"/>
              </w:rPr>
              <w:noBreakHyphen/>
              <w:t xml:space="preserve">6.62; </w:t>
            </w:r>
            <w:r w:rsidRPr="00E50BB9">
              <w:rPr>
                <w:rFonts w:ascii="Times New Roman" w:eastAsia="Times New Roman" w:hAnsi="Times New Roman" w:cs="Times New Roman"/>
                <w:sz w:val="20"/>
                <w:szCs w:val="20"/>
                <w:lang w:val="en-GB"/>
              </w:rPr>
              <w:noBreakHyphen/>
              <w:t>5.10)</w:t>
            </w:r>
          </w:p>
        </w:tc>
        <w:tc>
          <w:tcPr>
            <w:tcW w:w="772" w:type="pct"/>
            <w:tcBorders>
              <w:top w:val="single" w:sz="4" w:space="0" w:color="auto"/>
              <w:bottom w:val="single" w:sz="4" w:space="0" w:color="auto"/>
            </w:tcBorders>
            <w:vAlign w:val="center"/>
          </w:tcPr>
          <w:p w14:paraId="28371906"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64C7B88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5CFFA3A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-5.52 (-6.28, -4.75)</w:t>
            </w:r>
          </w:p>
        </w:tc>
        <w:tc>
          <w:tcPr>
            <w:tcW w:w="717" w:type="pct"/>
            <w:tcBorders>
              <w:top w:val="single" w:sz="4" w:space="0" w:color="auto"/>
              <w:bottom w:val="single" w:sz="4" w:space="0" w:color="auto"/>
            </w:tcBorders>
            <w:shd w:val="clear" w:color="auto" w:fill="auto"/>
            <w:vAlign w:val="center"/>
          </w:tcPr>
          <w:p w14:paraId="56355059"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56583FA5"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128E8A9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noBreakHyphen/>
              <w:t>3.30 (</w:t>
            </w:r>
            <w:r w:rsidRPr="00E50BB9">
              <w:rPr>
                <w:rFonts w:ascii="Times New Roman" w:eastAsia="Times New Roman" w:hAnsi="Times New Roman" w:cs="Times New Roman"/>
                <w:sz w:val="20"/>
                <w:szCs w:val="20"/>
                <w:lang w:val="en-GB"/>
              </w:rPr>
              <w:noBreakHyphen/>
              <w:t xml:space="preserve">4.06; </w:t>
            </w:r>
            <w:r w:rsidRPr="00E50BB9">
              <w:rPr>
                <w:rFonts w:ascii="Times New Roman" w:eastAsia="Times New Roman" w:hAnsi="Times New Roman" w:cs="Times New Roman"/>
                <w:sz w:val="20"/>
                <w:szCs w:val="20"/>
                <w:lang w:val="en-GB"/>
              </w:rPr>
              <w:noBreakHyphen/>
              <w:t>2.53)</w:t>
            </w:r>
          </w:p>
        </w:tc>
        <w:tc>
          <w:tcPr>
            <w:tcW w:w="1202" w:type="pct"/>
            <w:tcBorders>
              <w:top w:val="single" w:sz="4" w:space="0" w:color="auto"/>
              <w:bottom w:val="single" w:sz="4" w:space="0" w:color="auto"/>
            </w:tcBorders>
            <w:shd w:val="clear" w:color="auto" w:fill="auto"/>
            <w:vAlign w:val="center"/>
          </w:tcPr>
          <w:p w14:paraId="01668631"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5536AB0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TD</w:t>
            </w:r>
          </w:p>
          <w:p w14:paraId="2D4C830A"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 xml:space="preserve">140 mg: </w:t>
            </w:r>
            <w:r w:rsidRPr="00E50BB9">
              <w:rPr>
                <w:rFonts w:ascii="Times New Roman" w:eastAsia="Times New Roman" w:hAnsi="Times New Roman" w:cs="Times New Roman"/>
                <w:sz w:val="20"/>
                <w:szCs w:val="20"/>
                <w:lang w:val="en-GB"/>
              </w:rPr>
              <w:noBreakHyphen/>
              <w:t>2.57 (</w:t>
            </w:r>
            <w:r w:rsidRPr="00E50BB9">
              <w:rPr>
                <w:rFonts w:ascii="Times New Roman" w:eastAsia="Times New Roman" w:hAnsi="Times New Roman" w:cs="Times New Roman"/>
                <w:sz w:val="20"/>
                <w:szCs w:val="20"/>
                <w:lang w:val="en-GB"/>
              </w:rPr>
              <w:noBreakHyphen/>
              <w:t xml:space="preserve">3.62; </w:t>
            </w:r>
            <w:r w:rsidRPr="00E50BB9">
              <w:rPr>
                <w:rFonts w:ascii="Times New Roman" w:eastAsia="Times New Roman" w:hAnsi="Times New Roman" w:cs="Times New Roman"/>
                <w:sz w:val="20"/>
                <w:szCs w:val="20"/>
                <w:lang w:val="en-GB"/>
              </w:rPr>
              <w:noBreakHyphen/>
              <w:t>1.51)</w:t>
            </w:r>
          </w:p>
          <w:p w14:paraId="6B4BE4DB"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70 mg: -1.86 (-2.95, -0.77)</w:t>
            </w:r>
          </w:p>
        </w:tc>
        <w:tc>
          <w:tcPr>
            <w:tcW w:w="508" w:type="pct"/>
            <w:tcBorders>
              <w:top w:val="single" w:sz="4" w:space="0" w:color="auto"/>
              <w:bottom w:val="single" w:sz="4" w:space="0" w:color="auto"/>
            </w:tcBorders>
            <w:vAlign w:val="center"/>
          </w:tcPr>
          <w:p w14:paraId="599797AC"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27A293E7"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p>
          <w:p w14:paraId="2310C668" w14:textId="77777777" w:rsidR="00E50BB9" w:rsidRPr="00E50BB9" w:rsidRDefault="00E50BB9" w:rsidP="00E50BB9">
            <w:pPr>
              <w:keepNext/>
              <w:keepLines/>
              <w:widowControl w:val="0"/>
              <w:spacing w:after="0" w:line="240" w:lineRule="auto"/>
              <w:jc w:val="center"/>
              <w:rPr>
                <w:rFonts w:ascii="Times New Roman" w:eastAsia="Times New Roman" w:hAnsi="Times New Roman" w:cs="Times New Roman"/>
                <w:sz w:val="20"/>
                <w:szCs w:val="20"/>
                <w:lang w:val="en-GB"/>
              </w:rPr>
            </w:pPr>
            <w:r w:rsidRPr="00E50BB9">
              <w:rPr>
                <w:rFonts w:ascii="Times New Roman" w:eastAsia="Times New Roman" w:hAnsi="Times New Roman" w:cs="Times New Roman"/>
                <w:sz w:val="20"/>
                <w:szCs w:val="20"/>
                <w:lang w:val="en-GB"/>
              </w:rPr>
              <w:t>&lt;0.001</w:t>
            </w:r>
          </w:p>
        </w:tc>
      </w:tr>
      <w:tr w:rsidR="00E50BB9" w:rsidRPr="00E50BB9" w14:paraId="443FE2BA" w14:textId="77777777" w:rsidTr="00E50BB9">
        <w:tc>
          <w:tcPr>
            <w:tcW w:w="5000" w:type="pct"/>
            <w:gridSpan w:val="6"/>
            <w:tcBorders>
              <w:top w:val="single" w:sz="4" w:space="0" w:color="auto"/>
              <w:bottom w:val="single" w:sz="4" w:space="0" w:color="auto"/>
            </w:tcBorders>
            <w:shd w:val="clear" w:color="auto" w:fill="auto"/>
            <w:vAlign w:val="center"/>
          </w:tcPr>
          <w:p w14:paraId="2CBD6943" w14:textId="1A14E69D" w:rsidR="00E50BB9" w:rsidRPr="00E50BB9" w:rsidRDefault="00E50BB9" w:rsidP="00E50BB9">
            <w:pPr>
              <w:keepNext/>
              <w:keepLines/>
              <w:widowControl w:val="0"/>
              <w:spacing w:after="0" w:line="240" w:lineRule="auto"/>
              <w:ind w:left="567" w:hanging="567"/>
              <w:rPr>
                <w:rFonts w:ascii="Times New Roman" w:eastAsia="Times New Roman" w:hAnsi="Times New Roman" w:cs="Times New Roman"/>
                <w:bCs/>
                <w:iCs/>
                <w:sz w:val="20"/>
                <w:szCs w:val="20"/>
                <w:lang w:val="en-GB"/>
              </w:rPr>
            </w:pPr>
            <w:r w:rsidRPr="00E50BB9">
              <w:rPr>
                <w:rFonts w:ascii="Times New Roman" w:eastAsia="Times New Roman" w:hAnsi="Times New Roman" w:cs="Times New Roman"/>
                <w:bCs/>
                <w:iCs/>
                <w:sz w:val="20"/>
                <w:szCs w:val="20"/>
                <w:lang w:val="en-GB"/>
              </w:rPr>
              <w:t>CI = confidence interval; MMD = monthly migraine days; MPFID = Migraine Physical Function Impact Diary; TR = treatment difference; OR = odds ratio</w:t>
            </w:r>
          </w:p>
          <w:p w14:paraId="797C0461" w14:textId="77777777" w:rsidR="00E50BB9" w:rsidRPr="00E50BB9" w:rsidRDefault="00E50BB9" w:rsidP="00E50BB9">
            <w:pPr>
              <w:keepNext/>
              <w:keepLines/>
              <w:widowControl w:val="0"/>
              <w:spacing w:after="0" w:line="240" w:lineRule="auto"/>
              <w:ind w:left="567" w:hanging="567"/>
              <w:rPr>
                <w:rFonts w:ascii="Times New Roman" w:eastAsia="Times New Roman" w:hAnsi="Times New Roman" w:cs="Times New Roman"/>
                <w:bCs/>
                <w:iCs/>
                <w:sz w:val="20"/>
                <w:szCs w:val="20"/>
                <w:lang w:val="en-GB"/>
              </w:rPr>
            </w:pPr>
            <w:proofErr w:type="spellStart"/>
            <w:r w:rsidRPr="00E50BB9">
              <w:rPr>
                <w:rFonts w:ascii="Times New Roman" w:eastAsia="Times New Roman" w:hAnsi="Times New Roman" w:cs="Times New Roman"/>
                <w:bCs/>
                <w:iCs/>
                <w:sz w:val="20"/>
                <w:szCs w:val="20"/>
                <w:lang w:val="en-GB"/>
              </w:rPr>
              <w:t>a</w:t>
            </w:r>
            <w:proofErr w:type="spellEnd"/>
            <w:r w:rsidRPr="00E50BB9">
              <w:rPr>
                <w:rFonts w:ascii="Times New Roman" w:eastAsia="Times New Roman" w:hAnsi="Times New Roman" w:cs="Times New Roman"/>
                <w:bCs/>
                <w:iCs/>
                <w:sz w:val="20"/>
                <w:szCs w:val="20"/>
                <w:lang w:val="en-GB"/>
              </w:rPr>
              <w:tab/>
              <w:t>All p</w:t>
            </w:r>
            <w:r w:rsidRPr="00E50BB9">
              <w:rPr>
                <w:rFonts w:ascii="Times New Roman" w:eastAsia="Times New Roman" w:hAnsi="Times New Roman" w:cs="Times New Roman"/>
                <w:bCs/>
                <w:iCs/>
                <w:sz w:val="20"/>
                <w:szCs w:val="20"/>
                <w:lang w:val="en-GB"/>
              </w:rPr>
              <w:noBreakHyphen/>
              <w:t>values are reported as unadjusted p</w:t>
            </w:r>
            <w:r w:rsidRPr="00E50BB9">
              <w:rPr>
                <w:rFonts w:ascii="Times New Roman" w:eastAsia="Times New Roman" w:hAnsi="Times New Roman" w:cs="Times New Roman"/>
                <w:bCs/>
                <w:iCs/>
                <w:sz w:val="20"/>
                <w:szCs w:val="20"/>
                <w:lang w:val="en-GB"/>
              </w:rPr>
              <w:noBreakHyphen/>
              <w:t>values and are statistically significant after adjustment for multiple comparisons</w:t>
            </w:r>
          </w:p>
          <w:p w14:paraId="25C103A9" w14:textId="77777777" w:rsidR="00E50BB9" w:rsidRPr="00E50BB9" w:rsidRDefault="00E50BB9" w:rsidP="00E50BB9">
            <w:pPr>
              <w:keepNext/>
              <w:keepLines/>
              <w:widowControl w:val="0"/>
              <w:spacing w:after="0" w:line="240" w:lineRule="auto"/>
              <w:ind w:left="567" w:hanging="567"/>
              <w:rPr>
                <w:rFonts w:ascii="Times New Roman" w:eastAsia="Times New Roman" w:hAnsi="Times New Roman" w:cs="Times New Roman"/>
                <w:bCs/>
                <w:iCs/>
                <w:sz w:val="20"/>
                <w:szCs w:val="20"/>
                <w:lang w:val="en-GB"/>
              </w:rPr>
            </w:pPr>
            <w:r w:rsidRPr="00E50BB9">
              <w:rPr>
                <w:rFonts w:ascii="Times New Roman" w:eastAsia="Times New Roman" w:hAnsi="Times New Roman" w:cs="Times New Roman"/>
                <w:bCs/>
                <w:iCs/>
                <w:sz w:val="20"/>
                <w:szCs w:val="20"/>
                <w:lang w:val="en-GB"/>
              </w:rPr>
              <w:t>b</w:t>
            </w:r>
            <w:r w:rsidRPr="00E50BB9">
              <w:rPr>
                <w:rFonts w:ascii="Times New Roman" w:eastAsia="Times New Roman" w:hAnsi="Times New Roman" w:cs="Times New Roman"/>
                <w:bCs/>
                <w:iCs/>
                <w:sz w:val="20"/>
                <w:szCs w:val="20"/>
                <w:lang w:val="en-GB"/>
              </w:rPr>
              <w:tab/>
              <w:t>Least</w:t>
            </w:r>
            <w:r w:rsidRPr="00E50BB9">
              <w:rPr>
                <w:rFonts w:ascii="Times New Roman" w:eastAsia="Times New Roman" w:hAnsi="Times New Roman" w:cs="Times New Roman"/>
                <w:bCs/>
                <w:iCs/>
                <w:sz w:val="20"/>
                <w:szCs w:val="20"/>
                <w:lang w:val="en-GB"/>
              </w:rPr>
              <w:noBreakHyphen/>
              <w:t>square mean change from baseline at Months 4</w:t>
            </w:r>
            <w:r w:rsidRPr="00E50BB9">
              <w:rPr>
                <w:rFonts w:ascii="Times New Roman" w:eastAsia="Times New Roman" w:hAnsi="Times New Roman" w:cs="Times New Roman"/>
                <w:bCs/>
                <w:iCs/>
                <w:sz w:val="20"/>
                <w:szCs w:val="20"/>
                <w:lang w:val="en-GB"/>
              </w:rPr>
              <w:noBreakHyphen/>
              <w:t>6, treatment difference and p</w:t>
            </w:r>
            <w:r w:rsidRPr="00E50BB9">
              <w:rPr>
                <w:rFonts w:ascii="Times New Roman" w:eastAsia="Times New Roman" w:hAnsi="Times New Roman" w:cs="Times New Roman"/>
                <w:bCs/>
                <w:iCs/>
                <w:sz w:val="20"/>
                <w:szCs w:val="20"/>
                <w:lang w:val="en-GB"/>
              </w:rPr>
              <w:noBreakHyphen/>
              <w:t>value are based on a linear mixed effects model including treatment group, baseline value, stratification factors (region [North America vs others] and prior prophylactic medication use [naïve, prior use only, concurrent use]), scheduled visit and the interaction of treatment group with scheduled visit, without any imputation for missing data.</w:t>
            </w:r>
          </w:p>
          <w:p w14:paraId="78B63F23" w14:textId="5014A7AA" w:rsidR="00E50BB9" w:rsidRPr="00E50BB9" w:rsidRDefault="00E50BB9" w:rsidP="00E50BB9">
            <w:pPr>
              <w:keepNext/>
              <w:keepLines/>
              <w:widowControl w:val="0"/>
              <w:spacing w:after="0" w:line="240" w:lineRule="auto"/>
              <w:ind w:left="567" w:hanging="567"/>
              <w:rPr>
                <w:rFonts w:ascii="Times New Roman" w:eastAsia="Times New Roman" w:hAnsi="Times New Roman" w:cs="Times New Roman"/>
                <w:bCs/>
                <w:iCs/>
                <w:sz w:val="20"/>
                <w:szCs w:val="20"/>
                <w:lang w:val="en-GB"/>
              </w:rPr>
            </w:pPr>
            <w:r w:rsidRPr="00E50BB9">
              <w:rPr>
                <w:rFonts w:ascii="Times New Roman" w:eastAsia="Times New Roman" w:hAnsi="Times New Roman" w:cs="Times New Roman"/>
                <w:bCs/>
                <w:iCs/>
                <w:sz w:val="20"/>
                <w:szCs w:val="20"/>
                <w:lang w:val="en-GB"/>
              </w:rPr>
              <w:t>c</w:t>
            </w:r>
            <w:r w:rsidRPr="00E50BB9">
              <w:rPr>
                <w:rFonts w:ascii="Times New Roman" w:eastAsia="Times New Roman" w:hAnsi="Times New Roman" w:cs="Times New Roman"/>
                <w:bCs/>
                <w:iCs/>
                <w:sz w:val="20"/>
                <w:szCs w:val="20"/>
                <w:lang w:val="en-GB"/>
              </w:rPr>
              <w:tab/>
              <w:t>Responders are defined as patients who achieve ≥50% reduction on MMD from baseline</w:t>
            </w:r>
          </w:p>
          <w:p w14:paraId="02A10C44" w14:textId="28D5635C" w:rsidR="00E50BB9" w:rsidRPr="00E50BB9" w:rsidRDefault="00E50BB9" w:rsidP="00E50BB9">
            <w:pPr>
              <w:keepNext/>
              <w:keepLines/>
              <w:widowControl w:val="0"/>
              <w:spacing w:after="0" w:line="240" w:lineRule="auto"/>
              <w:ind w:left="567" w:hanging="567"/>
              <w:rPr>
                <w:rFonts w:ascii="Times New Roman" w:eastAsia="Times New Roman" w:hAnsi="Times New Roman" w:cs="Times New Roman"/>
                <w:bCs/>
                <w:iCs/>
                <w:sz w:val="20"/>
                <w:szCs w:val="20"/>
                <w:lang w:val="en-GB"/>
              </w:rPr>
            </w:pPr>
            <w:r w:rsidRPr="00E50BB9">
              <w:rPr>
                <w:rFonts w:ascii="Times New Roman" w:eastAsia="Times New Roman" w:hAnsi="Times New Roman" w:cs="Times New Roman"/>
                <w:bCs/>
                <w:iCs/>
                <w:sz w:val="20"/>
                <w:szCs w:val="20"/>
                <w:lang w:val="en-GB"/>
              </w:rPr>
              <w:t>d</w:t>
            </w:r>
            <w:r w:rsidRPr="00E50BB9">
              <w:rPr>
                <w:rFonts w:ascii="Times New Roman" w:eastAsia="Times New Roman" w:hAnsi="Times New Roman" w:cs="Times New Roman"/>
                <w:bCs/>
                <w:iCs/>
                <w:sz w:val="20"/>
                <w:szCs w:val="20"/>
                <w:lang w:val="en-GB"/>
              </w:rPr>
              <w:tab/>
              <w:t>Odds ratio and p</w:t>
            </w:r>
            <w:r w:rsidRPr="00E50BB9">
              <w:rPr>
                <w:rFonts w:ascii="Times New Roman" w:eastAsia="Times New Roman" w:hAnsi="Times New Roman" w:cs="Times New Roman"/>
                <w:bCs/>
                <w:iCs/>
                <w:sz w:val="20"/>
                <w:szCs w:val="20"/>
                <w:lang w:val="en-GB"/>
              </w:rPr>
              <w:noBreakHyphen/>
              <w:t>value for ≥50% responders at Months 4</w:t>
            </w:r>
            <w:r w:rsidRPr="00E50BB9">
              <w:rPr>
                <w:rFonts w:ascii="Times New Roman" w:eastAsia="Times New Roman" w:hAnsi="Times New Roman" w:cs="Times New Roman"/>
                <w:bCs/>
                <w:iCs/>
                <w:sz w:val="20"/>
                <w:szCs w:val="20"/>
                <w:lang w:val="en-GB"/>
              </w:rPr>
              <w:noBreakHyphen/>
              <w:t>6 are based on a stratified Cochran</w:t>
            </w:r>
            <w:r w:rsidRPr="00E50BB9">
              <w:rPr>
                <w:rFonts w:ascii="Times New Roman" w:eastAsia="Times New Roman" w:hAnsi="Times New Roman" w:cs="Times New Roman"/>
                <w:bCs/>
                <w:iCs/>
                <w:sz w:val="20"/>
                <w:szCs w:val="20"/>
                <w:lang w:val="en-GB"/>
              </w:rPr>
              <w:noBreakHyphen/>
              <w:t>Mantel</w:t>
            </w:r>
            <w:r w:rsidRPr="00E50BB9">
              <w:rPr>
                <w:rFonts w:ascii="Times New Roman" w:eastAsia="Times New Roman" w:hAnsi="Times New Roman" w:cs="Times New Roman"/>
                <w:bCs/>
                <w:iCs/>
                <w:sz w:val="20"/>
                <w:szCs w:val="20"/>
                <w:lang w:val="en-GB"/>
              </w:rPr>
              <w:noBreakHyphen/>
            </w:r>
            <w:proofErr w:type="spellStart"/>
            <w:r w:rsidRPr="00E50BB9">
              <w:rPr>
                <w:rFonts w:ascii="Times New Roman" w:eastAsia="Times New Roman" w:hAnsi="Times New Roman" w:cs="Times New Roman"/>
                <w:bCs/>
                <w:iCs/>
                <w:sz w:val="20"/>
                <w:szCs w:val="20"/>
                <w:lang w:val="en-GB"/>
              </w:rPr>
              <w:t>Haenszel</w:t>
            </w:r>
            <w:proofErr w:type="spellEnd"/>
            <w:r w:rsidRPr="00E50BB9">
              <w:rPr>
                <w:rFonts w:ascii="Times New Roman" w:eastAsia="Times New Roman" w:hAnsi="Times New Roman" w:cs="Times New Roman"/>
                <w:bCs/>
                <w:iCs/>
                <w:sz w:val="20"/>
                <w:szCs w:val="20"/>
                <w:lang w:val="en-GB"/>
              </w:rPr>
              <w:t xml:space="preserve"> test after missing data were imputed as non</w:t>
            </w:r>
            <w:r w:rsidRPr="00E50BB9">
              <w:rPr>
                <w:rFonts w:ascii="Times New Roman" w:eastAsia="Times New Roman" w:hAnsi="Times New Roman" w:cs="Times New Roman"/>
                <w:bCs/>
                <w:iCs/>
                <w:sz w:val="20"/>
                <w:szCs w:val="20"/>
                <w:lang w:val="en-GB"/>
              </w:rPr>
              <w:noBreakHyphen/>
              <w:t>response.</w:t>
            </w:r>
          </w:p>
          <w:p w14:paraId="77604B91" w14:textId="77777777" w:rsidR="00E50BB9" w:rsidRPr="00E50BB9" w:rsidRDefault="00E50BB9" w:rsidP="00E50BB9">
            <w:pPr>
              <w:keepNext/>
              <w:keepLines/>
              <w:widowControl w:val="0"/>
              <w:spacing w:after="0" w:line="240" w:lineRule="auto"/>
              <w:ind w:left="567" w:hanging="567"/>
              <w:rPr>
                <w:rFonts w:ascii="Times New Roman" w:eastAsia="Times New Roman" w:hAnsi="Times New Roman" w:cs="Times New Roman"/>
                <w:bCs/>
                <w:iCs/>
                <w:sz w:val="20"/>
                <w:szCs w:val="20"/>
                <w:lang w:val="en-GB"/>
              </w:rPr>
            </w:pPr>
            <w:r w:rsidRPr="00E50BB9">
              <w:rPr>
                <w:rFonts w:ascii="Times New Roman" w:eastAsia="Times New Roman" w:hAnsi="Times New Roman" w:cs="Times New Roman"/>
                <w:bCs/>
                <w:iCs/>
                <w:sz w:val="20"/>
                <w:szCs w:val="20"/>
                <w:lang w:val="en-GB"/>
              </w:rPr>
              <w:t>e</w:t>
            </w:r>
            <w:r w:rsidRPr="00E50BB9">
              <w:rPr>
                <w:rFonts w:ascii="Times New Roman" w:eastAsia="Times New Roman" w:hAnsi="Times New Roman" w:cs="Times New Roman"/>
                <w:bCs/>
                <w:iCs/>
                <w:sz w:val="20"/>
                <w:szCs w:val="20"/>
                <w:lang w:val="en-GB"/>
              </w:rPr>
              <w:tab/>
              <w:t>Migraine</w:t>
            </w:r>
            <w:r w:rsidRPr="00E50BB9">
              <w:rPr>
                <w:rFonts w:ascii="Times New Roman" w:eastAsia="Times New Roman" w:hAnsi="Times New Roman" w:cs="Times New Roman"/>
                <w:bCs/>
                <w:iCs/>
                <w:sz w:val="20"/>
                <w:szCs w:val="20"/>
                <w:lang w:val="en-GB"/>
              </w:rPr>
              <w:noBreakHyphen/>
              <w:t xml:space="preserve">specific medications include </w:t>
            </w:r>
            <w:proofErr w:type="spellStart"/>
            <w:r w:rsidRPr="00E50BB9">
              <w:rPr>
                <w:rFonts w:ascii="Times New Roman" w:eastAsia="Times New Roman" w:hAnsi="Times New Roman" w:cs="Times New Roman"/>
                <w:bCs/>
                <w:iCs/>
                <w:sz w:val="20"/>
                <w:szCs w:val="20"/>
                <w:lang w:val="en-GB"/>
              </w:rPr>
              <w:t>triptans</w:t>
            </w:r>
            <w:proofErr w:type="spellEnd"/>
            <w:r w:rsidRPr="00E50BB9">
              <w:rPr>
                <w:rFonts w:ascii="Times New Roman" w:eastAsia="Times New Roman" w:hAnsi="Times New Roman" w:cs="Times New Roman"/>
                <w:bCs/>
                <w:iCs/>
                <w:sz w:val="20"/>
                <w:szCs w:val="20"/>
                <w:lang w:val="en-GB"/>
              </w:rPr>
              <w:t xml:space="preserve"> and ergotamine derivatives</w:t>
            </w:r>
          </w:p>
        </w:tc>
      </w:tr>
    </w:tbl>
    <w:p w14:paraId="114BA85D" w14:textId="77777777" w:rsidR="00FB1999" w:rsidRDefault="00FB1999" w:rsidP="00A66CDB">
      <w:pPr>
        <w:pStyle w:val="TableCenterAlign"/>
        <w:contextualSpacing w:val="0"/>
        <w:jc w:val="both"/>
        <w:rPr>
          <w:rFonts w:asciiTheme="minorHAnsi" w:hAnsiTheme="minorHAnsi" w:cstheme="minorHAnsi"/>
          <w:lang w:val="en-AU"/>
        </w:rPr>
      </w:pPr>
    </w:p>
    <w:p w14:paraId="649A1A4B" w14:textId="40C2EEB0" w:rsidR="00E50BB9" w:rsidRPr="00A66CDB" w:rsidRDefault="00E50BB9" w:rsidP="00A66CDB">
      <w:pPr>
        <w:pStyle w:val="TableCenterAlign"/>
        <w:contextualSpacing w:val="0"/>
        <w:jc w:val="both"/>
        <w:rPr>
          <w:rFonts w:asciiTheme="minorHAnsi" w:hAnsiTheme="minorHAnsi" w:cstheme="minorHAnsi"/>
          <w:lang w:val="en-AU"/>
        </w:rPr>
      </w:pPr>
      <w:bookmarkStart w:id="10" w:name="_GoBack"/>
      <w:bookmarkEnd w:id="10"/>
      <w:r w:rsidRPr="00A66CDB">
        <w:rPr>
          <w:rFonts w:asciiTheme="minorHAnsi" w:hAnsiTheme="minorHAnsi" w:cstheme="minorHAnsi"/>
          <w:lang w:val="en-AU"/>
        </w:rPr>
        <w:t>Based on a pre-specified analysis, AIMOVIG 140 mg and 70 mg was efficacious in patients who had previously failed migraine prophylactic treatments due to lack of efficacy or intolerance.</w:t>
      </w:r>
    </w:p>
    <w:p w14:paraId="5AA21D5F" w14:textId="108B47F0" w:rsidR="00A66CDB" w:rsidRPr="00A66CDB" w:rsidRDefault="00A66CDB" w:rsidP="00A66CDB">
      <w:pPr>
        <w:pStyle w:val="TableCenterAlign"/>
        <w:contextualSpacing w:val="0"/>
        <w:jc w:val="both"/>
        <w:rPr>
          <w:rFonts w:asciiTheme="minorHAnsi" w:hAnsiTheme="minorHAnsi" w:cstheme="minorHAnsi"/>
          <w:lang w:val="en-AU"/>
        </w:rPr>
      </w:pPr>
      <w:r w:rsidRPr="00A66CDB">
        <w:rPr>
          <w:rFonts w:asciiTheme="minorHAnsi" w:hAnsiTheme="minorHAnsi" w:cstheme="minorHAnsi"/>
          <w:lang w:val="en-AU"/>
        </w:rPr>
        <w:t>In patients failing one or more prophylactic pharmacotherapies the treatment difference for the reduction of MMD observed between erenumab 140 mg and placebo was 2.5 (95% CI: 3.4, 1.7) and between erenumab 70 mg and placebo 2.0 (95% CI: 2.8, 1.2). There was also a higher proportion of subjects treated with erenumab who achieved at least 50% reduction of MMD compared to placebo (39.7% for 140 mg and 38.6% for 70 mg, with an odds ratio of 3.1 [95% CI: 1.7, 5.5] and 2.9 [95% CI: 1.6, 5.3], respectively).</w:t>
      </w:r>
    </w:p>
    <w:p w14:paraId="06EF9514" w14:textId="7FC6E6D7" w:rsidR="00E50BB9" w:rsidRPr="00A66CDB" w:rsidRDefault="00E50BB9" w:rsidP="00A66CDB">
      <w:pPr>
        <w:pStyle w:val="TableCenterAlign"/>
        <w:contextualSpacing w:val="0"/>
        <w:jc w:val="both"/>
        <w:rPr>
          <w:rFonts w:asciiTheme="minorHAnsi" w:hAnsiTheme="minorHAnsi" w:cstheme="minorHAnsi"/>
          <w:lang w:val="en-AU"/>
        </w:rPr>
      </w:pPr>
      <w:r w:rsidRPr="00A66CDB">
        <w:rPr>
          <w:rFonts w:asciiTheme="minorHAnsi" w:hAnsiTheme="minorHAnsi" w:cstheme="minorHAnsi"/>
          <w:lang w:val="en-AU"/>
        </w:rPr>
        <w:t>In general, the efficacy of Aimovig across subgroups in this study were robust and comparable to the general population.</w:t>
      </w:r>
    </w:p>
    <w:p w14:paraId="3036CDF9" w14:textId="77777777" w:rsidR="00E50BB9" w:rsidRPr="00A66CDB" w:rsidRDefault="00E50BB9" w:rsidP="00A66CDB">
      <w:pPr>
        <w:pStyle w:val="TableCenterAlign"/>
        <w:contextualSpacing w:val="0"/>
        <w:jc w:val="both"/>
        <w:rPr>
          <w:rFonts w:asciiTheme="minorHAnsi" w:hAnsiTheme="minorHAnsi" w:cstheme="minorHAnsi"/>
          <w:lang w:val="en-AU"/>
        </w:rPr>
      </w:pPr>
      <w:r w:rsidRPr="00A66CDB">
        <w:rPr>
          <w:rFonts w:asciiTheme="minorHAnsi" w:hAnsiTheme="minorHAnsi" w:cstheme="minorHAnsi"/>
          <w:lang w:val="en-AU"/>
        </w:rPr>
        <w:t>Open label extension studies suggest that patients remaining on treatment continue to benefit. Withdrawal effects were not seen.</w:t>
      </w:r>
    </w:p>
    <w:p w14:paraId="41889BA7" w14:textId="77777777" w:rsidR="00E50BB9" w:rsidRPr="008D141E" w:rsidRDefault="00E50BB9" w:rsidP="00E50BB9">
      <w:pPr>
        <w:keepNext/>
        <w:widowControl w:val="0"/>
        <w:spacing w:after="0" w:line="240" w:lineRule="auto"/>
        <w:rPr>
          <w:rFonts w:eastAsia="Times New Roman" w:cstheme="minorHAnsi"/>
          <w:bCs/>
          <w:iCs/>
          <w:u w:val="single"/>
          <w:lang w:val="en-GB"/>
        </w:rPr>
      </w:pPr>
    </w:p>
    <w:p w14:paraId="34A7D767" w14:textId="77777777" w:rsidR="001A3992" w:rsidRDefault="001A3992" w:rsidP="001A3992">
      <w:pPr>
        <w:pStyle w:val="Heading2"/>
        <w:keepNext/>
        <w:spacing w:before="0" w:after="120"/>
        <w:rPr>
          <w:lang w:val="en-US"/>
        </w:rPr>
      </w:pPr>
      <w:r w:rsidRPr="00EC3C40">
        <w:rPr>
          <w:lang w:val="en-US"/>
        </w:rPr>
        <w:t xml:space="preserve">Pharmacokinetic properties </w:t>
      </w:r>
    </w:p>
    <w:p w14:paraId="25FF641C" w14:textId="77777777" w:rsidR="00AC63E8" w:rsidRPr="008D141E" w:rsidRDefault="00AC63E8" w:rsidP="00AC63E8">
      <w:pPr>
        <w:pStyle w:val="TableCenterAlign"/>
        <w:contextualSpacing w:val="0"/>
        <w:jc w:val="both"/>
        <w:rPr>
          <w:rFonts w:asciiTheme="minorHAnsi" w:hAnsiTheme="minorHAnsi" w:cstheme="minorHAnsi"/>
          <w:lang w:val="en-AU"/>
        </w:rPr>
      </w:pPr>
      <w:r w:rsidRPr="008D141E">
        <w:rPr>
          <w:rFonts w:asciiTheme="minorHAnsi" w:hAnsiTheme="minorHAnsi" w:cstheme="minorHAnsi"/>
          <w:lang w:val="en-AU"/>
        </w:rPr>
        <w:t>Erenumab exhibits non</w:t>
      </w:r>
      <w:r w:rsidRPr="008D141E">
        <w:rPr>
          <w:rFonts w:asciiTheme="minorHAnsi" w:hAnsiTheme="minorHAnsi" w:cstheme="minorHAnsi"/>
          <w:lang w:val="en-AU"/>
        </w:rPr>
        <w:noBreakHyphen/>
        <w:t xml:space="preserve">linear kinetics as a result of binding to CGRP-R. Subcutaneous administration of a 140 mg dose in healthy volunteers resulted in a </w:t>
      </w:r>
      <w:proofErr w:type="spellStart"/>
      <w:r w:rsidRPr="008D141E">
        <w:rPr>
          <w:rFonts w:asciiTheme="minorHAnsi" w:hAnsiTheme="minorHAnsi" w:cstheme="minorHAnsi"/>
          <w:lang w:val="en-AU"/>
        </w:rPr>
        <w:t>C</w:t>
      </w:r>
      <w:r w:rsidRPr="008D141E">
        <w:rPr>
          <w:rFonts w:asciiTheme="minorHAnsi" w:hAnsiTheme="minorHAnsi" w:cstheme="minorHAnsi"/>
          <w:vertAlign w:val="subscript"/>
          <w:lang w:val="en-AU"/>
        </w:rPr>
        <w:t>max</w:t>
      </w:r>
      <w:proofErr w:type="spellEnd"/>
      <w:r w:rsidRPr="008D141E">
        <w:rPr>
          <w:rFonts w:asciiTheme="minorHAnsi" w:hAnsiTheme="minorHAnsi" w:cstheme="minorHAnsi"/>
          <w:lang w:val="en-AU"/>
        </w:rPr>
        <w:t xml:space="preserve"> mean (standard deviation [SD]) of 15.8 (4.8) µg/mL and </w:t>
      </w:r>
      <w:proofErr w:type="spellStart"/>
      <w:r w:rsidRPr="008D141E">
        <w:rPr>
          <w:rFonts w:asciiTheme="minorHAnsi" w:hAnsiTheme="minorHAnsi" w:cstheme="minorHAnsi"/>
          <w:lang w:val="en-AU"/>
        </w:rPr>
        <w:t>AUC</w:t>
      </w:r>
      <w:r w:rsidRPr="008D141E">
        <w:rPr>
          <w:rFonts w:asciiTheme="minorHAnsi" w:hAnsiTheme="minorHAnsi" w:cstheme="minorHAnsi"/>
          <w:vertAlign w:val="subscript"/>
          <w:lang w:val="en-AU"/>
        </w:rPr>
        <w:t>last</w:t>
      </w:r>
      <w:proofErr w:type="spellEnd"/>
      <w:r w:rsidRPr="008D141E">
        <w:rPr>
          <w:rFonts w:asciiTheme="minorHAnsi" w:hAnsiTheme="minorHAnsi" w:cstheme="minorHAnsi"/>
          <w:lang w:val="en-AU"/>
        </w:rPr>
        <w:t xml:space="preserve"> mean (SD) of 505 (139) day*µg/</w:t>
      </w:r>
      <w:proofErr w:type="spellStart"/>
      <w:r w:rsidRPr="008D141E">
        <w:rPr>
          <w:rFonts w:asciiTheme="minorHAnsi" w:hAnsiTheme="minorHAnsi" w:cstheme="minorHAnsi"/>
          <w:lang w:val="en-AU"/>
        </w:rPr>
        <w:t>mL.</w:t>
      </w:r>
      <w:proofErr w:type="spellEnd"/>
    </w:p>
    <w:p w14:paraId="51B049E8" w14:textId="77777777" w:rsidR="00AC63E8" w:rsidRPr="008D141E" w:rsidRDefault="00AC63E8" w:rsidP="00647C4F">
      <w:pPr>
        <w:pStyle w:val="TableCenterAlign"/>
        <w:spacing w:after="240"/>
        <w:contextualSpacing w:val="0"/>
        <w:jc w:val="both"/>
        <w:rPr>
          <w:rFonts w:asciiTheme="minorHAnsi" w:hAnsiTheme="minorHAnsi" w:cstheme="minorHAnsi"/>
          <w:lang w:val="en-AU"/>
        </w:rPr>
      </w:pPr>
      <w:r w:rsidRPr="008D141E">
        <w:rPr>
          <w:rFonts w:asciiTheme="minorHAnsi" w:hAnsiTheme="minorHAnsi" w:cstheme="minorHAnsi"/>
          <w:lang w:val="en-AU"/>
        </w:rPr>
        <w:t>Less than 2</w:t>
      </w:r>
      <w:r w:rsidRPr="008D141E">
        <w:rPr>
          <w:rFonts w:asciiTheme="minorHAnsi" w:hAnsiTheme="minorHAnsi" w:cstheme="minorHAnsi"/>
          <w:lang w:val="en-AU"/>
        </w:rPr>
        <w:noBreakHyphen/>
        <w:t>fold accumulation was observed in trough serum concentrations (</w:t>
      </w:r>
      <w:proofErr w:type="spellStart"/>
      <w:r w:rsidRPr="008D141E">
        <w:rPr>
          <w:rFonts w:asciiTheme="minorHAnsi" w:hAnsiTheme="minorHAnsi" w:cstheme="minorHAnsi"/>
          <w:lang w:val="en-AU"/>
        </w:rPr>
        <w:t>C</w:t>
      </w:r>
      <w:r w:rsidRPr="008D141E">
        <w:rPr>
          <w:rFonts w:asciiTheme="minorHAnsi" w:hAnsiTheme="minorHAnsi" w:cstheme="minorHAnsi"/>
          <w:vertAlign w:val="subscript"/>
          <w:lang w:val="en-AU"/>
        </w:rPr>
        <w:t>min</w:t>
      </w:r>
      <w:proofErr w:type="spellEnd"/>
      <w:r w:rsidRPr="008D141E">
        <w:rPr>
          <w:rFonts w:asciiTheme="minorHAnsi" w:hAnsiTheme="minorHAnsi" w:cstheme="minorHAnsi"/>
          <w:lang w:val="en-AU"/>
        </w:rPr>
        <w:t xml:space="preserve"> [SD] 12.8 [6.53] and 14.9 [6.45] µg/mL for episodic and chronic migraine subjects, respectively) following 140 mg doses administered subcutaneously every 4 weeks and serum trough concentrations approached steady state by 12 weeks of dosing.  The effective half</w:t>
      </w:r>
      <w:r w:rsidRPr="008D141E">
        <w:rPr>
          <w:rFonts w:asciiTheme="minorHAnsi" w:hAnsiTheme="minorHAnsi" w:cstheme="minorHAnsi"/>
          <w:lang w:val="en-AU"/>
        </w:rPr>
        <w:noBreakHyphen/>
        <w:t>life of AIMOVIG is 28 days.</w:t>
      </w:r>
    </w:p>
    <w:p w14:paraId="73102AE9" w14:textId="77777777" w:rsidR="0021200F" w:rsidRDefault="0021200F" w:rsidP="0021200F">
      <w:pPr>
        <w:pStyle w:val="Heading3"/>
        <w:spacing w:before="0" w:after="120"/>
        <w:rPr>
          <w:rFonts w:cstheme="minorHAnsi"/>
        </w:rPr>
      </w:pPr>
      <w:r w:rsidRPr="00497C85">
        <w:rPr>
          <w:rFonts w:cstheme="minorHAnsi"/>
        </w:rPr>
        <w:t>Absorption</w:t>
      </w:r>
      <w:r>
        <w:rPr>
          <w:rFonts w:cstheme="minorHAnsi"/>
        </w:rPr>
        <w:t xml:space="preserve"> </w:t>
      </w:r>
    </w:p>
    <w:p w14:paraId="4E4B207C" w14:textId="77777777" w:rsidR="00E529EC" w:rsidRPr="008D141E" w:rsidRDefault="00E529EC" w:rsidP="00647C4F">
      <w:pPr>
        <w:pStyle w:val="TableCenterAlign"/>
        <w:spacing w:after="240"/>
        <w:contextualSpacing w:val="0"/>
        <w:jc w:val="both"/>
        <w:rPr>
          <w:rFonts w:asciiTheme="minorHAnsi" w:eastAsia="Arial" w:hAnsiTheme="minorHAnsi" w:cstheme="minorHAnsi"/>
          <w:lang w:val="en-AU"/>
        </w:rPr>
      </w:pPr>
      <w:r w:rsidRPr="008D141E">
        <w:rPr>
          <w:rFonts w:asciiTheme="minorHAnsi" w:eastAsia="Arial" w:hAnsiTheme="minorHAnsi" w:cstheme="minorHAnsi"/>
          <w:lang w:val="en-AU"/>
        </w:rPr>
        <w:t>Following a single subcutaneous dose of 140 mg AIMOVIG administered to healthy adults, median peak serum concentrations were attained in 4 to 6 days, and estimated absolute bioavailability was 82%.</w:t>
      </w:r>
    </w:p>
    <w:p w14:paraId="332A07FE" w14:textId="77777777" w:rsidR="0021200F" w:rsidRDefault="0021200F" w:rsidP="0021200F">
      <w:pPr>
        <w:pStyle w:val="Heading3"/>
        <w:spacing w:before="0" w:after="120"/>
        <w:rPr>
          <w:rFonts w:cstheme="minorHAnsi"/>
        </w:rPr>
      </w:pPr>
      <w:r w:rsidRPr="00497C85">
        <w:rPr>
          <w:rFonts w:cstheme="minorHAnsi"/>
        </w:rPr>
        <w:lastRenderedPageBreak/>
        <w:t>Distribution</w:t>
      </w:r>
    </w:p>
    <w:p w14:paraId="6E817808" w14:textId="77777777" w:rsidR="00E529EC" w:rsidRPr="008D141E" w:rsidRDefault="00E529EC" w:rsidP="00647C4F">
      <w:pPr>
        <w:pStyle w:val="TableCenterAlign"/>
        <w:tabs>
          <w:tab w:val="left" w:pos="1440"/>
        </w:tabs>
        <w:spacing w:after="240"/>
        <w:contextualSpacing w:val="0"/>
        <w:jc w:val="both"/>
        <w:rPr>
          <w:rFonts w:asciiTheme="minorHAnsi" w:eastAsia="Arial" w:hAnsiTheme="minorHAnsi" w:cstheme="minorHAnsi"/>
          <w:lang w:val="en-AU"/>
        </w:rPr>
      </w:pPr>
      <w:r w:rsidRPr="008D141E">
        <w:rPr>
          <w:rFonts w:asciiTheme="minorHAnsi" w:eastAsia="Arial" w:hAnsiTheme="minorHAnsi" w:cstheme="minorHAnsi"/>
          <w:lang w:val="en-AU"/>
        </w:rPr>
        <w:t>Volume distribution at steady-state (7600 mL) suggested limited tissue distribution outside of plasma.</w:t>
      </w:r>
    </w:p>
    <w:p w14:paraId="77E6C629" w14:textId="77777777" w:rsidR="0021200F" w:rsidRDefault="0021200F">
      <w:pPr>
        <w:pStyle w:val="Heading3"/>
        <w:spacing w:before="0" w:after="120"/>
        <w:rPr>
          <w:rFonts w:cstheme="minorHAnsi"/>
        </w:rPr>
      </w:pPr>
      <w:proofErr w:type="gramStart"/>
      <w:r w:rsidRPr="00497C85">
        <w:rPr>
          <w:rFonts w:cstheme="minorHAnsi"/>
        </w:rPr>
        <w:t>Metabolism</w:t>
      </w:r>
      <w:r>
        <w:rPr>
          <w:rFonts w:cstheme="minorHAnsi"/>
        </w:rPr>
        <w:t xml:space="preserve"> </w:t>
      </w:r>
      <w:r w:rsidR="00E529EC">
        <w:rPr>
          <w:rFonts w:cstheme="minorHAnsi"/>
        </w:rPr>
        <w:t xml:space="preserve"> and</w:t>
      </w:r>
      <w:proofErr w:type="gramEnd"/>
      <w:r w:rsidR="00E529EC">
        <w:rPr>
          <w:rFonts w:cstheme="minorHAnsi"/>
        </w:rPr>
        <w:t xml:space="preserve"> </w:t>
      </w:r>
      <w:r w:rsidRPr="00497C85">
        <w:rPr>
          <w:rFonts w:cstheme="minorHAnsi"/>
        </w:rPr>
        <w:t>Excretion</w:t>
      </w:r>
      <w:r>
        <w:rPr>
          <w:rFonts w:cstheme="minorHAnsi"/>
        </w:rPr>
        <w:t xml:space="preserve"> </w:t>
      </w:r>
    </w:p>
    <w:p w14:paraId="6B4D0B74" w14:textId="77777777" w:rsidR="00E529EC" w:rsidRPr="008D141E" w:rsidRDefault="00E529EC" w:rsidP="00647C4F">
      <w:pPr>
        <w:pStyle w:val="TableCenterAlign"/>
        <w:spacing w:after="240"/>
        <w:contextualSpacing w:val="0"/>
        <w:jc w:val="both"/>
        <w:rPr>
          <w:rFonts w:asciiTheme="minorHAnsi" w:hAnsiTheme="minorHAnsi" w:cstheme="minorHAnsi"/>
          <w:lang w:val="en-AU"/>
        </w:rPr>
      </w:pPr>
      <w:r w:rsidRPr="008D141E">
        <w:rPr>
          <w:rFonts w:asciiTheme="minorHAnsi" w:hAnsiTheme="minorHAnsi" w:cstheme="minorHAnsi"/>
          <w:lang w:val="en-AU"/>
        </w:rPr>
        <w:t>Two elimination phases were observed for AIMOVIG. At low concentrations, the elimination is predominantly through saturable binding to target (CGRP-R), while at higher concentrations the elimination of AIMOVIG is largely through a non-specific, non-saturable proteolytic pathway.</w:t>
      </w:r>
    </w:p>
    <w:p w14:paraId="05BD4506" w14:textId="77777777" w:rsidR="00E529EC" w:rsidRPr="00647C4F" w:rsidRDefault="00E529EC" w:rsidP="00647C4F">
      <w:pPr>
        <w:pStyle w:val="Heading3"/>
        <w:spacing w:before="0" w:after="120"/>
        <w:rPr>
          <w:rFonts w:cstheme="minorHAnsi"/>
        </w:rPr>
      </w:pPr>
      <w:r w:rsidRPr="00647C4F">
        <w:rPr>
          <w:rFonts w:cstheme="minorHAnsi"/>
        </w:rPr>
        <w:t>Specific Populations</w:t>
      </w:r>
    </w:p>
    <w:p w14:paraId="490DAF9A" w14:textId="77777777" w:rsidR="00E529EC" w:rsidRPr="008D141E" w:rsidRDefault="00E529EC" w:rsidP="00E529EC">
      <w:pPr>
        <w:pStyle w:val="TableCenterAlign"/>
        <w:jc w:val="both"/>
        <w:rPr>
          <w:rFonts w:asciiTheme="minorHAnsi" w:eastAsia="Arial" w:hAnsiTheme="minorHAnsi" w:cstheme="minorHAnsi"/>
          <w:lang w:val="en-AU"/>
        </w:rPr>
      </w:pPr>
      <w:r w:rsidRPr="008D141E">
        <w:rPr>
          <w:rFonts w:asciiTheme="minorHAnsi" w:eastAsia="Arial" w:hAnsiTheme="minorHAnsi" w:cstheme="minorHAnsi"/>
          <w:lang w:val="en-AU"/>
        </w:rPr>
        <w:t>The pharmacokinetics of erenumab were not affected by age, gender, race, migraine subtype (episodic or chronic migraine), or creatinine clearance, across all approved populations based on population pharmacokinetics (PK) analysis.</w:t>
      </w:r>
    </w:p>
    <w:p w14:paraId="2D16782B" w14:textId="77777777" w:rsidR="00E529EC" w:rsidRPr="008D141E" w:rsidRDefault="00E529EC" w:rsidP="00E529EC">
      <w:pPr>
        <w:pStyle w:val="TableCenterAlign"/>
        <w:jc w:val="both"/>
        <w:rPr>
          <w:rFonts w:asciiTheme="minorHAnsi" w:eastAsia="Arial" w:hAnsiTheme="minorHAnsi" w:cstheme="minorHAnsi"/>
          <w:lang w:val="en-AU"/>
        </w:rPr>
      </w:pPr>
    </w:p>
    <w:p w14:paraId="520CDF90" w14:textId="77777777" w:rsidR="001A3992" w:rsidRPr="00EC3C40" w:rsidRDefault="001A3992" w:rsidP="001A3992">
      <w:pPr>
        <w:pStyle w:val="Heading2"/>
        <w:spacing w:before="0" w:after="120"/>
        <w:rPr>
          <w:lang w:val="en-US"/>
        </w:rPr>
      </w:pPr>
      <w:r w:rsidRPr="00EC3C40">
        <w:rPr>
          <w:lang w:val="en-US"/>
        </w:rPr>
        <w:t>Preclinical safety data</w:t>
      </w:r>
    </w:p>
    <w:p w14:paraId="52E97E43" w14:textId="77777777" w:rsidR="001A3992" w:rsidRDefault="001A3992" w:rsidP="001A3992">
      <w:pPr>
        <w:pStyle w:val="Heading3"/>
        <w:spacing w:before="0" w:after="120"/>
      </w:pPr>
      <w:r w:rsidRPr="00B878CC">
        <w:t>Genotoxicity</w:t>
      </w:r>
    </w:p>
    <w:p w14:paraId="629DC035" w14:textId="77777777" w:rsidR="00606F78" w:rsidRPr="008D141E" w:rsidRDefault="00606F78" w:rsidP="008D141E">
      <w:pPr>
        <w:jc w:val="both"/>
        <w:rPr>
          <w:rFonts w:eastAsia="Arial"/>
        </w:rPr>
      </w:pPr>
      <w:r w:rsidRPr="008D141E">
        <w:rPr>
          <w:rFonts w:eastAsia="Arial"/>
        </w:rPr>
        <w:t>The mutagenic potential of AIMOVIG has not been evaluated; however, monoclonal antibodies are not expected to alter DNA or chromosomes.</w:t>
      </w:r>
    </w:p>
    <w:p w14:paraId="58E3925C" w14:textId="77777777" w:rsidR="001A3992" w:rsidRDefault="001A3992" w:rsidP="001A3992">
      <w:pPr>
        <w:pStyle w:val="Heading3"/>
        <w:spacing w:before="0" w:after="120"/>
        <w:rPr>
          <w:lang w:val="en-US"/>
        </w:rPr>
      </w:pPr>
      <w:proofErr w:type="spellStart"/>
      <w:r w:rsidRPr="00B878CC">
        <w:t>Carcin</w:t>
      </w:r>
      <w:r w:rsidRPr="00B878CC">
        <w:rPr>
          <w:lang w:val="en-US"/>
        </w:rPr>
        <w:t>ogenicity</w:t>
      </w:r>
      <w:proofErr w:type="spellEnd"/>
    </w:p>
    <w:p w14:paraId="2D72BCD9" w14:textId="77777777" w:rsidR="00606F78" w:rsidRPr="008D141E" w:rsidRDefault="00606F78" w:rsidP="00647C4F">
      <w:pPr>
        <w:pStyle w:val="TableCenterAlign"/>
        <w:spacing w:after="360"/>
        <w:contextualSpacing w:val="0"/>
        <w:jc w:val="both"/>
        <w:rPr>
          <w:rFonts w:asciiTheme="minorHAnsi" w:eastAsia="Arial" w:hAnsiTheme="minorHAnsi" w:cstheme="minorHAnsi"/>
          <w:lang w:val="en-AU"/>
        </w:rPr>
      </w:pPr>
      <w:r w:rsidRPr="008D141E">
        <w:rPr>
          <w:rFonts w:asciiTheme="minorHAnsi" w:eastAsia="Arial" w:hAnsiTheme="minorHAnsi" w:cstheme="minorHAnsi"/>
          <w:lang w:val="en-AU"/>
        </w:rPr>
        <w:t>Carcinogenicity studies have not been conducted with AIMOVIG. A comprehensive carcinogenicity assessment based on non-clinical and clinical data and literature did not identify any carcinogenic risk associated with the mechanism of action of AIMOVIG blocking the receptor for CGRP.</w:t>
      </w:r>
    </w:p>
    <w:p w14:paraId="25C39A1D" w14:textId="77777777" w:rsidR="001A3992" w:rsidRDefault="001A3992" w:rsidP="001A3992">
      <w:pPr>
        <w:pStyle w:val="Heading1"/>
        <w:spacing w:before="0" w:after="120"/>
        <w:rPr>
          <w:lang w:val="en-US"/>
        </w:rPr>
      </w:pPr>
      <w:r>
        <w:rPr>
          <w:lang w:val="en-US"/>
        </w:rPr>
        <w:t>Pharmaceutical particulars</w:t>
      </w:r>
    </w:p>
    <w:p w14:paraId="5BFC16BC" w14:textId="77777777" w:rsidR="005B2812" w:rsidRDefault="005B2812" w:rsidP="005B2812">
      <w:pPr>
        <w:pStyle w:val="Heading2"/>
        <w:spacing w:before="0" w:after="120"/>
        <w:rPr>
          <w:rFonts w:cstheme="minorHAnsi"/>
          <w:lang w:val="en-US"/>
        </w:rPr>
      </w:pPr>
      <w:r w:rsidRPr="00497C85">
        <w:rPr>
          <w:rFonts w:cstheme="minorHAnsi"/>
          <w:lang w:val="en-US"/>
        </w:rPr>
        <w:t xml:space="preserve">List of excipients </w:t>
      </w:r>
    </w:p>
    <w:p w14:paraId="71012015" w14:textId="77777777" w:rsidR="00E529EC" w:rsidRPr="008D141E" w:rsidRDefault="00E529EC" w:rsidP="00E529EC">
      <w:pPr>
        <w:pStyle w:val="TableCenterAlign"/>
        <w:jc w:val="both"/>
        <w:rPr>
          <w:rFonts w:asciiTheme="minorHAnsi" w:eastAsia="Arial" w:hAnsiTheme="minorHAnsi" w:cstheme="minorHAnsi"/>
          <w:szCs w:val="22"/>
          <w:lang w:val="en-AU"/>
        </w:rPr>
      </w:pPr>
      <w:r w:rsidRPr="008D141E">
        <w:rPr>
          <w:rFonts w:asciiTheme="minorHAnsi" w:eastAsia="Arial" w:hAnsiTheme="minorHAnsi" w:cstheme="minorHAnsi"/>
          <w:szCs w:val="22"/>
          <w:lang w:val="en-AU"/>
        </w:rPr>
        <w:t xml:space="preserve">Each prefilled syringe or prefilled pen contains sucrose, glacial acetic acid, </w:t>
      </w:r>
      <w:proofErr w:type="spellStart"/>
      <w:r w:rsidRPr="008D141E">
        <w:rPr>
          <w:rFonts w:asciiTheme="minorHAnsi" w:eastAsia="Arial" w:hAnsiTheme="minorHAnsi" w:cstheme="minorHAnsi"/>
          <w:szCs w:val="22"/>
          <w:lang w:val="en-AU"/>
        </w:rPr>
        <w:t>polysorbate</w:t>
      </w:r>
      <w:proofErr w:type="spellEnd"/>
      <w:r w:rsidRPr="008D141E">
        <w:rPr>
          <w:rFonts w:asciiTheme="minorHAnsi" w:eastAsia="Arial" w:hAnsiTheme="minorHAnsi" w:cstheme="minorHAnsi"/>
          <w:szCs w:val="22"/>
          <w:lang w:val="en-AU"/>
        </w:rPr>
        <w:t xml:space="preserve"> 80, water for injection and sodium hydroxide. </w:t>
      </w:r>
    </w:p>
    <w:p w14:paraId="5338B426" w14:textId="77777777" w:rsidR="00E529EC" w:rsidRPr="00E529EC" w:rsidRDefault="00E529EC" w:rsidP="00E529EC">
      <w:pPr>
        <w:rPr>
          <w:lang w:val="en-US"/>
        </w:rPr>
      </w:pPr>
    </w:p>
    <w:p w14:paraId="4163ECA6" w14:textId="77777777" w:rsidR="005B2812" w:rsidRPr="00497C85" w:rsidRDefault="005B2812" w:rsidP="005B2812">
      <w:pPr>
        <w:pStyle w:val="Heading2"/>
        <w:keepNext/>
        <w:keepLines/>
        <w:spacing w:before="0" w:after="120"/>
        <w:rPr>
          <w:rFonts w:cstheme="minorHAnsi"/>
          <w:lang w:val="en-US"/>
        </w:rPr>
      </w:pPr>
      <w:r w:rsidRPr="00497C85">
        <w:rPr>
          <w:rFonts w:cstheme="minorHAnsi"/>
          <w:lang w:val="en-US"/>
        </w:rPr>
        <w:t xml:space="preserve">Incompatibilities </w:t>
      </w:r>
    </w:p>
    <w:p w14:paraId="317A63CA" w14:textId="77777777" w:rsidR="005B2812" w:rsidRPr="008D141E" w:rsidRDefault="005B2812" w:rsidP="00647C4F">
      <w:pPr>
        <w:spacing w:after="360"/>
        <w:rPr>
          <w:rFonts w:cstheme="minorHAnsi"/>
          <w:lang w:val="en-US"/>
        </w:rPr>
      </w:pPr>
      <w:r w:rsidRPr="008D141E">
        <w:rPr>
          <w:rFonts w:cstheme="minorHAnsi"/>
          <w:lang w:val="en"/>
        </w:rPr>
        <w:t xml:space="preserve">Incompatibilities were either not assessed or not identified as part of the registration of this medicine. </w:t>
      </w:r>
    </w:p>
    <w:p w14:paraId="3F52FACC"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Shelf life </w:t>
      </w:r>
    </w:p>
    <w:p w14:paraId="6D6C49B6" w14:textId="77777777" w:rsidR="00606F78" w:rsidRPr="00647C4F" w:rsidRDefault="00606F78" w:rsidP="00647C4F">
      <w:pPr>
        <w:spacing w:after="360"/>
        <w:rPr>
          <w:rFonts w:cstheme="minorHAnsi"/>
          <w:lang w:val="en"/>
        </w:rPr>
      </w:pPr>
      <w:r w:rsidRPr="00647C4F">
        <w:rPr>
          <w:rFonts w:cstheme="minorHAnsi"/>
          <w:lang w:val="en"/>
        </w:rPr>
        <w:t>24 months at 2</w:t>
      </w:r>
      <w:r w:rsidRPr="00647C4F">
        <w:rPr>
          <w:rFonts w:cstheme="minorHAnsi"/>
          <w:lang w:val="en"/>
        </w:rPr>
        <w:sym w:font="Symbol" w:char="F0B0"/>
      </w:r>
      <w:r w:rsidRPr="00647C4F">
        <w:rPr>
          <w:rFonts w:cstheme="minorHAnsi"/>
          <w:lang w:val="en"/>
        </w:rPr>
        <w:t>C to 8</w:t>
      </w:r>
      <w:r w:rsidRPr="00647C4F">
        <w:rPr>
          <w:rFonts w:cstheme="minorHAnsi"/>
          <w:lang w:val="en"/>
        </w:rPr>
        <w:sym w:font="Symbol" w:char="F0B0"/>
      </w:r>
      <w:r w:rsidRPr="00647C4F">
        <w:rPr>
          <w:rFonts w:cstheme="minorHAnsi"/>
          <w:lang w:val="en"/>
        </w:rPr>
        <w:t>C.</w:t>
      </w:r>
    </w:p>
    <w:p w14:paraId="6E54B0A4" w14:textId="77777777" w:rsidR="005B2812" w:rsidRDefault="005B2812" w:rsidP="005B2812">
      <w:pPr>
        <w:pStyle w:val="Heading2"/>
        <w:keepNext/>
        <w:keepLines/>
        <w:spacing w:before="0" w:after="120"/>
        <w:rPr>
          <w:rFonts w:cstheme="minorHAnsi"/>
          <w:lang w:val="en-US"/>
        </w:rPr>
      </w:pPr>
      <w:r w:rsidRPr="00497C85">
        <w:rPr>
          <w:rFonts w:cstheme="minorHAnsi"/>
          <w:lang w:val="en-US"/>
        </w:rPr>
        <w:t xml:space="preserve">Special precautions for storage </w:t>
      </w:r>
    </w:p>
    <w:p w14:paraId="42098893" w14:textId="77777777" w:rsidR="00606F78" w:rsidRPr="008D141E" w:rsidRDefault="00606F78" w:rsidP="00606F78">
      <w:pPr>
        <w:pStyle w:val="TableCenterAlign"/>
        <w:numPr>
          <w:ilvl w:val="0"/>
          <w:numId w:val="12"/>
        </w:numPr>
        <w:jc w:val="both"/>
        <w:rPr>
          <w:rFonts w:asciiTheme="minorHAnsi" w:eastAsia="Arial" w:hAnsiTheme="minorHAnsi" w:cstheme="minorHAnsi"/>
          <w:lang w:val="en-AU"/>
        </w:rPr>
      </w:pPr>
      <w:r w:rsidRPr="008D141E">
        <w:rPr>
          <w:rFonts w:asciiTheme="minorHAnsi" w:eastAsia="Arial" w:hAnsiTheme="minorHAnsi" w:cstheme="minorHAnsi"/>
          <w:lang w:val="en-AU"/>
        </w:rPr>
        <w:t>Store refrigerated at 2°C to 8°C in the original carton to protect from light until time of use.</w:t>
      </w:r>
    </w:p>
    <w:p w14:paraId="02C95921" w14:textId="199439C0" w:rsidR="00606F78" w:rsidRPr="008D141E" w:rsidRDefault="00606F78" w:rsidP="00606F78">
      <w:pPr>
        <w:pStyle w:val="TableCenterAlign"/>
        <w:numPr>
          <w:ilvl w:val="0"/>
          <w:numId w:val="12"/>
        </w:numPr>
        <w:jc w:val="both"/>
        <w:rPr>
          <w:rFonts w:asciiTheme="minorHAnsi" w:eastAsia="Arial" w:hAnsiTheme="minorHAnsi" w:cstheme="minorHAnsi"/>
          <w:lang w:val="en-AU"/>
        </w:rPr>
      </w:pPr>
      <w:r w:rsidRPr="008D141E">
        <w:rPr>
          <w:rFonts w:asciiTheme="minorHAnsi" w:hAnsiTheme="minorHAnsi" w:cstheme="minorHAnsi"/>
          <w:lang w:val="en-AU"/>
        </w:rPr>
        <w:lastRenderedPageBreak/>
        <w:t xml:space="preserve">If removed from the refrigerator, AIMOVIG should be kept at controlled room temperature (up to </w:t>
      </w:r>
      <w:r w:rsidR="00541216">
        <w:rPr>
          <w:rFonts w:asciiTheme="minorHAnsi" w:hAnsiTheme="minorHAnsi" w:cstheme="minorHAnsi"/>
          <w:lang w:val="en-AU"/>
        </w:rPr>
        <w:t>30</w:t>
      </w:r>
      <w:r w:rsidRPr="008D141E">
        <w:rPr>
          <w:rFonts w:asciiTheme="minorHAnsi" w:hAnsiTheme="minorHAnsi" w:cstheme="minorHAnsi"/>
          <w:lang w:val="en-AU"/>
        </w:rPr>
        <w:t>°C) in the original carton and must be used within 14 days. Throw away AIMOVIG that has been left at room temperature for more than 14 days.</w:t>
      </w:r>
    </w:p>
    <w:p w14:paraId="016D05C8" w14:textId="77777777" w:rsidR="00606F78" w:rsidRPr="008D141E" w:rsidRDefault="00606F78" w:rsidP="00606F78">
      <w:pPr>
        <w:pStyle w:val="TableCenterAlign"/>
        <w:numPr>
          <w:ilvl w:val="0"/>
          <w:numId w:val="12"/>
        </w:numPr>
        <w:jc w:val="both"/>
        <w:rPr>
          <w:rFonts w:asciiTheme="minorHAnsi" w:eastAsia="Arial" w:hAnsiTheme="minorHAnsi" w:cstheme="minorHAnsi"/>
          <w:lang w:val="en-AU"/>
        </w:rPr>
      </w:pPr>
      <w:r w:rsidRPr="008D141E">
        <w:rPr>
          <w:rFonts w:asciiTheme="minorHAnsi" w:eastAsia="Arial" w:hAnsiTheme="minorHAnsi" w:cstheme="minorHAnsi"/>
          <w:lang w:val="en-AU"/>
        </w:rPr>
        <w:t>Do not freeze.</w:t>
      </w:r>
    </w:p>
    <w:p w14:paraId="4E838560" w14:textId="77777777" w:rsidR="00606F78" w:rsidRPr="008D141E" w:rsidRDefault="00606F78" w:rsidP="00647C4F">
      <w:pPr>
        <w:pStyle w:val="TableCenterAlign"/>
        <w:numPr>
          <w:ilvl w:val="0"/>
          <w:numId w:val="12"/>
        </w:numPr>
        <w:spacing w:after="360"/>
        <w:ind w:left="714" w:hanging="357"/>
        <w:contextualSpacing w:val="0"/>
        <w:jc w:val="both"/>
        <w:rPr>
          <w:rFonts w:asciiTheme="minorHAnsi" w:eastAsia="Arial" w:hAnsiTheme="minorHAnsi" w:cstheme="minorHAnsi"/>
          <w:lang w:val="en-AU"/>
        </w:rPr>
      </w:pPr>
      <w:r w:rsidRPr="008D141E">
        <w:rPr>
          <w:rFonts w:asciiTheme="minorHAnsi" w:eastAsia="Arial" w:hAnsiTheme="minorHAnsi" w:cstheme="minorHAnsi"/>
          <w:lang w:val="en-AU"/>
        </w:rPr>
        <w:t>Do not shake.</w:t>
      </w:r>
    </w:p>
    <w:p w14:paraId="26A09BCC" w14:textId="77777777" w:rsidR="005B2812" w:rsidRDefault="005B2812" w:rsidP="005B2812">
      <w:pPr>
        <w:pStyle w:val="Heading2"/>
        <w:spacing w:before="0" w:after="120"/>
        <w:rPr>
          <w:rFonts w:cstheme="minorHAnsi"/>
          <w:lang w:val="en-US"/>
        </w:rPr>
      </w:pPr>
      <w:r w:rsidRPr="00497C85">
        <w:rPr>
          <w:rFonts w:cstheme="minorHAnsi"/>
          <w:lang w:val="en-US"/>
        </w:rPr>
        <w:t xml:space="preserve">Nature and contents of container </w:t>
      </w:r>
    </w:p>
    <w:p w14:paraId="7A85A55E" w14:textId="77777777" w:rsidR="00606F78" w:rsidRPr="008D141E" w:rsidRDefault="00606F78" w:rsidP="00606F78">
      <w:pPr>
        <w:pStyle w:val="TableCenterAlign"/>
        <w:jc w:val="both"/>
        <w:rPr>
          <w:rFonts w:asciiTheme="minorHAnsi" w:eastAsia="Arial" w:hAnsiTheme="minorHAnsi" w:cstheme="minorHAnsi"/>
          <w:lang w:val="en-AU"/>
        </w:rPr>
      </w:pPr>
      <w:r w:rsidRPr="008D141E">
        <w:rPr>
          <w:rFonts w:asciiTheme="minorHAnsi" w:eastAsia="Arial" w:hAnsiTheme="minorHAnsi" w:cstheme="minorHAnsi"/>
          <w:lang w:val="en-AU"/>
        </w:rPr>
        <w:t>AIMOVIG is provided as:</w:t>
      </w:r>
    </w:p>
    <w:p w14:paraId="7425F331" w14:textId="77777777" w:rsidR="00606F78" w:rsidRPr="008D141E" w:rsidRDefault="00606F78" w:rsidP="00606F78">
      <w:pPr>
        <w:pStyle w:val="TableCenterAlign"/>
        <w:numPr>
          <w:ilvl w:val="0"/>
          <w:numId w:val="13"/>
        </w:numPr>
        <w:jc w:val="both"/>
        <w:rPr>
          <w:rFonts w:asciiTheme="minorHAnsi" w:eastAsia="Arial" w:hAnsiTheme="minorHAnsi" w:cstheme="minorHAnsi"/>
          <w:lang w:val="en-AU"/>
        </w:rPr>
      </w:pPr>
      <w:r w:rsidRPr="008D141E">
        <w:rPr>
          <w:rFonts w:asciiTheme="minorHAnsi" w:eastAsia="Arial" w:hAnsiTheme="minorHAnsi" w:cstheme="minorHAnsi"/>
          <w:lang w:val="en-AU"/>
        </w:rPr>
        <w:t>Carton of two* 70 mg/mL (140 mg dose) (injection) prefilled syringe with Type 1 glass syringe and stainless steel needle.</w:t>
      </w:r>
    </w:p>
    <w:p w14:paraId="6EEF9C4E" w14:textId="77777777" w:rsidR="00606F78" w:rsidRPr="008D141E" w:rsidRDefault="00606F78" w:rsidP="00606F78">
      <w:pPr>
        <w:pStyle w:val="TableCenterAlign"/>
        <w:numPr>
          <w:ilvl w:val="0"/>
          <w:numId w:val="13"/>
        </w:numPr>
        <w:jc w:val="both"/>
        <w:rPr>
          <w:rFonts w:asciiTheme="minorHAnsi" w:eastAsia="Arial" w:hAnsiTheme="minorHAnsi" w:cstheme="minorHAnsi"/>
          <w:lang w:val="en-AU"/>
        </w:rPr>
      </w:pPr>
      <w:r w:rsidRPr="008D141E">
        <w:rPr>
          <w:rFonts w:asciiTheme="minorHAnsi" w:eastAsia="Arial" w:hAnsiTheme="minorHAnsi" w:cstheme="minorHAnsi"/>
          <w:lang w:val="en-AU"/>
        </w:rPr>
        <w:t>Carton of one* (70 mg dose), two* or six* (multipack of 3x2) 70 mg/mL (140 mg dose) (injection) prefilled pen with Type 1 glass syringe and stainless steel needle.</w:t>
      </w:r>
    </w:p>
    <w:p w14:paraId="794C3FC3" w14:textId="77777777" w:rsidR="00606F78" w:rsidRPr="008D141E" w:rsidRDefault="00606F78" w:rsidP="008D141E">
      <w:pPr>
        <w:pStyle w:val="TableCenterAlign"/>
        <w:ind w:left="720"/>
        <w:jc w:val="both"/>
        <w:rPr>
          <w:rFonts w:asciiTheme="minorHAnsi" w:eastAsia="Arial" w:hAnsiTheme="minorHAnsi" w:cstheme="minorHAnsi"/>
          <w:lang w:val="en-AU"/>
        </w:rPr>
      </w:pPr>
    </w:p>
    <w:p w14:paraId="7D371D8A" w14:textId="77777777" w:rsidR="00606F78" w:rsidRPr="008D141E" w:rsidRDefault="00606F78" w:rsidP="00647C4F">
      <w:pPr>
        <w:pStyle w:val="TableCenterAlign"/>
        <w:spacing w:after="120"/>
        <w:contextualSpacing w:val="0"/>
        <w:jc w:val="both"/>
        <w:rPr>
          <w:rFonts w:asciiTheme="minorHAnsi" w:eastAsia="Arial" w:hAnsiTheme="minorHAnsi" w:cstheme="minorHAnsi"/>
          <w:lang w:val="en-AU"/>
        </w:rPr>
      </w:pPr>
      <w:r w:rsidRPr="008D141E">
        <w:rPr>
          <w:rFonts w:asciiTheme="minorHAnsi" w:eastAsia="Arial" w:hAnsiTheme="minorHAnsi" w:cstheme="minorHAnsi"/>
          <w:i/>
          <w:lang w:val="en-AU"/>
        </w:rPr>
        <w:t>* Not all pack sizes or presentations may be marketed</w:t>
      </w:r>
      <w:r w:rsidRPr="008D141E">
        <w:rPr>
          <w:rFonts w:asciiTheme="minorHAnsi" w:eastAsia="Arial" w:hAnsiTheme="minorHAnsi" w:cstheme="minorHAnsi"/>
          <w:lang w:val="en-AU"/>
        </w:rPr>
        <w:t>.</w:t>
      </w:r>
    </w:p>
    <w:p w14:paraId="46752128" w14:textId="77777777" w:rsidR="00606F78" w:rsidRPr="00647C4F" w:rsidRDefault="00606F78" w:rsidP="00647C4F">
      <w:pPr>
        <w:spacing w:after="360"/>
        <w:rPr>
          <w:rFonts w:cstheme="minorHAnsi"/>
          <w:lang w:val="en"/>
        </w:rPr>
      </w:pPr>
      <w:r w:rsidRPr="00647C4F">
        <w:rPr>
          <w:rFonts w:cstheme="minorHAnsi"/>
          <w:lang w:val="en"/>
        </w:rPr>
        <w:t>The needle cover of the glass prefilled syringe and the pen is made from dry natural rubber (a derivative of latex).</w:t>
      </w:r>
    </w:p>
    <w:p w14:paraId="1685D646"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Special precautions for disposal </w:t>
      </w:r>
    </w:p>
    <w:p w14:paraId="2779EDA2" w14:textId="77777777" w:rsidR="00071C88" w:rsidRPr="00647C4F" w:rsidRDefault="0021200F" w:rsidP="00647C4F">
      <w:pPr>
        <w:spacing w:after="360"/>
        <w:rPr>
          <w:rFonts w:cstheme="minorHAnsi"/>
          <w:lang w:val="en"/>
        </w:rPr>
      </w:pPr>
      <w:r w:rsidRPr="008D141E">
        <w:rPr>
          <w:rFonts w:cstheme="minorHAnsi"/>
          <w:lang w:val="en"/>
        </w:rPr>
        <w:t xml:space="preserve">In Australia, any unused medicine or waste material should be disposed of in accordance with local requirements. </w:t>
      </w:r>
    </w:p>
    <w:p w14:paraId="0B9E2E28" w14:textId="77777777" w:rsidR="00071C88" w:rsidRPr="00071C88" w:rsidRDefault="001A3992">
      <w:pPr>
        <w:pStyle w:val="Heading2"/>
        <w:spacing w:before="0" w:after="120"/>
        <w:rPr>
          <w:lang w:val="en-US"/>
        </w:rPr>
      </w:pPr>
      <w:r w:rsidRPr="00EC3C40">
        <w:rPr>
          <w:lang w:val="en-US"/>
        </w:rPr>
        <w:t>Physicochemical properties</w:t>
      </w:r>
    </w:p>
    <w:p w14:paraId="4E5D60E3" w14:textId="77777777" w:rsidR="001A3992" w:rsidRPr="008D141E" w:rsidRDefault="001A3992" w:rsidP="00647C4F">
      <w:pPr>
        <w:pStyle w:val="Heading3"/>
        <w:spacing w:after="120"/>
        <w:rPr>
          <w:lang w:val="en-US"/>
        </w:rPr>
      </w:pPr>
      <w:r w:rsidRPr="0030174C">
        <w:rPr>
          <w:lang w:val="en-US"/>
        </w:rPr>
        <w:t xml:space="preserve">Chemical </w:t>
      </w:r>
      <w:r w:rsidR="0030174C">
        <w:rPr>
          <w:lang w:val="en-US"/>
        </w:rPr>
        <w:t xml:space="preserve">name: </w:t>
      </w:r>
      <w:r w:rsidR="0030174C" w:rsidRPr="00586E82">
        <w:rPr>
          <w:b w:val="0"/>
        </w:rPr>
        <w:t xml:space="preserve">Immunoglobulin G2-lambda, anti-(human calcitonin gene-related peptide type </w:t>
      </w:r>
      <w:r w:rsidR="004719CB" w:rsidRPr="00586E82">
        <w:rPr>
          <w:b w:val="0"/>
        </w:rPr>
        <w:t xml:space="preserve">  </w:t>
      </w:r>
      <w:r w:rsidR="0030174C" w:rsidRPr="00586E82">
        <w:rPr>
          <w:b w:val="0"/>
        </w:rPr>
        <w:t>1 receptor (CGRP type 1 receptor; calcitonin receptor-like receptor); human monoclonal antibody</w:t>
      </w:r>
    </w:p>
    <w:p w14:paraId="6F5AD2AF" w14:textId="77777777" w:rsidR="001A3992" w:rsidRPr="00586E82" w:rsidRDefault="001A3992" w:rsidP="001A3992">
      <w:pPr>
        <w:pStyle w:val="Heading3"/>
        <w:spacing w:before="0" w:after="120"/>
        <w:rPr>
          <w:b w:val="0"/>
        </w:rPr>
      </w:pPr>
      <w:r w:rsidRPr="00EC3C40">
        <w:rPr>
          <w:lang w:val="en-US"/>
        </w:rPr>
        <w:t>CAS number</w:t>
      </w:r>
      <w:r w:rsidR="008375A9">
        <w:rPr>
          <w:lang w:val="en-US"/>
        </w:rPr>
        <w:t xml:space="preserve">: </w:t>
      </w:r>
      <w:r w:rsidR="008375A9" w:rsidRPr="00586E82">
        <w:rPr>
          <w:b w:val="0"/>
        </w:rPr>
        <w:t>1582205-90-0</w:t>
      </w:r>
    </w:p>
    <w:p w14:paraId="0A5164D6" w14:textId="77777777" w:rsidR="008375A9" w:rsidRPr="008D141E" w:rsidRDefault="008375A9" w:rsidP="00647C4F">
      <w:pPr>
        <w:pStyle w:val="Heading3"/>
        <w:spacing w:after="120"/>
      </w:pPr>
      <w:r w:rsidRPr="00647C4F">
        <w:rPr>
          <w:lang w:val="en-US"/>
        </w:rPr>
        <w:t>Molecular formula:</w:t>
      </w:r>
      <w:r w:rsidRPr="00586E82">
        <w:t xml:space="preserve"> </w:t>
      </w:r>
      <w:r w:rsidRPr="00647C4F">
        <w:rPr>
          <w:b w:val="0"/>
        </w:rPr>
        <w:t>C</w:t>
      </w:r>
      <w:r w:rsidRPr="00647C4F">
        <w:rPr>
          <w:b w:val="0"/>
          <w:vertAlign w:val="subscript"/>
        </w:rPr>
        <w:t>6472</w:t>
      </w:r>
      <w:r w:rsidRPr="00647C4F">
        <w:rPr>
          <w:b w:val="0"/>
        </w:rPr>
        <w:t>H</w:t>
      </w:r>
      <w:r w:rsidRPr="00647C4F">
        <w:rPr>
          <w:b w:val="0"/>
          <w:vertAlign w:val="subscript"/>
        </w:rPr>
        <w:t>9964</w:t>
      </w:r>
      <w:r w:rsidRPr="00647C4F">
        <w:rPr>
          <w:b w:val="0"/>
        </w:rPr>
        <w:t>N</w:t>
      </w:r>
      <w:r w:rsidRPr="00647C4F">
        <w:rPr>
          <w:b w:val="0"/>
          <w:vertAlign w:val="subscript"/>
        </w:rPr>
        <w:t>1728</w:t>
      </w:r>
      <w:r w:rsidRPr="00647C4F">
        <w:rPr>
          <w:b w:val="0"/>
        </w:rPr>
        <w:t>O</w:t>
      </w:r>
      <w:r w:rsidRPr="00647C4F">
        <w:rPr>
          <w:b w:val="0"/>
          <w:vertAlign w:val="subscript"/>
        </w:rPr>
        <w:t>2018</w:t>
      </w:r>
      <w:r w:rsidRPr="00647C4F">
        <w:rPr>
          <w:b w:val="0"/>
        </w:rPr>
        <w:t>S</w:t>
      </w:r>
      <w:r w:rsidRPr="00647C4F">
        <w:rPr>
          <w:b w:val="0"/>
          <w:vertAlign w:val="subscript"/>
        </w:rPr>
        <w:t>50</w:t>
      </w:r>
      <w:r w:rsidRPr="00647C4F">
        <w:rPr>
          <w:b w:val="0"/>
        </w:rPr>
        <w:t xml:space="preserve"> (peptide)</w:t>
      </w:r>
    </w:p>
    <w:p w14:paraId="6F961086" w14:textId="77777777" w:rsidR="008375A9" w:rsidRPr="00647C4F" w:rsidRDefault="008375A9" w:rsidP="00647C4F">
      <w:pPr>
        <w:pStyle w:val="Heading3"/>
        <w:rPr>
          <w:bCs w:val="0"/>
          <w:lang w:val="en-US"/>
        </w:rPr>
      </w:pPr>
      <w:r w:rsidRPr="00647C4F">
        <w:rPr>
          <w:bCs w:val="0"/>
          <w:lang w:val="en-US"/>
        </w:rPr>
        <w:t xml:space="preserve">Molecular weight: </w:t>
      </w:r>
      <w:r w:rsidRPr="00647C4F">
        <w:rPr>
          <w:b w:val="0"/>
        </w:rPr>
        <w:t xml:space="preserve">AIMOVIG has an approximate molecular weight (MW) of 150 </w:t>
      </w:r>
      <w:proofErr w:type="spellStart"/>
      <w:r w:rsidRPr="00647C4F">
        <w:rPr>
          <w:b w:val="0"/>
        </w:rPr>
        <w:t>kDa</w:t>
      </w:r>
      <w:proofErr w:type="spellEnd"/>
      <w:r w:rsidRPr="00647C4F">
        <w:rPr>
          <w:b w:val="0"/>
        </w:rPr>
        <w:t>.</w:t>
      </w:r>
      <w:r w:rsidRPr="00647C4F">
        <w:t xml:space="preserve">  </w:t>
      </w:r>
    </w:p>
    <w:p w14:paraId="6B04DA04" w14:textId="77777777" w:rsidR="008375A9" w:rsidRPr="00586E82" w:rsidRDefault="008375A9" w:rsidP="008D141E"/>
    <w:p w14:paraId="342CB6AD" w14:textId="77777777" w:rsidR="001A3992" w:rsidRDefault="001A3992" w:rsidP="001A3992">
      <w:pPr>
        <w:pStyle w:val="Heading1"/>
        <w:spacing w:before="0" w:after="120"/>
        <w:rPr>
          <w:lang w:val="en-US"/>
        </w:rPr>
      </w:pPr>
      <w:r>
        <w:rPr>
          <w:lang w:val="en-US"/>
        </w:rPr>
        <w:t>Medicine</w:t>
      </w:r>
      <w:r w:rsidRPr="007D497E">
        <w:rPr>
          <w:lang w:val="en-US"/>
        </w:rPr>
        <w:t xml:space="preserve"> schedule </w:t>
      </w:r>
      <w:r>
        <w:rPr>
          <w:lang w:val="en-US"/>
        </w:rPr>
        <w:t>(Poisons Standard)</w:t>
      </w:r>
    </w:p>
    <w:p w14:paraId="3268E1FE" w14:textId="77777777" w:rsidR="00E529EC" w:rsidRDefault="00E529EC" w:rsidP="00647C4F">
      <w:pPr>
        <w:spacing w:after="360"/>
      </w:pPr>
      <w:r w:rsidRPr="008D141E">
        <w:rPr>
          <w:b/>
        </w:rPr>
        <w:t>Schedule 4 - Prescription medicine</w:t>
      </w:r>
    </w:p>
    <w:p w14:paraId="7CB28A43" w14:textId="77777777" w:rsidR="00285173" w:rsidRDefault="001A3992" w:rsidP="00285173">
      <w:pPr>
        <w:pStyle w:val="Heading1"/>
        <w:spacing w:before="0" w:after="120"/>
        <w:rPr>
          <w:lang w:val="en-US"/>
        </w:rPr>
      </w:pPr>
      <w:r w:rsidRPr="007D497E">
        <w:rPr>
          <w:lang w:val="en-US"/>
        </w:rPr>
        <w:t>Sponsor</w:t>
      </w:r>
      <w:r w:rsidR="00285173" w:rsidRPr="00285173">
        <w:rPr>
          <w:lang w:val="en-US"/>
        </w:rPr>
        <w:t xml:space="preserve"> </w:t>
      </w:r>
    </w:p>
    <w:p w14:paraId="686F26FF" w14:textId="77777777" w:rsidR="00E529EC" w:rsidRDefault="00E529EC" w:rsidP="008D141E">
      <w:pPr>
        <w:pStyle w:val="NoSpacing"/>
      </w:pPr>
      <w:r>
        <w:rPr>
          <w:lang w:val="en-US"/>
        </w:rPr>
        <w:t>Novartis Pharmaceuticals Australia Pty Limited</w:t>
      </w:r>
    </w:p>
    <w:p w14:paraId="0B37EBD1" w14:textId="77777777" w:rsidR="00E529EC" w:rsidRDefault="00E529EC" w:rsidP="008D141E">
      <w:pPr>
        <w:pStyle w:val="NoSpacing"/>
        <w:rPr>
          <w:lang w:val="en-US"/>
        </w:rPr>
      </w:pPr>
      <w:r>
        <w:rPr>
          <w:lang w:val="en-US"/>
        </w:rPr>
        <w:t>ABN 18 004 244 160</w:t>
      </w:r>
    </w:p>
    <w:p w14:paraId="7B5E68F8" w14:textId="77777777" w:rsidR="00E529EC" w:rsidRDefault="00E529EC" w:rsidP="008D141E">
      <w:pPr>
        <w:pStyle w:val="NoSpacing"/>
        <w:rPr>
          <w:lang w:val="en-US"/>
        </w:rPr>
      </w:pPr>
      <w:r>
        <w:rPr>
          <w:lang w:val="en-US"/>
        </w:rPr>
        <w:t>54 Waterloo Road</w:t>
      </w:r>
    </w:p>
    <w:p w14:paraId="6FEDED33" w14:textId="77777777" w:rsidR="00E529EC" w:rsidRDefault="00E529EC" w:rsidP="008D141E">
      <w:pPr>
        <w:pStyle w:val="NoSpacing"/>
        <w:rPr>
          <w:lang w:val="en-US"/>
        </w:rPr>
      </w:pPr>
      <w:r>
        <w:rPr>
          <w:lang w:val="en-US"/>
        </w:rPr>
        <w:t>Macquarie Park NSW 2113</w:t>
      </w:r>
    </w:p>
    <w:p w14:paraId="15B1A827" w14:textId="77777777" w:rsidR="00E529EC" w:rsidRDefault="00E529EC" w:rsidP="008D141E">
      <w:pPr>
        <w:pStyle w:val="NoSpacing"/>
        <w:rPr>
          <w:lang w:val="en-US"/>
        </w:rPr>
      </w:pPr>
      <w:r>
        <w:rPr>
          <w:lang w:val="en-US"/>
        </w:rPr>
        <w:t>Telephone 1 800 671 203</w:t>
      </w:r>
    </w:p>
    <w:p w14:paraId="5B8CA5ED" w14:textId="77777777" w:rsidR="00E529EC" w:rsidRDefault="00E529EC" w:rsidP="008D141E">
      <w:pPr>
        <w:pStyle w:val="NoSpacing"/>
        <w:rPr>
          <w:lang w:val="en-US"/>
        </w:rPr>
      </w:pPr>
      <w:r>
        <w:rPr>
          <w:lang w:val="en-US"/>
        </w:rPr>
        <w:t xml:space="preserve">Web site: </w:t>
      </w:r>
      <w:hyperlink r:id="rId12" w:history="1">
        <w:r>
          <w:rPr>
            <w:rStyle w:val="Hyperlink"/>
            <w:sz w:val="24"/>
            <w:szCs w:val="24"/>
            <w:lang w:val="en-US"/>
          </w:rPr>
          <w:t>www.novartis.com.au</w:t>
        </w:r>
      </w:hyperlink>
    </w:p>
    <w:p w14:paraId="3DC6530F" w14:textId="77777777" w:rsidR="00E529EC" w:rsidRPr="008D141E" w:rsidRDefault="00E529EC" w:rsidP="008D141E">
      <w:pPr>
        <w:rPr>
          <w:lang w:val="en-US"/>
        </w:rPr>
      </w:pPr>
    </w:p>
    <w:p w14:paraId="7C6D37BE" w14:textId="77777777" w:rsidR="00285173" w:rsidRDefault="00285173" w:rsidP="00285173">
      <w:pPr>
        <w:pStyle w:val="Heading1"/>
        <w:spacing w:before="0" w:after="120"/>
        <w:rPr>
          <w:lang w:val="en-US"/>
        </w:rPr>
      </w:pPr>
      <w:r w:rsidRPr="007D497E">
        <w:rPr>
          <w:lang w:val="en-US"/>
        </w:rPr>
        <w:lastRenderedPageBreak/>
        <w:t xml:space="preserve">Date of first </w:t>
      </w:r>
      <w:r>
        <w:rPr>
          <w:lang w:val="en-US"/>
        </w:rPr>
        <w:t xml:space="preserve">approval </w:t>
      </w:r>
      <w:r w:rsidRPr="007D497E">
        <w:rPr>
          <w:lang w:val="en-US"/>
        </w:rPr>
        <w:t xml:space="preserve"> </w:t>
      </w:r>
    </w:p>
    <w:p w14:paraId="0500774D" w14:textId="7013660F" w:rsidR="00071C88" w:rsidRPr="008D141E" w:rsidRDefault="007B09DF" w:rsidP="008D141E">
      <w:pPr>
        <w:rPr>
          <w:lang w:val="en-US"/>
        </w:rPr>
      </w:pPr>
      <w:r>
        <w:rPr>
          <w:lang w:val="en-US"/>
        </w:rPr>
        <w:t>2 July</w:t>
      </w:r>
      <w:r w:rsidR="00647C4F">
        <w:rPr>
          <w:lang w:val="en-US"/>
        </w:rPr>
        <w:t xml:space="preserve"> 2018</w:t>
      </w:r>
    </w:p>
    <w:p w14:paraId="7DED8170" w14:textId="77777777" w:rsidR="00285173" w:rsidRDefault="00285173" w:rsidP="00285173">
      <w:pPr>
        <w:pStyle w:val="Heading1"/>
        <w:spacing w:before="0" w:after="120"/>
        <w:rPr>
          <w:lang w:val="en-US"/>
        </w:rPr>
      </w:pPr>
      <w:r>
        <w:rPr>
          <w:lang w:val="en-US"/>
        </w:rPr>
        <w:t xml:space="preserve">Date of revision </w:t>
      </w:r>
    </w:p>
    <w:p w14:paraId="1B8B95EF" w14:textId="77777777" w:rsidR="00647C4F" w:rsidRDefault="00647C4F" w:rsidP="00647C4F">
      <w:pPr>
        <w:rPr>
          <w:lang w:val="en-US"/>
        </w:rPr>
      </w:pPr>
      <w:r>
        <w:rPr>
          <w:lang w:val="en-US"/>
        </w:rPr>
        <w:t>N/A</w:t>
      </w:r>
    </w:p>
    <w:p w14:paraId="0259653E" w14:textId="77777777" w:rsidR="00586E82" w:rsidRDefault="00586E82" w:rsidP="00647C4F">
      <w:pPr>
        <w:rPr>
          <w:lang w:val="en-US"/>
        </w:rPr>
      </w:pPr>
    </w:p>
    <w:p w14:paraId="3A8D9D77" w14:textId="77777777" w:rsidR="00586E82" w:rsidRDefault="00586E82" w:rsidP="00647C4F">
      <w:pPr>
        <w:pBdr>
          <w:bottom w:val="single" w:sz="12" w:space="1" w:color="auto"/>
        </w:pBdr>
        <w:rPr>
          <w:lang w:val="en-US"/>
        </w:rPr>
      </w:pPr>
    </w:p>
    <w:p w14:paraId="2DE94077" w14:textId="77777777" w:rsidR="00586E82" w:rsidRDefault="00586E82" w:rsidP="00647C4F">
      <w:pPr>
        <w:rPr>
          <w:lang w:val="en-US"/>
        </w:rPr>
      </w:pPr>
    </w:p>
    <w:p w14:paraId="7ED54DC8" w14:textId="70568F74" w:rsidR="00586E82" w:rsidRPr="00647C4F" w:rsidRDefault="00586E82" w:rsidP="00647C4F">
      <w:pPr>
        <w:rPr>
          <w:lang w:val="en-US"/>
        </w:rPr>
      </w:pPr>
      <w:r>
        <w:rPr>
          <w:lang w:val="en-US"/>
        </w:rPr>
        <w:t>Internal document code: aim280618i based on CDS 22 June 2018</w:t>
      </w:r>
    </w:p>
    <w:sectPr w:rsidR="00586E82" w:rsidRPr="00647C4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C7791" w14:textId="77777777" w:rsidR="009B5C4A" w:rsidRDefault="009B5C4A" w:rsidP="001A3992">
      <w:pPr>
        <w:spacing w:after="0" w:line="240" w:lineRule="auto"/>
      </w:pPr>
      <w:r>
        <w:separator/>
      </w:r>
    </w:p>
  </w:endnote>
  <w:endnote w:type="continuationSeparator" w:id="0">
    <w:p w14:paraId="0D0C3FB2" w14:textId="77777777" w:rsidR="009B5C4A" w:rsidRDefault="009B5C4A"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4DF9178A" w14:textId="6927B164" w:rsidR="009B5C4A" w:rsidRPr="00B8074A" w:rsidRDefault="009B5C4A" w:rsidP="00E50BB9">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133729">
          <w:rPr>
            <w:noProof/>
            <w:sz w:val="20"/>
          </w:rPr>
          <w:t>1</w:t>
        </w:r>
        <w:r w:rsidRPr="00B8074A">
          <w:rPr>
            <w:noProof/>
            <w:sz w:val="20"/>
          </w:rPr>
          <w:fldChar w:fldCharType="end"/>
        </w:r>
      </w:p>
    </w:sdtContent>
  </w:sdt>
  <w:p w14:paraId="6808DDF3" w14:textId="77777777" w:rsidR="009B5C4A" w:rsidRDefault="009B5C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86930" w14:textId="77777777" w:rsidR="009B5C4A" w:rsidRDefault="009B5C4A" w:rsidP="001A3992">
      <w:pPr>
        <w:spacing w:after="0" w:line="240" w:lineRule="auto"/>
      </w:pPr>
      <w:r>
        <w:separator/>
      </w:r>
    </w:p>
  </w:footnote>
  <w:footnote w:type="continuationSeparator" w:id="0">
    <w:p w14:paraId="238D0270" w14:textId="77777777" w:rsidR="009B5C4A" w:rsidRDefault="009B5C4A"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FB1999" w14:paraId="36566BA0" w14:textId="77777777" w:rsidTr="00E36169">
      <w:tc>
        <w:tcPr>
          <w:tcW w:w="8720" w:type="dxa"/>
          <w:shd w:val="clear" w:color="auto" w:fill="E4F2E0"/>
        </w:tcPr>
        <w:p w14:paraId="34C9A1F1" w14:textId="13E994DD" w:rsidR="00FB1999" w:rsidRPr="00D361CA" w:rsidRDefault="00FB1999" w:rsidP="00FB1999">
          <w:pPr>
            <w:spacing w:before="40" w:after="40"/>
            <w:rPr>
              <w:b/>
            </w:rPr>
          </w:pPr>
          <w:r w:rsidRPr="00D361CA">
            <w:rPr>
              <w:b/>
            </w:rPr>
            <w:t xml:space="preserve">Attachment 1: Product information for </w:t>
          </w:r>
          <w:proofErr w:type="spellStart"/>
          <w:r w:rsidRPr="00FB1999">
            <w:rPr>
              <w:b/>
            </w:rPr>
            <w:t>AusPAR</w:t>
          </w:r>
          <w:proofErr w:type="spellEnd"/>
          <w:r w:rsidRPr="00FB1999">
            <w:rPr>
              <w:b/>
            </w:rPr>
            <w:t xml:space="preserve"> - </w:t>
          </w:r>
          <w:proofErr w:type="spellStart"/>
          <w:r w:rsidRPr="00FB1999">
            <w:rPr>
              <w:b/>
            </w:rPr>
            <w:t>Aimovig</w:t>
          </w:r>
          <w:proofErr w:type="spellEnd"/>
          <w:r w:rsidRPr="00FB1999">
            <w:rPr>
              <w:b/>
            </w:rPr>
            <w:t xml:space="preserve"> - </w:t>
          </w:r>
          <w:proofErr w:type="spellStart"/>
          <w:r w:rsidRPr="00FB1999">
            <w:rPr>
              <w:b/>
            </w:rPr>
            <w:t>erenumab</w:t>
          </w:r>
          <w:proofErr w:type="spellEnd"/>
          <w:r w:rsidRPr="00FB1999">
            <w:rPr>
              <w:b/>
            </w:rPr>
            <w:t xml:space="preserve"> - Novartis Australia - PM-2017-02174-1-1 FINAL 10 September 2019</w:t>
          </w:r>
          <w:r w:rsidRPr="00D361CA">
            <w:rPr>
              <w:b/>
            </w:rPr>
            <w:t xml:space="preserve">. This Product Information was approved at the time this </w:t>
          </w:r>
          <w:proofErr w:type="spellStart"/>
          <w:r w:rsidRPr="00D361CA">
            <w:rPr>
              <w:b/>
            </w:rPr>
            <w:t>AusPAR</w:t>
          </w:r>
          <w:proofErr w:type="spellEnd"/>
          <w:r w:rsidRPr="00D361CA">
            <w:rPr>
              <w:b/>
            </w:rPr>
            <w:t xml:space="preserve"> was published.</w:t>
          </w:r>
        </w:p>
      </w:tc>
    </w:tr>
  </w:tbl>
  <w:p w14:paraId="2B171427" w14:textId="704072E1" w:rsidR="009B5C4A" w:rsidRDefault="009B5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40E91"/>
    <w:multiLevelType w:val="hybridMultilevel"/>
    <w:tmpl w:val="157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D159E4"/>
    <w:multiLevelType w:val="hybridMultilevel"/>
    <w:tmpl w:val="9DC0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736D1"/>
    <w:multiLevelType w:val="hybridMultilevel"/>
    <w:tmpl w:val="EF5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842C6"/>
    <w:multiLevelType w:val="hybridMultilevel"/>
    <w:tmpl w:val="85C09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6E77E6"/>
    <w:multiLevelType w:val="hybridMultilevel"/>
    <w:tmpl w:val="28A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7"/>
  </w:num>
  <w:num w:numId="5">
    <w:abstractNumId w:val="14"/>
  </w:num>
  <w:num w:numId="6">
    <w:abstractNumId w:val="11"/>
  </w:num>
  <w:num w:numId="7">
    <w:abstractNumId w:val="9"/>
  </w:num>
  <w:num w:numId="8">
    <w:abstractNumId w:val="12"/>
  </w:num>
  <w:num w:numId="9">
    <w:abstractNumId w:val="3"/>
  </w:num>
  <w:num w:numId="10">
    <w:abstractNumId w:val="8"/>
  </w:num>
  <w:num w:numId="11">
    <w:abstractNumId w:val="13"/>
  </w:num>
  <w:num w:numId="12">
    <w:abstractNumId w:val="5"/>
  </w:num>
  <w:num w:numId="13">
    <w:abstractNumId w:val="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73"/>
    <w:rsid w:val="00042302"/>
    <w:rsid w:val="00071C88"/>
    <w:rsid w:val="000D21DC"/>
    <w:rsid w:val="00116716"/>
    <w:rsid w:val="00133729"/>
    <w:rsid w:val="00177004"/>
    <w:rsid w:val="001A3992"/>
    <w:rsid w:val="001B6DDA"/>
    <w:rsid w:val="001C308F"/>
    <w:rsid w:val="001D591D"/>
    <w:rsid w:val="001E21B5"/>
    <w:rsid w:val="0021200F"/>
    <w:rsid w:val="00250856"/>
    <w:rsid w:val="00282E57"/>
    <w:rsid w:val="00285173"/>
    <w:rsid w:val="0029092F"/>
    <w:rsid w:val="002A33E4"/>
    <w:rsid w:val="002C03E8"/>
    <w:rsid w:val="002E277D"/>
    <w:rsid w:val="0030174C"/>
    <w:rsid w:val="00346608"/>
    <w:rsid w:val="00362337"/>
    <w:rsid w:val="00375DF3"/>
    <w:rsid w:val="003852D1"/>
    <w:rsid w:val="003964A2"/>
    <w:rsid w:val="003B28B0"/>
    <w:rsid w:val="004212BF"/>
    <w:rsid w:val="00426146"/>
    <w:rsid w:val="00431ACD"/>
    <w:rsid w:val="0044163C"/>
    <w:rsid w:val="004665A3"/>
    <w:rsid w:val="004719CB"/>
    <w:rsid w:val="004B4A06"/>
    <w:rsid w:val="004B6B19"/>
    <w:rsid w:val="004C584E"/>
    <w:rsid w:val="00506844"/>
    <w:rsid w:val="00541216"/>
    <w:rsid w:val="00564E6F"/>
    <w:rsid w:val="00586E82"/>
    <w:rsid w:val="00594033"/>
    <w:rsid w:val="005B2812"/>
    <w:rsid w:val="006018AE"/>
    <w:rsid w:val="00606F78"/>
    <w:rsid w:val="00647C4F"/>
    <w:rsid w:val="007050EC"/>
    <w:rsid w:val="00736777"/>
    <w:rsid w:val="007373E6"/>
    <w:rsid w:val="00760E50"/>
    <w:rsid w:val="0079101E"/>
    <w:rsid w:val="007A1C2B"/>
    <w:rsid w:val="007B09DF"/>
    <w:rsid w:val="007C66C8"/>
    <w:rsid w:val="008048C2"/>
    <w:rsid w:val="00823650"/>
    <w:rsid w:val="008375A9"/>
    <w:rsid w:val="008A4B3F"/>
    <w:rsid w:val="008B45C3"/>
    <w:rsid w:val="008D141E"/>
    <w:rsid w:val="008D7ABB"/>
    <w:rsid w:val="00905FE6"/>
    <w:rsid w:val="00916CC1"/>
    <w:rsid w:val="009345EC"/>
    <w:rsid w:val="00960CD5"/>
    <w:rsid w:val="009B5C4A"/>
    <w:rsid w:val="00A07173"/>
    <w:rsid w:val="00A61410"/>
    <w:rsid w:val="00A64655"/>
    <w:rsid w:val="00A66CDB"/>
    <w:rsid w:val="00A6704C"/>
    <w:rsid w:val="00A923F3"/>
    <w:rsid w:val="00AC63E8"/>
    <w:rsid w:val="00AD4A42"/>
    <w:rsid w:val="00AD719B"/>
    <w:rsid w:val="00AF238D"/>
    <w:rsid w:val="00B74EA0"/>
    <w:rsid w:val="00BE2A26"/>
    <w:rsid w:val="00C12DE2"/>
    <w:rsid w:val="00D94E97"/>
    <w:rsid w:val="00DA3468"/>
    <w:rsid w:val="00DD1820"/>
    <w:rsid w:val="00DF1CDE"/>
    <w:rsid w:val="00E50BB9"/>
    <w:rsid w:val="00E529EC"/>
    <w:rsid w:val="00E67519"/>
    <w:rsid w:val="00E67E44"/>
    <w:rsid w:val="00E710A7"/>
    <w:rsid w:val="00E74A56"/>
    <w:rsid w:val="00F2205C"/>
    <w:rsid w:val="00F239D7"/>
    <w:rsid w:val="00FB1999"/>
    <w:rsid w:val="00FC1E1A"/>
    <w:rsid w:val="00FD5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8BBF51"/>
  <w15:docId w15:val="{27E8D902-B03F-42FD-B7B5-684E7370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customStyle="1" w:styleId="TableCenterAlign">
    <w:name w:val="TableCenterAlign"/>
    <w:basedOn w:val="Normal"/>
    <w:link w:val="TableCenterAlignChar"/>
    <w:rsid w:val="00E529EC"/>
    <w:pPr>
      <w:suppressAutoHyphens/>
      <w:spacing w:before="60" w:after="60" w:line="240" w:lineRule="atLeast"/>
      <w:ind w:right="482"/>
      <w:contextualSpacing/>
      <w:jc w:val="center"/>
    </w:pPr>
    <w:rPr>
      <w:rFonts w:ascii="Arial" w:eastAsia="Times New Roman" w:hAnsi="Arial" w:cs="Times New Roman"/>
      <w:szCs w:val="20"/>
      <w:lang w:val="en-US"/>
    </w:rPr>
  </w:style>
  <w:style w:type="character" w:customStyle="1" w:styleId="TableCenterAlignChar">
    <w:name w:val="TableCenterAlign Char"/>
    <w:link w:val="TableCenterAlign"/>
    <w:rsid w:val="00E529EC"/>
    <w:rPr>
      <w:rFonts w:ascii="Arial" w:eastAsia="Times New Roman" w:hAnsi="Arial" w:cs="Times New Roman"/>
      <w:szCs w:val="20"/>
      <w:lang w:val="en-US"/>
    </w:rPr>
  </w:style>
  <w:style w:type="character" w:customStyle="1" w:styleId="expldotChar">
    <w:name w:val="expldot Char"/>
    <w:basedOn w:val="DefaultParagraphFont"/>
    <w:link w:val="expldot"/>
    <w:locked/>
    <w:rsid w:val="00E529EC"/>
  </w:style>
  <w:style w:type="paragraph" w:customStyle="1" w:styleId="expldot">
    <w:name w:val="expldot"/>
    <w:basedOn w:val="Normal"/>
    <w:link w:val="expldotChar"/>
    <w:rsid w:val="00E529EC"/>
    <w:pPr>
      <w:spacing w:before="20" w:after="80" w:line="260" w:lineRule="exact"/>
    </w:pPr>
  </w:style>
  <w:style w:type="paragraph" w:styleId="NoSpacing">
    <w:name w:val="No Spacing"/>
    <w:uiPriority w:val="1"/>
    <w:qFormat/>
    <w:rsid w:val="00E529EC"/>
    <w:pPr>
      <w:spacing w:after="0" w:line="240" w:lineRule="auto"/>
    </w:pPr>
  </w:style>
  <w:style w:type="paragraph" w:customStyle="1" w:styleId="Text">
    <w:name w:val="Text"/>
    <w:aliases w:val="本文,JP Body Text,Body Text1,Body Text11,Body Text111,Body Text1111,??,Body Text11111,本文1,Body Text2,Body Text21,本文2,Body Text111111,Body Text1111111,Body Text11111111,Body Text111111111,Body Text3,Graphic,Graphic Char Char,Body Text31,Body Text311"/>
    <w:basedOn w:val="Normal"/>
    <w:link w:val="TextChar"/>
    <w:qFormat/>
    <w:rsid w:val="00AC63E8"/>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jc w:val="both"/>
    </w:pPr>
    <w:rPr>
      <w:rFonts w:ascii="Times New Roman" w:eastAsia="Times New Roman" w:hAnsi="Times New Roman" w:cs="Times New Roman"/>
      <w:b/>
      <w:sz w:val="24"/>
      <w:szCs w:val="24"/>
      <w:lang w:val="en-US"/>
    </w:rPr>
  </w:style>
  <w:style w:type="character" w:customStyle="1" w:styleId="TextChar">
    <w:name w:val="Text Char"/>
    <w:aliases w:val="Body Text Char1,本文 Char1,JP Body Text Char1,Body Text1 Char1,本文1 Char1,?? Char1,Body Text2 Char1,Body Text21 Char1,Body Text11 Char1,Body Text111 Char1,本文2 Char1,Body Text1111 Char1,Body Text11111 Char1,Body Text111111 Char1,Graphic Char"/>
    <w:basedOn w:val="DefaultParagraphFont"/>
    <w:link w:val="Text"/>
    <w:locked/>
    <w:rsid w:val="00AC63E8"/>
    <w:rPr>
      <w:rFonts w:ascii="Times New Roman" w:eastAsia="Times New Roman" w:hAnsi="Times New Roman" w:cs="Times New Roman"/>
      <w:b/>
      <w:sz w:val="24"/>
      <w:szCs w:val="24"/>
      <w:lang w:val="en-US"/>
    </w:rPr>
  </w:style>
  <w:style w:type="paragraph" w:customStyle="1" w:styleId="Table">
    <w:name w:val="Table"/>
    <w:aliases w:val="10 pt  Bold,9 pt,10 pt,9pt,table text 10 pt + Arial,Bold,Normal + (Latin) Arial,(Complex) Arial,legendpt,Table pt,Normal + Courier New,Courier New,Not Bold,Text + Courier New,legendt,Table + (Latin) Courier New,Before:  0 pt,After:  0 pt"/>
    <w:basedOn w:val="Normal"/>
    <w:link w:val="TableChar"/>
    <w:autoRedefine/>
    <w:qFormat/>
    <w:rsid w:val="00AC63E8"/>
    <w:pPr>
      <w:keepLines/>
      <w:tabs>
        <w:tab w:val="left" w:pos="-720"/>
        <w:tab w:val="left" w:pos="0"/>
        <w:tab w:val="left" w:pos="284"/>
        <w:tab w:val="left" w:pos="720"/>
        <w:tab w:val="left" w:pos="1440"/>
        <w:tab w:val="left" w:pos="2160"/>
        <w:tab w:val="left" w:pos="2880"/>
        <w:tab w:val="left" w:pos="3600"/>
        <w:tab w:val="left" w:pos="4320"/>
      </w:tabs>
      <w:autoSpaceDE w:val="0"/>
      <w:autoSpaceDN w:val="0"/>
      <w:adjustRightInd w:val="0"/>
      <w:spacing w:after="0" w:line="320" w:lineRule="atLeast"/>
      <w:ind w:left="22" w:right="482" w:firstLine="22"/>
      <w:contextualSpacing/>
    </w:pPr>
    <w:rPr>
      <w:rFonts w:ascii="Times New Roman" w:eastAsia="SimSun" w:hAnsi="Times New Roman" w:cs="Arial"/>
      <w:b/>
      <w:sz w:val="24"/>
      <w:szCs w:val="24"/>
      <w:lang w:val="en-US" w:eastAsia="zh-CN"/>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basedOn w:val="DefaultParagraphFont"/>
    <w:link w:val="Table"/>
    <w:locked/>
    <w:rsid w:val="00AC63E8"/>
    <w:rPr>
      <w:rFonts w:ascii="Times New Roman" w:eastAsia="SimSun" w:hAnsi="Times New Roman" w:cs="Arial"/>
      <w:b/>
      <w:sz w:val="24"/>
      <w:szCs w:val="24"/>
      <w:lang w:val="en-US" w:eastAsia="zh-CN"/>
    </w:rPr>
  </w:style>
  <w:style w:type="table" w:styleId="TableGrid">
    <w:name w:val="Table Grid"/>
    <w:basedOn w:val="TableNormal"/>
    <w:uiPriority w:val="59"/>
    <w:rsid w:val="00AC63E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0">
    <w:name w:val="FootnoteText"/>
    <w:basedOn w:val="Normal"/>
    <w:next w:val="Text"/>
    <w:link w:val="FootnoteTextChar0"/>
    <w:rsid w:val="00AC63E8"/>
    <w:pPr>
      <w:suppressAutoHyphens/>
      <w:spacing w:after="0" w:line="240" w:lineRule="atLeast"/>
      <w:ind w:left="360" w:right="482" w:hanging="360"/>
      <w:contextualSpacing/>
    </w:pPr>
    <w:rPr>
      <w:rFonts w:ascii="Arial" w:eastAsia="Times New Roman" w:hAnsi="Arial" w:cs="Times New Roman"/>
      <w:sz w:val="18"/>
      <w:szCs w:val="20"/>
      <w:lang w:val="en-US"/>
    </w:rPr>
  </w:style>
  <w:style w:type="character" w:customStyle="1" w:styleId="FootnoteTextChar0">
    <w:name w:val="FootnoteText Char"/>
    <w:basedOn w:val="DefaultParagraphFont"/>
    <w:link w:val="FootnoteText0"/>
    <w:locked/>
    <w:rsid w:val="00AC63E8"/>
    <w:rPr>
      <w:rFonts w:ascii="Arial" w:eastAsia="Times New Roman" w:hAnsi="Arial" w:cs="Times New Roman"/>
      <w:sz w:val="18"/>
      <w:szCs w:val="20"/>
      <w:lang w:val="en-US"/>
    </w:rPr>
  </w:style>
  <w:style w:type="paragraph" w:customStyle="1" w:styleId="TextBold">
    <w:name w:val="Text Bold"/>
    <w:basedOn w:val="Normal"/>
    <w:link w:val="TextBoldChar"/>
    <w:rsid w:val="00AC63E8"/>
    <w:pPr>
      <w:spacing w:after="0" w:line="240" w:lineRule="auto"/>
      <w:ind w:right="482"/>
      <w:contextualSpacing/>
    </w:pPr>
    <w:rPr>
      <w:rFonts w:ascii="Times New Roman" w:eastAsia="MS Mincho" w:hAnsi="Times New Roman" w:cs="Times New Roman"/>
      <w:b/>
      <w:bCs/>
      <w:color w:val="000000"/>
      <w:sz w:val="24"/>
      <w:szCs w:val="24"/>
      <w:lang w:val="en-US" w:eastAsia="ja-JP"/>
    </w:rPr>
  </w:style>
  <w:style w:type="character" w:customStyle="1" w:styleId="TextBoldChar">
    <w:name w:val="Text Bold Char"/>
    <w:basedOn w:val="DefaultParagraphFont"/>
    <w:link w:val="TextBold"/>
    <w:rsid w:val="00AC63E8"/>
    <w:rPr>
      <w:rFonts w:ascii="Times New Roman" w:eastAsia="MS Mincho" w:hAnsi="Times New Roman" w:cs="Times New Roman"/>
      <w:b/>
      <w:bCs/>
      <w:color w:val="000000"/>
      <w:sz w:val="24"/>
      <w:szCs w:val="24"/>
      <w:lang w:val="en-US" w:eastAsia="ja-JP"/>
    </w:rPr>
  </w:style>
  <w:style w:type="paragraph" w:styleId="Caption">
    <w:name w:val="caption"/>
    <w:basedOn w:val="Normal"/>
    <w:next w:val="Normal"/>
    <w:link w:val="CaptionChar"/>
    <w:autoRedefine/>
    <w:unhideWhenUsed/>
    <w:qFormat/>
    <w:rsid w:val="007050EC"/>
    <w:pPr>
      <w:keepNext/>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ind w:right="482"/>
      <w:contextualSpacing/>
      <w:jc w:val="both"/>
    </w:pPr>
    <w:rPr>
      <w:rFonts w:ascii="Times New Roman" w:eastAsia="Times New Roman" w:hAnsi="Times New Roman" w:cs="Times New Roman"/>
      <w:b/>
      <w:i/>
      <w:iCs/>
      <w:sz w:val="24"/>
      <w:szCs w:val="18"/>
      <w:lang w:val="en-US"/>
    </w:rPr>
  </w:style>
  <w:style w:type="character" w:customStyle="1" w:styleId="CaptionChar">
    <w:name w:val="Caption Char"/>
    <w:basedOn w:val="DefaultParagraphFont"/>
    <w:link w:val="Caption"/>
    <w:rsid w:val="007050EC"/>
    <w:rPr>
      <w:rFonts w:ascii="Times New Roman" w:eastAsia="Times New Roman" w:hAnsi="Times New Roman" w:cs="Times New Roman"/>
      <w:b/>
      <w:i/>
      <w:iCs/>
      <w:sz w:val="24"/>
      <w:szCs w:val="18"/>
      <w:lang w:val="en-US"/>
    </w:rPr>
  </w:style>
  <w:style w:type="paragraph" w:styleId="Title">
    <w:name w:val="Title"/>
    <w:basedOn w:val="Normal"/>
    <w:link w:val="TitleChar"/>
    <w:autoRedefine/>
    <w:qFormat/>
    <w:rsid w:val="00E67519"/>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0" w:line="320" w:lineRule="atLeast"/>
      <w:ind w:right="482"/>
      <w:contextualSpacing/>
      <w:outlineLvl w:val="0"/>
    </w:pPr>
    <w:rPr>
      <w:rFonts w:ascii="Times New Roman" w:eastAsia="Times New Roman" w:hAnsi="Times New Roman" w:cs="Arial"/>
      <w:b/>
      <w:bCs/>
      <w:kern w:val="28"/>
      <w:sz w:val="34"/>
      <w:szCs w:val="32"/>
      <w:lang w:val="en-US"/>
    </w:rPr>
  </w:style>
  <w:style w:type="character" w:customStyle="1" w:styleId="TitleChar">
    <w:name w:val="Title Char"/>
    <w:basedOn w:val="DefaultParagraphFont"/>
    <w:link w:val="Title"/>
    <w:rsid w:val="00E67519"/>
    <w:rPr>
      <w:rFonts w:ascii="Times New Roman" w:eastAsia="Times New Roman" w:hAnsi="Times New Roman" w:cs="Arial"/>
      <w:b/>
      <w:bCs/>
      <w:kern w:val="28"/>
      <w:sz w:val="34"/>
      <w:szCs w:val="32"/>
      <w:lang w:val="en-US"/>
    </w:rPr>
  </w:style>
  <w:style w:type="paragraph" w:styleId="CommentSubject">
    <w:name w:val="annotation subject"/>
    <w:basedOn w:val="CommentText"/>
    <w:next w:val="CommentText"/>
    <w:link w:val="CommentSubjectChar"/>
    <w:uiPriority w:val="99"/>
    <w:semiHidden/>
    <w:unhideWhenUsed/>
    <w:rsid w:val="00A923F3"/>
    <w:rPr>
      <w:rFonts w:asciiTheme="minorHAnsi" w:hAnsiTheme="minorHAnsi"/>
      <w:b/>
      <w:bCs/>
    </w:rPr>
  </w:style>
  <w:style w:type="character" w:customStyle="1" w:styleId="CommentSubjectChar">
    <w:name w:val="Comment Subject Char"/>
    <w:basedOn w:val="CommentTextChar"/>
    <w:link w:val="CommentSubject"/>
    <w:uiPriority w:val="99"/>
    <w:semiHidden/>
    <w:rsid w:val="00A923F3"/>
    <w:rPr>
      <w:rFonts w:ascii="Cambria" w:hAnsi="Cambria"/>
      <w:b/>
      <w:bCs/>
      <w:sz w:val="20"/>
      <w:szCs w:val="20"/>
    </w:rPr>
  </w:style>
  <w:style w:type="paragraph" w:styleId="Header">
    <w:name w:val="header"/>
    <w:basedOn w:val="Normal"/>
    <w:link w:val="HeaderChar"/>
    <w:uiPriority w:val="99"/>
    <w:unhideWhenUsed/>
    <w:rsid w:val="00A67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04C"/>
  </w:style>
  <w:style w:type="character" w:styleId="EndnoteReference">
    <w:name w:val="endnote reference"/>
    <w:semiHidden/>
    <w:rsid w:val="002C03E8"/>
    <w:rPr>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0571">
      <w:bodyDiv w:val="1"/>
      <w:marLeft w:val="0"/>
      <w:marRight w:val="0"/>
      <w:marTop w:val="0"/>
      <w:marBottom w:val="0"/>
      <w:divBdr>
        <w:top w:val="none" w:sz="0" w:space="0" w:color="auto"/>
        <w:left w:val="none" w:sz="0" w:space="0" w:color="auto"/>
        <w:bottom w:val="none" w:sz="0" w:space="0" w:color="auto"/>
        <w:right w:val="none" w:sz="0" w:space="0" w:color="auto"/>
      </w:divBdr>
    </w:div>
    <w:div w:id="166088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vartis.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ylu1\Desktop\PI%20to%20do\PI%20aimovi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F4F0-8B4A-4881-B75A-3DB3E633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 aimovig.dotx</Template>
  <TotalTime>13</TotalTime>
  <Pages>16</Pages>
  <Words>5172</Words>
  <Characters>29485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AusPAR Attachment 1: Product Information for Erenumab</vt:lpstr>
    </vt:vector>
  </TitlesOfParts>
  <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Erenumab</dc:title>
  <dc:subject>Prescription medicines</dc:subject>
  <dc:creator>Novartis Australia</dc:creator>
  <cp:keywords>AusPARs</cp:keywords>
  <cp:lastPrinted>2018-08-01T04:27:00Z</cp:lastPrinted>
  <dcterms:created xsi:type="dcterms:W3CDTF">2018-07-03T03:30:00Z</dcterms:created>
  <dcterms:modified xsi:type="dcterms:W3CDTF">2019-09-19T23:16:00Z</dcterms:modified>
</cp:coreProperties>
</file>