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35AEA" w14:textId="77777777"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477DA753" wp14:editId="3A88F165">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586B0" w14:textId="77777777" w:rsidR="00315D5B" w:rsidRPr="00BE2A26" w:rsidRDefault="00315D5B"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77DA753"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770586B0" w14:textId="77777777" w:rsidR="00315D5B" w:rsidRPr="00BE2A26" w:rsidRDefault="00315D5B"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65476D1E" w14:textId="7142975B" w:rsidR="00F32144" w:rsidRPr="00F32144" w:rsidRDefault="00F32144" w:rsidP="00F32144">
      <w:pPr>
        <w:pStyle w:val="Heading1"/>
        <w:numPr>
          <w:ilvl w:val="0"/>
          <w:numId w:val="0"/>
        </w:numPr>
        <w:spacing w:after="240"/>
        <w:rPr>
          <w:rFonts w:eastAsia="SimSun"/>
        </w:rPr>
      </w:pPr>
      <w:r w:rsidRPr="00593C40">
        <w:rPr>
          <w:rFonts w:eastAsia="SimSun"/>
          <w:caps w:val="0"/>
        </w:rPr>
        <w:t>Australian Product Information –</w:t>
      </w:r>
      <w:r w:rsidRPr="00593C40">
        <w:rPr>
          <w:rFonts w:eastAsia="SimSun"/>
        </w:rPr>
        <w:t xml:space="preserve"> </w:t>
      </w:r>
      <w:r w:rsidR="002646FB">
        <w:rPr>
          <w:rFonts w:eastAsia="SimSun"/>
        </w:rPr>
        <w:t>VYEPTI</w:t>
      </w:r>
      <w:r w:rsidR="002646FB" w:rsidRPr="00E12786">
        <w:rPr>
          <w:rFonts w:eastAsia="SimSun"/>
          <w:vertAlign w:val="superscript"/>
        </w:rPr>
        <w:t>®</w:t>
      </w:r>
      <w:r w:rsidRPr="00593C40">
        <w:rPr>
          <w:rFonts w:eastAsia="SimSun"/>
        </w:rPr>
        <w:t>(</w:t>
      </w:r>
      <w:r w:rsidRPr="00593C40">
        <w:rPr>
          <w:rFonts w:eastAsia="SimSun"/>
          <w:caps w:val="0"/>
          <w:lang w:val="en-US"/>
        </w:rPr>
        <w:t>eptinezumab</w:t>
      </w:r>
      <w:r w:rsidRPr="00593C40">
        <w:rPr>
          <w:rFonts w:eastAsia="SimSun"/>
        </w:rPr>
        <w:t xml:space="preserve">) </w:t>
      </w:r>
      <w:r w:rsidRPr="00593C40">
        <w:rPr>
          <w:rFonts w:eastAsia="SimSun"/>
          <w:caps w:val="0"/>
        </w:rPr>
        <w:t>Concentrated injection</w:t>
      </w:r>
      <w:r w:rsidRPr="009D09B3">
        <w:rPr>
          <w:rFonts w:eastAsia="SimSun"/>
          <w:caps w:val="0"/>
        </w:rPr>
        <w:t xml:space="preserve"> </w:t>
      </w:r>
    </w:p>
    <w:p w14:paraId="4A1F238E" w14:textId="77777777" w:rsidR="001A3992" w:rsidRDefault="001A3992" w:rsidP="001A3992">
      <w:pPr>
        <w:pStyle w:val="Heading1"/>
        <w:spacing w:before="0" w:after="120"/>
      </w:pPr>
      <w:r w:rsidRPr="00035C95">
        <w:t>Name of the medicine</w:t>
      </w:r>
    </w:p>
    <w:p w14:paraId="27A3D953" w14:textId="25AB62A0" w:rsidR="00EF6178" w:rsidRPr="00E0618E" w:rsidRDefault="00EC380F" w:rsidP="00EF6178">
      <w:r w:rsidRPr="00E0618E">
        <w:rPr>
          <w:rFonts w:cstheme="minorHAnsi"/>
        </w:rPr>
        <w:t>E</w:t>
      </w:r>
      <w:r w:rsidR="00EF6178" w:rsidRPr="00E0618E">
        <w:rPr>
          <w:lang w:val="en-US"/>
        </w:rPr>
        <w:t>ptinezumab</w:t>
      </w:r>
    </w:p>
    <w:p w14:paraId="53D51DB7" w14:textId="77777777" w:rsidR="001A3992" w:rsidRPr="00E0618E" w:rsidRDefault="001A3992" w:rsidP="001A3992">
      <w:pPr>
        <w:pStyle w:val="Heading1"/>
        <w:spacing w:before="0" w:after="120"/>
      </w:pPr>
      <w:r w:rsidRPr="00E0618E">
        <w:t>Qualitative and quantitative composition</w:t>
      </w:r>
    </w:p>
    <w:p w14:paraId="4388CA9B" w14:textId="623440C0" w:rsidR="00C51696" w:rsidRPr="00C51696" w:rsidRDefault="00C51696" w:rsidP="00C51696">
      <w:pPr>
        <w:rPr>
          <w:rFonts w:cstheme="minorHAnsi"/>
          <w:lang w:val="en-GB"/>
        </w:rPr>
      </w:pPr>
      <w:r w:rsidRPr="00C51696">
        <w:rPr>
          <w:rFonts w:cstheme="minorHAnsi"/>
          <w:lang w:val="en-GB"/>
        </w:rPr>
        <w:t xml:space="preserve">Each </w:t>
      </w:r>
      <w:r w:rsidR="0090051E">
        <w:rPr>
          <w:rFonts w:cstheme="minorHAnsi"/>
          <w:lang w:val="en-GB"/>
        </w:rPr>
        <w:t xml:space="preserve">single-dose </w:t>
      </w:r>
      <w:r w:rsidRPr="00C51696">
        <w:rPr>
          <w:rFonts w:cstheme="minorHAnsi"/>
          <w:lang w:val="en-GB"/>
        </w:rPr>
        <w:t>vial contains 100 mg/mL eptinezumab.</w:t>
      </w:r>
    </w:p>
    <w:p w14:paraId="7AF347DB" w14:textId="2C3256F0" w:rsidR="00F32144" w:rsidRPr="00F32144" w:rsidRDefault="00965814" w:rsidP="00F32144">
      <w:pPr>
        <w:rPr>
          <w:rFonts w:cstheme="minorHAnsi"/>
        </w:rPr>
      </w:pPr>
      <w:r w:rsidRPr="00E0618E">
        <w:rPr>
          <w:rFonts w:cstheme="minorHAnsi"/>
        </w:rPr>
        <w:t xml:space="preserve">Eptinezumab </w:t>
      </w:r>
      <w:r w:rsidR="00F32144" w:rsidRPr="00E0618E">
        <w:rPr>
          <w:rFonts w:cstheme="minorHAnsi"/>
        </w:rPr>
        <w:t xml:space="preserve">is a humanised monoclonal immunoglobulin </w:t>
      </w:r>
      <w:r w:rsidRPr="00E0618E">
        <w:rPr>
          <w:rFonts w:cstheme="minorHAnsi"/>
        </w:rPr>
        <w:t>G</w:t>
      </w:r>
      <w:r w:rsidR="00F32144" w:rsidRPr="00E0618E">
        <w:rPr>
          <w:rFonts w:cstheme="minorHAnsi"/>
        </w:rPr>
        <w:t>1 (IgG1) antibody.</w:t>
      </w:r>
    </w:p>
    <w:p w14:paraId="34D5F31D" w14:textId="5509ECD7" w:rsidR="005B2812" w:rsidRPr="000374CB" w:rsidRDefault="005B2812" w:rsidP="005B2812">
      <w:pPr>
        <w:rPr>
          <w:rFonts w:cstheme="minorHAnsi"/>
        </w:rPr>
      </w:pPr>
      <w:r w:rsidRPr="000374CB">
        <w:rPr>
          <w:rFonts w:cstheme="minorHAnsi"/>
          <w:lang w:val="en"/>
        </w:rPr>
        <w:t xml:space="preserve">For the full list of excipients, see </w:t>
      </w:r>
      <w:hyperlink w:anchor="_List_of_excipients" w:history="1">
        <w:r w:rsidRPr="00335F45">
          <w:rPr>
            <w:rStyle w:val="Hyperlink"/>
            <w:rFonts w:cstheme="minorHAnsi"/>
            <w:lang w:val="en"/>
          </w:rPr>
          <w:t>Section 6.1 List of excipients</w:t>
        </w:r>
      </w:hyperlink>
      <w:r w:rsidRPr="000374CB">
        <w:rPr>
          <w:rFonts w:cstheme="minorHAnsi"/>
          <w:lang w:val="en"/>
        </w:rPr>
        <w:t xml:space="preserve">. </w:t>
      </w:r>
    </w:p>
    <w:p w14:paraId="0EDC80CC" w14:textId="77777777" w:rsidR="001A3992" w:rsidRDefault="001A3992" w:rsidP="001A3992">
      <w:pPr>
        <w:pStyle w:val="Heading1"/>
        <w:spacing w:before="0" w:after="120"/>
      </w:pPr>
      <w:r w:rsidRPr="00035C95">
        <w:t>Pharmaceutical form</w:t>
      </w:r>
    </w:p>
    <w:p w14:paraId="634FE108" w14:textId="128715D8" w:rsidR="00F32144" w:rsidRDefault="00F32144" w:rsidP="0002545D">
      <w:pPr>
        <w:rPr>
          <w:rFonts w:cstheme="minorHAnsi"/>
        </w:rPr>
      </w:pPr>
      <w:r w:rsidRPr="00F32144">
        <w:rPr>
          <w:rFonts w:cstheme="minorHAnsi"/>
        </w:rPr>
        <w:t>Concentrated injection for dilution for infusion.</w:t>
      </w:r>
    </w:p>
    <w:p w14:paraId="635DA8D4" w14:textId="3EB819F1" w:rsidR="00F32144" w:rsidRDefault="00C51696" w:rsidP="0002545D">
      <w:pPr>
        <w:rPr>
          <w:rFonts w:cstheme="minorHAnsi"/>
        </w:rPr>
      </w:pPr>
      <w:r w:rsidRPr="00C51696">
        <w:rPr>
          <w:rFonts w:cstheme="minorHAnsi"/>
          <w:lang w:val="en-GB"/>
        </w:rPr>
        <w:t>The solution is clear to slightly opalescent, colourless to brownish-yellow.</w:t>
      </w:r>
    </w:p>
    <w:p w14:paraId="5A66AC6C" w14:textId="77777777" w:rsidR="001A3992" w:rsidRDefault="001A3992" w:rsidP="001A3992">
      <w:pPr>
        <w:pStyle w:val="Heading1"/>
        <w:spacing w:before="0" w:after="120"/>
      </w:pPr>
      <w:r w:rsidRPr="00035C95">
        <w:t>Clinical particulars</w:t>
      </w:r>
    </w:p>
    <w:p w14:paraId="2FF19E8D" w14:textId="33F671A7" w:rsidR="001A3992" w:rsidRDefault="001A3992" w:rsidP="001A3992">
      <w:pPr>
        <w:pStyle w:val="Heading2"/>
        <w:spacing w:before="0" w:after="120"/>
      </w:pPr>
      <w:r>
        <w:t xml:space="preserve">Therapeutic indications </w:t>
      </w:r>
    </w:p>
    <w:p w14:paraId="4190DBE4" w14:textId="4878B80B" w:rsidR="00F32144" w:rsidRDefault="002646FB" w:rsidP="00F32144">
      <w:r>
        <w:t>VYEPTI®</w:t>
      </w:r>
      <w:r w:rsidR="00F415D3">
        <w:t xml:space="preserve"> </w:t>
      </w:r>
      <w:r w:rsidR="00F32144">
        <w:t>is indicated for the preventive treatment of migraine in adults.</w:t>
      </w:r>
    </w:p>
    <w:p w14:paraId="635C4F9A" w14:textId="6F7094E8" w:rsidR="001A3992" w:rsidRDefault="001A3992" w:rsidP="001A3992">
      <w:pPr>
        <w:pStyle w:val="Heading2"/>
        <w:spacing w:before="0" w:after="120"/>
      </w:pPr>
      <w:bookmarkStart w:id="0" w:name="_Dose_and_method"/>
      <w:bookmarkEnd w:id="0"/>
      <w:r>
        <w:t xml:space="preserve">Dose and method of administration </w:t>
      </w:r>
    </w:p>
    <w:p w14:paraId="0B98987C" w14:textId="6572F153" w:rsidR="00013B62" w:rsidRPr="00013B62" w:rsidRDefault="00013B62" w:rsidP="00FB2A05">
      <w:pPr>
        <w:rPr>
          <w:lang w:val="en-GB"/>
        </w:rPr>
      </w:pPr>
      <w:r w:rsidRPr="00013B62">
        <w:rPr>
          <w:lang w:val="en-GB"/>
        </w:rPr>
        <w:t xml:space="preserve">As for other infusion treatments, </w:t>
      </w:r>
      <w:r w:rsidR="002646FB">
        <w:rPr>
          <w:lang w:val="en-GB"/>
        </w:rPr>
        <w:t>VYEPTI®</w:t>
      </w:r>
      <w:r w:rsidR="00065A6E">
        <w:rPr>
          <w:lang w:val="en-GB"/>
        </w:rPr>
        <w:t xml:space="preserve"> </w:t>
      </w:r>
      <w:r w:rsidRPr="00013B62">
        <w:rPr>
          <w:lang w:val="en-GB"/>
        </w:rPr>
        <w:t>treatment should be initiated and supervised by a healthcare professional.</w:t>
      </w:r>
    </w:p>
    <w:p w14:paraId="256B4BDA" w14:textId="41BFE696" w:rsidR="00790AB6" w:rsidRPr="00E768B3" w:rsidRDefault="00790AB6" w:rsidP="00E768B3">
      <w:pPr>
        <w:rPr>
          <w:b/>
        </w:rPr>
      </w:pPr>
      <w:r w:rsidRPr="00E768B3">
        <w:rPr>
          <w:b/>
        </w:rPr>
        <w:t>Dosage</w:t>
      </w:r>
    </w:p>
    <w:p w14:paraId="1A898756" w14:textId="61A73149" w:rsidR="000427D1" w:rsidRDefault="000427D1" w:rsidP="000427D1">
      <w:pPr>
        <w:rPr>
          <w:bCs/>
        </w:rPr>
      </w:pPr>
      <w:r w:rsidRPr="000427D1">
        <w:rPr>
          <w:bCs/>
        </w:rPr>
        <w:t xml:space="preserve">The recommended dosage is 100 mg administered by intravenous infusion every 12 weeks. Some patients may benefit from a dosage of 300 mg administered by intravenous infusion every 12 weeks. </w:t>
      </w:r>
      <w:r w:rsidR="0053450C">
        <w:rPr>
          <w:bCs/>
        </w:rPr>
        <w:t xml:space="preserve"> </w:t>
      </w:r>
    </w:p>
    <w:p w14:paraId="41A05C27" w14:textId="247DD352" w:rsidR="00E6731B" w:rsidRPr="000427D1" w:rsidRDefault="00E6731B" w:rsidP="000427D1">
      <w:pPr>
        <w:rPr>
          <w:bCs/>
        </w:rPr>
      </w:pPr>
      <w:r w:rsidRPr="00E6731B">
        <w:rPr>
          <w:bCs/>
        </w:rPr>
        <w:t>The treatment benefit should be assessed 3-6 months after initiation of the treatment. The need for dose escalation should be assessed within 12 weeks after initiation of the treatment. The decision to continue with treatment should be made on an individual patient basis</w:t>
      </w:r>
      <w:r w:rsidR="00D4117E">
        <w:rPr>
          <w:bCs/>
        </w:rPr>
        <w:t>,</w:t>
      </w:r>
      <w:r w:rsidRPr="00E6731B">
        <w:rPr>
          <w:bCs/>
        </w:rPr>
        <w:t xml:space="preserve"> determined prior to each dose.</w:t>
      </w:r>
    </w:p>
    <w:p w14:paraId="3DE708E1" w14:textId="6D41B0E6" w:rsidR="00790AB6" w:rsidRPr="00E768B3" w:rsidRDefault="00790AB6" w:rsidP="00E768B3">
      <w:pPr>
        <w:rPr>
          <w:b/>
        </w:rPr>
      </w:pPr>
      <w:r w:rsidRPr="00E768B3">
        <w:rPr>
          <w:b/>
        </w:rPr>
        <w:t>Method of administration</w:t>
      </w:r>
    </w:p>
    <w:p w14:paraId="0AE17E0C" w14:textId="0E6CE0E0" w:rsidR="0048762A" w:rsidRDefault="002646FB" w:rsidP="000427D1">
      <w:pPr>
        <w:rPr>
          <w:lang w:val="en-US"/>
        </w:rPr>
      </w:pPr>
      <w:r>
        <w:t>VYEPTI®</w:t>
      </w:r>
      <w:r w:rsidR="00F415D3">
        <w:t xml:space="preserve"> </w:t>
      </w:r>
      <w:r w:rsidR="0048762A" w:rsidRPr="0048762A">
        <w:rPr>
          <w:lang w:val="en-GB"/>
        </w:rPr>
        <w:t>is for intravenous infusion only after dilution</w:t>
      </w:r>
      <w:r w:rsidR="00A502AC">
        <w:rPr>
          <w:lang w:val="en-GB"/>
        </w:rPr>
        <w:t>.</w:t>
      </w:r>
    </w:p>
    <w:p w14:paraId="10FEAED3" w14:textId="3ED9E6D1" w:rsidR="00BD60F9" w:rsidRPr="00965814" w:rsidRDefault="00A502AC" w:rsidP="000427D1">
      <w:pPr>
        <w:rPr>
          <w:lang w:val="en-GB"/>
        </w:rPr>
      </w:pPr>
      <w:r w:rsidRPr="00A502AC">
        <w:rPr>
          <w:lang w:val="en-US"/>
        </w:rPr>
        <w:lastRenderedPageBreak/>
        <w:t>The product requires dilution prior to administration</w:t>
      </w:r>
      <w:r>
        <w:rPr>
          <w:lang w:val="en-US"/>
        </w:rPr>
        <w:t xml:space="preserve">. </w:t>
      </w:r>
      <w:r w:rsidR="00BD60F9" w:rsidRPr="00965814">
        <w:rPr>
          <w:lang w:val="en-GB"/>
        </w:rPr>
        <w:t xml:space="preserve">The dilution </w:t>
      </w:r>
      <w:r w:rsidR="000427D1" w:rsidRPr="00965814">
        <w:rPr>
          <w:lang w:val="en-GB"/>
        </w:rPr>
        <w:t>should be prepared by a healthcare professional using aseptic technique to ensure the sterility of the prepared solution</w:t>
      </w:r>
      <w:r w:rsidR="00BD60F9" w:rsidRPr="00965814">
        <w:rPr>
          <w:lang w:val="en-GB"/>
        </w:rPr>
        <w:t xml:space="preserve"> for infusion</w:t>
      </w:r>
      <w:r w:rsidR="000427D1" w:rsidRPr="00965814">
        <w:rPr>
          <w:lang w:val="en-GB"/>
        </w:rPr>
        <w:t>.</w:t>
      </w:r>
    </w:p>
    <w:p w14:paraId="6C41B7A7" w14:textId="138AB3FA" w:rsidR="000427D1" w:rsidRPr="00965814" w:rsidRDefault="000427D1" w:rsidP="000427D1">
      <w:pPr>
        <w:rPr>
          <w:lang w:val="en-GB"/>
        </w:rPr>
      </w:pPr>
      <w:r w:rsidRPr="00965814">
        <w:rPr>
          <w:lang w:val="en-GB"/>
        </w:rPr>
        <w:t>The product contains no preservative and is intended for single use only.</w:t>
      </w:r>
      <w:r w:rsidR="004C6D37">
        <w:rPr>
          <w:lang w:val="en-GB"/>
        </w:rPr>
        <w:t xml:space="preserve"> </w:t>
      </w:r>
      <w:r w:rsidR="004C6D37" w:rsidRPr="004C6D37">
        <w:rPr>
          <w:lang w:val="en-GB"/>
        </w:rPr>
        <w:t>Discard unused portion remaining in the vial.</w:t>
      </w:r>
    </w:p>
    <w:p w14:paraId="588A1CDB" w14:textId="69B498FB" w:rsidR="000427D1" w:rsidRPr="00965814" w:rsidRDefault="000427D1" w:rsidP="000427D1">
      <w:pPr>
        <w:rPr>
          <w:lang w:val="en-GB"/>
        </w:rPr>
      </w:pPr>
      <w:r w:rsidRPr="00965814">
        <w:rPr>
          <w:lang w:val="en-GB"/>
        </w:rPr>
        <w:t xml:space="preserve">Prior to dilution, the </w:t>
      </w:r>
      <w:r w:rsidR="00CF7D8D" w:rsidRPr="00965814">
        <w:rPr>
          <w:lang w:val="en-GB"/>
        </w:rPr>
        <w:t>product (</w:t>
      </w:r>
      <w:r w:rsidRPr="00965814">
        <w:rPr>
          <w:lang w:val="en-GB"/>
        </w:rPr>
        <w:t>solution in the vials</w:t>
      </w:r>
      <w:r w:rsidR="00CF7D8D" w:rsidRPr="00965814">
        <w:rPr>
          <w:lang w:val="en-GB"/>
        </w:rPr>
        <w:t>)</w:t>
      </w:r>
      <w:r w:rsidRPr="00965814">
        <w:rPr>
          <w:lang w:val="en-GB"/>
        </w:rPr>
        <w:t xml:space="preserve"> should be inspected visually; do not use if the solution contains visible particulate matter or is cloudy or discoloured (other than clear to slightly opalescent, colourless to brownish-yellow).</w:t>
      </w:r>
    </w:p>
    <w:p w14:paraId="5D49FC91" w14:textId="0D422D8B" w:rsidR="000427D1" w:rsidRPr="00965814" w:rsidRDefault="000427D1" w:rsidP="000427D1">
      <w:pPr>
        <w:rPr>
          <w:lang w:val="en-GB"/>
        </w:rPr>
      </w:pPr>
      <w:r w:rsidRPr="00965814">
        <w:rPr>
          <w:lang w:val="en-GB"/>
        </w:rPr>
        <w:t xml:space="preserve">For both the 100 mg and the 300 mg dose, a 100 mL bag of 0.9% Sodium Chloride for Injection should be used to prepare the </w:t>
      </w:r>
      <w:r w:rsidR="002646FB">
        <w:t>VYEPTI®</w:t>
      </w:r>
      <w:r w:rsidR="00F415D3">
        <w:t xml:space="preserve"> </w:t>
      </w:r>
      <w:r w:rsidR="00CF7D8D" w:rsidRPr="00965814">
        <w:t>solution for</w:t>
      </w:r>
      <w:r w:rsidRPr="00965814">
        <w:t xml:space="preserve"> </w:t>
      </w:r>
      <w:r w:rsidRPr="00965814">
        <w:rPr>
          <w:lang w:val="en-GB"/>
        </w:rPr>
        <w:t xml:space="preserve">infusion as described below. No other IV diluents or volume may be used to prepare the </w:t>
      </w:r>
      <w:r w:rsidR="002646FB">
        <w:rPr>
          <w:lang w:val="en-GB"/>
        </w:rPr>
        <w:t>VYEPTI®</w:t>
      </w:r>
      <w:r w:rsidR="00F415D3">
        <w:rPr>
          <w:lang w:val="en-GB"/>
        </w:rPr>
        <w:t xml:space="preserve"> </w:t>
      </w:r>
      <w:r w:rsidRPr="00965814">
        <w:rPr>
          <w:lang w:val="en-GB"/>
        </w:rPr>
        <w:t>solution</w:t>
      </w:r>
      <w:r w:rsidR="00CF7D8D" w:rsidRPr="00965814">
        <w:rPr>
          <w:lang w:val="en-GB"/>
        </w:rPr>
        <w:t xml:space="preserve"> for infusion</w:t>
      </w:r>
      <w:r w:rsidRPr="00965814">
        <w:rPr>
          <w:lang w:val="en-GB"/>
        </w:rPr>
        <w:t>.</w:t>
      </w:r>
    </w:p>
    <w:p w14:paraId="7C6A6BA3" w14:textId="40E1E766" w:rsidR="000427D1" w:rsidRPr="00965814" w:rsidRDefault="000427D1" w:rsidP="000427D1">
      <w:pPr>
        <w:rPr>
          <w:lang w:val="en-GB"/>
        </w:rPr>
      </w:pPr>
      <w:r w:rsidRPr="00965814">
        <w:rPr>
          <w:lang w:val="en-GB"/>
        </w:rPr>
        <w:t xml:space="preserve">Gently invert the </w:t>
      </w:r>
      <w:r w:rsidR="002646FB">
        <w:t>VYEPTI®</w:t>
      </w:r>
      <w:r w:rsidRPr="00965814">
        <w:rPr>
          <w:lang w:val="en-GB"/>
        </w:rPr>
        <w:t>solution</w:t>
      </w:r>
      <w:r w:rsidR="00D3144C" w:rsidRPr="00965814">
        <w:rPr>
          <w:lang w:val="en-GB"/>
        </w:rPr>
        <w:t xml:space="preserve"> for infusion</w:t>
      </w:r>
      <w:r w:rsidRPr="00965814">
        <w:rPr>
          <w:lang w:val="en-GB"/>
        </w:rPr>
        <w:t xml:space="preserve"> to mix completely. Do not shake.</w:t>
      </w:r>
    </w:p>
    <w:p w14:paraId="5B80C03B" w14:textId="4E74528E" w:rsidR="00AD0BC5" w:rsidRPr="00AD0BC5" w:rsidRDefault="000427D1" w:rsidP="00AD0BC5">
      <w:r w:rsidRPr="00965814">
        <w:rPr>
          <w:lang w:val="en-GB"/>
        </w:rPr>
        <w:t xml:space="preserve">Following dilution, </w:t>
      </w:r>
      <w:r w:rsidR="002646FB">
        <w:t>VYEPTI®</w:t>
      </w:r>
      <w:r w:rsidR="00F415D3">
        <w:t xml:space="preserve"> </w:t>
      </w:r>
      <w:r w:rsidRPr="00965814">
        <w:rPr>
          <w:lang w:val="en-GB"/>
        </w:rPr>
        <w:t xml:space="preserve">solution </w:t>
      </w:r>
      <w:r w:rsidR="004B2B16" w:rsidRPr="00965814">
        <w:rPr>
          <w:lang w:val="en-GB"/>
        </w:rPr>
        <w:t xml:space="preserve">for infusion </w:t>
      </w:r>
      <w:r w:rsidRPr="00965814">
        <w:rPr>
          <w:lang w:val="en-GB"/>
        </w:rPr>
        <w:t xml:space="preserve">must be infused within 8 hours. </w:t>
      </w:r>
      <w:r w:rsidR="00E6731B" w:rsidRPr="00E6731B">
        <w:rPr>
          <w:lang w:val="en-GB"/>
        </w:rPr>
        <w:t xml:space="preserve">To reduce microbiological hazard, use as soon as practicable after dilution. </w:t>
      </w:r>
      <w:r w:rsidR="00E6731B">
        <w:rPr>
          <w:lang w:val="en-GB"/>
        </w:rPr>
        <w:t>After dilution</w:t>
      </w:r>
      <w:r w:rsidRPr="00965814">
        <w:rPr>
          <w:lang w:val="en-GB"/>
        </w:rPr>
        <w:t xml:space="preserve">, </w:t>
      </w:r>
      <w:r w:rsidR="002646FB">
        <w:t>VYEPTI®</w:t>
      </w:r>
      <w:r w:rsidRPr="00965814">
        <w:rPr>
          <w:lang w:val="en-GB"/>
        </w:rPr>
        <w:t xml:space="preserve">solution </w:t>
      </w:r>
      <w:r w:rsidR="004B2B16" w:rsidRPr="00965814">
        <w:rPr>
          <w:lang w:val="en-GB"/>
        </w:rPr>
        <w:t xml:space="preserve">for infusion </w:t>
      </w:r>
      <w:r w:rsidRPr="00965814">
        <w:rPr>
          <w:lang w:val="en-GB"/>
        </w:rPr>
        <w:t>may be stored at room temperature or refrigerated at 2 to 8°C.</w:t>
      </w:r>
      <w:r w:rsidRPr="00965814">
        <w:rPr>
          <w:lang w:val="en-US"/>
        </w:rPr>
        <w:t xml:space="preserve"> </w:t>
      </w:r>
      <w:r w:rsidRPr="00965814">
        <w:rPr>
          <w:lang w:val="en-GB"/>
        </w:rPr>
        <w:t xml:space="preserve"> </w:t>
      </w:r>
      <w:r w:rsidR="00AD0BC5" w:rsidRPr="00965814">
        <w:rPr>
          <w:lang w:val="en-GB"/>
        </w:rPr>
        <w:t xml:space="preserve">If stored at 2 to 8°C, allow the </w:t>
      </w:r>
      <w:r w:rsidR="002646FB">
        <w:t>VYEPTI®</w:t>
      </w:r>
      <w:r w:rsidR="00AD0BC5" w:rsidRPr="00965814">
        <w:rPr>
          <w:lang w:val="en-GB"/>
        </w:rPr>
        <w:t xml:space="preserve">solution </w:t>
      </w:r>
      <w:r w:rsidR="004B2B16" w:rsidRPr="00965814">
        <w:rPr>
          <w:lang w:val="en-GB"/>
        </w:rPr>
        <w:t xml:space="preserve">for infusion </w:t>
      </w:r>
      <w:r w:rsidR="00AD0BC5" w:rsidRPr="00965814">
        <w:rPr>
          <w:lang w:val="en-GB"/>
        </w:rPr>
        <w:t>to</w:t>
      </w:r>
      <w:r w:rsidR="00AD0BC5" w:rsidRPr="00AD0BC5">
        <w:rPr>
          <w:lang w:val="en-GB"/>
        </w:rPr>
        <w:t xml:space="preserve"> warm to room temperature prior to infusion. DO NOT FREEZE.</w:t>
      </w:r>
    </w:p>
    <w:p w14:paraId="7C7FC7F2" w14:textId="7C16AEF0" w:rsidR="00AD0BC5" w:rsidRPr="00AD0BC5" w:rsidRDefault="00AD0BC5" w:rsidP="00AD0BC5">
      <w:pPr>
        <w:rPr>
          <w:u w:val="single"/>
        </w:rPr>
      </w:pPr>
      <w:r w:rsidRPr="00AD0BC5">
        <w:rPr>
          <w:u w:val="single"/>
        </w:rPr>
        <w:t>100 mg dose:</w:t>
      </w:r>
    </w:p>
    <w:p w14:paraId="4D2684A0" w14:textId="1181CAC1" w:rsidR="00AD0BC5" w:rsidRPr="00965814" w:rsidRDefault="00AD0BC5" w:rsidP="00AD0BC5">
      <w:r w:rsidRPr="00AD0BC5">
        <w:t xml:space="preserve">To prepare the </w:t>
      </w:r>
      <w:r w:rsidR="002646FB">
        <w:t>VYEPTI®</w:t>
      </w:r>
      <w:r w:rsidR="00F415D3">
        <w:t xml:space="preserve"> </w:t>
      </w:r>
      <w:r w:rsidRPr="00965814">
        <w:t>solution</w:t>
      </w:r>
      <w:r w:rsidR="004B2B16" w:rsidRPr="00965814">
        <w:rPr>
          <w:lang w:val="en-GB"/>
        </w:rPr>
        <w:t xml:space="preserve"> for infusion</w:t>
      </w:r>
      <w:r w:rsidRPr="00965814">
        <w:t xml:space="preserve">, withdraw 1.0 mL of </w:t>
      </w:r>
      <w:r w:rsidR="002646FB">
        <w:t>VYEPTI®</w:t>
      </w:r>
      <w:r w:rsidR="00F415D3">
        <w:t xml:space="preserve"> </w:t>
      </w:r>
      <w:r w:rsidRPr="00965814">
        <w:t>from a single-use vial using a sterile needle and syringe. Inject the 1.0 mL content into a 100 mL bag of 0.9% Sodium Chloride for Injection.</w:t>
      </w:r>
    </w:p>
    <w:p w14:paraId="6FA7089B" w14:textId="5469DB80" w:rsidR="00AD0BC5" w:rsidRPr="00965814" w:rsidRDefault="00AD0BC5" w:rsidP="00AD0BC5">
      <w:pPr>
        <w:rPr>
          <w:u w:val="single"/>
        </w:rPr>
      </w:pPr>
      <w:r w:rsidRPr="00965814">
        <w:rPr>
          <w:u w:val="single"/>
        </w:rPr>
        <w:t>300 mg dose:</w:t>
      </w:r>
    </w:p>
    <w:p w14:paraId="760204B0" w14:textId="3760AB14" w:rsidR="00AD0BC5" w:rsidRPr="00AD0BC5" w:rsidRDefault="00AD0BC5" w:rsidP="00AD0BC5">
      <w:r w:rsidRPr="00965814">
        <w:t xml:space="preserve">To prepare the </w:t>
      </w:r>
      <w:r w:rsidR="002646FB">
        <w:t>VYEPTI®</w:t>
      </w:r>
      <w:r w:rsidR="00F415D3">
        <w:t xml:space="preserve"> </w:t>
      </w:r>
      <w:r w:rsidRPr="00965814">
        <w:t>solution</w:t>
      </w:r>
      <w:r w:rsidR="004B2B16" w:rsidRPr="00965814">
        <w:rPr>
          <w:lang w:val="en-GB"/>
        </w:rPr>
        <w:t xml:space="preserve"> for infusion</w:t>
      </w:r>
      <w:r w:rsidRPr="00965814">
        <w:t xml:space="preserve">, withdraw 1.0 mL of </w:t>
      </w:r>
      <w:r w:rsidR="002646FB">
        <w:t>VYEPTI®</w:t>
      </w:r>
      <w:r w:rsidR="00F415D3">
        <w:t xml:space="preserve"> </w:t>
      </w:r>
      <w:r w:rsidRPr="00965814">
        <w:t xml:space="preserve">from each of </w:t>
      </w:r>
      <w:r w:rsidR="00E768B3" w:rsidRPr="00965814">
        <w:t>three (</w:t>
      </w:r>
      <w:r w:rsidRPr="00965814">
        <w:t>3</w:t>
      </w:r>
      <w:r w:rsidR="00E768B3" w:rsidRPr="00965814">
        <w:t>)</w:t>
      </w:r>
      <w:r w:rsidRPr="00965814">
        <w:t xml:space="preserve"> single-use vials using a sterile needle and syringe. Inject the resulting 3.0 mL content into</w:t>
      </w:r>
      <w:r w:rsidRPr="00AD0BC5">
        <w:t xml:space="preserve"> a 100 mL bag of 0.9% Sodium Chloride for Injection.</w:t>
      </w:r>
    </w:p>
    <w:p w14:paraId="1B01EB69" w14:textId="24D8F874" w:rsidR="00AD0BC5" w:rsidRPr="00AD0BC5" w:rsidRDefault="00AD0BC5" w:rsidP="00AD0BC5">
      <w:pPr>
        <w:rPr>
          <w:lang w:val="en"/>
        </w:rPr>
      </w:pPr>
      <w:r w:rsidRPr="00AD0BC5">
        <w:rPr>
          <w:lang w:val="en"/>
        </w:rPr>
        <w:t xml:space="preserve">For the full storage details, see </w:t>
      </w:r>
      <w:hyperlink w:anchor="_Special_precautions_for" w:history="1">
        <w:r w:rsidRPr="00335F45">
          <w:rPr>
            <w:rStyle w:val="Hyperlink"/>
            <w:lang w:val="en"/>
          </w:rPr>
          <w:t>Section 6.4 Special precautions for storage</w:t>
        </w:r>
      </w:hyperlink>
      <w:r w:rsidRPr="00AD0BC5">
        <w:rPr>
          <w:lang w:val="en"/>
        </w:rPr>
        <w:t>.</w:t>
      </w:r>
    </w:p>
    <w:p w14:paraId="5817E997" w14:textId="21B5041C" w:rsidR="00483640" w:rsidRPr="00E768B3" w:rsidRDefault="00483640" w:rsidP="00E768B3">
      <w:pPr>
        <w:rPr>
          <w:b/>
        </w:rPr>
      </w:pPr>
      <w:r w:rsidRPr="00E768B3">
        <w:rPr>
          <w:b/>
        </w:rPr>
        <w:t xml:space="preserve">Administration Instructions </w:t>
      </w:r>
    </w:p>
    <w:p w14:paraId="3DEA6313" w14:textId="32CC7C35" w:rsidR="00532E20" w:rsidRDefault="00532E20" w:rsidP="00532E20">
      <w:pPr>
        <w:rPr>
          <w:lang w:val="en-GB"/>
        </w:rPr>
      </w:pPr>
      <w:r w:rsidRPr="00532E20">
        <w:rPr>
          <w:lang w:val="en-GB"/>
        </w:rPr>
        <w:t xml:space="preserve">Parenteral drug products should be inspected visually for particulate matter and discoloration prior to administration, whenever solution and container permit. Do not use if the liquid contains visible particulate matter or is cloudy or </w:t>
      </w:r>
      <w:r w:rsidR="0078407B" w:rsidRPr="00532E20">
        <w:rPr>
          <w:lang w:val="en-GB"/>
        </w:rPr>
        <w:t>discoloured</w:t>
      </w:r>
      <w:r w:rsidRPr="00532E20">
        <w:rPr>
          <w:lang w:val="en-GB"/>
        </w:rPr>
        <w:t>.</w:t>
      </w:r>
    </w:p>
    <w:p w14:paraId="596B96E3" w14:textId="5B0858D7" w:rsidR="00791BF9" w:rsidRPr="00791BF9" w:rsidRDefault="008D348C" w:rsidP="00532E20">
      <w:r w:rsidRPr="008D348C">
        <w:t xml:space="preserve">The treating Physician should observe or monitor patients during and after the infusion in accordance with normal clinical practice (see </w:t>
      </w:r>
      <w:hyperlink w:anchor="_Serious_hypersensitivity" w:history="1">
        <w:r w:rsidR="00335F45" w:rsidRPr="00335F45">
          <w:rPr>
            <w:rStyle w:val="Hyperlink"/>
          </w:rPr>
          <w:t>S</w:t>
        </w:r>
        <w:r w:rsidRPr="00335F45">
          <w:rPr>
            <w:rStyle w:val="Hyperlink"/>
          </w:rPr>
          <w:t>ection 4.4 Special Warnings and Precautions for Use on Serious</w:t>
        </w:r>
        <w:r w:rsidR="008F069F" w:rsidRPr="00335F45">
          <w:rPr>
            <w:rStyle w:val="Hyperlink"/>
          </w:rPr>
          <w:t xml:space="preserve"> </w:t>
        </w:r>
        <w:r w:rsidRPr="00335F45">
          <w:rPr>
            <w:rStyle w:val="Hyperlink"/>
          </w:rPr>
          <w:t>Hypersensitivity</w:t>
        </w:r>
      </w:hyperlink>
      <w:r w:rsidRPr="008D348C">
        <w:t>).</w:t>
      </w:r>
    </w:p>
    <w:p w14:paraId="5E6E2F00" w14:textId="77777777" w:rsidR="00AD0BC5" w:rsidRPr="006A0F3C" w:rsidRDefault="00AD0BC5" w:rsidP="00AD0BC5">
      <w:r w:rsidRPr="006A0F3C">
        <w:t>Infuse over approximately 30 minutes. Use an intravenous infusion set with a 0.2 micron (</w:t>
      </w:r>
      <w:r w:rsidRPr="006A0F3C">
        <w:rPr>
          <w:lang w:val="en-GB"/>
        </w:rPr>
        <w:t>μm)</w:t>
      </w:r>
      <w:r w:rsidRPr="006A0F3C">
        <w:t xml:space="preserve"> or 0.22 micron (</w:t>
      </w:r>
      <w:r w:rsidRPr="006A0F3C">
        <w:rPr>
          <w:lang w:val="en-GB"/>
        </w:rPr>
        <w:t>μm)</w:t>
      </w:r>
      <w:r w:rsidRPr="006A0F3C">
        <w:t xml:space="preserve"> in-line or add-on sterile filter. After the infusion is complete, flush the line with 20 mL of 0.9% Sodium Chloride for Injection.</w:t>
      </w:r>
    </w:p>
    <w:p w14:paraId="69C1920B" w14:textId="4DDC772A" w:rsidR="00AD0BC5" w:rsidRPr="006A0F3C" w:rsidRDefault="00AD0BC5" w:rsidP="00AD0BC5">
      <w:r w:rsidRPr="006A0F3C">
        <w:lastRenderedPageBreak/>
        <w:t xml:space="preserve">Do not administer </w:t>
      </w:r>
      <w:r w:rsidR="002646FB">
        <w:t>VYEPTI®</w:t>
      </w:r>
      <w:r w:rsidR="00F415D3">
        <w:t xml:space="preserve"> </w:t>
      </w:r>
      <w:r w:rsidRPr="006A0F3C">
        <w:t xml:space="preserve">as </w:t>
      </w:r>
      <w:r w:rsidR="000D1698" w:rsidRPr="006A0F3C">
        <w:t>a</w:t>
      </w:r>
      <w:r w:rsidRPr="006A0F3C">
        <w:t xml:space="preserve"> bolus injection, it is for intravenous infusion only after dilution.</w:t>
      </w:r>
    </w:p>
    <w:p w14:paraId="76E8BB1E" w14:textId="2E71878C" w:rsidR="00757CF6" w:rsidRDefault="00AD0BC5" w:rsidP="00AD0BC5">
      <w:r w:rsidRPr="006A0F3C">
        <w:t>No other medications should be administered through the infusion set or mixed with VYEPTI</w:t>
      </w:r>
      <w:r w:rsidR="008C61D5">
        <w:t>®</w:t>
      </w:r>
      <w:r w:rsidRPr="006A0F3C">
        <w:t>.</w:t>
      </w:r>
    </w:p>
    <w:p w14:paraId="6766B29D" w14:textId="6879F23C" w:rsidR="001A3992" w:rsidRDefault="001A3992" w:rsidP="00757CF6">
      <w:pPr>
        <w:pStyle w:val="Heading2"/>
        <w:spacing w:before="0" w:after="0"/>
      </w:pPr>
      <w:bookmarkStart w:id="1" w:name="_Contraindications"/>
      <w:bookmarkEnd w:id="1"/>
      <w:r>
        <w:t>Contraindications</w:t>
      </w:r>
    </w:p>
    <w:p w14:paraId="11AF7DF8" w14:textId="422D09DA" w:rsidR="00AD0BC5" w:rsidRDefault="002646FB" w:rsidP="000A24B4">
      <w:r>
        <w:t>VYEPTI®</w:t>
      </w:r>
      <w:r w:rsidR="00F415D3">
        <w:t xml:space="preserve"> </w:t>
      </w:r>
      <w:r w:rsidR="00AD0BC5" w:rsidRPr="00AD0BC5">
        <w:t xml:space="preserve">is contraindicated in patients with hypersensitivity to eptinezumab or to any of the excipients in </w:t>
      </w:r>
      <w:r>
        <w:t>VYEPTI®</w:t>
      </w:r>
      <w:r w:rsidR="00F415D3">
        <w:t xml:space="preserve"> </w:t>
      </w:r>
      <w:r w:rsidR="00AD0BC5" w:rsidRPr="00AD0BC5">
        <w:t xml:space="preserve">(see </w:t>
      </w:r>
      <w:hyperlink w:anchor="_Special_warnings_and" w:history="1">
        <w:r w:rsidR="00A81EB0" w:rsidRPr="00A81EB0">
          <w:rPr>
            <w:rStyle w:val="Hyperlink"/>
          </w:rPr>
          <w:t>S</w:t>
        </w:r>
        <w:r w:rsidR="00AD0BC5" w:rsidRPr="00A81EB0">
          <w:rPr>
            <w:rStyle w:val="Hyperlink"/>
          </w:rPr>
          <w:t>ection</w:t>
        </w:r>
        <w:r w:rsidR="007A137D">
          <w:rPr>
            <w:rStyle w:val="Hyperlink"/>
          </w:rPr>
          <w:t>s</w:t>
        </w:r>
        <w:r w:rsidR="00AD0BC5" w:rsidRPr="00A81EB0">
          <w:rPr>
            <w:rStyle w:val="Hyperlink"/>
          </w:rPr>
          <w:t xml:space="preserve"> 4.4 Special Warnings and Precautions for use</w:t>
        </w:r>
      </w:hyperlink>
      <w:r w:rsidR="00AD0BC5" w:rsidRPr="00AD0BC5">
        <w:t xml:space="preserve">, </w:t>
      </w:r>
      <w:hyperlink w:anchor="_Adverse_effects_(Undesirable" w:history="1">
        <w:r w:rsidR="00AD0BC5" w:rsidRPr="007A137D">
          <w:rPr>
            <w:rStyle w:val="Hyperlink"/>
          </w:rPr>
          <w:t>4.8 Adverse Effects (</w:t>
        </w:r>
        <w:r w:rsidR="000E7D68" w:rsidRPr="007A137D">
          <w:rPr>
            <w:rStyle w:val="Hyperlink"/>
          </w:rPr>
          <w:t>U</w:t>
        </w:r>
        <w:r w:rsidR="00AD0BC5" w:rsidRPr="007A137D">
          <w:rPr>
            <w:rStyle w:val="Hyperlink"/>
          </w:rPr>
          <w:t>ndesirable effects)</w:t>
        </w:r>
      </w:hyperlink>
      <w:r w:rsidR="00307493">
        <w:t xml:space="preserve"> </w:t>
      </w:r>
      <w:r w:rsidR="00307493" w:rsidRPr="00307493">
        <w:t xml:space="preserve">and </w:t>
      </w:r>
      <w:hyperlink w:anchor="_List_of_excipients" w:history="1">
        <w:r w:rsidR="00307493" w:rsidRPr="007A137D">
          <w:rPr>
            <w:rStyle w:val="Hyperlink"/>
          </w:rPr>
          <w:t>6.1 List of excipients</w:t>
        </w:r>
      </w:hyperlink>
      <w:r w:rsidR="00AD0BC5" w:rsidRPr="00AD0BC5">
        <w:t>).</w:t>
      </w:r>
    </w:p>
    <w:p w14:paraId="2EA25A4D" w14:textId="77777777" w:rsidR="00041689" w:rsidRPr="00A973AD" w:rsidRDefault="00E74A56" w:rsidP="00757CF6">
      <w:pPr>
        <w:pStyle w:val="Heading2"/>
        <w:spacing w:before="0" w:after="0"/>
        <w:rPr>
          <w:rFonts w:cstheme="minorHAnsi"/>
        </w:rPr>
      </w:pPr>
      <w:bookmarkStart w:id="2" w:name="_Special_warnings_and"/>
      <w:bookmarkEnd w:id="2"/>
      <w:r w:rsidRPr="00A973AD">
        <w:t>Special warnings and p</w:t>
      </w:r>
      <w:r w:rsidR="001A3992" w:rsidRPr="00A973AD">
        <w:t xml:space="preserve">recautions </w:t>
      </w:r>
      <w:r w:rsidRPr="00A973AD">
        <w:t>for use</w:t>
      </w:r>
    </w:p>
    <w:p w14:paraId="47C94867" w14:textId="77777777" w:rsidR="00257757" w:rsidRPr="00A65791" w:rsidRDefault="00257757" w:rsidP="00757CF6">
      <w:pPr>
        <w:pStyle w:val="Heading3"/>
        <w:spacing w:before="0"/>
      </w:pPr>
      <w:r w:rsidRPr="00A65791">
        <w:t>Traceability</w:t>
      </w:r>
    </w:p>
    <w:p w14:paraId="4B2FD778" w14:textId="426A904C" w:rsidR="0089719D" w:rsidRDefault="00257757" w:rsidP="00740785">
      <w:r w:rsidRPr="00257757">
        <w:t>In order to improve the traceability of biological medicinal products, the name and the batch number of the administered product should be clearly recorded.</w:t>
      </w:r>
    </w:p>
    <w:p w14:paraId="7E5D0B57" w14:textId="77777777" w:rsidR="00A65791" w:rsidRPr="00BF3577" w:rsidRDefault="00A65791" w:rsidP="0048762A">
      <w:pPr>
        <w:pStyle w:val="Heading3"/>
      </w:pPr>
      <w:r w:rsidRPr="00BF3577">
        <w:t>Cardiovascular risk</w:t>
      </w:r>
    </w:p>
    <w:p w14:paraId="5288FE2B" w14:textId="6B3FEE37" w:rsidR="00A65791" w:rsidRPr="0089719D" w:rsidRDefault="00A65791" w:rsidP="0089719D">
      <w:r w:rsidRPr="0089719D">
        <w:t>Patients with a history of cardiovascular disease were excluded from clinical studies. No safety data are available in these patients.</w:t>
      </w:r>
    </w:p>
    <w:p w14:paraId="01F10AD6" w14:textId="556363EF" w:rsidR="00394C7C" w:rsidRPr="00D45C29" w:rsidRDefault="00B830BB" w:rsidP="00D45C29">
      <w:pPr>
        <w:pStyle w:val="Heading3"/>
        <w:rPr>
          <w:lang w:bidi="th-TH"/>
        </w:rPr>
      </w:pPr>
      <w:bookmarkStart w:id="3" w:name="_Serious_hypersensitivity"/>
      <w:bookmarkEnd w:id="3"/>
      <w:r>
        <w:rPr>
          <w:lang w:bidi="th-TH"/>
        </w:rPr>
        <w:t xml:space="preserve">Serious </w:t>
      </w:r>
      <w:r w:rsidR="001C070A">
        <w:rPr>
          <w:lang w:bidi="th-TH"/>
        </w:rPr>
        <w:t>h</w:t>
      </w:r>
      <w:r w:rsidR="00C01A61" w:rsidRPr="00C01A61">
        <w:rPr>
          <w:lang w:bidi="th-TH"/>
        </w:rPr>
        <w:t>ypersensitivity</w:t>
      </w:r>
    </w:p>
    <w:p w14:paraId="2D8BB169" w14:textId="1D1B1AC1" w:rsidR="00F05063" w:rsidRPr="0089719D" w:rsidRDefault="009735E5" w:rsidP="0089719D">
      <w:r w:rsidRPr="0089719D">
        <w:t>Serious h</w:t>
      </w:r>
      <w:r w:rsidR="00C01A61" w:rsidRPr="0089719D">
        <w:t>ypersensitivity reactions, including</w:t>
      </w:r>
      <w:r w:rsidRPr="0089719D">
        <w:t xml:space="preserve"> anaphylactic reactions, have been reported and may develop within minutes of the infusion</w:t>
      </w:r>
      <w:r w:rsidR="00C01A61" w:rsidRPr="0089719D">
        <w:t xml:space="preserve">. </w:t>
      </w:r>
      <w:r w:rsidR="000876B2" w:rsidRPr="0089719D">
        <w:t>Angioedema, urticaria, facial flushing, and rash, have occurred with VYEPTI® in clinical studies</w:t>
      </w:r>
      <w:r w:rsidR="00F05063" w:rsidRPr="0089719D">
        <w:t xml:space="preserve">. </w:t>
      </w:r>
      <w:r w:rsidR="00664890" w:rsidRPr="0089719D">
        <w:t xml:space="preserve">In clinical studies, </w:t>
      </w:r>
      <w:r w:rsidR="00505173" w:rsidRPr="0089719D">
        <w:t>m</w:t>
      </w:r>
      <w:r w:rsidR="00C01A61" w:rsidRPr="0089719D">
        <w:t>ost hypersensitivity reactions occurred during infusion and were not serious</w:t>
      </w:r>
      <w:r w:rsidR="00F05063" w:rsidRPr="0089719D">
        <w:t>, but often led to discontinuation or required treatment</w:t>
      </w:r>
      <w:r w:rsidR="00E76E27" w:rsidRPr="0089719D">
        <w:t xml:space="preserve"> (see </w:t>
      </w:r>
      <w:hyperlink w:anchor="_Adverse_effects_(Undesirable" w:history="1">
        <w:r w:rsidR="00420838" w:rsidRPr="00420838">
          <w:rPr>
            <w:rStyle w:val="Hyperlink"/>
          </w:rPr>
          <w:t>S</w:t>
        </w:r>
        <w:r w:rsidR="00E76E27" w:rsidRPr="00420838">
          <w:rPr>
            <w:rStyle w:val="Hyperlink"/>
          </w:rPr>
          <w:t>ection 4.8</w:t>
        </w:r>
        <w:r w:rsidR="00420838" w:rsidRPr="00420838">
          <w:rPr>
            <w:rStyle w:val="Hyperlink"/>
          </w:rPr>
          <w:t xml:space="preserve"> Adverse effects (Undesirable effects)</w:t>
        </w:r>
      </w:hyperlink>
      <w:r w:rsidR="00E76E27" w:rsidRPr="0089719D">
        <w:t>)</w:t>
      </w:r>
      <w:r w:rsidR="00C01A61" w:rsidRPr="0089719D">
        <w:t xml:space="preserve">. If a </w:t>
      </w:r>
      <w:r w:rsidR="00AA67C9" w:rsidRPr="0089719D">
        <w:t xml:space="preserve">serious </w:t>
      </w:r>
      <w:r w:rsidR="00C01A61" w:rsidRPr="0089719D">
        <w:t xml:space="preserve">hypersensitivity reaction occurs, </w:t>
      </w:r>
      <w:r w:rsidR="00AA67C9" w:rsidRPr="0089719D">
        <w:t xml:space="preserve">administration of VYEPTI® should be discontinued immediately and appropriate therapy initiated </w:t>
      </w:r>
      <w:r w:rsidR="00C01A61" w:rsidRPr="0089719D">
        <w:t xml:space="preserve">(see </w:t>
      </w:r>
      <w:hyperlink w:anchor="_Contraindications" w:history="1">
        <w:r w:rsidR="00420838" w:rsidRPr="00420838">
          <w:rPr>
            <w:rStyle w:val="Hyperlink"/>
          </w:rPr>
          <w:t>S</w:t>
        </w:r>
        <w:r w:rsidR="00C01A61" w:rsidRPr="00420838">
          <w:rPr>
            <w:rStyle w:val="Hyperlink"/>
          </w:rPr>
          <w:t>ection 4.3 Contraindications</w:t>
        </w:r>
      </w:hyperlink>
      <w:r w:rsidR="00C01A61" w:rsidRPr="0089719D">
        <w:t xml:space="preserve">). </w:t>
      </w:r>
    </w:p>
    <w:p w14:paraId="0412BBD3" w14:textId="78E96FC3" w:rsidR="00F05063" w:rsidRPr="0089719D" w:rsidRDefault="00F05063" w:rsidP="0089719D">
      <w:r w:rsidRPr="0089719D">
        <w:t>If a serious hypersensitivity reaction occurs with the</w:t>
      </w:r>
      <w:r w:rsidR="00843624" w:rsidRPr="0089719D">
        <w:t xml:space="preserve"> </w:t>
      </w:r>
      <w:r w:rsidRPr="0089719D">
        <w:t>infusion of VYEPTI</w:t>
      </w:r>
      <w:r w:rsidR="0078176B" w:rsidRPr="0089719D">
        <w:t>®</w:t>
      </w:r>
      <w:r w:rsidRPr="0089719D">
        <w:t>, further treatment with VYEPTI</w:t>
      </w:r>
      <w:r w:rsidR="00400BB6" w:rsidRPr="0089719D">
        <w:t>®</w:t>
      </w:r>
      <w:r w:rsidRPr="0089719D">
        <w:t xml:space="preserve"> should be discontinued. If the hypersensitivity reaction is less severe, continuation of further treatment with VYEPTI</w:t>
      </w:r>
      <w:r w:rsidR="008A45FF" w:rsidRPr="0089719D">
        <w:t>®</w:t>
      </w:r>
      <w:r w:rsidRPr="0089719D">
        <w:t xml:space="preserve"> is up to the discretion of the treating physician.</w:t>
      </w:r>
    </w:p>
    <w:p w14:paraId="16229ED3" w14:textId="1796BE40" w:rsidR="001A3992" w:rsidRPr="0048762A" w:rsidRDefault="001A3992" w:rsidP="00C762D4">
      <w:pPr>
        <w:pStyle w:val="Heading3"/>
      </w:pPr>
      <w:bookmarkStart w:id="4" w:name="_Hlk36595272"/>
      <w:r w:rsidRPr="0048762A">
        <w:t>Use in the elderly</w:t>
      </w:r>
    </w:p>
    <w:p w14:paraId="12381A7D" w14:textId="7EF9C89A" w:rsidR="00E935E9" w:rsidRPr="007C5469" w:rsidRDefault="004226CD" w:rsidP="00D7752A">
      <w:r>
        <w:t>Insufficient</w:t>
      </w:r>
      <w:r w:rsidR="000D454A">
        <w:t xml:space="preserve"> </w:t>
      </w:r>
      <w:r>
        <w:t xml:space="preserve">clinical data is available for patients aged 65 and older.  </w:t>
      </w:r>
      <w:r w:rsidR="000D454A">
        <w:t>Clinical studies with VYEPTI® did not include sufficient number of</w:t>
      </w:r>
      <w:r w:rsidR="00E935E9" w:rsidRPr="007C5469">
        <w:t xml:space="preserve"> patients </w:t>
      </w:r>
      <w:r>
        <w:t>in this age group</w:t>
      </w:r>
      <w:r w:rsidR="00E935E9" w:rsidRPr="007C5469">
        <w:t xml:space="preserve"> to determine whether they respond differently from younger patients.</w:t>
      </w:r>
      <w:r w:rsidR="00382B02" w:rsidRPr="007C5469">
        <w:t xml:space="preserve"> There is no dose adjustment recommendation available for this population group.</w:t>
      </w:r>
    </w:p>
    <w:bookmarkEnd w:id="4"/>
    <w:p w14:paraId="4933B0A3" w14:textId="389E5136" w:rsidR="001A3992" w:rsidRDefault="001A3992" w:rsidP="001A3992">
      <w:pPr>
        <w:pStyle w:val="Heading3"/>
        <w:spacing w:before="0" w:after="120"/>
      </w:pPr>
      <w:r w:rsidRPr="00B878CC">
        <w:t>Paediatric use</w:t>
      </w:r>
    </w:p>
    <w:p w14:paraId="381FE199" w14:textId="799A665A" w:rsidR="00D7752A" w:rsidRPr="00D7752A" w:rsidRDefault="00D7752A" w:rsidP="00D7752A">
      <w:r w:rsidRPr="00D7752A">
        <w:t xml:space="preserve">The safety and efficacy of eptinezumab in </w:t>
      </w:r>
      <w:r w:rsidR="008C28E5" w:rsidRPr="007C5469">
        <w:t>patients</w:t>
      </w:r>
      <w:r w:rsidR="008C28E5" w:rsidRPr="00D7752A">
        <w:t xml:space="preserve"> </w:t>
      </w:r>
      <w:r w:rsidRPr="00D7752A">
        <w:t>below the age of 18 years has not yet been established. Currently no data are available.</w:t>
      </w:r>
    </w:p>
    <w:p w14:paraId="5F0C2897" w14:textId="50FF8779" w:rsidR="001A3992" w:rsidRDefault="001A3992" w:rsidP="001A3992">
      <w:pPr>
        <w:pStyle w:val="Heading3"/>
        <w:spacing w:before="0" w:after="120"/>
      </w:pPr>
      <w:r w:rsidRPr="00B878CC">
        <w:t>Effects on</w:t>
      </w:r>
      <w:r w:rsidRPr="00CC0D90">
        <w:t xml:space="preserve"> laboratory tests</w:t>
      </w:r>
    </w:p>
    <w:p w14:paraId="69E1F233" w14:textId="1F37DEC6" w:rsidR="00D714A0" w:rsidRPr="00196D58" w:rsidRDefault="00196D58" w:rsidP="00196D58">
      <w:r w:rsidRPr="00196D58">
        <w:t xml:space="preserve">Interference of </w:t>
      </w:r>
      <w:r w:rsidR="002646FB">
        <w:t>VYEPTI®</w:t>
      </w:r>
      <w:r w:rsidRPr="00196D58">
        <w:t>with laboratory and/or diagnostic tests has not been studied.</w:t>
      </w:r>
    </w:p>
    <w:p w14:paraId="707E1EB7" w14:textId="1E6C6CE4" w:rsidR="001A3992" w:rsidRDefault="001A3992" w:rsidP="00757CF6">
      <w:pPr>
        <w:pStyle w:val="Heading2"/>
        <w:spacing w:after="0"/>
      </w:pPr>
      <w:r w:rsidRPr="00DE5CE5">
        <w:t>Interactions</w:t>
      </w:r>
      <w:r>
        <w:t xml:space="preserve"> with other medicines and other forms of interactions</w:t>
      </w:r>
    </w:p>
    <w:p w14:paraId="79658C96" w14:textId="4EFD1316" w:rsidR="00580903" w:rsidRPr="001B3871" w:rsidRDefault="00580903" w:rsidP="00580903">
      <w:r w:rsidRPr="00580903">
        <w:t xml:space="preserve">Eptinezumab is not </w:t>
      </w:r>
      <w:r w:rsidR="00932DE8" w:rsidRPr="00932DE8">
        <w:t>metabolised</w:t>
      </w:r>
      <w:r w:rsidRPr="00580903">
        <w:t xml:space="preserve"> by cytochrome P450 enzymes. Therefore, interactions by eptinezumab with concomitant medications </w:t>
      </w:r>
      <w:r w:rsidRPr="001B3871">
        <w:t>that are substrates, inducers, or inhibitors of cytochrome P450 enzymes are considered unlikely.</w:t>
      </w:r>
    </w:p>
    <w:p w14:paraId="73413F32" w14:textId="77777777" w:rsidR="008A419D" w:rsidRPr="008A419D" w:rsidRDefault="008A419D" w:rsidP="008A419D">
      <w:pPr>
        <w:rPr>
          <w:lang w:val="en-US"/>
        </w:rPr>
      </w:pPr>
      <w:r w:rsidRPr="001B3871">
        <w:rPr>
          <w:lang w:val="en-US"/>
        </w:rPr>
        <w:lastRenderedPageBreak/>
        <w:t>In healthy subjects, co-administration of a single dose of 300 mg eptinezumab administered as an intravenous infusion (over a period of 1 hour ± 15 min) with a single dose of 6 mg sumatriptan administered subcutaneously did not alter the pharmacokinetics of eptinezumab or sumatriptan.</w:t>
      </w:r>
    </w:p>
    <w:p w14:paraId="6C786B02" w14:textId="3205A3D0" w:rsidR="00580903" w:rsidRDefault="00580903" w:rsidP="00580903">
      <w:r w:rsidRPr="00580903">
        <w:t xml:space="preserve">Interactions with other </w:t>
      </w:r>
      <w:r w:rsidR="00840D16">
        <w:t>medic</w:t>
      </w:r>
      <w:r w:rsidR="00572775">
        <w:t>ines h</w:t>
      </w:r>
      <w:r w:rsidRPr="00580903">
        <w:t>ave not been studied.</w:t>
      </w:r>
    </w:p>
    <w:p w14:paraId="43E201C4" w14:textId="5886BAC1" w:rsidR="00B250C5" w:rsidRPr="00593C40" w:rsidRDefault="00DE5CE5" w:rsidP="001229E0">
      <w:pPr>
        <w:pStyle w:val="Heading2"/>
      </w:pPr>
      <w:r w:rsidRPr="00593C40">
        <w:t>Fertility, Pregnancy and Lactation</w:t>
      </w:r>
    </w:p>
    <w:p w14:paraId="486EC7BD" w14:textId="23AF2296" w:rsidR="001A3992" w:rsidRDefault="001A3992" w:rsidP="001A3992">
      <w:pPr>
        <w:pStyle w:val="Heading3"/>
        <w:spacing w:before="0" w:after="120"/>
      </w:pPr>
      <w:r w:rsidRPr="00B878CC">
        <w:t>Effects on fertility</w:t>
      </w:r>
    </w:p>
    <w:p w14:paraId="0D288B99" w14:textId="1607B73F" w:rsidR="00BE6DB1" w:rsidRDefault="00580903" w:rsidP="00580903">
      <w:r w:rsidRPr="00580903">
        <w:t>The effect of</w:t>
      </w:r>
      <w:r>
        <w:t xml:space="preserve"> eptinezumab </w:t>
      </w:r>
      <w:r w:rsidRPr="00580903">
        <w:t xml:space="preserve">on human fertility has not been evaluated. </w:t>
      </w:r>
      <w:r w:rsidR="009575A2" w:rsidRPr="009575A2">
        <w:t>There were no adverse effects</w:t>
      </w:r>
      <w:r w:rsidR="00F415D3">
        <w:t xml:space="preserve"> </w:t>
      </w:r>
      <w:r w:rsidRPr="00580903">
        <w:t xml:space="preserve">on female </w:t>
      </w:r>
      <w:r w:rsidR="009575A2">
        <w:t xml:space="preserve">or </w:t>
      </w:r>
      <w:r w:rsidRPr="00580903">
        <w:t>male fertility</w:t>
      </w:r>
      <w:r w:rsidR="009575A2">
        <w:t xml:space="preserve"> </w:t>
      </w:r>
      <w:r w:rsidR="009575A2" w:rsidRPr="009575A2">
        <w:t>in rats treated with dose levels up to 150 mg/kg IV weekly (25 times the MRHD in a 50 kg patient) prior to and during mating, continuing in females to the time of implantation</w:t>
      </w:r>
      <w:r w:rsidRPr="00580903">
        <w:t xml:space="preserve">. </w:t>
      </w:r>
    </w:p>
    <w:p w14:paraId="15041D65" w14:textId="77777777" w:rsidR="00580903" w:rsidRPr="00580903" w:rsidRDefault="00580903" w:rsidP="00580903">
      <w:pPr>
        <w:pStyle w:val="Heading3"/>
      </w:pPr>
      <w:r w:rsidRPr="00580903">
        <w:t>Use in pregnancy – Pregnancy Category B1</w:t>
      </w:r>
    </w:p>
    <w:p w14:paraId="00C88FEE" w14:textId="678A9546" w:rsidR="00ED0B0A" w:rsidRDefault="00580903" w:rsidP="00580903">
      <w:r w:rsidRPr="00580903">
        <w:rPr>
          <w:lang w:val="en-GB"/>
        </w:rPr>
        <w:t xml:space="preserve">There is a very limited amount of data from the use of eptinezumab in pregnant women. </w:t>
      </w:r>
      <w:r w:rsidR="00091400" w:rsidRPr="00091400">
        <w:t>In studies in rats and rabbits, there were no effects on embryofetal development when eptinezumab was dosed throughout the period of organogenesis at doses up to 150 mg/kg (25 times the MRHD in a 50 kg patient).</w:t>
      </w:r>
    </w:p>
    <w:p w14:paraId="59E87053" w14:textId="4A8D83A8" w:rsidR="00580903" w:rsidRPr="00580903" w:rsidRDefault="00580903" w:rsidP="00580903">
      <w:r w:rsidRPr="00580903">
        <w:t xml:space="preserve">Human IgG is known to cross the placental barrier; therefore, eptinezumab may be transmitted from the mother to the developing </w:t>
      </w:r>
      <w:r w:rsidR="00C0165D" w:rsidRPr="00580903">
        <w:t>foetus</w:t>
      </w:r>
      <w:r w:rsidRPr="00580903">
        <w:t>.</w:t>
      </w:r>
    </w:p>
    <w:p w14:paraId="789BBD98" w14:textId="3200AD15" w:rsidR="00580903" w:rsidRPr="00580903" w:rsidRDefault="002646FB" w:rsidP="00580903">
      <w:r>
        <w:t>VYEPTI®</w:t>
      </w:r>
      <w:r w:rsidR="00F415D3">
        <w:t xml:space="preserve"> </w:t>
      </w:r>
      <w:r w:rsidR="00580903" w:rsidRPr="00580903">
        <w:t xml:space="preserve">should not be used by pregnant women unless the expected benefit to the mother justifies the potential risk to the </w:t>
      </w:r>
      <w:r w:rsidR="00C0165D" w:rsidRPr="00580903">
        <w:t>foetus</w:t>
      </w:r>
      <w:r w:rsidR="00580903" w:rsidRPr="00580903">
        <w:t>.</w:t>
      </w:r>
    </w:p>
    <w:p w14:paraId="3884C406" w14:textId="75B3419F" w:rsidR="001A3992" w:rsidRDefault="001A3992" w:rsidP="001A3992">
      <w:pPr>
        <w:pStyle w:val="Heading3"/>
        <w:spacing w:before="0" w:after="120"/>
      </w:pPr>
      <w:r w:rsidRPr="00B878CC">
        <w:t>Use in</w:t>
      </w:r>
      <w:r w:rsidRPr="00164864">
        <w:t xml:space="preserve"> lactation.</w:t>
      </w:r>
    </w:p>
    <w:p w14:paraId="60E28105" w14:textId="26A8B246" w:rsidR="00BD3C54" w:rsidRPr="00BD3C54" w:rsidRDefault="00BD3C54" w:rsidP="00BD3C54">
      <w:r w:rsidRPr="00BD3C54">
        <w:t>There are no data on the presence of</w:t>
      </w:r>
      <w:r>
        <w:t xml:space="preserve"> eptinezumab </w:t>
      </w:r>
      <w:r w:rsidRPr="00BD3C54">
        <w:t xml:space="preserve">in human milk, the effects on the breastfed infant, or the effects on milk production. Human IgG is known to be excreted in breast milk; therefore, </w:t>
      </w:r>
      <w:r w:rsidR="0089129E" w:rsidRPr="0089129E">
        <w:t xml:space="preserve">eptinezumab </w:t>
      </w:r>
      <w:r w:rsidRPr="00BD3C54">
        <w:t xml:space="preserve">may be transmitted from the mother to the breastfed infant. The developmental and health benefits of breastfeeding should be considered along with the mother’s clinical need for </w:t>
      </w:r>
      <w:r w:rsidR="002646FB">
        <w:t>VYEPTI®</w:t>
      </w:r>
      <w:r w:rsidR="00F415D3">
        <w:t xml:space="preserve"> </w:t>
      </w:r>
      <w:r w:rsidRPr="00BD3C54">
        <w:t>and any potential effects on the breastfed infant.</w:t>
      </w:r>
    </w:p>
    <w:p w14:paraId="5860EACD" w14:textId="7CE4BF8D" w:rsidR="001A3992" w:rsidRDefault="001A3992" w:rsidP="001A3992">
      <w:pPr>
        <w:pStyle w:val="Heading2"/>
        <w:spacing w:before="0" w:after="120"/>
      </w:pPr>
      <w:r w:rsidRPr="00EC3C40">
        <w:t>Effects</w:t>
      </w:r>
      <w:r>
        <w:t xml:space="preserve"> on ability to drive and use machines</w:t>
      </w:r>
    </w:p>
    <w:p w14:paraId="73462EDC" w14:textId="1021D493" w:rsidR="00BD3A25" w:rsidRPr="00BD3A25" w:rsidRDefault="00BD3A25" w:rsidP="00BD3A25">
      <w:pPr>
        <w:rPr>
          <w:b/>
          <w:smallCaps/>
          <w:sz w:val="24"/>
        </w:rPr>
      </w:pPr>
      <w:r w:rsidRPr="00BD3A25">
        <w:rPr>
          <w:lang w:val="en"/>
        </w:rPr>
        <w:t>Eptinezumab is expected to have no or negligible influence on the ability to drive and use machine</w:t>
      </w:r>
      <w:r w:rsidR="00742C37">
        <w:rPr>
          <w:lang w:val="en"/>
        </w:rPr>
        <w:t>s</w:t>
      </w:r>
      <w:r>
        <w:rPr>
          <w:lang w:val="en"/>
        </w:rPr>
        <w:t>.</w:t>
      </w:r>
    </w:p>
    <w:p w14:paraId="7B01F53F" w14:textId="5B358036" w:rsidR="001A3992" w:rsidRDefault="001A3992" w:rsidP="00BD3A25">
      <w:pPr>
        <w:pStyle w:val="Heading2"/>
      </w:pPr>
      <w:bookmarkStart w:id="5" w:name="_Adverse_effects_(Undesirable"/>
      <w:bookmarkEnd w:id="5"/>
      <w:r>
        <w:t>Adverse effects (Undesirable effects)</w:t>
      </w:r>
    </w:p>
    <w:p w14:paraId="226B3899" w14:textId="6E956E3E" w:rsidR="00FD399D" w:rsidRPr="006E6031" w:rsidRDefault="00FD399D" w:rsidP="00FD399D">
      <w:pPr>
        <w:rPr>
          <w:b/>
          <w:u w:val="single"/>
          <w:lang w:eastAsia="da-DK"/>
        </w:rPr>
      </w:pPr>
      <w:r w:rsidRPr="006E6031">
        <w:rPr>
          <w:b/>
          <w:u w:val="single"/>
          <w:lang w:eastAsia="da-DK"/>
        </w:rPr>
        <w:t>Summary of the safety profile</w:t>
      </w:r>
    </w:p>
    <w:p w14:paraId="3BF11222" w14:textId="1EB65944" w:rsidR="00FD399D" w:rsidRPr="00FD399D" w:rsidRDefault="00FD399D" w:rsidP="00FD399D">
      <w:pPr>
        <w:rPr>
          <w:lang w:eastAsia="da-DK"/>
        </w:rPr>
      </w:pPr>
      <w:r w:rsidRPr="00FD399D">
        <w:rPr>
          <w:lang w:eastAsia="da-DK"/>
        </w:rPr>
        <w:t>A total of over 2000 patients (more than 1,600 patient years) have been treated with eptinezumab in clinical studies. Of these, approximately 1,500 patients were exposed to 100 mg or 300 mg. Across all doses, 1872 patients were exposed for at least 24 weeks (two doses), 991 patients were exposed for 48 weeks (four doses), and 101 patients were exposed for up to two years (eight doses). In the placebo-controlled clinical studies (</w:t>
      </w:r>
      <w:r w:rsidR="00417D19">
        <w:rPr>
          <w:lang w:eastAsia="da-DK"/>
        </w:rPr>
        <w:t>PROMISE</w:t>
      </w:r>
      <w:r w:rsidRPr="00FD399D">
        <w:rPr>
          <w:lang w:eastAsia="da-DK"/>
        </w:rPr>
        <w:t xml:space="preserve"> 1 and </w:t>
      </w:r>
      <w:r w:rsidR="00417D19">
        <w:rPr>
          <w:lang w:eastAsia="da-DK"/>
        </w:rPr>
        <w:t>PROMISE</w:t>
      </w:r>
      <w:r w:rsidRPr="00FD399D">
        <w:rPr>
          <w:lang w:eastAsia="da-DK"/>
        </w:rPr>
        <w:t xml:space="preserve"> 2), 1372 patients received at least one dose of </w:t>
      </w:r>
      <w:r w:rsidR="002646FB">
        <w:rPr>
          <w:lang w:eastAsia="da-DK"/>
        </w:rPr>
        <w:t>VYEPTI®</w:t>
      </w:r>
      <w:r w:rsidRPr="00FD399D">
        <w:rPr>
          <w:lang w:eastAsia="da-DK"/>
        </w:rPr>
        <w:t xml:space="preserve">(including 579 patients receiving at least one dose of </w:t>
      </w:r>
      <w:r w:rsidR="002646FB">
        <w:rPr>
          <w:lang w:eastAsia="da-DK"/>
        </w:rPr>
        <w:t>VYEPTI®</w:t>
      </w:r>
      <w:r w:rsidRPr="00FD399D">
        <w:rPr>
          <w:lang w:eastAsia="da-DK"/>
        </w:rPr>
        <w:t xml:space="preserve">100 mg and 574 patients receiving at least one dose of </w:t>
      </w:r>
      <w:r w:rsidR="002646FB">
        <w:rPr>
          <w:lang w:eastAsia="da-DK"/>
        </w:rPr>
        <w:lastRenderedPageBreak/>
        <w:t>VYEPTI®</w:t>
      </w:r>
      <w:r w:rsidRPr="00FD399D">
        <w:rPr>
          <w:lang w:eastAsia="da-DK"/>
        </w:rPr>
        <w:t>300 mg), and 588 patients received placebo. Approximately 86% were female, 89% were white, and the mean age was 40.4 years at study entry.</w:t>
      </w:r>
    </w:p>
    <w:p w14:paraId="11F6C269" w14:textId="77777777" w:rsidR="00FD399D" w:rsidRPr="00FD399D" w:rsidRDefault="00FD399D" w:rsidP="00FD399D">
      <w:pPr>
        <w:rPr>
          <w:lang w:eastAsia="da-DK"/>
        </w:rPr>
      </w:pPr>
      <w:r w:rsidRPr="00FD399D">
        <w:rPr>
          <w:lang w:eastAsia="da-DK"/>
        </w:rPr>
        <w:t>Patients with a history of cardiovascular disease, neurological disease, cerebrovascular disease, morbid obesity and diabetes were excluded from clinical studies.</w:t>
      </w:r>
    </w:p>
    <w:p w14:paraId="315E9C48" w14:textId="2E2B8F4D" w:rsidR="00FD399D" w:rsidRPr="00FD399D" w:rsidRDefault="00FD399D" w:rsidP="00FD399D">
      <w:pPr>
        <w:rPr>
          <w:lang w:eastAsia="da-DK"/>
        </w:rPr>
      </w:pPr>
      <w:r w:rsidRPr="00FD399D">
        <w:rPr>
          <w:lang w:eastAsia="da-DK"/>
        </w:rPr>
        <w:t xml:space="preserve">The most common adverse reactions in the placebo-controlled clinical studies (PROMISE 1 and PROMISE 2) for the preventive treatment of migraine were nasopharyngitis and hypersensitivity (see below). Most hypersensitivity reactions occurred during infusion and were not serious (see </w:t>
      </w:r>
      <w:hyperlink w:anchor="_Special_warnings_and" w:history="1">
        <w:r w:rsidR="009C7774" w:rsidRPr="009C7774">
          <w:rPr>
            <w:rStyle w:val="Hyperlink"/>
            <w:lang w:eastAsia="da-DK"/>
          </w:rPr>
          <w:t>S</w:t>
        </w:r>
        <w:r w:rsidRPr="009C7774">
          <w:rPr>
            <w:rStyle w:val="Hyperlink"/>
            <w:lang w:eastAsia="da-DK"/>
          </w:rPr>
          <w:t>ection 4.4</w:t>
        </w:r>
        <w:r w:rsidR="009C7774" w:rsidRPr="009C7774">
          <w:rPr>
            <w:rStyle w:val="Hyperlink"/>
            <w:lang w:eastAsia="da-DK"/>
          </w:rPr>
          <w:t xml:space="preserve"> Special warnings and precautions for use</w:t>
        </w:r>
      </w:hyperlink>
      <w:r w:rsidRPr="00FD399D">
        <w:rPr>
          <w:lang w:eastAsia="da-DK"/>
        </w:rPr>
        <w:t>).</w:t>
      </w:r>
    </w:p>
    <w:p w14:paraId="191EB9A7" w14:textId="39D890D8" w:rsidR="00FD399D" w:rsidRDefault="00FD399D" w:rsidP="006E6031">
      <w:pPr>
        <w:rPr>
          <w:lang w:eastAsia="da-DK"/>
        </w:rPr>
      </w:pPr>
      <w:r w:rsidRPr="00FD399D">
        <w:rPr>
          <w:lang w:eastAsia="da-DK"/>
        </w:rPr>
        <w:t xml:space="preserve">Infusion site-related adverse events occurred infrequently and in similar proportions of </w:t>
      </w:r>
      <w:r w:rsidR="002646FB">
        <w:rPr>
          <w:lang w:eastAsia="da-DK"/>
        </w:rPr>
        <w:t>VYEPTI®</w:t>
      </w:r>
      <w:r w:rsidR="00F415D3">
        <w:rPr>
          <w:lang w:eastAsia="da-DK"/>
        </w:rPr>
        <w:t xml:space="preserve"> </w:t>
      </w:r>
      <w:r w:rsidRPr="00FD399D">
        <w:rPr>
          <w:lang w:eastAsia="da-DK"/>
        </w:rPr>
        <w:t xml:space="preserve">and placebo patients (&lt; 2%) with no apparent relationship to </w:t>
      </w:r>
      <w:r w:rsidR="002646FB">
        <w:rPr>
          <w:lang w:eastAsia="da-DK"/>
        </w:rPr>
        <w:t>VYEPTI®</w:t>
      </w:r>
      <w:r w:rsidR="00F415D3">
        <w:rPr>
          <w:lang w:eastAsia="da-DK"/>
        </w:rPr>
        <w:t xml:space="preserve"> </w:t>
      </w:r>
      <w:r w:rsidRPr="00FD399D">
        <w:rPr>
          <w:lang w:eastAsia="da-DK"/>
        </w:rPr>
        <w:t xml:space="preserve">dose. The most frequently occurring infusion-site related adverse event was infusion site extravasation, which occurred in &lt; 1% of </w:t>
      </w:r>
      <w:r w:rsidR="002646FB">
        <w:rPr>
          <w:lang w:eastAsia="da-DK"/>
        </w:rPr>
        <w:t>VYEPTI®</w:t>
      </w:r>
      <w:r w:rsidR="00F415D3">
        <w:rPr>
          <w:lang w:eastAsia="da-DK"/>
        </w:rPr>
        <w:t xml:space="preserve"> </w:t>
      </w:r>
      <w:r w:rsidRPr="00FD399D">
        <w:rPr>
          <w:lang w:eastAsia="da-DK"/>
        </w:rPr>
        <w:t xml:space="preserve">and placebo patients in </w:t>
      </w:r>
      <w:r w:rsidR="009C28D6">
        <w:rPr>
          <w:lang w:eastAsia="da-DK"/>
        </w:rPr>
        <w:t>PROMISE</w:t>
      </w:r>
      <w:r w:rsidRPr="00FD399D">
        <w:rPr>
          <w:lang w:eastAsia="da-DK"/>
        </w:rPr>
        <w:t xml:space="preserve"> 1 and </w:t>
      </w:r>
      <w:r w:rsidR="009C28D6">
        <w:rPr>
          <w:lang w:eastAsia="da-DK"/>
        </w:rPr>
        <w:t>PROMISE</w:t>
      </w:r>
      <w:r w:rsidRPr="00FD399D">
        <w:rPr>
          <w:lang w:eastAsia="da-DK"/>
        </w:rPr>
        <w:t xml:space="preserve"> 2.</w:t>
      </w:r>
    </w:p>
    <w:p w14:paraId="3A5BC4FA" w14:textId="5EA66F2A" w:rsidR="00875C73" w:rsidRPr="00875C73" w:rsidRDefault="00875C73" w:rsidP="00875C73">
      <w:pPr>
        <w:rPr>
          <w:b/>
          <w:bCs/>
          <w:szCs w:val="24"/>
          <w:u w:val="single"/>
          <w:lang w:val="en-US"/>
        </w:rPr>
      </w:pPr>
      <w:r w:rsidRPr="00875C73">
        <w:rPr>
          <w:b/>
          <w:bCs/>
          <w:szCs w:val="24"/>
          <w:u w:val="single"/>
          <w:lang w:val="en-US"/>
        </w:rPr>
        <w:t xml:space="preserve">Tabulated list of adverse reactions </w:t>
      </w:r>
    </w:p>
    <w:p w14:paraId="05DB7ADB" w14:textId="0B1EF5FD" w:rsidR="000A0F5B" w:rsidRPr="0054023E" w:rsidRDefault="00C00E37" w:rsidP="000A0F5B">
      <w:r>
        <w:t xml:space="preserve">The </w:t>
      </w:r>
      <w:hyperlink w:anchor="Table1" w:history="1">
        <w:r w:rsidRPr="00EF5EF0">
          <w:rPr>
            <w:rStyle w:val="Hyperlink"/>
          </w:rPr>
          <w:t>table</w:t>
        </w:r>
      </w:hyperlink>
      <w:r w:rsidR="004233DE">
        <w:t xml:space="preserve"> </w:t>
      </w:r>
      <w:r w:rsidR="000A0F5B" w:rsidRPr="0054023E">
        <w:t>presented below is according to the MedDRA system organ classification. Frequencies have been evaluated according to the following convention: very common (≥1/10); common (≥1/100 to &lt;1/10); uncommon (≥1/1,000 to &lt;1/100; rare (≥1/10,000 to &lt;1/1,000; very rare (&lt;1/10,000).</w:t>
      </w:r>
    </w:p>
    <w:p w14:paraId="5004CFD7" w14:textId="492D4684" w:rsidR="000A0F5B" w:rsidRPr="00EF5EF0" w:rsidRDefault="00875C73" w:rsidP="00EF5EF0">
      <w:pPr>
        <w:pStyle w:val="Caption"/>
        <w:spacing w:after="0"/>
        <w:rPr>
          <w:b/>
          <w:bCs/>
          <w:i w:val="0"/>
          <w:iCs w:val="0"/>
          <w:color w:val="auto"/>
          <w:sz w:val="20"/>
          <w:szCs w:val="20"/>
        </w:rPr>
      </w:pPr>
      <w:bookmarkStart w:id="6" w:name="Table1"/>
      <w:bookmarkEnd w:id="6"/>
      <w:r w:rsidRPr="00EF5EF0">
        <w:rPr>
          <w:b/>
          <w:bCs/>
          <w:i w:val="0"/>
          <w:iCs w:val="0"/>
          <w:color w:val="auto"/>
          <w:sz w:val="20"/>
          <w:szCs w:val="20"/>
        </w:rPr>
        <w:t>Table 1</w:t>
      </w:r>
      <w:r w:rsidR="000A0F5B" w:rsidRPr="00EF5EF0">
        <w:rPr>
          <w:b/>
          <w:bCs/>
          <w:i w:val="0"/>
          <w:iCs w:val="0"/>
          <w:color w:val="auto"/>
          <w:sz w:val="20"/>
          <w:szCs w:val="20"/>
        </w:rPr>
        <w:t>:</w:t>
      </w:r>
      <w:r w:rsidR="000A0F5B" w:rsidRPr="00EF5EF0">
        <w:rPr>
          <w:b/>
          <w:bCs/>
          <w:i w:val="0"/>
          <w:iCs w:val="0"/>
          <w:color w:val="auto"/>
          <w:sz w:val="20"/>
          <w:szCs w:val="20"/>
        </w:rPr>
        <w:tab/>
        <w:t xml:space="preserve">List of Adverse Reactions in Clinical Studies </w:t>
      </w:r>
      <w:r w:rsidR="00091400" w:rsidRPr="00EF5EF0">
        <w:rPr>
          <w:b/>
          <w:bCs/>
          <w:i w:val="0"/>
          <w:iCs w:val="0"/>
          <w:color w:val="auto"/>
          <w:sz w:val="20"/>
          <w:szCs w:val="20"/>
        </w:rPr>
        <w:t xml:space="preserve">and Post-marketing Reports </w:t>
      </w:r>
      <w:r w:rsidR="000D454A" w:rsidRPr="00EF5EF0">
        <w:rPr>
          <w:b/>
          <w:bCs/>
          <w:i w:val="0"/>
          <w:iCs w:val="0"/>
          <w:color w:val="auto"/>
          <w:sz w:val="20"/>
          <w:szCs w:val="20"/>
        </w:rPr>
        <w:t>(PROMISE 1 and PROMISE 2)</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10"/>
        <w:gridCol w:w="2410"/>
      </w:tblGrid>
      <w:tr w:rsidR="000A0F5B" w:rsidRPr="0054023E" w14:paraId="281BB8A0" w14:textId="77777777" w:rsidTr="006E6031">
        <w:tc>
          <w:tcPr>
            <w:tcW w:w="2405" w:type="dxa"/>
            <w:shd w:val="clear" w:color="auto" w:fill="auto"/>
          </w:tcPr>
          <w:p w14:paraId="63A6525B" w14:textId="77777777" w:rsidR="000A0F5B" w:rsidRPr="0054023E" w:rsidRDefault="000A0F5B" w:rsidP="003B3E91">
            <w:pPr>
              <w:rPr>
                <w:b/>
                <w:sz w:val="20"/>
                <w:szCs w:val="16"/>
              </w:rPr>
            </w:pPr>
            <w:r w:rsidRPr="0054023E">
              <w:rPr>
                <w:b/>
                <w:sz w:val="20"/>
                <w:szCs w:val="16"/>
              </w:rPr>
              <w:t xml:space="preserve">System Organ Class </w:t>
            </w:r>
          </w:p>
        </w:tc>
        <w:tc>
          <w:tcPr>
            <w:tcW w:w="2410" w:type="dxa"/>
            <w:shd w:val="clear" w:color="auto" w:fill="auto"/>
          </w:tcPr>
          <w:p w14:paraId="7EB2526F" w14:textId="619E6C6C" w:rsidR="000A0F5B" w:rsidRPr="0054023E" w:rsidRDefault="000A0F5B" w:rsidP="006E6031">
            <w:pPr>
              <w:jc w:val="center"/>
              <w:rPr>
                <w:b/>
                <w:sz w:val="20"/>
                <w:szCs w:val="16"/>
              </w:rPr>
            </w:pPr>
            <w:r w:rsidRPr="0054023E">
              <w:rPr>
                <w:b/>
                <w:sz w:val="20"/>
                <w:szCs w:val="16"/>
              </w:rPr>
              <w:t>Adverse Reaction Preferred Term</w:t>
            </w:r>
          </w:p>
        </w:tc>
        <w:tc>
          <w:tcPr>
            <w:tcW w:w="2410" w:type="dxa"/>
            <w:shd w:val="clear" w:color="auto" w:fill="auto"/>
          </w:tcPr>
          <w:p w14:paraId="1A116350" w14:textId="15B25EB4" w:rsidR="000A0F5B" w:rsidRPr="0054023E" w:rsidRDefault="000A0F5B" w:rsidP="006E6031">
            <w:pPr>
              <w:jc w:val="center"/>
              <w:rPr>
                <w:b/>
                <w:sz w:val="20"/>
                <w:szCs w:val="16"/>
              </w:rPr>
            </w:pPr>
            <w:r w:rsidRPr="0054023E">
              <w:rPr>
                <w:b/>
                <w:sz w:val="20"/>
                <w:szCs w:val="16"/>
              </w:rPr>
              <w:t>Frequency Category</w:t>
            </w:r>
          </w:p>
        </w:tc>
      </w:tr>
      <w:tr w:rsidR="000A0F5B" w:rsidRPr="0054023E" w14:paraId="0CD06C7F" w14:textId="77777777" w:rsidTr="006E6031">
        <w:tc>
          <w:tcPr>
            <w:tcW w:w="2405" w:type="dxa"/>
            <w:shd w:val="clear" w:color="auto" w:fill="auto"/>
          </w:tcPr>
          <w:p w14:paraId="4A868D51" w14:textId="77777777" w:rsidR="000A0F5B" w:rsidRPr="0054023E" w:rsidRDefault="000A0F5B" w:rsidP="003B3E91">
            <w:pPr>
              <w:rPr>
                <w:sz w:val="20"/>
                <w:szCs w:val="16"/>
              </w:rPr>
            </w:pPr>
            <w:r w:rsidRPr="0054023E">
              <w:rPr>
                <w:sz w:val="20"/>
                <w:szCs w:val="16"/>
              </w:rPr>
              <w:t>Infections and Infestations</w:t>
            </w:r>
          </w:p>
        </w:tc>
        <w:tc>
          <w:tcPr>
            <w:tcW w:w="2410" w:type="dxa"/>
            <w:shd w:val="clear" w:color="auto" w:fill="auto"/>
          </w:tcPr>
          <w:p w14:paraId="26E8494C" w14:textId="77777777" w:rsidR="000A0F5B" w:rsidRPr="0054023E" w:rsidRDefault="000A0F5B" w:rsidP="006E6031">
            <w:pPr>
              <w:jc w:val="center"/>
              <w:rPr>
                <w:sz w:val="20"/>
                <w:szCs w:val="16"/>
              </w:rPr>
            </w:pPr>
            <w:r w:rsidRPr="0054023E">
              <w:rPr>
                <w:sz w:val="20"/>
                <w:szCs w:val="16"/>
              </w:rPr>
              <w:t>Nasopharyngitis</w:t>
            </w:r>
          </w:p>
        </w:tc>
        <w:tc>
          <w:tcPr>
            <w:tcW w:w="2410" w:type="dxa"/>
            <w:shd w:val="clear" w:color="auto" w:fill="auto"/>
          </w:tcPr>
          <w:p w14:paraId="3850BF87" w14:textId="77777777" w:rsidR="000A0F5B" w:rsidRPr="0054023E" w:rsidRDefault="000A0F5B" w:rsidP="006E6031">
            <w:pPr>
              <w:jc w:val="center"/>
              <w:rPr>
                <w:sz w:val="20"/>
                <w:szCs w:val="16"/>
              </w:rPr>
            </w:pPr>
            <w:r w:rsidRPr="0054023E">
              <w:rPr>
                <w:sz w:val="20"/>
                <w:szCs w:val="16"/>
              </w:rPr>
              <w:t>Common</w:t>
            </w:r>
          </w:p>
        </w:tc>
      </w:tr>
      <w:tr w:rsidR="00835F37" w:rsidRPr="0054023E" w14:paraId="24823C1F" w14:textId="77777777" w:rsidTr="006E6031">
        <w:tc>
          <w:tcPr>
            <w:tcW w:w="2405" w:type="dxa"/>
            <w:vMerge w:val="restart"/>
            <w:shd w:val="clear" w:color="auto" w:fill="auto"/>
          </w:tcPr>
          <w:p w14:paraId="32DEFE6F" w14:textId="77777777" w:rsidR="00835F37" w:rsidRPr="0054023E" w:rsidRDefault="00835F37" w:rsidP="003B3E91">
            <w:pPr>
              <w:rPr>
                <w:sz w:val="20"/>
                <w:szCs w:val="16"/>
              </w:rPr>
            </w:pPr>
            <w:r w:rsidRPr="0054023E">
              <w:rPr>
                <w:sz w:val="20"/>
                <w:szCs w:val="16"/>
              </w:rPr>
              <w:t>Immune system disorders</w:t>
            </w:r>
          </w:p>
        </w:tc>
        <w:tc>
          <w:tcPr>
            <w:tcW w:w="2410" w:type="dxa"/>
            <w:shd w:val="clear" w:color="auto" w:fill="auto"/>
          </w:tcPr>
          <w:p w14:paraId="2FD3A7F1" w14:textId="77777777" w:rsidR="00835F37" w:rsidRPr="0054023E" w:rsidRDefault="00835F37" w:rsidP="006E6031">
            <w:pPr>
              <w:jc w:val="center"/>
              <w:rPr>
                <w:sz w:val="20"/>
                <w:szCs w:val="16"/>
              </w:rPr>
            </w:pPr>
            <w:r w:rsidRPr="0054023E">
              <w:rPr>
                <w:sz w:val="20"/>
                <w:szCs w:val="16"/>
              </w:rPr>
              <w:t>Hypersensitivity reaction</w:t>
            </w:r>
            <w:r>
              <w:rPr>
                <w:sz w:val="20"/>
                <w:szCs w:val="16"/>
              </w:rPr>
              <w:t>s</w:t>
            </w:r>
          </w:p>
        </w:tc>
        <w:tc>
          <w:tcPr>
            <w:tcW w:w="2410" w:type="dxa"/>
            <w:shd w:val="clear" w:color="auto" w:fill="auto"/>
          </w:tcPr>
          <w:p w14:paraId="65DE8431" w14:textId="77777777" w:rsidR="00835F37" w:rsidRPr="0054023E" w:rsidRDefault="00835F37" w:rsidP="006E6031">
            <w:pPr>
              <w:jc w:val="center"/>
              <w:rPr>
                <w:sz w:val="20"/>
                <w:szCs w:val="16"/>
              </w:rPr>
            </w:pPr>
            <w:r w:rsidRPr="0054023E">
              <w:rPr>
                <w:sz w:val="20"/>
                <w:szCs w:val="16"/>
              </w:rPr>
              <w:t>Common</w:t>
            </w:r>
          </w:p>
        </w:tc>
      </w:tr>
      <w:tr w:rsidR="00835F37" w:rsidRPr="0054023E" w14:paraId="30551225" w14:textId="77777777" w:rsidTr="00997E23">
        <w:tc>
          <w:tcPr>
            <w:tcW w:w="2405" w:type="dxa"/>
            <w:vMerge/>
            <w:shd w:val="clear" w:color="auto" w:fill="auto"/>
          </w:tcPr>
          <w:p w14:paraId="5F9E3DE4" w14:textId="77777777" w:rsidR="00835F37" w:rsidRPr="0054023E" w:rsidRDefault="00835F37" w:rsidP="00835F37">
            <w:pPr>
              <w:rPr>
                <w:sz w:val="20"/>
                <w:szCs w:val="16"/>
              </w:rPr>
            </w:pPr>
          </w:p>
        </w:tc>
        <w:tc>
          <w:tcPr>
            <w:tcW w:w="2410" w:type="dxa"/>
          </w:tcPr>
          <w:p w14:paraId="54B93C0D" w14:textId="2FEBAE7B" w:rsidR="00835F37" w:rsidRPr="0054023E" w:rsidRDefault="00835F37" w:rsidP="00835F37">
            <w:pPr>
              <w:jc w:val="center"/>
              <w:rPr>
                <w:sz w:val="20"/>
                <w:szCs w:val="16"/>
              </w:rPr>
            </w:pPr>
            <w:r w:rsidRPr="00835F37">
              <w:rPr>
                <w:sz w:val="20"/>
                <w:szCs w:val="16"/>
              </w:rPr>
              <w:t>Anaphylactic Reactions</w:t>
            </w:r>
            <w:r w:rsidRPr="00835F37">
              <w:rPr>
                <w:sz w:val="20"/>
                <w:szCs w:val="16"/>
                <w:vertAlign w:val="superscript"/>
              </w:rPr>
              <w:t>1</w:t>
            </w:r>
            <w:r w:rsidRPr="00835F37">
              <w:rPr>
                <w:sz w:val="20"/>
                <w:szCs w:val="16"/>
              </w:rPr>
              <w:t xml:space="preserve"> </w:t>
            </w:r>
          </w:p>
        </w:tc>
        <w:tc>
          <w:tcPr>
            <w:tcW w:w="2410" w:type="dxa"/>
            <w:shd w:val="clear" w:color="auto" w:fill="auto"/>
          </w:tcPr>
          <w:p w14:paraId="6141B1F6" w14:textId="6498255C" w:rsidR="00835F37" w:rsidRPr="0054023E" w:rsidRDefault="00C05FD1" w:rsidP="00835F37">
            <w:pPr>
              <w:jc w:val="center"/>
              <w:rPr>
                <w:sz w:val="20"/>
                <w:szCs w:val="16"/>
              </w:rPr>
            </w:pPr>
            <w:r>
              <w:rPr>
                <w:sz w:val="20"/>
                <w:szCs w:val="16"/>
              </w:rPr>
              <w:t>Rare</w:t>
            </w:r>
          </w:p>
        </w:tc>
      </w:tr>
    </w:tbl>
    <w:p w14:paraId="5723B9BB" w14:textId="5E37721E" w:rsidR="000E01FC" w:rsidRPr="00C5172D" w:rsidRDefault="00C05FD1" w:rsidP="00C5172D">
      <w:pPr>
        <w:rPr>
          <w:rFonts w:asciiTheme="majorHAnsi" w:hAnsiTheme="majorHAnsi"/>
          <w:bCs/>
          <w:i/>
          <w:iCs/>
          <w:sz w:val="20"/>
          <w:szCs w:val="20"/>
        </w:rPr>
      </w:pPr>
      <w:r w:rsidRPr="00C05FD1">
        <w:rPr>
          <w:rFonts w:asciiTheme="majorHAnsi" w:hAnsiTheme="majorHAnsi"/>
          <w:bCs/>
          <w:i/>
          <w:iCs/>
          <w:sz w:val="20"/>
          <w:szCs w:val="20"/>
          <w:vertAlign w:val="superscript"/>
        </w:rPr>
        <w:t>1</w:t>
      </w:r>
      <w:r w:rsidRPr="00C05FD1">
        <w:rPr>
          <w:rFonts w:asciiTheme="majorHAnsi" w:hAnsiTheme="majorHAnsi"/>
          <w:bCs/>
          <w:i/>
          <w:iCs/>
          <w:sz w:val="20"/>
          <w:szCs w:val="20"/>
        </w:rPr>
        <w:t xml:space="preserve"> Not reported in PROMISE 1 and PROMISE 2, but reported in other studies and in the post-marketing setting.</w:t>
      </w:r>
    </w:p>
    <w:p w14:paraId="32A75C74" w14:textId="36A44625" w:rsidR="007C552E" w:rsidRPr="006E6031" w:rsidRDefault="007C552E" w:rsidP="006E6031">
      <w:pPr>
        <w:spacing w:before="200"/>
        <w:rPr>
          <w:u w:val="single"/>
        </w:rPr>
      </w:pPr>
      <w:r w:rsidRPr="006E6031">
        <w:rPr>
          <w:b/>
          <w:u w:val="single"/>
        </w:rPr>
        <w:t xml:space="preserve">Description of selected adverse reaction </w:t>
      </w:r>
    </w:p>
    <w:p w14:paraId="599294CC" w14:textId="77777777" w:rsidR="007C552E" w:rsidRPr="00A60803" w:rsidRDefault="007C552E" w:rsidP="006E6031">
      <w:pPr>
        <w:rPr>
          <w:b/>
        </w:rPr>
      </w:pPr>
      <w:r w:rsidRPr="00A60803">
        <w:rPr>
          <w:b/>
        </w:rPr>
        <w:t>Nasopharyngitis</w:t>
      </w:r>
    </w:p>
    <w:p w14:paraId="613B814E" w14:textId="2E389E86" w:rsidR="00BA2662" w:rsidRDefault="00BA2662" w:rsidP="00BA2662">
      <w:pPr>
        <w:spacing w:after="0" w:line="240" w:lineRule="auto"/>
        <w:rPr>
          <w:rFonts w:cstheme="minorHAnsi"/>
          <w:lang w:val="en-US" w:bidi="th-TH"/>
        </w:rPr>
      </w:pPr>
      <w:r w:rsidRPr="00002723">
        <w:rPr>
          <w:rFonts w:cstheme="minorHAnsi"/>
          <w:lang w:val="en-US" w:bidi="th-TH"/>
        </w:rPr>
        <w:t xml:space="preserve">Approximately 8% of patients on 300 mg, 6% of patients on 100 mg and 6% of patients on placebo in </w:t>
      </w:r>
      <w:r w:rsidR="00F501A5">
        <w:rPr>
          <w:rFonts w:cstheme="minorHAnsi"/>
          <w:lang w:val="en-US" w:bidi="th-TH"/>
        </w:rPr>
        <w:t>PROMISE 1</w:t>
      </w:r>
      <w:r w:rsidRPr="00002723">
        <w:rPr>
          <w:rFonts w:cstheme="minorHAnsi"/>
          <w:lang w:val="en-US" w:bidi="th-TH"/>
        </w:rPr>
        <w:t xml:space="preserve"> and </w:t>
      </w:r>
      <w:r w:rsidR="00F501A5">
        <w:rPr>
          <w:rFonts w:cstheme="minorHAnsi"/>
          <w:lang w:val="en-US" w:bidi="th-TH"/>
        </w:rPr>
        <w:t>PROMISE 2</w:t>
      </w:r>
      <w:r w:rsidRPr="00002723">
        <w:rPr>
          <w:rFonts w:cstheme="minorHAnsi"/>
          <w:lang w:val="en-US" w:bidi="th-TH"/>
        </w:rPr>
        <w:t xml:space="preserve"> experienced </w:t>
      </w:r>
      <w:r w:rsidR="00F501A5" w:rsidRPr="00002723">
        <w:rPr>
          <w:rFonts w:cstheme="minorHAnsi"/>
          <w:lang w:val="en-US" w:bidi="th-TH"/>
        </w:rPr>
        <w:t>nasopharyngitis</w:t>
      </w:r>
      <w:r w:rsidRPr="00002723">
        <w:rPr>
          <w:rFonts w:cstheme="minorHAnsi"/>
          <w:lang w:val="en-US" w:bidi="th-TH"/>
        </w:rPr>
        <w:t xml:space="preserve">. Nasopharyngitis was most frequent after the first dose of eptinezumab at any dose. The incidence decreased with subsequent doses and remained fairly steady thereafter. </w:t>
      </w:r>
    </w:p>
    <w:p w14:paraId="2BBD5118" w14:textId="77777777" w:rsidR="009C28D6" w:rsidRPr="00002723" w:rsidRDefault="009C28D6" w:rsidP="00BA2662">
      <w:pPr>
        <w:spacing w:after="0" w:line="240" w:lineRule="auto"/>
        <w:rPr>
          <w:rFonts w:cstheme="minorHAnsi"/>
          <w:lang w:val="en-US" w:bidi="th-TH"/>
        </w:rPr>
      </w:pPr>
    </w:p>
    <w:p w14:paraId="64D9DBF0" w14:textId="5120D406" w:rsidR="007C552E" w:rsidRPr="00A60803" w:rsidRDefault="00BA2662" w:rsidP="006E6031">
      <w:pPr>
        <w:rPr>
          <w:b/>
        </w:rPr>
      </w:pPr>
      <w:r w:rsidRPr="00A60803">
        <w:rPr>
          <w:b/>
        </w:rPr>
        <w:t>Hypersensitivity Reactions</w:t>
      </w:r>
    </w:p>
    <w:p w14:paraId="7906532C" w14:textId="4F793749" w:rsidR="00BA2662" w:rsidRPr="00BA2662" w:rsidRDefault="009B1F21" w:rsidP="009C6AEE">
      <w:r w:rsidRPr="009B1F21">
        <w:rPr>
          <w:lang w:val="en-US"/>
        </w:rPr>
        <w:t xml:space="preserve">Serious hypersensitivity reactions, including anaphylactic reactions, have been reported and may develop within minutes of the infusion (see </w:t>
      </w:r>
      <w:hyperlink w:anchor="_Special_warnings_and" w:history="1">
        <w:r w:rsidR="009C7774" w:rsidRPr="009C7774">
          <w:rPr>
            <w:rStyle w:val="Hyperlink"/>
            <w:lang w:val="en-US"/>
          </w:rPr>
          <w:t>S</w:t>
        </w:r>
        <w:r w:rsidRPr="009C7774">
          <w:rPr>
            <w:rStyle w:val="Hyperlink"/>
            <w:lang w:val="en-US"/>
          </w:rPr>
          <w:t>ection 4.4</w:t>
        </w:r>
        <w:r w:rsidR="009C7774" w:rsidRPr="009C7774">
          <w:rPr>
            <w:rStyle w:val="Hyperlink"/>
            <w:lang w:val="en-US"/>
          </w:rPr>
          <w:t xml:space="preserve"> Special warnings and precautions for use</w:t>
        </w:r>
      </w:hyperlink>
      <w:r w:rsidRPr="009B1F21">
        <w:rPr>
          <w:lang w:val="en-US"/>
        </w:rPr>
        <w:t xml:space="preserve">). The reported anaphylactic reactions have included symptoms of hypotension and respiratory difficulties, and have led to discontinuation of VYEPTI®. Other hypersensitivity reactions, including angioedema, urticaria, flushing, rash </w:t>
      </w:r>
      <w:r w:rsidRPr="009B1F21">
        <w:rPr>
          <w:lang w:val="en-US"/>
        </w:rPr>
        <w:lastRenderedPageBreak/>
        <w:t>and pruritus, were reported in</w:t>
      </w:r>
      <w:r>
        <w:rPr>
          <w:lang w:val="en-US"/>
        </w:rPr>
        <w:t xml:space="preserve"> a</w:t>
      </w:r>
      <w:r w:rsidR="00BA2662" w:rsidRPr="00002723">
        <w:rPr>
          <w:lang w:val="en-US"/>
        </w:rPr>
        <w:t xml:space="preserve">pproximately 4% of patients on 300 mg, 3% of patients on 100 mg and 1% of patients on placebo in </w:t>
      </w:r>
      <w:r w:rsidR="00F501A5">
        <w:rPr>
          <w:lang w:val="en-US"/>
        </w:rPr>
        <w:t>PROMISE 1</w:t>
      </w:r>
      <w:r w:rsidR="00BA2662" w:rsidRPr="00002723">
        <w:rPr>
          <w:lang w:val="en-US"/>
        </w:rPr>
        <w:t xml:space="preserve"> and </w:t>
      </w:r>
      <w:r w:rsidR="00F501A5">
        <w:rPr>
          <w:lang w:val="en-US"/>
        </w:rPr>
        <w:t>PROMISE 2</w:t>
      </w:r>
      <w:r w:rsidR="00BA2662" w:rsidRPr="00002723">
        <w:rPr>
          <w:lang w:val="en-US"/>
        </w:rPr>
        <w:t>.</w:t>
      </w:r>
    </w:p>
    <w:p w14:paraId="53A6803B" w14:textId="0D33ACD2" w:rsidR="00E55D18" w:rsidRPr="00A60803" w:rsidRDefault="00E55D18" w:rsidP="006E6031">
      <w:pPr>
        <w:rPr>
          <w:b/>
        </w:rPr>
      </w:pPr>
      <w:r w:rsidRPr="00A60803">
        <w:rPr>
          <w:b/>
        </w:rPr>
        <w:t>Immunogenicity</w:t>
      </w:r>
    </w:p>
    <w:p w14:paraId="2A3693CD" w14:textId="602FF5F9" w:rsidR="006562CB" w:rsidRPr="009C6AEE" w:rsidRDefault="006562CB" w:rsidP="006562CB">
      <w:r w:rsidRPr="006562CB">
        <w:t xml:space="preserve">In placebo-controlled pivotal </w:t>
      </w:r>
      <w:r w:rsidRPr="009C6AEE">
        <w:t xml:space="preserve">clinical </w:t>
      </w:r>
      <w:r w:rsidR="009950CC" w:rsidRPr="009C6AEE">
        <w:t>studies</w:t>
      </w:r>
      <w:r w:rsidRPr="009C6AEE">
        <w:t xml:space="preserve">, </w:t>
      </w:r>
      <w:r w:rsidR="00F501A5">
        <w:t>PROMISE 1</w:t>
      </w:r>
      <w:r w:rsidRPr="009C6AEE">
        <w:t xml:space="preserve"> and </w:t>
      </w:r>
      <w:r w:rsidR="00F501A5">
        <w:t>PROMISE 2</w:t>
      </w:r>
      <w:r w:rsidRPr="009C6AEE">
        <w:t>, the incidence of anti-eptinezumab antibodies across both studies was 18% (105/579) and 20% (115/574) in patients receiving 100 mg and 300 mg every 12 weeks dosing, respectively. In both studies, the incidence of anti-eptinezumab antibodies peaked at Week 24, and thereafter showed a steady decline even after subsequent dosing every 12 weeks. The incidence of antibodies with neutralizing potential across both studies was 8.3% (48/579) and 6.1% (35/574) for the 100 mg and 300 mg treatment groups, respectively.</w:t>
      </w:r>
    </w:p>
    <w:p w14:paraId="0AD0DCD8" w14:textId="387BCA38" w:rsidR="006562CB" w:rsidRPr="006562CB" w:rsidRDefault="006562CB" w:rsidP="006562CB">
      <w:r w:rsidRPr="009C6AEE">
        <w:t>A long-term open label repeat dose study</w:t>
      </w:r>
      <w:r w:rsidR="009950CC" w:rsidRPr="009C6AEE">
        <w:t>, PREVAIL,</w:t>
      </w:r>
      <w:r w:rsidRPr="009C6AEE">
        <w:t xml:space="preserve"> in </w:t>
      </w:r>
      <w:r w:rsidR="009950CC" w:rsidRPr="009C6AEE">
        <w:t xml:space="preserve">128 </w:t>
      </w:r>
      <w:r w:rsidRPr="009C6AEE">
        <w:t xml:space="preserve">patients with chronic migraine consisted of a primary and secondary treatment phase in which up to eight IV infusions of </w:t>
      </w:r>
      <w:r w:rsidR="002646FB">
        <w:t>VYEPTI®</w:t>
      </w:r>
      <w:r w:rsidRPr="009C6AEE">
        <w:t xml:space="preserve">300 mg </w:t>
      </w:r>
      <w:r w:rsidR="009950CC" w:rsidRPr="009C6AEE">
        <w:t xml:space="preserve">were </w:t>
      </w:r>
      <w:r w:rsidRPr="009C6AEE">
        <w:t>administered over an 84-week period</w:t>
      </w:r>
      <w:r w:rsidR="009950CC" w:rsidRPr="009C6AEE">
        <w:t xml:space="preserve"> (one infusion every 12 weeks)</w:t>
      </w:r>
      <w:r w:rsidRPr="009C6AEE">
        <w:t xml:space="preserve">. </w:t>
      </w:r>
      <w:r w:rsidR="00382B02" w:rsidRPr="009C6AEE">
        <w:t>Overall,</w:t>
      </w:r>
      <w:r w:rsidRPr="009C6AEE">
        <w:t xml:space="preserve"> 119 patients completed the primary treatment phase (4 infusions</w:t>
      </w:r>
      <w:r w:rsidR="009950CC" w:rsidRPr="009C6AEE">
        <w:t xml:space="preserve">, from baseline up to 48 weeks) </w:t>
      </w:r>
      <w:r w:rsidRPr="009C6AEE">
        <w:t>and 101 patients completed the secondary treatment phase (8 infusions</w:t>
      </w:r>
      <w:r w:rsidR="009950CC" w:rsidRPr="009C6AEE">
        <w:t>, from baseline up to 96 weeks).</w:t>
      </w:r>
      <w:r w:rsidRPr="009C6AEE">
        <w:t xml:space="preserve"> Anti-drug antibodies (ADA) developed in 18% </w:t>
      </w:r>
      <w:r w:rsidR="009950CC" w:rsidRPr="009C6AEE">
        <w:t xml:space="preserve">(23/128) </w:t>
      </w:r>
      <w:r w:rsidRPr="009C6AEE">
        <w:t xml:space="preserve">of patients with an overall incidence of antibodies with neutralizing potential of 7% (9/128). </w:t>
      </w:r>
      <w:r w:rsidR="009950CC" w:rsidRPr="009C6AEE">
        <w:rPr>
          <w:lang w:val="en-US"/>
        </w:rPr>
        <w:t>5.3% patients were ADA positive at week 48, 4% were ADA positive at week 72, and all patients, except one patient lost to follow-up, were ADA negative at week 104 (the last assessment in the study).</w:t>
      </w:r>
    </w:p>
    <w:p w14:paraId="79795AA7" w14:textId="427F1764" w:rsidR="006562CB" w:rsidRPr="007C552E" w:rsidRDefault="006562CB" w:rsidP="00E55D18">
      <w:r w:rsidRPr="006562CB">
        <w:t xml:space="preserve">There was no evidence of </w:t>
      </w:r>
      <w:r w:rsidR="00EF13CF">
        <w:t>an effect</w:t>
      </w:r>
      <w:r w:rsidR="00EF13CF" w:rsidRPr="006562CB">
        <w:t xml:space="preserve"> </w:t>
      </w:r>
      <w:r w:rsidRPr="006562CB">
        <w:t>of anti-eptinezumab antibody development on efficacy or safety in any of the clinical studies.</w:t>
      </w:r>
    </w:p>
    <w:p w14:paraId="152A5EC3" w14:textId="77777777" w:rsidR="0021200F" w:rsidRPr="002B424E" w:rsidRDefault="0021200F" w:rsidP="0021200F">
      <w:pPr>
        <w:pStyle w:val="Heading3"/>
      </w:pPr>
      <w:r>
        <w:t>Reporting suspected adverse effects</w:t>
      </w:r>
    </w:p>
    <w:p w14:paraId="15820F79" w14:textId="77777777" w:rsidR="005B2812" w:rsidRPr="0003519C" w:rsidRDefault="005B2812" w:rsidP="005B2812">
      <w:pPr>
        <w:rPr>
          <w:rFonts w:cstheme="minorHAnsi"/>
        </w:rPr>
      </w:pPr>
      <w:r w:rsidRPr="0003519C">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03519C">
          <w:rPr>
            <w:rStyle w:val="Hyperlink"/>
            <w:rFonts w:cstheme="minorHAnsi"/>
            <w:lang w:val="en"/>
          </w:rPr>
          <w:t>www.tga.gov.au/reporting-problems</w:t>
        </w:r>
      </w:hyperlink>
      <w:r w:rsidRPr="0003519C">
        <w:rPr>
          <w:rFonts w:cstheme="minorHAnsi"/>
          <w:lang w:val="en"/>
        </w:rPr>
        <w:t>.</w:t>
      </w:r>
    </w:p>
    <w:p w14:paraId="39984403" w14:textId="77777777" w:rsidR="001A3992" w:rsidRDefault="001A3992" w:rsidP="001A3992">
      <w:pPr>
        <w:pStyle w:val="Heading2"/>
        <w:keepNext/>
        <w:keepLines/>
        <w:spacing w:before="0" w:after="120"/>
      </w:pPr>
      <w:r>
        <w:t>Overdose</w:t>
      </w:r>
    </w:p>
    <w:p w14:paraId="4B1FF80C" w14:textId="09567689" w:rsidR="00DC58D2" w:rsidRPr="0003519C" w:rsidRDefault="00DC58D2" w:rsidP="00DC58D2">
      <w:pPr>
        <w:rPr>
          <w:rFonts w:cstheme="minorHAnsi"/>
          <w:lang w:val="en"/>
        </w:rPr>
      </w:pPr>
      <w:r w:rsidRPr="0003519C">
        <w:rPr>
          <w:rFonts w:cstheme="minorHAnsi"/>
          <w:lang w:val="en"/>
        </w:rPr>
        <w:t xml:space="preserve">There has been no experience of overdose with </w:t>
      </w:r>
      <w:r w:rsidRPr="0003519C">
        <w:rPr>
          <w:rFonts w:cstheme="minorHAnsi"/>
        </w:rPr>
        <w:t>VYEPTI</w:t>
      </w:r>
      <w:r w:rsidR="008C61D5">
        <w:t>®</w:t>
      </w:r>
      <w:r w:rsidRPr="0003519C">
        <w:rPr>
          <w:rFonts w:cstheme="minorHAnsi"/>
          <w:lang w:val="en"/>
        </w:rPr>
        <w:t>. Doses up to 1000 mg have been administered intravenously to humans without tolerability issues or clinically significant adverse reactions.</w:t>
      </w:r>
    </w:p>
    <w:p w14:paraId="3D4A5906" w14:textId="77777777" w:rsidR="00DC58D2" w:rsidRPr="0003519C" w:rsidRDefault="00DC58D2" w:rsidP="00DC58D2">
      <w:pPr>
        <w:rPr>
          <w:rFonts w:cstheme="minorHAnsi"/>
          <w:lang w:val="en"/>
        </w:rPr>
      </w:pPr>
      <w:r w:rsidRPr="0003519C">
        <w:rPr>
          <w:rFonts w:cstheme="minorHAnsi"/>
          <w:lang w:val="en"/>
        </w:rPr>
        <w:t>In the event of an overdose, the patient should be treated symptomatically and supportive measures instituted as required.</w:t>
      </w:r>
    </w:p>
    <w:p w14:paraId="217603A1" w14:textId="0A755D90" w:rsidR="005B2812" w:rsidRPr="0003519C" w:rsidRDefault="005B2812" w:rsidP="00A736FB">
      <w:pPr>
        <w:rPr>
          <w:rFonts w:cstheme="minorHAnsi"/>
          <w:bCs/>
        </w:rPr>
      </w:pPr>
      <w:r w:rsidRPr="0003519C">
        <w:rPr>
          <w:rFonts w:cstheme="minorHAnsi"/>
          <w:bCs/>
          <w:lang w:val="en"/>
        </w:rPr>
        <w:t>For information on the management of overdose, contact the Poisons Information Centre on 13 11 26 (Australia).</w:t>
      </w:r>
    </w:p>
    <w:p w14:paraId="4775F77A" w14:textId="77777777" w:rsidR="001A3992" w:rsidRDefault="001A3992" w:rsidP="001A3992">
      <w:pPr>
        <w:pStyle w:val="Heading1"/>
        <w:spacing w:before="0" w:after="120"/>
        <w:rPr>
          <w:lang w:val="en-US"/>
        </w:rPr>
      </w:pPr>
      <w:r w:rsidRPr="00035C95">
        <w:rPr>
          <w:lang w:val="en-US"/>
        </w:rPr>
        <w:t>Pharmacolog</w:t>
      </w:r>
      <w:r>
        <w:rPr>
          <w:lang w:val="en-US"/>
        </w:rPr>
        <w:t>ical properties</w:t>
      </w:r>
    </w:p>
    <w:p w14:paraId="13A3E1CF" w14:textId="12799AE1" w:rsidR="001A3992" w:rsidRDefault="001A3992" w:rsidP="001A3992">
      <w:pPr>
        <w:pStyle w:val="Heading2"/>
        <w:spacing w:before="0" w:after="120"/>
        <w:rPr>
          <w:lang w:val="en-US"/>
        </w:rPr>
      </w:pPr>
      <w:r w:rsidRPr="00EC3C40">
        <w:rPr>
          <w:lang w:val="en-US"/>
        </w:rPr>
        <w:t>Pharmacodynamic properties</w:t>
      </w:r>
    </w:p>
    <w:p w14:paraId="7C53F106" w14:textId="5FC88876" w:rsidR="00DE5CE5" w:rsidRPr="00DE5CE5" w:rsidRDefault="00DE5CE5" w:rsidP="00DE5CE5">
      <w:pPr>
        <w:rPr>
          <w:lang w:val="en-US"/>
        </w:rPr>
      </w:pPr>
      <w:r w:rsidRPr="00593C40">
        <w:rPr>
          <w:lang w:val="en-US"/>
        </w:rPr>
        <w:t xml:space="preserve">Pharmacodynamic activity characterized by inhibition of α-CGRP-mediated neurogenic vasodilation induced by topical capsaicin relative to baseline was evaluated following single or multiple administrations of eptinezumab in human volunteers. Mean neurogenic induced vasodilation was reduced by 41% following intravenous 100 mg eptinezumab administration compared to an increase of 12% for placebo on the day </w:t>
      </w:r>
      <w:r w:rsidRPr="00593C40">
        <w:rPr>
          <w:lang w:val="en-US"/>
        </w:rPr>
        <w:lastRenderedPageBreak/>
        <w:t>following treatment. For up to 12 weeks, the reduction persisted ranging from 20% to 50% for 100 mg eptinezumab while placebo ranged from a 20% increase to 0.20% reduction during the same period.</w:t>
      </w:r>
    </w:p>
    <w:p w14:paraId="111A778D" w14:textId="227699F3" w:rsidR="001A3992" w:rsidRDefault="001A3992" w:rsidP="001A3992">
      <w:pPr>
        <w:pStyle w:val="Heading3"/>
        <w:spacing w:before="0" w:after="120"/>
      </w:pPr>
      <w:bookmarkStart w:id="7" w:name="_Hlk36585119"/>
      <w:r w:rsidRPr="00B878CC">
        <w:t>Mechanism of action</w:t>
      </w:r>
    </w:p>
    <w:p w14:paraId="0D42BA4B" w14:textId="116B1952" w:rsidR="00056450" w:rsidRPr="00CA57C3" w:rsidRDefault="00056450" w:rsidP="00056450">
      <w:r w:rsidRPr="00056450">
        <w:t xml:space="preserve">Eptinezumab is a </w:t>
      </w:r>
      <w:r w:rsidR="00B25631" w:rsidRPr="00B25631">
        <w:t>humanised</w:t>
      </w:r>
      <w:r w:rsidRPr="00056450">
        <w:t xml:space="preserve"> immunoglobulin G1 (IgG1) </w:t>
      </w:r>
      <w:r w:rsidRPr="00CA57C3">
        <w:t xml:space="preserve">antibody that binds to α- and β- forms of human calcitonin gene-related peptide (CGRP) ligand with low picomolar affinity </w:t>
      </w:r>
      <w:r w:rsidR="009C1157">
        <w:t xml:space="preserve">preventing its </w:t>
      </w:r>
      <w:r w:rsidRPr="00CA57C3">
        <w:t>activation of the CGRP receptors</w:t>
      </w:r>
      <w:r w:rsidR="00B37AC8" w:rsidRPr="00B37AC8">
        <w:t>. Elevated blood concentrations of CGRP have been associated with migraine.</w:t>
      </w:r>
      <w:r w:rsidRPr="00CA57C3">
        <w:t xml:space="preserve"> </w:t>
      </w:r>
    </w:p>
    <w:p w14:paraId="53F18DBC" w14:textId="77777777" w:rsidR="00056450" w:rsidRPr="00CA57C3" w:rsidRDefault="00056450" w:rsidP="00056450">
      <w:r w:rsidRPr="00CA57C3">
        <w:t>Eptinezumab is highly selective and does not bind to any of the related neuropeptides amylin, calcitonin, adrenomedullin and intermedin.</w:t>
      </w:r>
    </w:p>
    <w:p w14:paraId="3F691C49" w14:textId="589EC3BB" w:rsidR="001A3992" w:rsidRDefault="001A3992" w:rsidP="001A3992">
      <w:pPr>
        <w:pStyle w:val="Heading3"/>
        <w:spacing w:before="0" w:after="120"/>
        <w:rPr>
          <w:lang w:val="en-US"/>
        </w:rPr>
      </w:pPr>
      <w:r w:rsidRPr="00B878CC">
        <w:t>Clinical</w:t>
      </w:r>
      <w:r w:rsidRPr="00B878CC">
        <w:rPr>
          <w:lang w:val="en-US"/>
        </w:rPr>
        <w:t xml:space="preserve"> trials</w:t>
      </w:r>
    </w:p>
    <w:p w14:paraId="473AC70E" w14:textId="6F378478" w:rsidR="00B61CD7" w:rsidRPr="00B61CD7" w:rsidRDefault="002646FB" w:rsidP="00B61CD7">
      <w:pPr>
        <w:rPr>
          <w:lang w:val="en-US"/>
        </w:rPr>
      </w:pPr>
      <w:r>
        <w:rPr>
          <w:lang w:val="en-US"/>
        </w:rPr>
        <w:t>VYEPTI®</w:t>
      </w:r>
      <w:r w:rsidR="00F415D3">
        <w:rPr>
          <w:lang w:val="en-US"/>
        </w:rPr>
        <w:t xml:space="preserve"> </w:t>
      </w:r>
      <w:r w:rsidR="00B61CD7" w:rsidRPr="00B61CD7">
        <w:rPr>
          <w:lang w:val="en-US"/>
        </w:rPr>
        <w:t xml:space="preserve">was evaluated for the </w:t>
      </w:r>
      <w:r w:rsidR="008872EC">
        <w:rPr>
          <w:lang w:val="en-US"/>
        </w:rPr>
        <w:t>preven</w:t>
      </w:r>
      <w:r w:rsidR="007223C6" w:rsidRPr="008548E0">
        <w:rPr>
          <w:lang w:val="en-US"/>
        </w:rPr>
        <w:t xml:space="preserve">tive treatment </w:t>
      </w:r>
      <w:r w:rsidR="00B61CD7" w:rsidRPr="008548E0">
        <w:rPr>
          <w:lang w:val="en-US"/>
        </w:rPr>
        <w:t xml:space="preserve">of migraine in two pivotal </w:t>
      </w:r>
      <w:r w:rsidR="00D72AC0">
        <w:rPr>
          <w:lang w:val="en-US"/>
        </w:rPr>
        <w:t>placebo-</w:t>
      </w:r>
      <w:r w:rsidR="007223C6" w:rsidRPr="008548E0">
        <w:rPr>
          <w:lang w:val="en-US"/>
        </w:rPr>
        <w:t xml:space="preserve">controlled </w:t>
      </w:r>
      <w:r w:rsidR="00B61CD7" w:rsidRPr="008548E0">
        <w:rPr>
          <w:lang w:val="en-US"/>
        </w:rPr>
        <w:t xml:space="preserve">studies: </w:t>
      </w:r>
      <w:r w:rsidR="00F501A5">
        <w:rPr>
          <w:lang w:val="en-US"/>
        </w:rPr>
        <w:t>PROMISE 1</w:t>
      </w:r>
      <w:r w:rsidR="00B61CD7" w:rsidRPr="008548E0">
        <w:rPr>
          <w:lang w:val="en-US"/>
        </w:rPr>
        <w:t xml:space="preserve"> was conducted in patients with episodic migraine (n=888) and </w:t>
      </w:r>
      <w:r w:rsidR="00F501A5">
        <w:rPr>
          <w:lang w:val="en-US"/>
        </w:rPr>
        <w:t>PROMISE 2</w:t>
      </w:r>
      <w:r w:rsidR="00B61CD7" w:rsidRPr="008548E0">
        <w:rPr>
          <w:lang w:val="en-US"/>
        </w:rPr>
        <w:t xml:space="preserve"> in patients with chronic migraine (n=1072). In </w:t>
      </w:r>
      <w:r w:rsidR="00F501A5">
        <w:rPr>
          <w:lang w:val="en-US"/>
        </w:rPr>
        <w:t>PROMISE 1</w:t>
      </w:r>
      <w:r w:rsidR="00B61CD7" w:rsidRPr="008548E0">
        <w:rPr>
          <w:lang w:val="en-US"/>
        </w:rPr>
        <w:t xml:space="preserve"> episodic migraine was defined as ≥4 and ≤14 headache days of which at least 4 had to be migraine days in each 28-day period in the 3 months prior to screening. In </w:t>
      </w:r>
      <w:r w:rsidR="00F501A5">
        <w:rPr>
          <w:lang w:val="en-US"/>
        </w:rPr>
        <w:t>PROMISE 2</w:t>
      </w:r>
      <w:r w:rsidR="00B61CD7" w:rsidRPr="008548E0">
        <w:rPr>
          <w:lang w:val="en-US"/>
        </w:rPr>
        <w:t xml:space="preserve"> chronic migraine was defined as ≥ 15 to ≤ 26 headache days, of which ≥ 8 were assessed as migraine days. </w:t>
      </w:r>
      <w:r>
        <w:rPr>
          <w:lang w:val="en-US"/>
        </w:rPr>
        <w:t>VYEPTI®</w:t>
      </w:r>
      <w:r w:rsidR="00F415D3">
        <w:rPr>
          <w:lang w:val="en-US"/>
        </w:rPr>
        <w:t xml:space="preserve"> </w:t>
      </w:r>
      <w:r w:rsidR="00B61CD7" w:rsidRPr="008548E0">
        <w:rPr>
          <w:lang w:val="en-US"/>
        </w:rPr>
        <w:t xml:space="preserve">was administered by intravenous infusion every 12 weeks in both studies. Enrolled patients had a history of migraine (with or without aura) of at least 12 months, according to the International Classification of Headache Disorders (ICHD-II or III) diagnostic criteria. </w:t>
      </w:r>
      <w:r w:rsidR="007223C6" w:rsidRPr="008548E0">
        <w:rPr>
          <w:lang w:val="en-US"/>
        </w:rPr>
        <w:t xml:space="preserve">Patients over </w:t>
      </w:r>
      <w:r w:rsidR="00B61CD7" w:rsidRPr="008548E0">
        <w:rPr>
          <w:lang w:val="en-US"/>
        </w:rPr>
        <w:t>75</w:t>
      </w:r>
      <w:r w:rsidR="007223C6" w:rsidRPr="008548E0">
        <w:rPr>
          <w:lang w:val="en-US"/>
        </w:rPr>
        <w:t xml:space="preserve"> </w:t>
      </w:r>
      <w:r w:rsidR="00B61CD7" w:rsidRPr="008548E0">
        <w:rPr>
          <w:lang w:val="en-US"/>
        </w:rPr>
        <w:t>years and patients with a history of cardiovascular disease</w:t>
      </w:r>
      <w:r w:rsidR="004C6D37" w:rsidRPr="004C6D37">
        <w:rPr>
          <w:lang w:val="en-US"/>
        </w:rPr>
        <w:t xml:space="preserve"> (hypertension, ischaemic heart disease)</w:t>
      </w:r>
      <w:r w:rsidR="00B61CD7" w:rsidRPr="008548E0">
        <w:rPr>
          <w:lang w:val="en-US"/>
        </w:rPr>
        <w:t>, neurological disease, cerebrovascular disease, and diabetes were excluded.</w:t>
      </w:r>
    </w:p>
    <w:bookmarkEnd w:id="7"/>
    <w:p w14:paraId="65174AD8" w14:textId="22E658A6" w:rsidR="00D93D85" w:rsidRPr="00D93D85" w:rsidRDefault="00F501A5" w:rsidP="00D93D85">
      <w:pPr>
        <w:spacing w:before="120" w:after="120" w:line="280" w:lineRule="atLeast"/>
        <w:rPr>
          <w:rFonts w:eastAsia="SimSun"/>
          <w:b/>
          <w:iCs/>
          <w:u w:val="single"/>
          <w:lang w:val="en-US" w:eastAsia="en-GB"/>
        </w:rPr>
      </w:pPr>
      <w:r>
        <w:rPr>
          <w:rFonts w:eastAsia="SimSun"/>
          <w:b/>
          <w:iCs/>
          <w:u w:val="single"/>
          <w:lang w:val="en-US" w:eastAsia="en-GB"/>
        </w:rPr>
        <w:t>PROMISE 1</w:t>
      </w:r>
      <w:r w:rsidR="00D93D85" w:rsidRPr="00D93D85">
        <w:rPr>
          <w:rFonts w:eastAsia="SimSun"/>
          <w:b/>
          <w:iCs/>
          <w:u w:val="single"/>
          <w:lang w:val="en-US" w:eastAsia="en-GB"/>
        </w:rPr>
        <w:t>: Episodic Migraine</w:t>
      </w:r>
    </w:p>
    <w:p w14:paraId="79F7416C" w14:textId="3FE1F3D8" w:rsidR="00D415E7" w:rsidRPr="00D415E7" w:rsidRDefault="00F501A5" w:rsidP="00D415E7">
      <w:pPr>
        <w:rPr>
          <w:rFonts w:eastAsia="SimSun"/>
          <w:lang w:val="en-US" w:eastAsia="en-GB"/>
        </w:rPr>
      </w:pPr>
      <w:bookmarkStart w:id="8" w:name="_Hlk36581300"/>
      <w:r>
        <w:rPr>
          <w:rFonts w:eastAsia="SimSun"/>
          <w:lang w:val="en-US" w:eastAsia="en-GB"/>
        </w:rPr>
        <w:t>PROMISE 1</w:t>
      </w:r>
      <w:r w:rsidR="003B74C1">
        <w:rPr>
          <w:rFonts w:eastAsia="SimSun"/>
          <w:lang w:val="en-US" w:eastAsia="en-GB"/>
        </w:rPr>
        <w:t xml:space="preserve"> </w:t>
      </w:r>
      <w:r w:rsidR="00D415E7" w:rsidRPr="00D415E7">
        <w:rPr>
          <w:rFonts w:eastAsia="SimSun"/>
          <w:lang w:val="en-US" w:eastAsia="en-GB"/>
        </w:rPr>
        <w:t xml:space="preserve">was a parallel group, double-blind, placebo-controlled global </w:t>
      </w:r>
      <w:r w:rsidR="003B74C1">
        <w:rPr>
          <w:rFonts w:eastAsia="SimSun"/>
          <w:lang w:val="en-US" w:eastAsia="en-GB"/>
        </w:rPr>
        <w:t>study</w:t>
      </w:r>
      <w:r w:rsidR="003B74C1" w:rsidRPr="00D415E7">
        <w:rPr>
          <w:rFonts w:eastAsia="SimSun"/>
          <w:lang w:val="en-US" w:eastAsia="en-GB"/>
        </w:rPr>
        <w:t xml:space="preserve"> </w:t>
      </w:r>
      <w:r w:rsidR="00D415E7" w:rsidRPr="00D415E7">
        <w:rPr>
          <w:rFonts w:eastAsia="SimSun"/>
          <w:lang w:val="en-US" w:eastAsia="en-GB"/>
        </w:rPr>
        <w:t xml:space="preserve">to evaluate the efficacy and safety of </w:t>
      </w:r>
      <w:r w:rsidR="002646FB">
        <w:rPr>
          <w:rFonts w:eastAsia="SimSun"/>
          <w:lang w:val="en-US" w:eastAsia="en-GB"/>
        </w:rPr>
        <w:t>VYEPTI®</w:t>
      </w:r>
      <w:r w:rsidR="00F415D3">
        <w:rPr>
          <w:rFonts w:eastAsia="SimSun"/>
          <w:lang w:val="en-US" w:eastAsia="en-GB"/>
        </w:rPr>
        <w:t xml:space="preserve"> </w:t>
      </w:r>
      <w:r w:rsidR="00D415E7" w:rsidRPr="00D415E7">
        <w:rPr>
          <w:rFonts w:eastAsia="SimSun"/>
          <w:lang w:val="en-US" w:eastAsia="en-GB"/>
        </w:rPr>
        <w:t xml:space="preserve">for the preventive treatment of episodic migraine in adults. A total of </w:t>
      </w:r>
      <w:r w:rsidR="003B74C1">
        <w:rPr>
          <w:rFonts w:eastAsia="SimSun"/>
          <w:lang w:val="en-US" w:eastAsia="en-GB"/>
        </w:rPr>
        <w:t>665</w:t>
      </w:r>
      <w:r w:rsidR="003B74C1" w:rsidRPr="00D415E7">
        <w:rPr>
          <w:rFonts w:eastAsia="SimSun"/>
          <w:lang w:val="en-US" w:eastAsia="en-GB"/>
        </w:rPr>
        <w:t xml:space="preserve"> </w:t>
      </w:r>
      <w:r w:rsidR="00D415E7" w:rsidRPr="00D415E7">
        <w:rPr>
          <w:rFonts w:eastAsia="SimSun"/>
          <w:lang w:val="en-US" w:eastAsia="en-GB"/>
        </w:rPr>
        <w:t xml:space="preserve">patients were randomized and </w:t>
      </w:r>
      <w:r w:rsidR="00D415E7" w:rsidRPr="00D3144C">
        <w:rPr>
          <w:rFonts w:eastAsia="SimSun"/>
          <w:lang w:val="en-US" w:eastAsia="en-GB"/>
        </w:rPr>
        <w:t xml:space="preserve">received </w:t>
      </w:r>
      <w:r w:rsidR="003B74C1" w:rsidRPr="006C3171">
        <w:rPr>
          <w:rFonts w:eastAsia="SimSun"/>
          <w:lang w:val="en-US" w:eastAsia="en-GB"/>
        </w:rPr>
        <w:t>pl</w:t>
      </w:r>
      <w:r w:rsidR="00D415E7" w:rsidRPr="00D3144C">
        <w:rPr>
          <w:rFonts w:eastAsia="SimSun"/>
          <w:lang w:val="en-US" w:eastAsia="en-GB"/>
        </w:rPr>
        <w:t>acebo (N=</w:t>
      </w:r>
      <w:r w:rsidR="00D415E7" w:rsidRPr="00D415E7">
        <w:rPr>
          <w:rFonts w:eastAsia="SimSun"/>
          <w:lang w:val="en-US" w:eastAsia="en-GB"/>
        </w:rPr>
        <w:t xml:space="preserve">222), 100 mg eptinezumab (N=221), or 300 mg eptinezumab (N=222) every 12 weeks for 48 weeks (4 infusions). </w:t>
      </w:r>
      <w:r w:rsidR="00D415E7" w:rsidRPr="002869BF">
        <w:rPr>
          <w:rFonts w:eastAsia="SimSun"/>
          <w:lang w:val="en-US" w:eastAsia="en-GB"/>
        </w:rPr>
        <w:t>Patients were allowed to use concurrent acute migraine or headache medications, including migraine-specific medications (i.e., triptans, ergotamine derivatives),</w:t>
      </w:r>
      <w:r w:rsidR="00D415E7" w:rsidRPr="00D415E7">
        <w:rPr>
          <w:rFonts w:eastAsia="SimSun"/>
          <w:lang w:val="en-US" w:eastAsia="en-GB"/>
        </w:rPr>
        <w:t xml:space="preserve"> during </w:t>
      </w:r>
      <w:r w:rsidR="00D415E7" w:rsidRPr="00D3144C">
        <w:rPr>
          <w:rFonts w:eastAsia="SimSun"/>
          <w:lang w:val="en-US" w:eastAsia="en-GB"/>
        </w:rPr>
        <w:t xml:space="preserve">the </w:t>
      </w:r>
      <w:r w:rsidR="003B74C1" w:rsidRPr="0048762A">
        <w:rPr>
          <w:rFonts w:eastAsia="SimSun"/>
          <w:lang w:val="en-US" w:eastAsia="en-GB"/>
        </w:rPr>
        <w:t>study</w:t>
      </w:r>
      <w:r w:rsidR="00D415E7" w:rsidRPr="00D415E7">
        <w:rPr>
          <w:rFonts w:eastAsia="SimSun"/>
          <w:lang w:val="en-US" w:eastAsia="en-GB"/>
        </w:rPr>
        <w:t xml:space="preserve">. </w:t>
      </w:r>
      <w:r w:rsidR="00D415E7" w:rsidRPr="00D415E7">
        <w:rPr>
          <w:rFonts w:eastAsia="SimSun"/>
          <w:lang w:eastAsia="en-GB"/>
        </w:rPr>
        <w:t>Regular use (greater than 7 days per month) of other treatments for the prevention of migraine was not allowed.</w:t>
      </w:r>
    </w:p>
    <w:p w14:paraId="1D95B4FD" w14:textId="1E771E2D" w:rsidR="00D415E7" w:rsidRPr="00D415E7" w:rsidRDefault="00D415E7" w:rsidP="00D415E7">
      <w:pPr>
        <w:rPr>
          <w:rFonts w:eastAsia="SimSun"/>
          <w:lang w:eastAsia="en-GB"/>
        </w:rPr>
      </w:pPr>
      <w:r w:rsidRPr="00D415E7">
        <w:rPr>
          <w:rFonts w:eastAsia="SimSun"/>
          <w:lang w:val="en-US" w:eastAsia="en-GB"/>
        </w:rPr>
        <w:t xml:space="preserve">The primary efficacy endpoint was the change from baseline in mean monthly migraine days (MMD) over Weeks 1-12. </w:t>
      </w:r>
      <w:r w:rsidRPr="00D415E7">
        <w:rPr>
          <w:rFonts w:eastAsia="SimSun"/>
          <w:lang w:eastAsia="en-GB"/>
        </w:rPr>
        <w:t xml:space="preserve">The key secondary endpoints included ≥ 50% and ≥ 75% migraine responder rates defined as the proportion of patients achieving </w:t>
      </w:r>
      <w:r w:rsidR="003B74C1">
        <w:rPr>
          <w:rFonts w:eastAsia="SimSun"/>
          <w:lang w:eastAsia="en-GB"/>
        </w:rPr>
        <w:t>at least the specified</w:t>
      </w:r>
      <w:r w:rsidRPr="00D415E7">
        <w:rPr>
          <w:rFonts w:eastAsia="SimSun"/>
          <w:lang w:eastAsia="en-GB"/>
        </w:rPr>
        <w:t xml:space="preserve"> percent reduction in migraine days over Weeks 1-12, ≥ 75% migraine responder rate over Weeks 1-4, and the percentage of subjects with a migraine </w:t>
      </w:r>
      <w:r w:rsidR="003B74C1" w:rsidRPr="003B74C1">
        <w:rPr>
          <w:rFonts w:eastAsia="SimSun"/>
          <w:lang w:val="en-US" w:eastAsia="en-GB"/>
        </w:rPr>
        <w:t>on the day after the first dosing (Day 1).</w:t>
      </w:r>
    </w:p>
    <w:p w14:paraId="28C82BA5" w14:textId="11A15125" w:rsidR="003B74C1" w:rsidRPr="007D3686" w:rsidRDefault="003B74C1" w:rsidP="00D415E7">
      <w:pPr>
        <w:rPr>
          <w:rFonts w:eastAsia="SimSun"/>
          <w:lang w:val="en-US" w:eastAsia="en-GB"/>
        </w:rPr>
      </w:pPr>
      <w:r w:rsidRPr="007D3686">
        <w:rPr>
          <w:rFonts w:eastAsia="SimSun"/>
          <w:lang w:val="en-US" w:eastAsia="en-GB"/>
        </w:rPr>
        <w:t>Patients had a mean age of 40 years (range: 18 to 71 years), 84% were female, and 84% were white. The mean number of migraine days per month at baseline was 8.6 and the rate of patients with a migraine on a given day was 30.7% during the screening period; both were similar across treatment groups.</w:t>
      </w:r>
    </w:p>
    <w:bookmarkEnd w:id="8"/>
    <w:p w14:paraId="771F7D51" w14:textId="05DEDBCA" w:rsidR="003B74C1" w:rsidRPr="007D3686" w:rsidRDefault="003B74C1" w:rsidP="003B74C1">
      <w:pPr>
        <w:rPr>
          <w:b/>
          <w:bCs/>
          <w:lang w:val="en-US"/>
        </w:rPr>
      </w:pPr>
      <w:r w:rsidRPr="007D3686">
        <w:rPr>
          <w:lang w:val="en-US"/>
        </w:rPr>
        <w:t xml:space="preserve">The 4-week results over Weeks 1-48, following four quarterly infusions of </w:t>
      </w:r>
      <w:r w:rsidR="002646FB">
        <w:rPr>
          <w:lang w:val="en-US"/>
        </w:rPr>
        <w:t>VYEPTI®</w:t>
      </w:r>
      <w:r w:rsidR="00F415D3">
        <w:rPr>
          <w:lang w:val="en-US"/>
        </w:rPr>
        <w:t xml:space="preserve"> </w:t>
      </w:r>
      <w:r w:rsidRPr="007D3686">
        <w:rPr>
          <w:lang w:val="en-US"/>
        </w:rPr>
        <w:t xml:space="preserve">treatment are presented as </w:t>
      </w:r>
      <w:r w:rsidR="00AE7BAB">
        <w:rPr>
          <w:lang w:val="en-US"/>
        </w:rPr>
        <w:t>change</w:t>
      </w:r>
      <w:r w:rsidR="00FE2F4D">
        <w:rPr>
          <w:lang w:val="en-US"/>
        </w:rPr>
        <w:t>s</w:t>
      </w:r>
      <w:r w:rsidRPr="007D3686">
        <w:rPr>
          <w:lang w:val="en-US"/>
        </w:rPr>
        <w:t xml:space="preserve"> from baseline in mean MMD (</w:t>
      </w:r>
      <w:hyperlink w:anchor="Fig1" w:history="1">
        <w:r w:rsidRPr="00865587">
          <w:rPr>
            <w:rStyle w:val="Hyperlink"/>
            <w:lang w:val="en-US"/>
          </w:rPr>
          <w:t>Figure 1</w:t>
        </w:r>
      </w:hyperlink>
      <w:r w:rsidRPr="007D3686">
        <w:rPr>
          <w:lang w:val="en-US"/>
        </w:rPr>
        <w:t xml:space="preserve">). Both </w:t>
      </w:r>
      <w:r w:rsidR="002646FB">
        <w:rPr>
          <w:lang w:val="en-US"/>
        </w:rPr>
        <w:t>VYEPTI®</w:t>
      </w:r>
      <w:r w:rsidRPr="007D3686">
        <w:rPr>
          <w:lang w:val="en-US"/>
        </w:rPr>
        <w:t xml:space="preserve">100 mg and 300 mg treatment groups </w:t>
      </w:r>
      <w:r w:rsidRPr="007D3686">
        <w:rPr>
          <w:lang w:val="en-US"/>
        </w:rPr>
        <w:lastRenderedPageBreak/>
        <w:t>demonstrated statistically significant and clinically meaningful greater improvements from baseline to week 1-12 compared to placebo on mean MMD. For both doses of VYEPTI</w:t>
      </w:r>
      <w:r w:rsidR="008C61D5">
        <w:t>®</w:t>
      </w:r>
      <w:r w:rsidRPr="007D3686">
        <w:rPr>
          <w:lang w:val="en-US"/>
        </w:rPr>
        <w:t xml:space="preserve">, </w:t>
      </w:r>
      <w:r w:rsidR="00D32443">
        <w:rPr>
          <w:lang w:val="en-US"/>
        </w:rPr>
        <w:t xml:space="preserve">a </w:t>
      </w:r>
      <w:r w:rsidRPr="007D3686">
        <w:rPr>
          <w:lang w:val="en-US"/>
        </w:rPr>
        <w:t xml:space="preserve">greater mean decrease in MMDs compared to placebo </w:t>
      </w:r>
      <w:r w:rsidR="00402852">
        <w:rPr>
          <w:lang w:val="en-US"/>
        </w:rPr>
        <w:t>was</w:t>
      </w:r>
      <w:r w:rsidRPr="007D3686">
        <w:rPr>
          <w:lang w:val="en-US"/>
        </w:rPr>
        <w:t xml:space="preserve"> sustained for all timepoints through to Week 48. </w:t>
      </w:r>
    </w:p>
    <w:p w14:paraId="20605D81" w14:textId="77777777" w:rsidR="000C1BDB" w:rsidRPr="00455726" w:rsidRDefault="00A55202" w:rsidP="000C1BDB">
      <w:pPr>
        <w:jc w:val="center"/>
        <w:rPr>
          <w:b/>
          <w:sz w:val="20"/>
          <w:szCs w:val="20"/>
          <w:lang w:val="en-US"/>
        </w:rPr>
      </w:pPr>
      <w:r>
        <w:rPr>
          <w:noProof/>
          <w:lang w:eastAsia="en-AU"/>
        </w:rPr>
        <w:drawing>
          <wp:inline distT="0" distB="0" distL="0" distR="0" wp14:anchorId="0C3446B4" wp14:editId="4C892E33">
            <wp:extent cx="4034674" cy="3024505"/>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AYIW_P1_L2.tif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55976" cy="3040473"/>
                    </a:xfrm>
                    <a:prstGeom prst="rect">
                      <a:avLst/>
                    </a:prstGeom>
                  </pic:spPr>
                </pic:pic>
              </a:graphicData>
            </a:graphic>
          </wp:inline>
        </w:drawing>
      </w:r>
      <w:r w:rsidR="000C1BDB">
        <w:rPr>
          <w:lang w:val="en-US"/>
        </w:rPr>
        <w:br/>
      </w:r>
      <w:bookmarkStart w:id="9" w:name="Fig1"/>
      <w:r w:rsidR="000C1BDB" w:rsidRPr="00455726">
        <w:rPr>
          <w:b/>
          <w:sz w:val="20"/>
          <w:szCs w:val="20"/>
          <w:lang w:val="en-US"/>
        </w:rPr>
        <w:t>Figure 1</w:t>
      </w:r>
      <w:bookmarkEnd w:id="9"/>
      <w:r w:rsidR="000C1BDB" w:rsidRPr="00455726">
        <w:rPr>
          <w:b/>
          <w:sz w:val="20"/>
          <w:szCs w:val="20"/>
          <w:lang w:val="en-US"/>
        </w:rPr>
        <w:t>: Mean Changes from Baseline in Mean Monthly Migraine Days over Time in PROMISE 1 – Weeks 1-48</w:t>
      </w:r>
    </w:p>
    <w:p w14:paraId="0612E2B8" w14:textId="42CC4B43" w:rsidR="00D93D85" w:rsidRDefault="0048370A" w:rsidP="00D93D85">
      <w:pPr>
        <w:rPr>
          <w:lang w:val="en-US"/>
        </w:rPr>
      </w:pPr>
      <w:r w:rsidRPr="0048370A">
        <w:rPr>
          <w:lang w:val="en-US"/>
        </w:rPr>
        <w:t xml:space="preserve">The daily results over the first week after the initial infusion of </w:t>
      </w:r>
      <w:r w:rsidR="002646FB">
        <w:rPr>
          <w:lang w:val="en-US"/>
        </w:rPr>
        <w:t>VYEPTI®</w:t>
      </w:r>
      <w:r w:rsidR="00F415D3">
        <w:rPr>
          <w:lang w:val="en-US"/>
        </w:rPr>
        <w:t xml:space="preserve"> </w:t>
      </w:r>
      <w:r w:rsidRPr="0048370A">
        <w:rPr>
          <w:lang w:val="en-US"/>
        </w:rPr>
        <w:t>treatment are presented as percentage</w:t>
      </w:r>
      <w:r w:rsidR="00CC2BA6">
        <w:rPr>
          <w:lang w:val="en-US"/>
        </w:rPr>
        <w:t>s</w:t>
      </w:r>
      <w:r w:rsidRPr="0048370A">
        <w:rPr>
          <w:lang w:val="en-US"/>
        </w:rPr>
        <w:t xml:space="preserve"> of subjects with a migraine (</w:t>
      </w:r>
      <w:hyperlink w:anchor="Fig2" w:history="1">
        <w:r w:rsidRPr="00865587">
          <w:rPr>
            <w:rStyle w:val="Hyperlink"/>
            <w:lang w:val="en-US"/>
          </w:rPr>
          <w:t>Figure 2</w:t>
        </w:r>
      </w:hyperlink>
      <w:r w:rsidRPr="0048370A">
        <w:rPr>
          <w:lang w:val="en-US"/>
        </w:rPr>
        <w:t xml:space="preserve">). For both doses of </w:t>
      </w:r>
      <w:r w:rsidR="002646FB">
        <w:rPr>
          <w:lang w:val="en-US"/>
        </w:rPr>
        <w:t>VYEPTI®</w:t>
      </w:r>
      <w:r w:rsidR="00F415D3">
        <w:rPr>
          <w:lang w:val="en-US"/>
        </w:rPr>
        <w:t xml:space="preserve"> </w:t>
      </w:r>
      <w:r w:rsidRPr="0048370A">
        <w:rPr>
          <w:lang w:val="en-US"/>
        </w:rPr>
        <w:t>the preventive treatment benefit over placebo was observed as early as Day 1 post-infusion.</w:t>
      </w:r>
    </w:p>
    <w:p w14:paraId="4F4A9DF0" w14:textId="5445E00F" w:rsidR="00C5172D" w:rsidRDefault="00F06487" w:rsidP="00C5172D">
      <w:pPr>
        <w:jc w:val="center"/>
        <w:rPr>
          <w:b/>
          <w:sz w:val="20"/>
          <w:szCs w:val="20"/>
          <w:lang w:val="en-US"/>
        </w:rPr>
      </w:pPr>
      <w:r>
        <w:rPr>
          <w:noProof/>
          <w:lang w:eastAsia="en-AU"/>
        </w:rPr>
        <w:drawing>
          <wp:inline distT="0" distB="0" distL="0" distR="0" wp14:anchorId="19DC2CE2" wp14:editId="15A54D56">
            <wp:extent cx="4248150" cy="3181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8150" cy="3181350"/>
                    </a:xfrm>
                    <a:prstGeom prst="rect">
                      <a:avLst/>
                    </a:prstGeom>
                    <a:noFill/>
                    <a:ln>
                      <a:noFill/>
                    </a:ln>
                  </pic:spPr>
                </pic:pic>
              </a:graphicData>
            </a:graphic>
          </wp:inline>
        </w:drawing>
      </w:r>
      <w:r w:rsidR="005D4EBF">
        <w:rPr>
          <w:lang w:val="en-US"/>
        </w:rPr>
        <w:br/>
      </w:r>
      <w:bookmarkStart w:id="10" w:name="Fig2"/>
      <w:r w:rsidR="005D4EBF" w:rsidRPr="00455726">
        <w:rPr>
          <w:b/>
          <w:sz w:val="20"/>
          <w:szCs w:val="20"/>
          <w:lang w:val="en-US"/>
        </w:rPr>
        <w:t>Figure 2</w:t>
      </w:r>
      <w:bookmarkEnd w:id="10"/>
      <w:r w:rsidR="005D4EBF" w:rsidRPr="00455726">
        <w:rPr>
          <w:b/>
          <w:sz w:val="20"/>
          <w:szCs w:val="20"/>
          <w:lang w:val="en-US"/>
        </w:rPr>
        <w:t xml:space="preserve">: Percentages of Subjects with a Migraine from Day -1 (Day Prior to Infusion) to Day 7 in </w:t>
      </w:r>
      <w:r w:rsidR="00E95891">
        <w:rPr>
          <w:b/>
          <w:sz w:val="20"/>
          <w:szCs w:val="20"/>
          <w:lang w:val="en-US"/>
        </w:rPr>
        <w:br/>
      </w:r>
      <w:r w:rsidR="005D4EBF" w:rsidRPr="00455726">
        <w:rPr>
          <w:b/>
          <w:sz w:val="20"/>
          <w:szCs w:val="20"/>
          <w:lang w:val="en-US"/>
        </w:rPr>
        <w:t>PROMISE 1 – Days 1-7</w:t>
      </w:r>
    </w:p>
    <w:p w14:paraId="17B17073" w14:textId="77777777" w:rsidR="00C5172D" w:rsidRDefault="00C5172D">
      <w:pPr>
        <w:rPr>
          <w:b/>
          <w:sz w:val="20"/>
          <w:szCs w:val="20"/>
          <w:lang w:val="en-US"/>
        </w:rPr>
      </w:pPr>
      <w:r>
        <w:rPr>
          <w:b/>
          <w:sz w:val="20"/>
          <w:szCs w:val="20"/>
          <w:lang w:val="en-US"/>
        </w:rPr>
        <w:lastRenderedPageBreak/>
        <w:br w:type="page"/>
      </w:r>
    </w:p>
    <w:p w14:paraId="5A0CD495" w14:textId="7C99E7A9" w:rsidR="00D7354B" w:rsidRPr="00593C40" w:rsidRDefault="002646FB" w:rsidP="00D7354B">
      <w:pPr>
        <w:rPr>
          <w:lang w:val="en-US"/>
        </w:rPr>
      </w:pPr>
      <w:r>
        <w:rPr>
          <w:lang w:val="en-US"/>
        </w:rPr>
        <w:lastRenderedPageBreak/>
        <w:t>VYEPTI®</w:t>
      </w:r>
      <w:r w:rsidR="00F415D3">
        <w:rPr>
          <w:lang w:val="en-US"/>
        </w:rPr>
        <w:t xml:space="preserve"> </w:t>
      </w:r>
      <w:r w:rsidR="00D7354B" w:rsidRPr="00D7354B">
        <w:rPr>
          <w:lang w:val="en-US"/>
        </w:rPr>
        <w:t xml:space="preserve">treatment demonstrated statistically significant and clinically meaningful improvements for primary </w:t>
      </w:r>
      <w:r w:rsidR="00D7354B" w:rsidRPr="00593C40">
        <w:rPr>
          <w:lang w:val="en-US"/>
        </w:rPr>
        <w:t>and key secondary efficacy end</w:t>
      </w:r>
      <w:r w:rsidR="009D09B3" w:rsidRPr="00593C40">
        <w:rPr>
          <w:lang w:val="en-US"/>
        </w:rPr>
        <w:t xml:space="preserve">points, as summarized in </w:t>
      </w:r>
      <w:hyperlink w:anchor="Table2" w:history="1">
        <w:r w:rsidR="009D09B3" w:rsidRPr="00EF5EF0">
          <w:rPr>
            <w:rStyle w:val="Hyperlink"/>
            <w:lang w:val="en-US"/>
          </w:rPr>
          <w:t>Table 2</w:t>
        </w:r>
      </w:hyperlink>
      <w:r w:rsidR="00D7354B" w:rsidRPr="00593C40">
        <w:rPr>
          <w:lang w:val="en-US"/>
        </w:rPr>
        <w:t>.</w:t>
      </w:r>
    </w:p>
    <w:p w14:paraId="345EAA58" w14:textId="380A3BF7" w:rsidR="00D93D85" w:rsidRPr="004D158B" w:rsidRDefault="00D7354B" w:rsidP="00D93D85">
      <w:pPr>
        <w:rPr>
          <w:b/>
          <w:sz w:val="20"/>
          <w:szCs w:val="20"/>
          <w:lang w:val="en-US"/>
        </w:rPr>
      </w:pPr>
      <w:bookmarkStart w:id="11" w:name="Table2"/>
      <w:r w:rsidRPr="004D158B">
        <w:rPr>
          <w:b/>
          <w:sz w:val="20"/>
          <w:szCs w:val="20"/>
          <w:lang w:val="en-US"/>
        </w:rPr>
        <w:t xml:space="preserve">Table </w:t>
      </w:r>
      <w:r w:rsidR="009D09B3" w:rsidRPr="004D158B">
        <w:rPr>
          <w:b/>
          <w:sz w:val="20"/>
          <w:szCs w:val="20"/>
          <w:lang w:val="en-US"/>
        </w:rPr>
        <w:t>2</w:t>
      </w:r>
      <w:bookmarkEnd w:id="11"/>
      <w:r w:rsidR="0070302F" w:rsidRPr="004D158B">
        <w:rPr>
          <w:b/>
          <w:sz w:val="20"/>
          <w:szCs w:val="20"/>
          <w:lang w:val="en-US"/>
        </w:rPr>
        <w:t xml:space="preserve">: Primary and Key Secondary Efficacy Endpoint Results in </w:t>
      </w:r>
      <w:r w:rsidR="00F501A5" w:rsidRPr="004D158B">
        <w:rPr>
          <w:b/>
          <w:sz w:val="20"/>
          <w:szCs w:val="20"/>
          <w:lang w:val="en-US"/>
        </w:rPr>
        <w:t>PROMISE 1</w:t>
      </w:r>
      <w:r w:rsidR="0070302F" w:rsidRPr="004D158B">
        <w:rPr>
          <w:b/>
          <w:sz w:val="20"/>
          <w:szCs w:val="20"/>
          <w:lang w:val="en-US"/>
        </w:rPr>
        <w:t xml:space="preserve"> (Episodic Migraine)</w:t>
      </w:r>
    </w:p>
    <w:tbl>
      <w:tblPr>
        <w:tblStyle w:val="TableGrid"/>
        <w:tblW w:w="8784" w:type="dxa"/>
        <w:tblInd w:w="-3" w:type="dxa"/>
        <w:tblLook w:val="04A0" w:firstRow="1" w:lastRow="0" w:firstColumn="1" w:lastColumn="0" w:noHBand="0" w:noVBand="1"/>
      </w:tblPr>
      <w:tblGrid>
        <w:gridCol w:w="3397"/>
        <w:gridCol w:w="1843"/>
        <w:gridCol w:w="1843"/>
        <w:gridCol w:w="1701"/>
      </w:tblGrid>
      <w:tr w:rsidR="006F0633" w:rsidRPr="00D91645" w14:paraId="7F90C6F4" w14:textId="77777777" w:rsidTr="006F0633">
        <w:trPr>
          <w:tblHeader/>
        </w:trPr>
        <w:tc>
          <w:tcPr>
            <w:tcW w:w="3397" w:type="dxa"/>
            <w:tcBorders>
              <w:top w:val="single" w:sz="6" w:space="0" w:color="000000"/>
              <w:left w:val="single" w:sz="6" w:space="0" w:color="000000"/>
              <w:bottom w:val="single" w:sz="6" w:space="0" w:color="000000"/>
              <w:right w:val="single" w:sz="6" w:space="0" w:color="000000"/>
            </w:tcBorders>
          </w:tcPr>
          <w:p w14:paraId="50D85D78" w14:textId="77777777" w:rsidR="006F0633" w:rsidRPr="00D91645" w:rsidRDefault="006F0633" w:rsidP="006F0633">
            <w:pPr>
              <w:rPr>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18D4B973" w14:textId="19ABEEE5" w:rsidR="006F0633" w:rsidRPr="008C61D5" w:rsidRDefault="006F0633" w:rsidP="006F0633">
            <w:pPr>
              <w:keepNext/>
              <w:keepLines/>
              <w:widowControl w:val="0"/>
              <w:spacing w:before="80" w:after="40" w:line="250" w:lineRule="exact"/>
              <w:jc w:val="center"/>
              <w:rPr>
                <w:b/>
                <w:bCs/>
                <w:spacing w:val="-1"/>
                <w:sz w:val="20"/>
                <w:szCs w:val="20"/>
              </w:rPr>
            </w:pPr>
            <w:r w:rsidRPr="00D91645">
              <w:rPr>
                <w:b/>
                <w:bCs/>
                <w:spacing w:val="-1"/>
                <w:sz w:val="20"/>
                <w:szCs w:val="20"/>
              </w:rPr>
              <w:t>VYEPTI</w:t>
            </w:r>
            <w:r w:rsidR="008C61D5" w:rsidRPr="008C61D5">
              <w:rPr>
                <w:b/>
                <w:bCs/>
                <w:spacing w:val="-1"/>
                <w:sz w:val="20"/>
                <w:szCs w:val="20"/>
              </w:rPr>
              <w:t>®</w:t>
            </w:r>
          </w:p>
          <w:p w14:paraId="1786AE65" w14:textId="33DB26A7" w:rsidR="006F0633" w:rsidRPr="00D91645" w:rsidRDefault="006F0633" w:rsidP="006F0633">
            <w:pPr>
              <w:jc w:val="center"/>
              <w:rPr>
                <w:sz w:val="20"/>
                <w:szCs w:val="20"/>
                <w:lang w:val="en-US"/>
              </w:rPr>
            </w:pPr>
            <w:r w:rsidRPr="00D91645">
              <w:rPr>
                <w:b/>
                <w:sz w:val="20"/>
                <w:szCs w:val="20"/>
              </w:rPr>
              <w:t>100 mg</w:t>
            </w:r>
            <w:r w:rsidRPr="00D91645">
              <w:rPr>
                <w:b/>
                <w:spacing w:val="26"/>
                <w:sz w:val="20"/>
                <w:szCs w:val="20"/>
              </w:rPr>
              <w:br/>
            </w:r>
            <w:r w:rsidRPr="00D91645">
              <w:rPr>
                <w:b/>
                <w:spacing w:val="-1"/>
                <w:sz w:val="20"/>
                <w:szCs w:val="20"/>
              </w:rPr>
              <w:t>N=221</w:t>
            </w:r>
          </w:p>
        </w:tc>
        <w:tc>
          <w:tcPr>
            <w:tcW w:w="1843" w:type="dxa"/>
            <w:tcBorders>
              <w:top w:val="single" w:sz="6" w:space="0" w:color="000000"/>
              <w:left w:val="single" w:sz="6" w:space="0" w:color="000000"/>
              <w:bottom w:val="single" w:sz="6" w:space="0" w:color="000000"/>
              <w:right w:val="single" w:sz="6" w:space="0" w:color="000000"/>
            </w:tcBorders>
            <w:vAlign w:val="center"/>
          </w:tcPr>
          <w:p w14:paraId="79669F25" w14:textId="73F89903" w:rsidR="006F0633" w:rsidRPr="008C61D5" w:rsidRDefault="006F0633" w:rsidP="006F0633">
            <w:pPr>
              <w:keepNext/>
              <w:keepLines/>
              <w:widowControl w:val="0"/>
              <w:spacing w:before="80" w:after="40" w:line="250" w:lineRule="exact"/>
              <w:jc w:val="center"/>
              <w:rPr>
                <w:b/>
                <w:bCs/>
                <w:spacing w:val="-1"/>
                <w:sz w:val="20"/>
                <w:szCs w:val="20"/>
              </w:rPr>
            </w:pPr>
            <w:r w:rsidRPr="00D91645">
              <w:rPr>
                <w:b/>
                <w:bCs/>
                <w:spacing w:val="-1"/>
                <w:sz w:val="20"/>
                <w:szCs w:val="20"/>
              </w:rPr>
              <w:t>VYEPTI</w:t>
            </w:r>
            <w:r w:rsidR="008C61D5" w:rsidRPr="008C61D5">
              <w:rPr>
                <w:b/>
                <w:bCs/>
                <w:spacing w:val="-1"/>
                <w:sz w:val="20"/>
                <w:szCs w:val="20"/>
              </w:rPr>
              <w:t>®</w:t>
            </w:r>
          </w:p>
          <w:p w14:paraId="24DD1E74" w14:textId="70F43D68" w:rsidR="006F0633" w:rsidRPr="00D91645" w:rsidRDefault="006F0633" w:rsidP="006F0633">
            <w:pPr>
              <w:jc w:val="center"/>
              <w:rPr>
                <w:sz w:val="20"/>
                <w:szCs w:val="20"/>
                <w:lang w:val="en-US"/>
              </w:rPr>
            </w:pPr>
            <w:r w:rsidRPr="00D91645">
              <w:rPr>
                <w:b/>
                <w:sz w:val="20"/>
                <w:szCs w:val="20"/>
              </w:rPr>
              <w:t>300 mg</w:t>
            </w:r>
            <w:r w:rsidRPr="00D91645">
              <w:rPr>
                <w:b/>
                <w:spacing w:val="26"/>
                <w:sz w:val="20"/>
                <w:szCs w:val="20"/>
              </w:rPr>
              <w:br/>
            </w:r>
            <w:r w:rsidRPr="00D91645">
              <w:rPr>
                <w:b/>
                <w:spacing w:val="-1"/>
                <w:sz w:val="20"/>
                <w:szCs w:val="20"/>
              </w:rPr>
              <w:t>N=222</w:t>
            </w:r>
          </w:p>
        </w:tc>
        <w:tc>
          <w:tcPr>
            <w:tcW w:w="1701" w:type="dxa"/>
            <w:tcBorders>
              <w:top w:val="single" w:sz="6" w:space="0" w:color="000000"/>
              <w:left w:val="single" w:sz="6" w:space="0" w:color="000000"/>
              <w:bottom w:val="single" w:sz="6" w:space="0" w:color="000000"/>
              <w:right w:val="single" w:sz="6" w:space="0" w:color="000000"/>
            </w:tcBorders>
            <w:vAlign w:val="center"/>
          </w:tcPr>
          <w:p w14:paraId="51E5FFBD" w14:textId="64E4BF6E" w:rsidR="006F0633" w:rsidRPr="00D91645" w:rsidRDefault="006F0633" w:rsidP="006F0633">
            <w:pPr>
              <w:jc w:val="center"/>
              <w:rPr>
                <w:sz w:val="20"/>
                <w:szCs w:val="20"/>
                <w:lang w:val="en-US"/>
              </w:rPr>
            </w:pPr>
            <w:r w:rsidRPr="00D91645">
              <w:rPr>
                <w:b/>
                <w:sz w:val="20"/>
                <w:szCs w:val="20"/>
              </w:rPr>
              <w:t>Placebo</w:t>
            </w:r>
            <w:r w:rsidRPr="00D91645">
              <w:rPr>
                <w:b/>
                <w:sz w:val="20"/>
                <w:szCs w:val="20"/>
              </w:rPr>
              <w:br/>
            </w:r>
            <w:r w:rsidRPr="00D91645">
              <w:rPr>
                <w:b/>
                <w:spacing w:val="-1"/>
                <w:sz w:val="20"/>
                <w:szCs w:val="20"/>
              </w:rPr>
              <w:t>N=222</w:t>
            </w:r>
          </w:p>
        </w:tc>
      </w:tr>
      <w:tr w:rsidR="006F0633" w:rsidRPr="00D91645" w14:paraId="064B762D" w14:textId="77777777" w:rsidTr="006F0633">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FE383FD" w14:textId="037DC136" w:rsidR="006F0633" w:rsidRPr="00D91645" w:rsidRDefault="006F0633" w:rsidP="006F0633">
            <w:pPr>
              <w:rPr>
                <w:b/>
                <w:sz w:val="20"/>
                <w:szCs w:val="20"/>
              </w:rPr>
            </w:pPr>
            <w:r w:rsidRPr="00D91645">
              <w:rPr>
                <w:b/>
                <w:sz w:val="20"/>
                <w:szCs w:val="20"/>
              </w:rPr>
              <w:t>Monthly Migraine Days (MMD) – Weeks 1-12</w:t>
            </w:r>
          </w:p>
        </w:tc>
      </w:tr>
      <w:tr w:rsidR="006F0633" w:rsidRPr="00D91645" w14:paraId="4F3EEF9C" w14:textId="77777777" w:rsidTr="006F0633">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6D52A382" w14:textId="70DCB102" w:rsidR="006F0633" w:rsidRPr="00D91645" w:rsidRDefault="006F0633" w:rsidP="006F0633">
            <w:pPr>
              <w:rPr>
                <w:sz w:val="20"/>
                <w:szCs w:val="20"/>
                <w:lang w:val="en-US"/>
              </w:rPr>
            </w:pPr>
            <w:r w:rsidRPr="00D91645">
              <w:rPr>
                <w:spacing w:val="-1"/>
                <w:sz w:val="20"/>
                <w:szCs w:val="20"/>
              </w:rPr>
              <w:t>Baseline</w:t>
            </w:r>
          </w:p>
        </w:tc>
        <w:tc>
          <w:tcPr>
            <w:tcW w:w="1843" w:type="dxa"/>
            <w:tcBorders>
              <w:top w:val="single" w:sz="6" w:space="0" w:color="000000"/>
              <w:left w:val="single" w:sz="6" w:space="0" w:color="000000"/>
              <w:bottom w:val="single" w:sz="6" w:space="0" w:color="000000"/>
              <w:right w:val="single" w:sz="6" w:space="0" w:color="000000"/>
            </w:tcBorders>
            <w:vAlign w:val="center"/>
          </w:tcPr>
          <w:p w14:paraId="1657B1AF" w14:textId="5D7F89BE" w:rsidR="006F0633" w:rsidRPr="00D91645" w:rsidRDefault="006F0633" w:rsidP="006F0633">
            <w:pPr>
              <w:keepNext/>
              <w:keepLines/>
              <w:widowControl w:val="0"/>
              <w:spacing w:before="80" w:after="40" w:line="250" w:lineRule="exact"/>
              <w:jc w:val="center"/>
              <w:rPr>
                <w:b/>
                <w:bCs/>
                <w:spacing w:val="-1"/>
                <w:sz w:val="20"/>
                <w:szCs w:val="20"/>
              </w:rPr>
            </w:pPr>
            <w:r w:rsidRPr="00D91645">
              <w:rPr>
                <w:spacing w:val="-1"/>
                <w:sz w:val="20"/>
                <w:szCs w:val="20"/>
              </w:rPr>
              <w:t>8.7</w:t>
            </w:r>
          </w:p>
        </w:tc>
        <w:tc>
          <w:tcPr>
            <w:tcW w:w="1843" w:type="dxa"/>
            <w:tcBorders>
              <w:top w:val="single" w:sz="6" w:space="0" w:color="000000"/>
              <w:left w:val="single" w:sz="6" w:space="0" w:color="000000"/>
              <w:bottom w:val="single" w:sz="6" w:space="0" w:color="000000"/>
              <w:right w:val="single" w:sz="6" w:space="0" w:color="000000"/>
            </w:tcBorders>
            <w:vAlign w:val="center"/>
          </w:tcPr>
          <w:p w14:paraId="3D483900" w14:textId="00D42D25" w:rsidR="006F0633" w:rsidRPr="00D91645" w:rsidRDefault="006F0633" w:rsidP="006F0633">
            <w:pPr>
              <w:keepNext/>
              <w:keepLines/>
              <w:widowControl w:val="0"/>
              <w:spacing w:before="80" w:after="40" w:line="250" w:lineRule="exact"/>
              <w:jc w:val="center"/>
              <w:rPr>
                <w:b/>
                <w:bCs/>
                <w:spacing w:val="-1"/>
                <w:sz w:val="20"/>
                <w:szCs w:val="20"/>
              </w:rPr>
            </w:pPr>
            <w:r w:rsidRPr="00D91645">
              <w:rPr>
                <w:spacing w:val="-1"/>
                <w:sz w:val="20"/>
                <w:szCs w:val="20"/>
              </w:rPr>
              <w:t>8.6</w:t>
            </w:r>
          </w:p>
        </w:tc>
        <w:tc>
          <w:tcPr>
            <w:tcW w:w="1701" w:type="dxa"/>
            <w:tcBorders>
              <w:top w:val="single" w:sz="6" w:space="0" w:color="000000"/>
              <w:left w:val="single" w:sz="6" w:space="0" w:color="000000"/>
              <w:bottom w:val="single" w:sz="6" w:space="0" w:color="000000"/>
              <w:right w:val="single" w:sz="6" w:space="0" w:color="000000"/>
            </w:tcBorders>
            <w:vAlign w:val="center"/>
          </w:tcPr>
          <w:p w14:paraId="16BF9835" w14:textId="66D4A63A" w:rsidR="006F0633" w:rsidRPr="00D91645" w:rsidRDefault="006F0633" w:rsidP="006F0633">
            <w:pPr>
              <w:jc w:val="center"/>
              <w:rPr>
                <w:b/>
                <w:sz w:val="20"/>
                <w:szCs w:val="20"/>
              </w:rPr>
            </w:pPr>
            <w:r w:rsidRPr="00D91645">
              <w:rPr>
                <w:spacing w:val="-1"/>
                <w:sz w:val="20"/>
                <w:szCs w:val="20"/>
              </w:rPr>
              <w:t>8.4</w:t>
            </w:r>
          </w:p>
        </w:tc>
      </w:tr>
      <w:tr w:rsidR="006F0633" w:rsidRPr="00D91645" w14:paraId="13186485" w14:textId="77777777" w:rsidTr="006F0633">
        <w:tc>
          <w:tcPr>
            <w:tcW w:w="3397" w:type="dxa"/>
            <w:tcBorders>
              <w:top w:val="single" w:sz="6" w:space="0" w:color="000000"/>
              <w:left w:val="single" w:sz="6" w:space="0" w:color="000000"/>
              <w:bottom w:val="single" w:sz="6" w:space="0" w:color="000000"/>
              <w:right w:val="single" w:sz="6" w:space="0" w:color="000000"/>
            </w:tcBorders>
            <w:vAlign w:val="center"/>
          </w:tcPr>
          <w:p w14:paraId="2457F26A" w14:textId="06F9EB59" w:rsidR="006F0633" w:rsidRPr="00D91645" w:rsidRDefault="006F0633" w:rsidP="006F0633">
            <w:pPr>
              <w:rPr>
                <w:sz w:val="20"/>
                <w:szCs w:val="20"/>
                <w:lang w:val="en-US"/>
              </w:rPr>
            </w:pPr>
            <w:r w:rsidRPr="00D91645">
              <w:rPr>
                <w:spacing w:val="-1"/>
                <w:sz w:val="20"/>
                <w:szCs w:val="20"/>
              </w:rPr>
              <w:t>Mean Change</w:t>
            </w:r>
          </w:p>
        </w:tc>
        <w:tc>
          <w:tcPr>
            <w:tcW w:w="1843" w:type="dxa"/>
            <w:tcBorders>
              <w:top w:val="single" w:sz="6" w:space="0" w:color="000000"/>
              <w:left w:val="single" w:sz="6" w:space="0" w:color="000000"/>
              <w:bottom w:val="single" w:sz="6" w:space="0" w:color="000000"/>
              <w:right w:val="single" w:sz="6" w:space="0" w:color="000000"/>
            </w:tcBorders>
            <w:vAlign w:val="center"/>
          </w:tcPr>
          <w:p w14:paraId="5CFB9AF5" w14:textId="3CC65FF7" w:rsidR="006F0633" w:rsidRPr="00D91645" w:rsidRDefault="006F0633" w:rsidP="006F0633">
            <w:pPr>
              <w:keepNext/>
              <w:keepLines/>
              <w:widowControl w:val="0"/>
              <w:spacing w:before="80" w:after="40" w:line="250" w:lineRule="exact"/>
              <w:jc w:val="center"/>
              <w:rPr>
                <w:b/>
                <w:bCs/>
                <w:spacing w:val="-1"/>
                <w:sz w:val="20"/>
                <w:szCs w:val="20"/>
              </w:rPr>
            </w:pPr>
            <w:r w:rsidRPr="00D91645">
              <w:rPr>
                <w:spacing w:val="-1"/>
                <w:sz w:val="20"/>
                <w:szCs w:val="20"/>
              </w:rPr>
              <w:t>-3.9</w:t>
            </w:r>
          </w:p>
        </w:tc>
        <w:tc>
          <w:tcPr>
            <w:tcW w:w="1843" w:type="dxa"/>
            <w:tcBorders>
              <w:top w:val="single" w:sz="6" w:space="0" w:color="000000"/>
              <w:left w:val="single" w:sz="6" w:space="0" w:color="000000"/>
              <w:bottom w:val="single" w:sz="6" w:space="0" w:color="000000"/>
              <w:right w:val="single" w:sz="6" w:space="0" w:color="000000"/>
            </w:tcBorders>
            <w:vAlign w:val="center"/>
          </w:tcPr>
          <w:p w14:paraId="3B7489A9" w14:textId="215C6E22" w:rsidR="006F0633" w:rsidRPr="00D91645" w:rsidRDefault="006F0633" w:rsidP="006F0633">
            <w:pPr>
              <w:keepNext/>
              <w:keepLines/>
              <w:widowControl w:val="0"/>
              <w:spacing w:before="80" w:after="40" w:line="250" w:lineRule="exact"/>
              <w:jc w:val="center"/>
              <w:rPr>
                <w:b/>
                <w:bCs/>
                <w:spacing w:val="-1"/>
                <w:sz w:val="20"/>
                <w:szCs w:val="20"/>
              </w:rPr>
            </w:pPr>
            <w:r w:rsidRPr="00D91645">
              <w:rPr>
                <w:spacing w:val="-1"/>
                <w:sz w:val="20"/>
                <w:szCs w:val="20"/>
              </w:rPr>
              <w:t>-4.3</w:t>
            </w:r>
          </w:p>
        </w:tc>
        <w:tc>
          <w:tcPr>
            <w:tcW w:w="1701" w:type="dxa"/>
            <w:tcBorders>
              <w:top w:val="single" w:sz="6" w:space="0" w:color="000000"/>
              <w:left w:val="single" w:sz="6" w:space="0" w:color="000000"/>
              <w:bottom w:val="single" w:sz="6" w:space="0" w:color="000000"/>
              <w:right w:val="single" w:sz="6" w:space="0" w:color="000000"/>
            </w:tcBorders>
            <w:vAlign w:val="center"/>
          </w:tcPr>
          <w:p w14:paraId="00D1FE60" w14:textId="71F9DB4D" w:rsidR="006F0633" w:rsidRPr="00D91645" w:rsidRDefault="006F0633" w:rsidP="006F0633">
            <w:pPr>
              <w:jc w:val="center"/>
              <w:rPr>
                <w:b/>
                <w:sz w:val="20"/>
                <w:szCs w:val="20"/>
              </w:rPr>
            </w:pPr>
            <w:r w:rsidRPr="00D91645">
              <w:rPr>
                <w:spacing w:val="-1"/>
                <w:sz w:val="20"/>
                <w:szCs w:val="20"/>
              </w:rPr>
              <w:t>-3.2</w:t>
            </w:r>
          </w:p>
        </w:tc>
      </w:tr>
      <w:tr w:rsidR="006F0633" w:rsidRPr="00D91645" w14:paraId="208321E1" w14:textId="77777777" w:rsidTr="006F0633">
        <w:tc>
          <w:tcPr>
            <w:tcW w:w="3397" w:type="dxa"/>
            <w:tcBorders>
              <w:top w:val="single" w:sz="6" w:space="0" w:color="000000"/>
              <w:left w:val="single" w:sz="6" w:space="0" w:color="000000"/>
              <w:bottom w:val="single" w:sz="6" w:space="0" w:color="000000"/>
              <w:right w:val="single" w:sz="6" w:space="0" w:color="000000"/>
            </w:tcBorders>
            <w:vAlign w:val="center"/>
          </w:tcPr>
          <w:p w14:paraId="4E673F77" w14:textId="195F07B8" w:rsidR="006F0633" w:rsidRPr="00D91645" w:rsidRDefault="006F0633" w:rsidP="006F0633">
            <w:pPr>
              <w:rPr>
                <w:sz w:val="20"/>
                <w:szCs w:val="20"/>
                <w:lang w:val="en-US"/>
              </w:rPr>
            </w:pPr>
            <w:r w:rsidRPr="00D91645">
              <w:rPr>
                <w:spacing w:val="-1"/>
                <w:sz w:val="20"/>
                <w:szCs w:val="20"/>
              </w:rPr>
              <w:t>Difference from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69FA8AA6" w14:textId="6DB7E34D" w:rsidR="006F0633" w:rsidRPr="00D91645" w:rsidRDefault="006F0633" w:rsidP="006F0633">
            <w:pPr>
              <w:keepNext/>
              <w:keepLines/>
              <w:widowControl w:val="0"/>
              <w:spacing w:before="80" w:after="40" w:line="250" w:lineRule="exact"/>
              <w:jc w:val="center"/>
              <w:rPr>
                <w:b/>
                <w:bCs/>
                <w:spacing w:val="-1"/>
                <w:sz w:val="20"/>
                <w:szCs w:val="20"/>
              </w:rPr>
            </w:pPr>
            <w:r w:rsidRPr="00D91645">
              <w:rPr>
                <w:spacing w:val="-1"/>
                <w:sz w:val="20"/>
                <w:szCs w:val="20"/>
              </w:rPr>
              <w:t>-0.7</w:t>
            </w:r>
          </w:p>
        </w:tc>
        <w:tc>
          <w:tcPr>
            <w:tcW w:w="1843" w:type="dxa"/>
            <w:tcBorders>
              <w:top w:val="single" w:sz="6" w:space="0" w:color="000000"/>
              <w:left w:val="single" w:sz="6" w:space="0" w:color="000000"/>
              <w:bottom w:val="single" w:sz="6" w:space="0" w:color="000000"/>
              <w:right w:val="single" w:sz="6" w:space="0" w:color="000000"/>
            </w:tcBorders>
            <w:vAlign w:val="center"/>
          </w:tcPr>
          <w:p w14:paraId="4BA5FB04" w14:textId="4297E96C" w:rsidR="006F0633" w:rsidRPr="00D91645" w:rsidRDefault="006F0633" w:rsidP="006F0633">
            <w:pPr>
              <w:keepNext/>
              <w:keepLines/>
              <w:widowControl w:val="0"/>
              <w:spacing w:before="80" w:after="40" w:line="250" w:lineRule="exact"/>
              <w:jc w:val="center"/>
              <w:rPr>
                <w:b/>
                <w:bCs/>
                <w:spacing w:val="-1"/>
                <w:sz w:val="20"/>
                <w:szCs w:val="20"/>
              </w:rPr>
            </w:pPr>
            <w:r w:rsidRPr="00D91645">
              <w:rPr>
                <w:spacing w:val="-1"/>
                <w:sz w:val="20"/>
                <w:szCs w:val="20"/>
              </w:rPr>
              <w:t>-1.1</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99B93D5" w14:textId="77777777" w:rsidR="006F0633" w:rsidRPr="00D91645" w:rsidRDefault="006F0633" w:rsidP="006F0633">
            <w:pPr>
              <w:jc w:val="center"/>
              <w:rPr>
                <w:b/>
                <w:sz w:val="20"/>
                <w:szCs w:val="20"/>
              </w:rPr>
            </w:pPr>
          </w:p>
        </w:tc>
      </w:tr>
      <w:tr w:rsidR="006F0633" w:rsidRPr="00D91645" w14:paraId="70832F4D" w14:textId="77777777" w:rsidTr="006F0633">
        <w:tc>
          <w:tcPr>
            <w:tcW w:w="3397" w:type="dxa"/>
            <w:tcBorders>
              <w:top w:val="single" w:sz="6" w:space="0" w:color="000000"/>
              <w:left w:val="single" w:sz="6" w:space="0" w:color="000000"/>
              <w:bottom w:val="single" w:sz="6" w:space="0" w:color="000000"/>
              <w:right w:val="single" w:sz="6" w:space="0" w:color="000000"/>
            </w:tcBorders>
            <w:vAlign w:val="center"/>
          </w:tcPr>
          <w:p w14:paraId="6CF64C72" w14:textId="58E2B62A" w:rsidR="006F0633" w:rsidRPr="00D91645" w:rsidRDefault="006F0633" w:rsidP="006F0633">
            <w:pPr>
              <w:rPr>
                <w:sz w:val="20"/>
                <w:szCs w:val="20"/>
                <w:lang w:val="en-US"/>
              </w:rPr>
            </w:pPr>
            <w:r w:rsidRPr="00D91645">
              <w:rPr>
                <w:spacing w:val="-1"/>
                <w:sz w:val="20"/>
                <w:szCs w:val="20"/>
              </w:rPr>
              <w:t>CI</w:t>
            </w:r>
            <w:r w:rsidRPr="00D91645">
              <w:rPr>
                <w:spacing w:val="-1"/>
                <w:sz w:val="20"/>
                <w:szCs w:val="20"/>
                <w:vertAlign w:val="subscript"/>
              </w:rPr>
              <w:t>95%</w:t>
            </w:r>
          </w:p>
        </w:tc>
        <w:tc>
          <w:tcPr>
            <w:tcW w:w="1843" w:type="dxa"/>
            <w:tcBorders>
              <w:top w:val="single" w:sz="6" w:space="0" w:color="000000"/>
              <w:left w:val="single" w:sz="6" w:space="0" w:color="000000"/>
              <w:bottom w:val="single" w:sz="6" w:space="0" w:color="000000"/>
              <w:right w:val="single" w:sz="6" w:space="0" w:color="000000"/>
            </w:tcBorders>
            <w:vAlign w:val="center"/>
          </w:tcPr>
          <w:p w14:paraId="3FDF9CDD" w14:textId="0C73529C" w:rsidR="006F0633" w:rsidRPr="00D91645" w:rsidRDefault="006F0633" w:rsidP="006F0633">
            <w:pPr>
              <w:keepNext/>
              <w:keepLines/>
              <w:widowControl w:val="0"/>
              <w:spacing w:before="80" w:after="40" w:line="250" w:lineRule="exact"/>
              <w:jc w:val="center"/>
              <w:rPr>
                <w:b/>
                <w:bCs/>
                <w:spacing w:val="-1"/>
                <w:sz w:val="20"/>
                <w:szCs w:val="20"/>
              </w:rPr>
            </w:pPr>
            <w:r w:rsidRPr="00D91645">
              <w:rPr>
                <w:sz w:val="20"/>
                <w:szCs w:val="20"/>
              </w:rPr>
              <w:t>(-1.3, -0.1)</w:t>
            </w:r>
          </w:p>
        </w:tc>
        <w:tc>
          <w:tcPr>
            <w:tcW w:w="1843" w:type="dxa"/>
            <w:tcBorders>
              <w:top w:val="single" w:sz="6" w:space="0" w:color="000000"/>
              <w:left w:val="single" w:sz="6" w:space="0" w:color="000000"/>
              <w:bottom w:val="single" w:sz="6" w:space="0" w:color="000000"/>
              <w:right w:val="single" w:sz="6" w:space="0" w:color="000000"/>
            </w:tcBorders>
            <w:vAlign w:val="center"/>
          </w:tcPr>
          <w:p w14:paraId="0091900C" w14:textId="3F34ECFC" w:rsidR="006F0633" w:rsidRPr="00D91645" w:rsidRDefault="006F0633" w:rsidP="006F0633">
            <w:pPr>
              <w:keepNext/>
              <w:keepLines/>
              <w:widowControl w:val="0"/>
              <w:spacing w:before="80" w:after="40" w:line="250" w:lineRule="exact"/>
              <w:jc w:val="center"/>
              <w:rPr>
                <w:b/>
                <w:bCs/>
                <w:spacing w:val="-1"/>
                <w:sz w:val="20"/>
                <w:szCs w:val="20"/>
              </w:rPr>
            </w:pPr>
            <w:r w:rsidRPr="00D91645">
              <w:rPr>
                <w:sz w:val="20"/>
                <w:szCs w:val="20"/>
              </w:rPr>
              <w:t>(-1.7, -0.5)</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B4FD3F4" w14:textId="77777777" w:rsidR="006F0633" w:rsidRPr="00D91645" w:rsidRDefault="006F0633" w:rsidP="006F0633">
            <w:pPr>
              <w:jc w:val="center"/>
              <w:rPr>
                <w:b/>
                <w:sz w:val="20"/>
                <w:szCs w:val="20"/>
              </w:rPr>
            </w:pPr>
          </w:p>
        </w:tc>
      </w:tr>
      <w:tr w:rsidR="006F0633" w:rsidRPr="00D91645" w14:paraId="00F420F6" w14:textId="77777777" w:rsidTr="006F0633">
        <w:tc>
          <w:tcPr>
            <w:tcW w:w="3397" w:type="dxa"/>
            <w:tcBorders>
              <w:top w:val="single" w:sz="6" w:space="0" w:color="000000"/>
              <w:left w:val="single" w:sz="6" w:space="0" w:color="000000"/>
              <w:bottom w:val="single" w:sz="6" w:space="0" w:color="000000"/>
              <w:right w:val="single" w:sz="6" w:space="0" w:color="000000"/>
            </w:tcBorders>
            <w:vAlign w:val="center"/>
          </w:tcPr>
          <w:p w14:paraId="719755FB" w14:textId="6C744FDE" w:rsidR="006F0633" w:rsidRPr="00D91645" w:rsidRDefault="006F0633" w:rsidP="006F0633">
            <w:pPr>
              <w:rPr>
                <w:sz w:val="20"/>
                <w:szCs w:val="20"/>
                <w:lang w:val="en-US"/>
              </w:rPr>
            </w:pPr>
            <w:r w:rsidRPr="00D91645">
              <w:rPr>
                <w:i/>
                <w:spacing w:val="-1"/>
                <w:sz w:val="20"/>
                <w:szCs w:val="20"/>
              </w:rPr>
              <w:t>p</w:t>
            </w:r>
            <w:r w:rsidRPr="00D91645">
              <w:rPr>
                <w:spacing w:val="-1"/>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55CA84E7" w14:textId="4528ED10" w:rsidR="006F0633" w:rsidRPr="00D91645" w:rsidRDefault="006F0633" w:rsidP="006F0633">
            <w:pPr>
              <w:keepNext/>
              <w:keepLines/>
              <w:widowControl w:val="0"/>
              <w:spacing w:before="80" w:after="40" w:line="250" w:lineRule="exact"/>
              <w:jc w:val="center"/>
              <w:rPr>
                <w:b/>
                <w:bCs/>
                <w:spacing w:val="-1"/>
                <w:sz w:val="20"/>
                <w:szCs w:val="20"/>
              </w:rPr>
            </w:pPr>
            <w:r w:rsidRPr="00D91645">
              <w:rPr>
                <w:sz w:val="20"/>
                <w:szCs w:val="20"/>
              </w:rPr>
              <w:t>0.0182</w:t>
            </w:r>
          </w:p>
        </w:tc>
        <w:tc>
          <w:tcPr>
            <w:tcW w:w="1843" w:type="dxa"/>
            <w:tcBorders>
              <w:top w:val="single" w:sz="6" w:space="0" w:color="000000"/>
              <w:left w:val="single" w:sz="6" w:space="0" w:color="000000"/>
              <w:bottom w:val="single" w:sz="6" w:space="0" w:color="000000"/>
              <w:right w:val="single" w:sz="6" w:space="0" w:color="000000"/>
            </w:tcBorders>
            <w:vAlign w:val="center"/>
          </w:tcPr>
          <w:p w14:paraId="55598289" w14:textId="4E1B4A91" w:rsidR="006F0633" w:rsidRPr="00D91645" w:rsidRDefault="006F0633" w:rsidP="006F0633">
            <w:pPr>
              <w:keepNext/>
              <w:keepLines/>
              <w:widowControl w:val="0"/>
              <w:spacing w:before="80" w:after="40" w:line="250" w:lineRule="exact"/>
              <w:jc w:val="center"/>
              <w:rPr>
                <w:b/>
                <w:bCs/>
                <w:spacing w:val="-1"/>
                <w:sz w:val="20"/>
                <w:szCs w:val="20"/>
              </w:rPr>
            </w:pPr>
            <w:r w:rsidRPr="00D91645">
              <w:rPr>
                <w:sz w:val="20"/>
                <w:szCs w:val="20"/>
              </w:rPr>
              <w:t>0.0001</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5F19BD5" w14:textId="77777777" w:rsidR="006F0633" w:rsidRPr="00D91645" w:rsidRDefault="006F0633" w:rsidP="006F0633">
            <w:pPr>
              <w:jc w:val="center"/>
              <w:rPr>
                <w:b/>
                <w:sz w:val="20"/>
                <w:szCs w:val="20"/>
              </w:rPr>
            </w:pPr>
          </w:p>
        </w:tc>
      </w:tr>
      <w:tr w:rsidR="006F0633" w:rsidRPr="00D91645" w14:paraId="368A5638" w14:textId="77777777" w:rsidTr="006F0633">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2D6D3DA" w14:textId="3F22E66B" w:rsidR="006F0633" w:rsidRPr="00D91645" w:rsidRDefault="006F0633" w:rsidP="006F0633">
            <w:pPr>
              <w:rPr>
                <w:b/>
                <w:sz w:val="20"/>
                <w:szCs w:val="20"/>
              </w:rPr>
            </w:pPr>
            <w:r w:rsidRPr="00D91645">
              <w:rPr>
                <w:b/>
                <w:spacing w:val="-1"/>
                <w:sz w:val="20"/>
                <w:szCs w:val="20"/>
              </w:rPr>
              <w:t>≥ 75%</w:t>
            </w:r>
            <w:r w:rsidRPr="00D91645">
              <w:rPr>
                <w:b/>
                <w:sz w:val="20"/>
                <w:szCs w:val="20"/>
              </w:rPr>
              <w:t xml:space="preserve"> </w:t>
            </w:r>
            <w:r w:rsidRPr="00D91645">
              <w:rPr>
                <w:b/>
                <w:spacing w:val="-1"/>
                <w:sz w:val="20"/>
                <w:szCs w:val="20"/>
              </w:rPr>
              <w:t>MMD</w:t>
            </w:r>
            <w:r w:rsidRPr="00D91645">
              <w:rPr>
                <w:b/>
                <w:sz w:val="20"/>
                <w:szCs w:val="20"/>
              </w:rPr>
              <w:t xml:space="preserve"> </w:t>
            </w:r>
            <w:r w:rsidRPr="00D91645">
              <w:rPr>
                <w:b/>
                <w:spacing w:val="-1"/>
                <w:sz w:val="20"/>
                <w:szCs w:val="20"/>
              </w:rPr>
              <w:t xml:space="preserve">responders </w:t>
            </w:r>
            <w:r w:rsidRPr="00D91645">
              <w:rPr>
                <w:b/>
                <w:sz w:val="20"/>
                <w:szCs w:val="20"/>
              </w:rPr>
              <w:t>–</w:t>
            </w:r>
            <w:r w:rsidRPr="00D91645">
              <w:rPr>
                <w:b/>
                <w:spacing w:val="-2"/>
                <w:sz w:val="20"/>
                <w:szCs w:val="20"/>
              </w:rPr>
              <w:t xml:space="preserve"> </w:t>
            </w:r>
            <w:r w:rsidRPr="00D91645">
              <w:rPr>
                <w:b/>
                <w:spacing w:val="-1"/>
                <w:sz w:val="20"/>
                <w:szCs w:val="20"/>
              </w:rPr>
              <w:t>Weeks 1-4</w:t>
            </w:r>
          </w:p>
        </w:tc>
      </w:tr>
      <w:tr w:rsidR="006F0633" w:rsidRPr="00D91645" w14:paraId="40361CEC" w14:textId="77777777" w:rsidTr="006F0633">
        <w:tc>
          <w:tcPr>
            <w:tcW w:w="3397" w:type="dxa"/>
            <w:tcBorders>
              <w:top w:val="single" w:sz="6" w:space="0" w:color="000000"/>
              <w:left w:val="single" w:sz="6" w:space="0" w:color="000000"/>
              <w:bottom w:val="single" w:sz="6" w:space="0" w:color="000000"/>
              <w:right w:val="single" w:sz="6" w:space="0" w:color="000000"/>
            </w:tcBorders>
          </w:tcPr>
          <w:p w14:paraId="492428A2" w14:textId="45362E60" w:rsidR="006F0633" w:rsidRPr="00D91645" w:rsidRDefault="006F0633" w:rsidP="006F0633">
            <w:pPr>
              <w:rPr>
                <w:i/>
                <w:spacing w:val="-1"/>
                <w:sz w:val="20"/>
                <w:szCs w:val="20"/>
              </w:rPr>
            </w:pPr>
            <w:r w:rsidRPr="00D91645">
              <w:rPr>
                <w:spacing w:val="-1"/>
                <w:sz w:val="20"/>
                <w:szCs w:val="20"/>
              </w:rPr>
              <w:t>Responders</w:t>
            </w:r>
          </w:p>
        </w:tc>
        <w:tc>
          <w:tcPr>
            <w:tcW w:w="1843" w:type="dxa"/>
            <w:tcBorders>
              <w:top w:val="single" w:sz="6" w:space="0" w:color="000000"/>
              <w:left w:val="single" w:sz="6" w:space="0" w:color="000000"/>
              <w:bottom w:val="single" w:sz="6" w:space="0" w:color="000000"/>
              <w:right w:val="single" w:sz="6" w:space="0" w:color="000000"/>
            </w:tcBorders>
          </w:tcPr>
          <w:p w14:paraId="0B37ADCA" w14:textId="4A9DFA5B" w:rsidR="006F0633" w:rsidRPr="00D91645" w:rsidRDefault="006F0633" w:rsidP="006F0633">
            <w:pPr>
              <w:keepNext/>
              <w:keepLines/>
              <w:widowControl w:val="0"/>
              <w:spacing w:before="80" w:after="40" w:line="250" w:lineRule="exact"/>
              <w:jc w:val="center"/>
              <w:rPr>
                <w:sz w:val="20"/>
                <w:szCs w:val="20"/>
              </w:rPr>
            </w:pPr>
            <w:r w:rsidRPr="00D91645">
              <w:rPr>
                <w:sz w:val="20"/>
                <w:szCs w:val="20"/>
              </w:rPr>
              <w:t>30.8%</w:t>
            </w:r>
          </w:p>
        </w:tc>
        <w:tc>
          <w:tcPr>
            <w:tcW w:w="1843" w:type="dxa"/>
            <w:tcBorders>
              <w:top w:val="single" w:sz="6" w:space="0" w:color="000000"/>
              <w:left w:val="single" w:sz="6" w:space="0" w:color="000000"/>
              <w:bottom w:val="single" w:sz="6" w:space="0" w:color="000000"/>
              <w:right w:val="single" w:sz="6" w:space="0" w:color="000000"/>
            </w:tcBorders>
            <w:vAlign w:val="center"/>
          </w:tcPr>
          <w:p w14:paraId="7212D72D" w14:textId="299A5AF6" w:rsidR="006F0633" w:rsidRPr="00D91645" w:rsidRDefault="006F0633" w:rsidP="006F0633">
            <w:pPr>
              <w:keepNext/>
              <w:keepLines/>
              <w:widowControl w:val="0"/>
              <w:spacing w:before="80" w:after="40" w:line="250" w:lineRule="exact"/>
              <w:jc w:val="center"/>
              <w:rPr>
                <w:sz w:val="20"/>
                <w:szCs w:val="20"/>
              </w:rPr>
            </w:pPr>
            <w:r w:rsidRPr="00D91645">
              <w:rPr>
                <w:sz w:val="20"/>
                <w:szCs w:val="20"/>
              </w:rPr>
              <w:t>31.5%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D5CD69" w14:textId="21A06A68" w:rsidR="006F0633" w:rsidRPr="00D91645" w:rsidRDefault="006F0633" w:rsidP="006F0633">
            <w:pPr>
              <w:jc w:val="center"/>
              <w:rPr>
                <w:b/>
                <w:sz w:val="20"/>
                <w:szCs w:val="20"/>
              </w:rPr>
            </w:pPr>
            <w:r w:rsidRPr="00D91645">
              <w:rPr>
                <w:sz w:val="20"/>
                <w:szCs w:val="20"/>
              </w:rPr>
              <w:t>20.3%</w:t>
            </w:r>
          </w:p>
        </w:tc>
      </w:tr>
      <w:tr w:rsidR="006F0633" w:rsidRPr="00D91645" w14:paraId="2997AEAF" w14:textId="77777777" w:rsidTr="006F0633">
        <w:tc>
          <w:tcPr>
            <w:tcW w:w="3397" w:type="dxa"/>
            <w:tcBorders>
              <w:top w:val="single" w:sz="6" w:space="0" w:color="000000"/>
              <w:left w:val="single" w:sz="6" w:space="0" w:color="000000"/>
              <w:bottom w:val="single" w:sz="6" w:space="0" w:color="000000"/>
              <w:right w:val="single" w:sz="6" w:space="0" w:color="000000"/>
            </w:tcBorders>
          </w:tcPr>
          <w:p w14:paraId="3A4A3353" w14:textId="221EE5DC" w:rsidR="006F0633" w:rsidRPr="00D91645" w:rsidRDefault="006F0633" w:rsidP="006F0633">
            <w:pPr>
              <w:rPr>
                <w:i/>
                <w:spacing w:val="-1"/>
                <w:sz w:val="20"/>
                <w:szCs w:val="20"/>
              </w:rPr>
            </w:pPr>
            <w:r w:rsidRPr="00D91645">
              <w:rPr>
                <w:sz w:val="20"/>
                <w:szCs w:val="20"/>
              </w:rPr>
              <w:t>Difference from placebo</w:t>
            </w:r>
          </w:p>
        </w:tc>
        <w:tc>
          <w:tcPr>
            <w:tcW w:w="1843" w:type="dxa"/>
            <w:tcBorders>
              <w:top w:val="single" w:sz="6" w:space="0" w:color="000000"/>
              <w:left w:val="single" w:sz="6" w:space="0" w:color="000000"/>
              <w:bottom w:val="single" w:sz="6" w:space="0" w:color="000000"/>
              <w:right w:val="single" w:sz="6" w:space="0" w:color="000000"/>
            </w:tcBorders>
          </w:tcPr>
          <w:p w14:paraId="4B9FBE8F" w14:textId="1664E6BE" w:rsidR="006F0633" w:rsidRPr="00D91645" w:rsidRDefault="006F0633" w:rsidP="006F0633">
            <w:pPr>
              <w:keepNext/>
              <w:keepLines/>
              <w:widowControl w:val="0"/>
              <w:spacing w:before="80" w:after="40" w:line="250" w:lineRule="exact"/>
              <w:jc w:val="center"/>
              <w:rPr>
                <w:sz w:val="20"/>
                <w:szCs w:val="20"/>
              </w:rPr>
            </w:pPr>
            <w:r w:rsidRPr="00D91645">
              <w:rPr>
                <w:sz w:val="20"/>
                <w:szCs w:val="20"/>
              </w:rPr>
              <w:t>10.5%</w:t>
            </w:r>
          </w:p>
        </w:tc>
        <w:tc>
          <w:tcPr>
            <w:tcW w:w="1843" w:type="dxa"/>
            <w:tcBorders>
              <w:top w:val="single" w:sz="6" w:space="0" w:color="000000"/>
              <w:left w:val="single" w:sz="6" w:space="0" w:color="000000"/>
              <w:bottom w:val="single" w:sz="6" w:space="0" w:color="000000"/>
              <w:right w:val="single" w:sz="6" w:space="0" w:color="000000"/>
            </w:tcBorders>
          </w:tcPr>
          <w:p w14:paraId="4A5E51C2" w14:textId="37F4B4E1" w:rsidR="006F0633" w:rsidRPr="00D91645" w:rsidRDefault="006F0633" w:rsidP="006F0633">
            <w:pPr>
              <w:keepNext/>
              <w:keepLines/>
              <w:widowControl w:val="0"/>
              <w:spacing w:before="80" w:after="40" w:line="250" w:lineRule="exact"/>
              <w:jc w:val="center"/>
              <w:rPr>
                <w:sz w:val="20"/>
                <w:szCs w:val="20"/>
              </w:rPr>
            </w:pPr>
            <w:r w:rsidRPr="00D91645">
              <w:rPr>
                <w:sz w:val="20"/>
                <w:szCs w:val="20"/>
              </w:rPr>
              <w:t>11.3%</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Pr>
          <w:p w14:paraId="1F736934" w14:textId="77777777" w:rsidR="006F0633" w:rsidRPr="00D91645" w:rsidRDefault="006F0633" w:rsidP="006F0633">
            <w:pPr>
              <w:jc w:val="center"/>
              <w:rPr>
                <w:b/>
                <w:sz w:val="20"/>
                <w:szCs w:val="20"/>
              </w:rPr>
            </w:pPr>
          </w:p>
        </w:tc>
      </w:tr>
      <w:tr w:rsidR="006F0633" w:rsidRPr="00D91645" w14:paraId="73750861" w14:textId="77777777" w:rsidTr="006F0633">
        <w:tc>
          <w:tcPr>
            <w:tcW w:w="3397" w:type="dxa"/>
            <w:tcBorders>
              <w:top w:val="single" w:sz="6" w:space="0" w:color="000000"/>
              <w:left w:val="single" w:sz="6" w:space="0" w:color="000000"/>
              <w:bottom w:val="single" w:sz="6" w:space="0" w:color="000000"/>
              <w:right w:val="single" w:sz="6" w:space="0" w:color="000000"/>
            </w:tcBorders>
          </w:tcPr>
          <w:p w14:paraId="0879E5E4" w14:textId="41CBFBDF" w:rsidR="006F0633" w:rsidRPr="00D91645" w:rsidRDefault="006F0633" w:rsidP="006F0633">
            <w:pPr>
              <w:rPr>
                <w:i/>
                <w:spacing w:val="-1"/>
                <w:sz w:val="20"/>
                <w:szCs w:val="20"/>
              </w:rPr>
            </w:pPr>
            <w:r w:rsidRPr="00D91645">
              <w:rPr>
                <w:i/>
                <w:spacing w:val="-1"/>
                <w:sz w:val="20"/>
                <w:szCs w:val="20"/>
              </w:rPr>
              <w:t>p</w:t>
            </w:r>
            <w:r w:rsidRPr="00D91645">
              <w:rPr>
                <w:spacing w:val="-1"/>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tcPr>
          <w:p w14:paraId="47750976" w14:textId="498A7593" w:rsidR="006F0633" w:rsidRPr="00D91645" w:rsidRDefault="006F0633" w:rsidP="006F0633">
            <w:pPr>
              <w:keepNext/>
              <w:keepLines/>
              <w:widowControl w:val="0"/>
              <w:spacing w:before="80" w:after="40" w:line="250" w:lineRule="exact"/>
              <w:jc w:val="center"/>
              <w:rPr>
                <w:sz w:val="20"/>
                <w:szCs w:val="20"/>
              </w:rPr>
            </w:pPr>
            <w:r w:rsidRPr="00D91645">
              <w:rPr>
                <w:sz w:val="20"/>
                <w:szCs w:val="20"/>
              </w:rPr>
              <w:t>0.0112</w:t>
            </w:r>
          </w:p>
        </w:tc>
        <w:tc>
          <w:tcPr>
            <w:tcW w:w="1843" w:type="dxa"/>
            <w:tcBorders>
              <w:top w:val="single" w:sz="6" w:space="0" w:color="000000"/>
              <w:left w:val="single" w:sz="6" w:space="0" w:color="000000"/>
              <w:bottom w:val="single" w:sz="6" w:space="0" w:color="000000"/>
              <w:right w:val="single" w:sz="6" w:space="0" w:color="000000"/>
            </w:tcBorders>
          </w:tcPr>
          <w:p w14:paraId="6FF8BF18" w14:textId="5FCD60E4" w:rsidR="006F0633" w:rsidRPr="00D91645" w:rsidRDefault="006F0633" w:rsidP="006F0633">
            <w:pPr>
              <w:keepNext/>
              <w:keepLines/>
              <w:widowControl w:val="0"/>
              <w:spacing w:before="80" w:after="40" w:line="250" w:lineRule="exact"/>
              <w:jc w:val="center"/>
              <w:rPr>
                <w:sz w:val="20"/>
                <w:szCs w:val="20"/>
              </w:rPr>
            </w:pPr>
            <w:r w:rsidRPr="00D91645">
              <w:rPr>
                <w:sz w:val="20"/>
                <w:szCs w:val="20"/>
              </w:rPr>
              <w:t>0.0066</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Pr>
          <w:p w14:paraId="34C7E3A5" w14:textId="77777777" w:rsidR="006F0633" w:rsidRPr="00D91645" w:rsidRDefault="006F0633" w:rsidP="006F0633">
            <w:pPr>
              <w:jc w:val="center"/>
              <w:rPr>
                <w:b/>
                <w:sz w:val="20"/>
                <w:szCs w:val="20"/>
              </w:rPr>
            </w:pPr>
          </w:p>
        </w:tc>
      </w:tr>
      <w:tr w:rsidR="006F0633" w:rsidRPr="00D91645" w14:paraId="115E7789" w14:textId="77777777" w:rsidTr="006F0633">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8495C15" w14:textId="2D4754B9" w:rsidR="006F0633" w:rsidRPr="00D91645" w:rsidRDefault="006F0633" w:rsidP="006F0633">
            <w:pPr>
              <w:rPr>
                <w:b/>
                <w:sz w:val="20"/>
                <w:szCs w:val="20"/>
              </w:rPr>
            </w:pPr>
            <w:r w:rsidRPr="00D91645">
              <w:rPr>
                <w:b/>
                <w:sz w:val="20"/>
                <w:szCs w:val="20"/>
              </w:rPr>
              <w:t>≥ 75% MMD responders – Weeks 1-12</w:t>
            </w:r>
          </w:p>
        </w:tc>
      </w:tr>
      <w:tr w:rsidR="009A3DC3" w:rsidRPr="00D91645" w14:paraId="501D029D" w14:textId="77777777" w:rsidTr="009A3DC3">
        <w:tc>
          <w:tcPr>
            <w:tcW w:w="3397" w:type="dxa"/>
            <w:tcBorders>
              <w:top w:val="single" w:sz="6" w:space="0" w:color="000000"/>
              <w:left w:val="single" w:sz="6" w:space="0" w:color="000000"/>
              <w:bottom w:val="single" w:sz="6" w:space="0" w:color="000000"/>
              <w:right w:val="single" w:sz="6" w:space="0" w:color="000000"/>
            </w:tcBorders>
            <w:vAlign w:val="center"/>
          </w:tcPr>
          <w:p w14:paraId="01D03533" w14:textId="2F1FA7DA" w:rsidR="009A3DC3" w:rsidRPr="00D91645" w:rsidRDefault="009A3DC3" w:rsidP="009A3DC3">
            <w:pPr>
              <w:rPr>
                <w:i/>
                <w:spacing w:val="-1"/>
                <w:sz w:val="20"/>
                <w:szCs w:val="20"/>
              </w:rPr>
            </w:pPr>
            <w:r w:rsidRPr="00D91645">
              <w:rPr>
                <w:spacing w:val="-1"/>
                <w:sz w:val="20"/>
                <w:szCs w:val="20"/>
              </w:rPr>
              <w:t>Responders</w:t>
            </w:r>
          </w:p>
        </w:tc>
        <w:tc>
          <w:tcPr>
            <w:tcW w:w="1843" w:type="dxa"/>
            <w:tcBorders>
              <w:top w:val="single" w:sz="6" w:space="0" w:color="000000"/>
              <w:left w:val="single" w:sz="6" w:space="0" w:color="000000"/>
              <w:bottom w:val="single" w:sz="6" w:space="0" w:color="000000"/>
              <w:right w:val="single" w:sz="6" w:space="0" w:color="000000"/>
            </w:tcBorders>
            <w:vAlign w:val="center"/>
          </w:tcPr>
          <w:p w14:paraId="2B9590C3" w14:textId="6C772D42" w:rsidR="009A3DC3" w:rsidRPr="00D91645" w:rsidRDefault="009A3DC3" w:rsidP="009A3DC3">
            <w:pPr>
              <w:keepNext/>
              <w:keepLines/>
              <w:widowControl w:val="0"/>
              <w:spacing w:before="80" w:after="40" w:line="250" w:lineRule="exact"/>
              <w:jc w:val="center"/>
              <w:rPr>
                <w:sz w:val="20"/>
                <w:szCs w:val="20"/>
              </w:rPr>
            </w:pPr>
            <w:r w:rsidRPr="00D91645">
              <w:rPr>
                <w:sz w:val="20"/>
                <w:szCs w:val="20"/>
              </w:rPr>
              <w:t>22.2%</w:t>
            </w:r>
          </w:p>
        </w:tc>
        <w:tc>
          <w:tcPr>
            <w:tcW w:w="1843" w:type="dxa"/>
            <w:tcBorders>
              <w:top w:val="single" w:sz="6" w:space="0" w:color="000000"/>
              <w:left w:val="single" w:sz="6" w:space="0" w:color="000000"/>
              <w:bottom w:val="single" w:sz="6" w:space="0" w:color="000000"/>
              <w:right w:val="single" w:sz="6" w:space="0" w:color="000000"/>
            </w:tcBorders>
            <w:vAlign w:val="center"/>
          </w:tcPr>
          <w:p w14:paraId="23DF5B44" w14:textId="33103FBA" w:rsidR="009A3DC3" w:rsidRPr="00D91645" w:rsidRDefault="009A3DC3" w:rsidP="009A3DC3">
            <w:pPr>
              <w:keepNext/>
              <w:keepLines/>
              <w:widowControl w:val="0"/>
              <w:spacing w:before="80" w:after="40" w:line="250" w:lineRule="exact"/>
              <w:jc w:val="center"/>
              <w:rPr>
                <w:sz w:val="20"/>
                <w:szCs w:val="20"/>
              </w:rPr>
            </w:pPr>
            <w:r w:rsidRPr="00D91645">
              <w:rPr>
                <w:sz w:val="20"/>
                <w:szCs w:val="20"/>
              </w:rPr>
              <w:t>29.7%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BD02B0" w14:textId="11699B10" w:rsidR="009A3DC3" w:rsidRPr="00D91645" w:rsidRDefault="009A3DC3" w:rsidP="009A3DC3">
            <w:pPr>
              <w:jc w:val="center"/>
              <w:rPr>
                <w:b/>
                <w:sz w:val="20"/>
                <w:szCs w:val="20"/>
              </w:rPr>
            </w:pPr>
            <w:r w:rsidRPr="00D91645">
              <w:rPr>
                <w:sz w:val="20"/>
                <w:szCs w:val="20"/>
              </w:rPr>
              <w:t>16.2%</w:t>
            </w:r>
          </w:p>
        </w:tc>
      </w:tr>
      <w:tr w:rsidR="009A3DC3" w:rsidRPr="00D91645" w14:paraId="04C5547F" w14:textId="77777777" w:rsidTr="009A3DC3">
        <w:tc>
          <w:tcPr>
            <w:tcW w:w="3397" w:type="dxa"/>
            <w:tcBorders>
              <w:top w:val="single" w:sz="6" w:space="0" w:color="000000"/>
              <w:left w:val="single" w:sz="6" w:space="0" w:color="000000"/>
              <w:bottom w:val="single" w:sz="6" w:space="0" w:color="000000"/>
              <w:right w:val="single" w:sz="6" w:space="0" w:color="000000"/>
            </w:tcBorders>
            <w:vAlign w:val="center"/>
          </w:tcPr>
          <w:p w14:paraId="34AE12C6" w14:textId="1B6E7C26" w:rsidR="009A3DC3" w:rsidRPr="00D91645" w:rsidRDefault="009A3DC3" w:rsidP="009A3DC3">
            <w:pPr>
              <w:rPr>
                <w:i/>
                <w:spacing w:val="-1"/>
                <w:sz w:val="20"/>
                <w:szCs w:val="20"/>
              </w:rPr>
            </w:pPr>
            <w:r w:rsidRPr="00D91645">
              <w:rPr>
                <w:sz w:val="20"/>
                <w:szCs w:val="20"/>
              </w:rPr>
              <w:t>Difference from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15131671" w14:textId="789D6E48" w:rsidR="009A3DC3" w:rsidRPr="00D91645" w:rsidRDefault="009A3DC3" w:rsidP="009A3DC3">
            <w:pPr>
              <w:keepNext/>
              <w:keepLines/>
              <w:widowControl w:val="0"/>
              <w:spacing w:before="80" w:after="40" w:line="250" w:lineRule="exact"/>
              <w:jc w:val="center"/>
              <w:rPr>
                <w:sz w:val="20"/>
                <w:szCs w:val="20"/>
              </w:rPr>
            </w:pPr>
            <w:r w:rsidRPr="00D91645">
              <w:rPr>
                <w:sz w:val="20"/>
                <w:szCs w:val="20"/>
              </w:rPr>
              <w:t>6.0%</w:t>
            </w:r>
          </w:p>
        </w:tc>
        <w:tc>
          <w:tcPr>
            <w:tcW w:w="1843" w:type="dxa"/>
            <w:tcBorders>
              <w:top w:val="single" w:sz="6" w:space="0" w:color="000000"/>
              <w:left w:val="single" w:sz="6" w:space="0" w:color="000000"/>
              <w:bottom w:val="single" w:sz="6" w:space="0" w:color="000000"/>
              <w:right w:val="single" w:sz="6" w:space="0" w:color="000000"/>
            </w:tcBorders>
            <w:vAlign w:val="center"/>
          </w:tcPr>
          <w:p w14:paraId="18509EBB" w14:textId="4A9CAE00" w:rsidR="009A3DC3" w:rsidRPr="00D91645" w:rsidRDefault="009A3DC3" w:rsidP="009A3DC3">
            <w:pPr>
              <w:keepNext/>
              <w:keepLines/>
              <w:widowControl w:val="0"/>
              <w:spacing w:before="80" w:after="40" w:line="250" w:lineRule="exact"/>
              <w:jc w:val="center"/>
              <w:rPr>
                <w:sz w:val="20"/>
                <w:szCs w:val="20"/>
              </w:rPr>
            </w:pPr>
            <w:r w:rsidRPr="00D91645">
              <w:rPr>
                <w:sz w:val="20"/>
                <w:szCs w:val="20"/>
              </w:rPr>
              <w:t>13.5%</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7E62FD1" w14:textId="77777777" w:rsidR="009A3DC3" w:rsidRPr="00D91645" w:rsidRDefault="009A3DC3" w:rsidP="009A3DC3">
            <w:pPr>
              <w:jc w:val="center"/>
              <w:rPr>
                <w:b/>
                <w:sz w:val="20"/>
                <w:szCs w:val="20"/>
              </w:rPr>
            </w:pPr>
          </w:p>
        </w:tc>
      </w:tr>
      <w:tr w:rsidR="009A3DC3" w:rsidRPr="00D91645" w14:paraId="6E264480" w14:textId="77777777" w:rsidTr="009A3DC3">
        <w:tc>
          <w:tcPr>
            <w:tcW w:w="3397" w:type="dxa"/>
            <w:tcBorders>
              <w:top w:val="single" w:sz="6" w:space="0" w:color="000000"/>
              <w:left w:val="single" w:sz="6" w:space="0" w:color="000000"/>
              <w:bottom w:val="single" w:sz="6" w:space="0" w:color="000000"/>
              <w:right w:val="single" w:sz="6" w:space="0" w:color="000000"/>
            </w:tcBorders>
            <w:vAlign w:val="center"/>
          </w:tcPr>
          <w:p w14:paraId="24E513E8" w14:textId="77CC1AED" w:rsidR="009A3DC3" w:rsidRPr="00D91645" w:rsidRDefault="009A3DC3" w:rsidP="009A3DC3">
            <w:pPr>
              <w:rPr>
                <w:i/>
                <w:spacing w:val="-1"/>
                <w:sz w:val="20"/>
                <w:szCs w:val="20"/>
              </w:rPr>
            </w:pPr>
            <w:r w:rsidRPr="00D91645">
              <w:rPr>
                <w:i/>
                <w:spacing w:val="-1"/>
                <w:sz w:val="20"/>
                <w:szCs w:val="20"/>
              </w:rPr>
              <w:t>p</w:t>
            </w:r>
            <w:r w:rsidRPr="00D91645">
              <w:rPr>
                <w:spacing w:val="-1"/>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033961C2" w14:textId="6C31E9A2" w:rsidR="009A3DC3" w:rsidRPr="00D91645" w:rsidRDefault="009A3DC3" w:rsidP="009A3DC3">
            <w:pPr>
              <w:keepNext/>
              <w:keepLines/>
              <w:widowControl w:val="0"/>
              <w:spacing w:before="80" w:after="40" w:line="250" w:lineRule="exact"/>
              <w:jc w:val="center"/>
              <w:rPr>
                <w:sz w:val="20"/>
                <w:szCs w:val="20"/>
              </w:rPr>
            </w:pPr>
            <w:r w:rsidRPr="00D91645">
              <w:rPr>
                <w:sz w:val="20"/>
                <w:szCs w:val="20"/>
              </w:rPr>
              <w:t>0.1126</w:t>
            </w:r>
          </w:p>
        </w:tc>
        <w:tc>
          <w:tcPr>
            <w:tcW w:w="1843" w:type="dxa"/>
            <w:tcBorders>
              <w:top w:val="single" w:sz="6" w:space="0" w:color="000000"/>
              <w:left w:val="single" w:sz="6" w:space="0" w:color="000000"/>
              <w:bottom w:val="single" w:sz="6" w:space="0" w:color="000000"/>
              <w:right w:val="single" w:sz="6" w:space="0" w:color="000000"/>
            </w:tcBorders>
            <w:vAlign w:val="center"/>
          </w:tcPr>
          <w:p w14:paraId="4B6804FA" w14:textId="51DCEFA6" w:rsidR="009A3DC3" w:rsidRPr="00D91645" w:rsidRDefault="009A3DC3" w:rsidP="009A3DC3">
            <w:pPr>
              <w:keepNext/>
              <w:keepLines/>
              <w:widowControl w:val="0"/>
              <w:spacing w:before="80" w:after="40" w:line="250" w:lineRule="exact"/>
              <w:jc w:val="center"/>
              <w:rPr>
                <w:sz w:val="20"/>
                <w:szCs w:val="20"/>
              </w:rPr>
            </w:pPr>
            <w:r w:rsidRPr="00D91645">
              <w:rPr>
                <w:sz w:val="20"/>
                <w:szCs w:val="20"/>
              </w:rPr>
              <w:t>0.0007</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093B8D2" w14:textId="77777777" w:rsidR="009A3DC3" w:rsidRPr="00D91645" w:rsidRDefault="009A3DC3" w:rsidP="009A3DC3">
            <w:pPr>
              <w:jc w:val="center"/>
              <w:rPr>
                <w:b/>
                <w:sz w:val="20"/>
                <w:szCs w:val="20"/>
              </w:rPr>
            </w:pPr>
          </w:p>
        </w:tc>
      </w:tr>
      <w:tr w:rsidR="006F0633" w:rsidRPr="00D91645" w14:paraId="54E63289" w14:textId="77777777" w:rsidTr="006F0633">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7D8028A" w14:textId="3AE713F7" w:rsidR="006F0633" w:rsidRPr="00D91645" w:rsidRDefault="006F0633" w:rsidP="006F0633">
            <w:pPr>
              <w:rPr>
                <w:b/>
                <w:sz w:val="20"/>
                <w:szCs w:val="20"/>
              </w:rPr>
            </w:pPr>
            <w:r w:rsidRPr="00D91645">
              <w:rPr>
                <w:b/>
                <w:sz w:val="20"/>
                <w:szCs w:val="20"/>
              </w:rPr>
              <w:t>≥ 50% MMD responders – Weeks 1-12</w:t>
            </w:r>
          </w:p>
        </w:tc>
      </w:tr>
      <w:tr w:rsidR="006F0633" w:rsidRPr="00D91645" w14:paraId="797A131D" w14:textId="77777777" w:rsidTr="006F0633">
        <w:tc>
          <w:tcPr>
            <w:tcW w:w="3397" w:type="dxa"/>
            <w:tcBorders>
              <w:top w:val="single" w:sz="6" w:space="0" w:color="000000"/>
              <w:left w:val="single" w:sz="6" w:space="0" w:color="000000"/>
              <w:bottom w:val="single" w:sz="6" w:space="0" w:color="000000"/>
              <w:right w:val="single" w:sz="6" w:space="0" w:color="000000"/>
            </w:tcBorders>
            <w:vAlign w:val="center"/>
          </w:tcPr>
          <w:p w14:paraId="3208C5D5" w14:textId="11A9CA2A" w:rsidR="006F0633" w:rsidRPr="00D91645" w:rsidRDefault="006F0633" w:rsidP="006F0633">
            <w:pPr>
              <w:rPr>
                <w:i/>
                <w:spacing w:val="-1"/>
                <w:sz w:val="20"/>
                <w:szCs w:val="20"/>
              </w:rPr>
            </w:pPr>
            <w:r w:rsidRPr="00D91645">
              <w:rPr>
                <w:spacing w:val="-1"/>
                <w:sz w:val="20"/>
                <w:szCs w:val="20"/>
              </w:rPr>
              <w:t>Responders</w:t>
            </w:r>
          </w:p>
        </w:tc>
        <w:tc>
          <w:tcPr>
            <w:tcW w:w="1843" w:type="dxa"/>
            <w:tcBorders>
              <w:top w:val="single" w:sz="6" w:space="0" w:color="000000"/>
              <w:left w:val="single" w:sz="6" w:space="0" w:color="000000"/>
              <w:bottom w:val="single" w:sz="6" w:space="0" w:color="000000"/>
              <w:right w:val="single" w:sz="6" w:space="0" w:color="000000"/>
            </w:tcBorders>
            <w:vAlign w:val="center"/>
          </w:tcPr>
          <w:p w14:paraId="159A3BC5" w14:textId="39BD6BE6" w:rsidR="006F0633" w:rsidRPr="00D91645" w:rsidRDefault="006F0633" w:rsidP="006F0633">
            <w:pPr>
              <w:keepNext/>
              <w:keepLines/>
              <w:widowControl w:val="0"/>
              <w:spacing w:before="80" w:after="40" w:line="250" w:lineRule="exact"/>
              <w:jc w:val="center"/>
              <w:rPr>
                <w:sz w:val="20"/>
                <w:szCs w:val="20"/>
              </w:rPr>
            </w:pPr>
            <w:r w:rsidRPr="00D91645">
              <w:rPr>
                <w:sz w:val="20"/>
                <w:szCs w:val="20"/>
              </w:rPr>
              <w:t>49.8%</w:t>
            </w:r>
          </w:p>
        </w:tc>
        <w:tc>
          <w:tcPr>
            <w:tcW w:w="1843" w:type="dxa"/>
            <w:tcBorders>
              <w:top w:val="single" w:sz="6" w:space="0" w:color="000000"/>
              <w:left w:val="single" w:sz="6" w:space="0" w:color="000000"/>
              <w:bottom w:val="single" w:sz="6" w:space="0" w:color="000000"/>
              <w:right w:val="single" w:sz="6" w:space="0" w:color="000000"/>
            </w:tcBorders>
            <w:vAlign w:val="center"/>
          </w:tcPr>
          <w:p w14:paraId="58F3C1AB" w14:textId="32E12AB3" w:rsidR="006F0633" w:rsidRPr="00D91645" w:rsidRDefault="006F0633" w:rsidP="006F0633">
            <w:pPr>
              <w:keepNext/>
              <w:keepLines/>
              <w:widowControl w:val="0"/>
              <w:spacing w:before="80" w:after="40" w:line="250" w:lineRule="exact"/>
              <w:jc w:val="center"/>
              <w:rPr>
                <w:sz w:val="20"/>
                <w:szCs w:val="20"/>
              </w:rPr>
            </w:pPr>
            <w:r w:rsidRPr="00D91645">
              <w:rPr>
                <w:sz w:val="20"/>
                <w:szCs w:val="20"/>
              </w:rPr>
              <w:t>56.3%</w:t>
            </w:r>
          </w:p>
        </w:tc>
        <w:tc>
          <w:tcPr>
            <w:tcW w:w="1701" w:type="dxa"/>
            <w:tcBorders>
              <w:top w:val="single" w:sz="6" w:space="0" w:color="000000"/>
              <w:left w:val="single" w:sz="6" w:space="0" w:color="000000"/>
              <w:bottom w:val="single" w:sz="6" w:space="0" w:color="000000"/>
              <w:right w:val="single" w:sz="6" w:space="0" w:color="000000"/>
            </w:tcBorders>
            <w:vAlign w:val="center"/>
          </w:tcPr>
          <w:p w14:paraId="1A599371" w14:textId="032FEE32" w:rsidR="006F0633" w:rsidRPr="00D91645" w:rsidRDefault="006F0633" w:rsidP="006F0633">
            <w:pPr>
              <w:jc w:val="center"/>
              <w:rPr>
                <w:b/>
                <w:sz w:val="20"/>
                <w:szCs w:val="20"/>
              </w:rPr>
            </w:pPr>
            <w:r w:rsidRPr="00D91645">
              <w:rPr>
                <w:sz w:val="20"/>
                <w:szCs w:val="20"/>
              </w:rPr>
              <w:t>37.4%</w:t>
            </w:r>
          </w:p>
        </w:tc>
      </w:tr>
      <w:tr w:rsidR="006F0633" w:rsidRPr="00D91645" w14:paraId="1E776388" w14:textId="77777777" w:rsidTr="006F0633">
        <w:tc>
          <w:tcPr>
            <w:tcW w:w="3397" w:type="dxa"/>
            <w:tcBorders>
              <w:top w:val="single" w:sz="6" w:space="0" w:color="000000"/>
              <w:left w:val="single" w:sz="6" w:space="0" w:color="000000"/>
              <w:bottom w:val="single" w:sz="6" w:space="0" w:color="000000"/>
              <w:right w:val="single" w:sz="6" w:space="0" w:color="000000"/>
            </w:tcBorders>
            <w:vAlign w:val="center"/>
          </w:tcPr>
          <w:p w14:paraId="3EB4EE8A" w14:textId="60D1AD7C" w:rsidR="006F0633" w:rsidRPr="00D91645" w:rsidRDefault="006F0633" w:rsidP="006F0633">
            <w:pPr>
              <w:rPr>
                <w:i/>
                <w:spacing w:val="-1"/>
                <w:sz w:val="20"/>
                <w:szCs w:val="20"/>
              </w:rPr>
            </w:pPr>
            <w:r w:rsidRPr="00D91645">
              <w:rPr>
                <w:sz w:val="20"/>
                <w:szCs w:val="20"/>
              </w:rPr>
              <w:t>Difference from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3E2FEA0B" w14:textId="66F9462A" w:rsidR="006F0633" w:rsidRPr="00D91645" w:rsidRDefault="006F0633" w:rsidP="006F0633">
            <w:pPr>
              <w:keepNext/>
              <w:keepLines/>
              <w:widowControl w:val="0"/>
              <w:spacing w:before="80" w:after="40" w:line="250" w:lineRule="exact"/>
              <w:jc w:val="center"/>
              <w:rPr>
                <w:sz w:val="20"/>
                <w:szCs w:val="20"/>
              </w:rPr>
            </w:pPr>
            <w:r w:rsidRPr="00D91645">
              <w:rPr>
                <w:sz w:val="20"/>
                <w:szCs w:val="20"/>
              </w:rPr>
              <w:t>12.4%</w:t>
            </w:r>
          </w:p>
        </w:tc>
        <w:tc>
          <w:tcPr>
            <w:tcW w:w="1843" w:type="dxa"/>
            <w:tcBorders>
              <w:top w:val="single" w:sz="6" w:space="0" w:color="000000"/>
              <w:left w:val="single" w:sz="6" w:space="0" w:color="000000"/>
              <w:bottom w:val="single" w:sz="6" w:space="0" w:color="000000"/>
              <w:right w:val="single" w:sz="6" w:space="0" w:color="000000"/>
            </w:tcBorders>
            <w:vAlign w:val="center"/>
          </w:tcPr>
          <w:p w14:paraId="4F326D87" w14:textId="04059B1E" w:rsidR="006F0633" w:rsidRPr="00D91645" w:rsidRDefault="006F0633" w:rsidP="006F0633">
            <w:pPr>
              <w:keepNext/>
              <w:keepLines/>
              <w:widowControl w:val="0"/>
              <w:spacing w:before="80" w:after="40" w:line="250" w:lineRule="exact"/>
              <w:jc w:val="center"/>
              <w:rPr>
                <w:sz w:val="20"/>
                <w:szCs w:val="20"/>
              </w:rPr>
            </w:pPr>
            <w:r w:rsidRPr="00D91645">
              <w:rPr>
                <w:sz w:val="20"/>
                <w:szCs w:val="20"/>
              </w:rPr>
              <w:t>18.9%</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CA0C376" w14:textId="77777777" w:rsidR="006F0633" w:rsidRPr="00D91645" w:rsidRDefault="006F0633" w:rsidP="006F0633">
            <w:pPr>
              <w:jc w:val="center"/>
              <w:rPr>
                <w:b/>
                <w:sz w:val="20"/>
                <w:szCs w:val="20"/>
              </w:rPr>
            </w:pPr>
          </w:p>
        </w:tc>
      </w:tr>
      <w:tr w:rsidR="006F0633" w:rsidRPr="00D91645" w14:paraId="1E0FFCA9" w14:textId="77777777" w:rsidTr="006F0633">
        <w:tc>
          <w:tcPr>
            <w:tcW w:w="3397" w:type="dxa"/>
            <w:tcBorders>
              <w:top w:val="single" w:sz="6" w:space="0" w:color="000000"/>
              <w:left w:val="single" w:sz="6" w:space="0" w:color="000000"/>
              <w:bottom w:val="single" w:sz="6" w:space="0" w:color="000000"/>
              <w:right w:val="single" w:sz="6" w:space="0" w:color="000000"/>
            </w:tcBorders>
            <w:vAlign w:val="center"/>
          </w:tcPr>
          <w:p w14:paraId="17C58678" w14:textId="661C89EA" w:rsidR="006F0633" w:rsidRPr="00D91645" w:rsidRDefault="006F0633" w:rsidP="006F0633">
            <w:pPr>
              <w:rPr>
                <w:i/>
                <w:spacing w:val="-1"/>
                <w:sz w:val="20"/>
                <w:szCs w:val="20"/>
              </w:rPr>
            </w:pPr>
            <w:r w:rsidRPr="00D91645">
              <w:rPr>
                <w:i/>
                <w:spacing w:val="-1"/>
                <w:sz w:val="20"/>
                <w:szCs w:val="20"/>
              </w:rPr>
              <w:t>p</w:t>
            </w:r>
            <w:r w:rsidRPr="00D91645">
              <w:rPr>
                <w:spacing w:val="-1"/>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0FC468C3" w14:textId="6FE3C2CD" w:rsidR="006F0633" w:rsidRPr="00D91645" w:rsidRDefault="006F0633" w:rsidP="006F0633">
            <w:pPr>
              <w:keepNext/>
              <w:keepLines/>
              <w:widowControl w:val="0"/>
              <w:spacing w:before="80" w:after="40" w:line="250" w:lineRule="exact"/>
              <w:jc w:val="center"/>
              <w:rPr>
                <w:sz w:val="20"/>
                <w:szCs w:val="20"/>
              </w:rPr>
            </w:pPr>
            <w:r w:rsidRPr="00D91645">
              <w:rPr>
                <w:sz w:val="20"/>
                <w:szCs w:val="20"/>
              </w:rPr>
              <w:t>0.0085</w:t>
            </w:r>
          </w:p>
        </w:tc>
        <w:tc>
          <w:tcPr>
            <w:tcW w:w="1843" w:type="dxa"/>
            <w:tcBorders>
              <w:top w:val="single" w:sz="6" w:space="0" w:color="000000"/>
              <w:left w:val="single" w:sz="6" w:space="0" w:color="000000"/>
              <w:bottom w:val="single" w:sz="6" w:space="0" w:color="000000"/>
              <w:right w:val="single" w:sz="6" w:space="0" w:color="000000"/>
            </w:tcBorders>
            <w:vAlign w:val="center"/>
          </w:tcPr>
          <w:p w14:paraId="7CF3B908" w14:textId="0FB528CA" w:rsidR="006F0633" w:rsidRPr="00D91645" w:rsidRDefault="006F0633" w:rsidP="006F0633">
            <w:pPr>
              <w:keepNext/>
              <w:keepLines/>
              <w:widowControl w:val="0"/>
              <w:spacing w:before="80" w:after="40" w:line="250" w:lineRule="exact"/>
              <w:jc w:val="center"/>
              <w:rPr>
                <w:sz w:val="20"/>
                <w:szCs w:val="20"/>
              </w:rPr>
            </w:pPr>
            <w:r w:rsidRPr="00D91645">
              <w:rPr>
                <w:sz w:val="20"/>
                <w:szCs w:val="20"/>
              </w:rPr>
              <w:t>0.0001</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D0E70F4" w14:textId="77777777" w:rsidR="006F0633" w:rsidRPr="00D91645" w:rsidRDefault="006F0633" w:rsidP="006F0633">
            <w:pPr>
              <w:jc w:val="center"/>
              <w:rPr>
                <w:b/>
                <w:sz w:val="20"/>
                <w:szCs w:val="20"/>
              </w:rPr>
            </w:pPr>
          </w:p>
        </w:tc>
      </w:tr>
      <w:tr w:rsidR="006F0633" w:rsidRPr="00D91645" w14:paraId="043CAC34" w14:textId="77777777" w:rsidTr="006F0633">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FBD1789" w14:textId="5F164AE0" w:rsidR="006F0633" w:rsidRPr="00D91645" w:rsidRDefault="006F0633" w:rsidP="006F0633">
            <w:pPr>
              <w:rPr>
                <w:b/>
                <w:sz w:val="20"/>
                <w:szCs w:val="20"/>
              </w:rPr>
            </w:pPr>
            <w:r w:rsidRPr="00D91645">
              <w:rPr>
                <w:b/>
                <w:sz w:val="20"/>
                <w:szCs w:val="20"/>
              </w:rPr>
              <w:t>Percent of Subjects with a Migraine on the Day After Dosing</w:t>
            </w:r>
          </w:p>
        </w:tc>
      </w:tr>
      <w:tr w:rsidR="006F0633" w:rsidRPr="00D91645" w14:paraId="2ED11572" w14:textId="77777777" w:rsidTr="006F0633">
        <w:tc>
          <w:tcPr>
            <w:tcW w:w="3397" w:type="dxa"/>
            <w:tcBorders>
              <w:top w:val="single" w:sz="6" w:space="0" w:color="000000"/>
              <w:left w:val="single" w:sz="6" w:space="0" w:color="000000"/>
              <w:bottom w:val="single" w:sz="6" w:space="0" w:color="000000"/>
              <w:right w:val="single" w:sz="6" w:space="0" w:color="000000"/>
            </w:tcBorders>
            <w:vAlign w:val="center"/>
          </w:tcPr>
          <w:p w14:paraId="636972A1" w14:textId="000B9F75" w:rsidR="006F0633" w:rsidRPr="00D91645" w:rsidRDefault="006F0633" w:rsidP="006F0633">
            <w:pPr>
              <w:rPr>
                <w:i/>
                <w:spacing w:val="-1"/>
                <w:sz w:val="20"/>
                <w:szCs w:val="20"/>
              </w:rPr>
            </w:pPr>
            <w:r w:rsidRPr="00D91645">
              <w:rPr>
                <w:spacing w:val="-1"/>
                <w:sz w:val="20"/>
                <w:szCs w:val="20"/>
              </w:rPr>
              <w:t>Migraine during the Baseline Period</w:t>
            </w:r>
            <w:r w:rsidRPr="00D91645">
              <w:rPr>
                <w:spacing w:val="-1"/>
                <w:sz w:val="20"/>
                <w:szCs w:val="20"/>
                <w:vertAlign w:val="superscript"/>
              </w:rPr>
              <w:t>a</w:t>
            </w:r>
          </w:p>
        </w:tc>
        <w:tc>
          <w:tcPr>
            <w:tcW w:w="1843" w:type="dxa"/>
            <w:tcBorders>
              <w:top w:val="single" w:sz="6" w:space="0" w:color="000000"/>
              <w:left w:val="single" w:sz="6" w:space="0" w:color="000000"/>
              <w:bottom w:val="single" w:sz="6" w:space="0" w:color="000000"/>
              <w:right w:val="single" w:sz="6" w:space="0" w:color="000000"/>
            </w:tcBorders>
            <w:vAlign w:val="center"/>
          </w:tcPr>
          <w:p w14:paraId="5F5F7D80" w14:textId="58F0EE58" w:rsidR="006F0633" w:rsidRPr="00D91645" w:rsidRDefault="006F0633" w:rsidP="006F0633">
            <w:pPr>
              <w:keepNext/>
              <w:keepLines/>
              <w:widowControl w:val="0"/>
              <w:spacing w:before="80" w:after="40" w:line="250" w:lineRule="exact"/>
              <w:jc w:val="center"/>
              <w:rPr>
                <w:sz w:val="20"/>
                <w:szCs w:val="20"/>
              </w:rPr>
            </w:pPr>
            <w:r w:rsidRPr="00D91645">
              <w:rPr>
                <w:sz w:val="20"/>
                <w:szCs w:val="20"/>
              </w:rPr>
              <w:t>31.0%</w:t>
            </w:r>
          </w:p>
        </w:tc>
        <w:tc>
          <w:tcPr>
            <w:tcW w:w="1843" w:type="dxa"/>
            <w:tcBorders>
              <w:top w:val="single" w:sz="6" w:space="0" w:color="000000"/>
              <w:left w:val="single" w:sz="6" w:space="0" w:color="000000"/>
              <w:bottom w:val="single" w:sz="6" w:space="0" w:color="000000"/>
              <w:right w:val="single" w:sz="6" w:space="0" w:color="000000"/>
            </w:tcBorders>
            <w:vAlign w:val="center"/>
          </w:tcPr>
          <w:p w14:paraId="6D5E90BB" w14:textId="2DF49192" w:rsidR="006F0633" w:rsidRPr="00D91645" w:rsidRDefault="006F0633" w:rsidP="006F0633">
            <w:pPr>
              <w:keepNext/>
              <w:keepLines/>
              <w:widowControl w:val="0"/>
              <w:spacing w:before="80" w:after="40" w:line="250" w:lineRule="exact"/>
              <w:jc w:val="center"/>
              <w:rPr>
                <w:sz w:val="20"/>
                <w:szCs w:val="20"/>
              </w:rPr>
            </w:pPr>
            <w:r w:rsidRPr="00D91645">
              <w:rPr>
                <w:sz w:val="20"/>
                <w:szCs w:val="20"/>
              </w:rPr>
              <w:t>30.8%</w:t>
            </w:r>
          </w:p>
        </w:tc>
        <w:tc>
          <w:tcPr>
            <w:tcW w:w="1701" w:type="dxa"/>
            <w:tcBorders>
              <w:top w:val="single" w:sz="6" w:space="0" w:color="000000"/>
              <w:left w:val="single" w:sz="6" w:space="0" w:color="000000"/>
              <w:bottom w:val="single" w:sz="6" w:space="0" w:color="000000"/>
              <w:right w:val="single" w:sz="6" w:space="0" w:color="000000"/>
            </w:tcBorders>
            <w:vAlign w:val="center"/>
          </w:tcPr>
          <w:p w14:paraId="5FE35217" w14:textId="1A8148DC" w:rsidR="006F0633" w:rsidRPr="00D91645" w:rsidRDefault="006F0633" w:rsidP="006F0633">
            <w:pPr>
              <w:jc w:val="center"/>
              <w:rPr>
                <w:b/>
                <w:sz w:val="20"/>
                <w:szCs w:val="20"/>
              </w:rPr>
            </w:pPr>
            <w:r w:rsidRPr="00D91645">
              <w:rPr>
                <w:sz w:val="20"/>
                <w:szCs w:val="20"/>
              </w:rPr>
              <w:t>29.8%</w:t>
            </w:r>
          </w:p>
        </w:tc>
      </w:tr>
      <w:tr w:rsidR="006F0633" w:rsidRPr="00D91645" w14:paraId="081B42C6" w14:textId="77777777" w:rsidTr="006F0633">
        <w:tc>
          <w:tcPr>
            <w:tcW w:w="3397" w:type="dxa"/>
            <w:tcBorders>
              <w:top w:val="single" w:sz="6" w:space="0" w:color="000000"/>
              <w:left w:val="single" w:sz="6" w:space="0" w:color="000000"/>
              <w:bottom w:val="single" w:sz="6" w:space="0" w:color="000000"/>
              <w:right w:val="single" w:sz="6" w:space="0" w:color="000000"/>
            </w:tcBorders>
            <w:vAlign w:val="center"/>
          </w:tcPr>
          <w:p w14:paraId="6A5D0BB1" w14:textId="6CD4E9F3" w:rsidR="006F0633" w:rsidRPr="00D91645" w:rsidRDefault="006F0633" w:rsidP="006F0633">
            <w:pPr>
              <w:rPr>
                <w:i/>
                <w:spacing w:val="-1"/>
                <w:sz w:val="20"/>
                <w:szCs w:val="20"/>
              </w:rPr>
            </w:pPr>
            <w:r w:rsidRPr="00D91645">
              <w:rPr>
                <w:spacing w:val="-1"/>
                <w:sz w:val="20"/>
                <w:szCs w:val="20"/>
              </w:rPr>
              <w:t>Day 1</w:t>
            </w:r>
          </w:p>
        </w:tc>
        <w:tc>
          <w:tcPr>
            <w:tcW w:w="1843" w:type="dxa"/>
            <w:tcBorders>
              <w:top w:val="single" w:sz="6" w:space="0" w:color="000000"/>
              <w:left w:val="single" w:sz="6" w:space="0" w:color="000000"/>
              <w:bottom w:val="single" w:sz="6" w:space="0" w:color="000000"/>
              <w:right w:val="single" w:sz="6" w:space="0" w:color="000000"/>
            </w:tcBorders>
            <w:vAlign w:val="center"/>
          </w:tcPr>
          <w:p w14:paraId="0E9686DB" w14:textId="3F1FFACD" w:rsidR="006F0633" w:rsidRPr="00D91645" w:rsidRDefault="006F0633" w:rsidP="006F0633">
            <w:pPr>
              <w:keepNext/>
              <w:keepLines/>
              <w:widowControl w:val="0"/>
              <w:spacing w:before="80" w:after="40" w:line="250" w:lineRule="exact"/>
              <w:jc w:val="center"/>
              <w:rPr>
                <w:sz w:val="20"/>
                <w:szCs w:val="20"/>
              </w:rPr>
            </w:pPr>
            <w:r w:rsidRPr="00D91645">
              <w:rPr>
                <w:sz w:val="20"/>
                <w:szCs w:val="20"/>
              </w:rPr>
              <w:t>14.8%</w:t>
            </w:r>
          </w:p>
        </w:tc>
        <w:tc>
          <w:tcPr>
            <w:tcW w:w="1843" w:type="dxa"/>
            <w:tcBorders>
              <w:top w:val="single" w:sz="6" w:space="0" w:color="000000"/>
              <w:left w:val="single" w:sz="6" w:space="0" w:color="000000"/>
              <w:bottom w:val="single" w:sz="6" w:space="0" w:color="000000"/>
              <w:right w:val="single" w:sz="6" w:space="0" w:color="000000"/>
            </w:tcBorders>
            <w:vAlign w:val="center"/>
          </w:tcPr>
          <w:p w14:paraId="3FC03535" w14:textId="48E55720" w:rsidR="006F0633" w:rsidRPr="00D91645" w:rsidRDefault="006F0633" w:rsidP="006F0633">
            <w:pPr>
              <w:keepNext/>
              <w:keepLines/>
              <w:widowControl w:val="0"/>
              <w:spacing w:before="80" w:after="40" w:line="250" w:lineRule="exact"/>
              <w:jc w:val="center"/>
              <w:rPr>
                <w:sz w:val="20"/>
                <w:szCs w:val="20"/>
              </w:rPr>
            </w:pPr>
            <w:r w:rsidRPr="00D91645">
              <w:rPr>
                <w:sz w:val="20"/>
                <w:szCs w:val="20"/>
              </w:rPr>
              <w:t>13.9%</w:t>
            </w:r>
          </w:p>
        </w:tc>
        <w:tc>
          <w:tcPr>
            <w:tcW w:w="1701" w:type="dxa"/>
            <w:tcBorders>
              <w:top w:val="single" w:sz="6" w:space="0" w:color="000000"/>
              <w:left w:val="single" w:sz="6" w:space="0" w:color="000000"/>
              <w:bottom w:val="single" w:sz="6" w:space="0" w:color="000000"/>
              <w:right w:val="single" w:sz="6" w:space="0" w:color="000000"/>
            </w:tcBorders>
            <w:vAlign w:val="center"/>
          </w:tcPr>
          <w:p w14:paraId="4BC60E31" w14:textId="214C397F" w:rsidR="006F0633" w:rsidRPr="00D91645" w:rsidRDefault="006F0633" w:rsidP="006F0633">
            <w:pPr>
              <w:jc w:val="center"/>
              <w:rPr>
                <w:b/>
                <w:sz w:val="20"/>
                <w:szCs w:val="20"/>
              </w:rPr>
            </w:pPr>
            <w:r w:rsidRPr="00D91645">
              <w:rPr>
                <w:sz w:val="20"/>
                <w:szCs w:val="20"/>
              </w:rPr>
              <w:t>22.5%</w:t>
            </w:r>
          </w:p>
        </w:tc>
      </w:tr>
      <w:tr w:rsidR="006F0633" w:rsidRPr="00D91645" w14:paraId="46CDAD9A" w14:textId="77777777" w:rsidTr="006F0633">
        <w:tc>
          <w:tcPr>
            <w:tcW w:w="3397" w:type="dxa"/>
            <w:tcBorders>
              <w:top w:val="single" w:sz="6" w:space="0" w:color="000000"/>
              <w:left w:val="single" w:sz="6" w:space="0" w:color="000000"/>
              <w:bottom w:val="single" w:sz="6" w:space="0" w:color="000000"/>
              <w:right w:val="single" w:sz="6" w:space="0" w:color="000000"/>
            </w:tcBorders>
            <w:vAlign w:val="center"/>
          </w:tcPr>
          <w:p w14:paraId="1423D32C" w14:textId="044692EF" w:rsidR="006F0633" w:rsidRPr="00D91645" w:rsidRDefault="006F0633" w:rsidP="006F0633">
            <w:pPr>
              <w:rPr>
                <w:i/>
                <w:spacing w:val="-1"/>
                <w:sz w:val="20"/>
                <w:szCs w:val="20"/>
              </w:rPr>
            </w:pPr>
            <w:r w:rsidRPr="00D91645">
              <w:rPr>
                <w:i/>
                <w:iCs/>
                <w:spacing w:val="-1"/>
                <w:sz w:val="20"/>
                <w:szCs w:val="20"/>
              </w:rPr>
              <w:t>p</w:t>
            </w:r>
            <w:r w:rsidRPr="00D91645">
              <w:rPr>
                <w:spacing w:val="-1"/>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3D68FA7A" w14:textId="227F8D7A" w:rsidR="006F0633" w:rsidRPr="00D91645" w:rsidRDefault="006F0633" w:rsidP="006F0633">
            <w:pPr>
              <w:keepNext/>
              <w:keepLines/>
              <w:widowControl w:val="0"/>
              <w:spacing w:before="80" w:after="40" w:line="250" w:lineRule="exact"/>
              <w:jc w:val="center"/>
              <w:rPr>
                <w:sz w:val="20"/>
                <w:szCs w:val="20"/>
              </w:rPr>
            </w:pPr>
            <w:r w:rsidRPr="00D91645">
              <w:rPr>
                <w:sz w:val="20"/>
                <w:szCs w:val="20"/>
              </w:rPr>
              <w:t>0.0312</w:t>
            </w:r>
          </w:p>
        </w:tc>
        <w:tc>
          <w:tcPr>
            <w:tcW w:w="1843" w:type="dxa"/>
            <w:tcBorders>
              <w:top w:val="single" w:sz="6" w:space="0" w:color="000000"/>
              <w:left w:val="single" w:sz="6" w:space="0" w:color="000000"/>
              <w:bottom w:val="single" w:sz="6" w:space="0" w:color="000000"/>
              <w:right w:val="single" w:sz="6" w:space="0" w:color="000000"/>
            </w:tcBorders>
            <w:vAlign w:val="center"/>
          </w:tcPr>
          <w:p w14:paraId="7F5DFCB3" w14:textId="12635312" w:rsidR="006F0633" w:rsidRPr="00D91645" w:rsidRDefault="006F0633" w:rsidP="006F0633">
            <w:pPr>
              <w:keepNext/>
              <w:keepLines/>
              <w:widowControl w:val="0"/>
              <w:spacing w:before="80" w:after="40" w:line="250" w:lineRule="exact"/>
              <w:jc w:val="center"/>
              <w:rPr>
                <w:sz w:val="20"/>
                <w:szCs w:val="20"/>
              </w:rPr>
            </w:pPr>
            <w:r w:rsidRPr="00D91645">
              <w:rPr>
                <w:sz w:val="20"/>
                <w:szCs w:val="20"/>
              </w:rPr>
              <w:t>0.0159</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3B44BD3" w14:textId="77777777" w:rsidR="006F0633" w:rsidRPr="00D91645" w:rsidRDefault="006F0633" w:rsidP="006F0633">
            <w:pPr>
              <w:jc w:val="center"/>
              <w:rPr>
                <w:b/>
                <w:sz w:val="20"/>
                <w:szCs w:val="20"/>
              </w:rPr>
            </w:pPr>
          </w:p>
        </w:tc>
      </w:tr>
    </w:tbl>
    <w:p w14:paraId="3FD1993F" w14:textId="0E2813CA" w:rsidR="00B8698D" w:rsidRPr="00C5172D" w:rsidRDefault="0070302F" w:rsidP="00C517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sidRPr="0070302F">
        <w:rPr>
          <w:sz w:val="20"/>
          <w:vertAlign w:val="superscript"/>
        </w:rPr>
        <w:t>a</w:t>
      </w:r>
      <w:r w:rsidRPr="0070302F">
        <w:rPr>
          <w:sz w:val="20"/>
        </w:rPr>
        <w:t xml:space="preserve"> A baseline was the average over the 28-day screening period prior to receiving treatment</w:t>
      </w:r>
      <w:r w:rsidR="006F0F62">
        <w:rPr>
          <w:sz w:val="20"/>
        </w:rPr>
        <w:t>.</w:t>
      </w:r>
    </w:p>
    <w:p w14:paraId="6FE286BF" w14:textId="796F56CB" w:rsidR="00D7354B" w:rsidRPr="00D7354B" w:rsidRDefault="009C32C6" w:rsidP="00D7354B">
      <w:pPr>
        <w:spacing w:before="120" w:after="120" w:line="280" w:lineRule="atLeast"/>
        <w:rPr>
          <w:rFonts w:eastAsia="SimSun"/>
          <w:b/>
          <w:u w:val="single"/>
          <w:lang w:val="en-US" w:eastAsia="en-GB"/>
        </w:rPr>
      </w:pPr>
      <w:r>
        <w:rPr>
          <w:rFonts w:eastAsia="SimSun"/>
          <w:b/>
          <w:u w:val="single"/>
          <w:lang w:val="en-US" w:eastAsia="en-GB"/>
        </w:rPr>
        <w:t>PROMISE 2</w:t>
      </w:r>
      <w:r w:rsidR="00D7354B" w:rsidRPr="00D7354B">
        <w:rPr>
          <w:rFonts w:eastAsia="SimSun"/>
          <w:b/>
          <w:u w:val="single"/>
          <w:lang w:val="en-US" w:eastAsia="en-GB"/>
        </w:rPr>
        <w:t>: Chronic Migraine</w:t>
      </w:r>
    </w:p>
    <w:p w14:paraId="60583E74" w14:textId="352DC0C4" w:rsidR="00D7354B" w:rsidRPr="00D7354B" w:rsidRDefault="00F501A5" w:rsidP="00D7354B">
      <w:pPr>
        <w:spacing w:before="120" w:after="120" w:line="280" w:lineRule="atLeast"/>
        <w:rPr>
          <w:rFonts w:eastAsia="SimSun"/>
          <w:lang w:val="en-US" w:eastAsia="en-GB"/>
        </w:rPr>
      </w:pPr>
      <w:r>
        <w:rPr>
          <w:rFonts w:eastAsia="SimSun"/>
          <w:lang w:val="en-US" w:eastAsia="en-GB"/>
        </w:rPr>
        <w:t>PROMISE 2</w:t>
      </w:r>
      <w:r w:rsidR="00D7354B" w:rsidRPr="00D7354B">
        <w:rPr>
          <w:rFonts w:eastAsia="SimSun"/>
          <w:lang w:val="en-US" w:eastAsia="en-GB"/>
        </w:rPr>
        <w:t xml:space="preserve"> was a parallel-group, double-blind, placebo-controlled global </w:t>
      </w:r>
      <w:r w:rsidR="00CA00F8">
        <w:rPr>
          <w:rFonts w:eastAsia="SimSun"/>
          <w:lang w:val="en-US" w:eastAsia="en-GB"/>
        </w:rPr>
        <w:t xml:space="preserve">study </w:t>
      </w:r>
      <w:r w:rsidR="00D7354B" w:rsidRPr="00D7354B">
        <w:rPr>
          <w:rFonts w:eastAsia="SimSun"/>
          <w:lang w:val="en-US" w:eastAsia="en-GB"/>
        </w:rPr>
        <w:t xml:space="preserve">to evaluate the efficacy and safety of </w:t>
      </w:r>
      <w:r w:rsidR="002646FB">
        <w:rPr>
          <w:rFonts w:eastAsia="SimSun"/>
          <w:lang w:val="en-US" w:eastAsia="en-GB"/>
        </w:rPr>
        <w:t>VYEPTI®</w:t>
      </w:r>
      <w:r w:rsidR="00D7354B" w:rsidRPr="00D7354B">
        <w:rPr>
          <w:rFonts w:eastAsia="SimSun"/>
          <w:lang w:val="en-US" w:eastAsia="en-GB"/>
        </w:rPr>
        <w:t>for the preventive treatment of chronic migraine in adults. A total of 1,072 patients were randomized and received placebo (N=366), 100 mg eptinezumab (N=356), or 300 mg eptinezumab (N=</w:t>
      </w:r>
      <w:r w:rsidR="00D7354B" w:rsidRPr="00EB4C9B">
        <w:rPr>
          <w:rFonts w:eastAsia="SimSun"/>
          <w:lang w:val="en-US" w:eastAsia="en-GB"/>
        </w:rPr>
        <w:t xml:space="preserve">350) every 12 weeks for 24 weeks (2 infusions). </w:t>
      </w:r>
      <w:r w:rsidR="00D7354B" w:rsidRPr="00DE33E6">
        <w:rPr>
          <w:rFonts w:eastAsia="SimSun"/>
          <w:lang w:val="en-US" w:eastAsia="en-GB"/>
        </w:rPr>
        <w:t xml:space="preserve">During the </w:t>
      </w:r>
      <w:r w:rsidR="00643731">
        <w:rPr>
          <w:rFonts w:eastAsia="SimSun"/>
          <w:lang w:val="en-US" w:eastAsia="en-GB"/>
        </w:rPr>
        <w:t>study</w:t>
      </w:r>
      <w:r w:rsidR="00D7354B" w:rsidRPr="00DE33E6">
        <w:rPr>
          <w:rFonts w:eastAsia="SimSun"/>
          <w:lang w:val="en-US" w:eastAsia="en-GB"/>
        </w:rPr>
        <w:t>, patients were allowed to use acute or preventive medication for migraine or headache on an established stable regimen (except for onabotulinumtoxin</w:t>
      </w:r>
      <w:r w:rsidR="00C805C7">
        <w:rPr>
          <w:rFonts w:eastAsia="SimSun"/>
          <w:lang w:val="en-US" w:eastAsia="en-GB"/>
        </w:rPr>
        <w:t xml:space="preserve"> </w:t>
      </w:r>
      <w:r w:rsidR="00D7354B" w:rsidRPr="00DE33E6">
        <w:rPr>
          <w:rFonts w:eastAsia="SimSun"/>
          <w:lang w:val="en-US" w:eastAsia="en-GB"/>
        </w:rPr>
        <w:t xml:space="preserve">A). </w:t>
      </w:r>
      <w:r w:rsidR="00D7354B" w:rsidRPr="00EB4C9B">
        <w:rPr>
          <w:rFonts w:eastAsia="SimSun"/>
          <w:lang w:val="en-US" w:eastAsia="en-GB"/>
        </w:rPr>
        <w:t xml:space="preserve">Patients with a dual diagnosis of chronic migraine and medication overuse headache (associated with the overuse of triptans, ergotamine, or combination analgesics &gt; 10 days/month, or </w:t>
      </w:r>
      <w:r w:rsidR="00EF13CF">
        <w:rPr>
          <w:rFonts w:eastAsia="SimSun"/>
          <w:lang w:val="en-US" w:eastAsia="en-GB"/>
        </w:rPr>
        <w:lastRenderedPageBreak/>
        <w:t>paracetamol</w:t>
      </w:r>
      <w:r w:rsidR="00D7354B" w:rsidRPr="00EB4C9B">
        <w:rPr>
          <w:rFonts w:eastAsia="SimSun"/>
          <w:lang w:val="en-US" w:eastAsia="en-GB"/>
        </w:rPr>
        <w:t xml:space="preserve">, </w:t>
      </w:r>
      <w:r w:rsidR="00EF13CF">
        <w:rPr>
          <w:rFonts w:eastAsia="SimSun"/>
          <w:lang w:val="en-US" w:eastAsia="en-GB"/>
        </w:rPr>
        <w:t>aspirin</w:t>
      </w:r>
      <w:r w:rsidR="00D7354B" w:rsidRPr="00EB4C9B">
        <w:rPr>
          <w:rFonts w:eastAsia="SimSun"/>
          <w:lang w:val="en-US" w:eastAsia="en-GB"/>
        </w:rPr>
        <w:t>, or non-steroidal anti-inflammatory drugs ≥ 15 days/month) were included in the study population.</w:t>
      </w:r>
      <w:r w:rsidR="00D7354B" w:rsidRPr="00D7354B">
        <w:rPr>
          <w:rFonts w:eastAsia="SimSun"/>
          <w:lang w:val="en-US" w:eastAsia="en-GB"/>
        </w:rPr>
        <w:t xml:space="preserve"> Patients </w:t>
      </w:r>
      <w:r w:rsidR="00EF13CF">
        <w:rPr>
          <w:rFonts w:eastAsia="SimSun"/>
          <w:lang w:val="en-US" w:eastAsia="en-GB"/>
        </w:rPr>
        <w:t>taking</w:t>
      </w:r>
      <w:r w:rsidR="00EF13CF" w:rsidRPr="00D7354B">
        <w:rPr>
          <w:rFonts w:eastAsia="SimSun"/>
          <w:lang w:val="en-US" w:eastAsia="en-GB"/>
        </w:rPr>
        <w:t xml:space="preserve"> </w:t>
      </w:r>
      <w:r w:rsidR="00D7354B" w:rsidRPr="00D7354B">
        <w:rPr>
          <w:rFonts w:eastAsia="SimSun"/>
          <w:lang w:val="en-US" w:eastAsia="en-GB"/>
        </w:rPr>
        <w:t>opioids or butalbital containing products &gt; 4 days/month were excluded.</w:t>
      </w:r>
    </w:p>
    <w:p w14:paraId="3460C5BA" w14:textId="1B8310CC" w:rsidR="00D7354B" w:rsidRPr="00D7354B" w:rsidRDefault="00D7354B" w:rsidP="00D7354B">
      <w:pPr>
        <w:spacing w:before="120" w:after="120" w:line="280" w:lineRule="atLeast"/>
        <w:rPr>
          <w:rFonts w:eastAsia="SimSun"/>
          <w:lang w:val="en-US" w:eastAsia="en-GB"/>
        </w:rPr>
      </w:pPr>
      <w:r w:rsidRPr="00D7354B">
        <w:rPr>
          <w:rFonts w:eastAsia="SimSun"/>
          <w:lang w:val="en-US" w:eastAsia="en-GB"/>
        </w:rPr>
        <w:t>The primary efficacy endpoint was the change from baseline in mean MMD over Weeks 1-12. The key secondary endpoints included ≥ 50% and ≥ 75% migraine responder rates defined as the proportion of patients achieving the specified percent reduction in migraine days over Weeks 1-12, ≥ 75% migraine responder rate over Weeks 1-4, the percentage of subjects with a migraine on the day after dosing, the reduction in migraine prevalence from baseline to Week 4, the change from baseline in the total score on the Headache Impact Test (HIT-6) at Week 12 (300 mg dose only), and the change from baseline in acute monthly migraine medication days, mean over Weeks 1-12 (300 mg dose only). The HIT-6 is a self-administered questionnaire assessing the impact of headache on the functional status of patients with migraine. Interpretation of the impact of migraine on daily function by total score is as follows: 60-78 = Severe; 56-59 = Substantial, 50-55 = Some, and 36-49 = little to none.</w:t>
      </w:r>
    </w:p>
    <w:p w14:paraId="7F8E4563" w14:textId="70CA49EE" w:rsidR="00D7354B" w:rsidRPr="00993CD1" w:rsidRDefault="00D7354B" w:rsidP="00993CD1">
      <w:pPr>
        <w:shd w:val="clear" w:color="auto" w:fill="FFFFFF" w:themeFill="background1"/>
        <w:spacing w:before="120" w:after="120" w:line="280" w:lineRule="atLeast"/>
        <w:rPr>
          <w:rFonts w:eastAsia="SimSun"/>
          <w:lang w:val="en-US" w:eastAsia="en-GB"/>
        </w:rPr>
      </w:pPr>
      <w:r w:rsidRPr="00D7354B">
        <w:rPr>
          <w:rFonts w:eastAsia="SimSun"/>
          <w:lang w:val="en-US" w:eastAsia="en-GB"/>
        </w:rPr>
        <w:t xml:space="preserve">Patients had a mean age of 41 years (range: 18 to 65 years), 88% were female, and 91% were </w:t>
      </w:r>
      <w:r w:rsidR="00085A9A">
        <w:rPr>
          <w:rFonts w:eastAsia="SimSun"/>
          <w:lang w:val="en-US" w:eastAsia="en-GB"/>
        </w:rPr>
        <w:t>white</w:t>
      </w:r>
      <w:r w:rsidRPr="00D7354B">
        <w:rPr>
          <w:rFonts w:eastAsia="SimSun"/>
          <w:lang w:val="en-US" w:eastAsia="en-GB"/>
        </w:rPr>
        <w:t xml:space="preserve">. Forty-one percent of patients were taking concomitant preventive medication for </w:t>
      </w:r>
      <w:r w:rsidRPr="00993CD1">
        <w:rPr>
          <w:rFonts w:eastAsia="SimSun"/>
          <w:lang w:val="en-US" w:eastAsia="en-GB"/>
        </w:rPr>
        <w:t xml:space="preserve">migraine. </w:t>
      </w:r>
      <w:r w:rsidR="00015879" w:rsidRPr="00993CD1">
        <w:rPr>
          <w:rFonts w:eastAsia="SimSun"/>
          <w:lang w:val="en-US" w:eastAsia="en-GB"/>
        </w:rPr>
        <w:t>The mean number of migraine days per month at baseline was 16.1 and the rate of patients with a migraine on a given day was 57.6% during the screening period; both were similar across treatment groups.</w:t>
      </w:r>
    </w:p>
    <w:p w14:paraId="1008D87C" w14:textId="77634F6E" w:rsidR="00D7354B" w:rsidRPr="00D7354B" w:rsidRDefault="00D7354B" w:rsidP="00993CD1">
      <w:pPr>
        <w:shd w:val="clear" w:color="auto" w:fill="FFFFFF" w:themeFill="background1"/>
        <w:spacing w:before="120" w:after="120" w:line="280" w:lineRule="atLeast"/>
        <w:rPr>
          <w:rFonts w:eastAsia="SimSun"/>
          <w:lang w:val="en-US" w:eastAsia="en-GB"/>
        </w:rPr>
      </w:pPr>
      <w:r w:rsidRPr="00993CD1">
        <w:rPr>
          <w:rFonts w:eastAsia="SimSun"/>
          <w:lang w:val="en-US" w:eastAsia="en-GB"/>
        </w:rPr>
        <w:t>The monthly results over Weeks 1-24, following</w:t>
      </w:r>
      <w:r w:rsidR="00085A9A" w:rsidRPr="00993CD1">
        <w:rPr>
          <w:rFonts w:eastAsia="SimSun"/>
          <w:lang w:val="en-US" w:eastAsia="en-GB"/>
        </w:rPr>
        <w:t xml:space="preserve"> two </w:t>
      </w:r>
      <w:r w:rsidRPr="00993CD1">
        <w:rPr>
          <w:rFonts w:eastAsia="SimSun"/>
          <w:lang w:val="en-US" w:eastAsia="en-GB"/>
        </w:rPr>
        <w:t xml:space="preserve">quarterly infusions of </w:t>
      </w:r>
      <w:r w:rsidR="002646FB">
        <w:rPr>
          <w:rFonts w:eastAsia="SimSun"/>
          <w:lang w:val="en-US" w:eastAsia="en-GB"/>
        </w:rPr>
        <w:t>VYEPTI®</w:t>
      </w:r>
      <w:r w:rsidR="00F415D3">
        <w:rPr>
          <w:rFonts w:eastAsia="SimSun"/>
          <w:lang w:val="en-US" w:eastAsia="en-GB"/>
        </w:rPr>
        <w:t xml:space="preserve"> </w:t>
      </w:r>
      <w:r w:rsidRPr="00993CD1">
        <w:rPr>
          <w:rFonts w:eastAsia="SimSun"/>
          <w:lang w:val="en-US" w:eastAsia="en-GB"/>
        </w:rPr>
        <w:t>treatment are presented as change</w:t>
      </w:r>
      <w:r w:rsidR="00CC2BA6">
        <w:rPr>
          <w:rFonts w:eastAsia="SimSun"/>
          <w:lang w:val="en-US" w:eastAsia="en-GB"/>
        </w:rPr>
        <w:t>s</w:t>
      </w:r>
      <w:r w:rsidRPr="00993CD1">
        <w:rPr>
          <w:rFonts w:eastAsia="SimSun"/>
          <w:lang w:val="en-US" w:eastAsia="en-GB"/>
        </w:rPr>
        <w:t xml:space="preserve"> from baseline in mean MMD (</w:t>
      </w:r>
      <w:hyperlink w:anchor="Fig3" w:history="1">
        <w:r w:rsidRPr="0029600B">
          <w:rPr>
            <w:rStyle w:val="Hyperlink"/>
            <w:rFonts w:eastAsia="SimSun"/>
            <w:lang w:val="en-US" w:eastAsia="en-GB"/>
          </w:rPr>
          <w:t>Figure 3</w:t>
        </w:r>
      </w:hyperlink>
      <w:r w:rsidRPr="00993CD1">
        <w:rPr>
          <w:rFonts w:eastAsia="SimSun"/>
          <w:lang w:val="en-US" w:eastAsia="en-GB"/>
        </w:rPr>
        <w:t xml:space="preserve">). </w:t>
      </w:r>
      <w:r w:rsidR="00775117" w:rsidRPr="00993CD1">
        <w:rPr>
          <w:rFonts w:eastAsia="SimSun"/>
          <w:lang w:val="en-US" w:eastAsia="en-GB"/>
        </w:rPr>
        <w:t xml:space="preserve">Both </w:t>
      </w:r>
      <w:r w:rsidR="002646FB">
        <w:rPr>
          <w:rFonts w:eastAsia="SimSun"/>
          <w:lang w:val="en-US" w:eastAsia="en-GB"/>
        </w:rPr>
        <w:t>VYEPTI®</w:t>
      </w:r>
      <w:r w:rsidR="00775117" w:rsidRPr="00993CD1">
        <w:rPr>
          <w:rFonts w:eastAsia="SimSun"/>
          <w:lang w:val="en-US" w:eastAsia="en-GB"/>
        </w:rPr>
        <w:t>100 mg and 300 mg treatment groups demonstrated statistically significant and clinically meaningful greater improvements from baseline to week 1-12 compared to placebo on mean MMD. For both doses of VYEPTI</w:t>
      </w:r>
      <w:r w:rsidR="008C61D5">
        <w:t>®</w:t>
      </w:r>
      <w:r w:rsidR="00775117" w:rsidRPr="00993CD1">
        <w:rPr>
          <w:rFonts w:eastAsia="SimSun"/>
          <w:lang w:val="en-US" w:eastAsia="en-GB"/>
        </w:rPr>
        <w:t>, greater mean decrease in MMDs compared to placebo were sustained for all timepoints through to Week 24.</w:t>
      </w:r>
    </w:p>
    <w:p w14:paraId="1FC26109" w14:textId="0DF5C7F8" w:rsidR="00C5172D" w:rsidRDefault="00101B59" w:rsidP="00C5172D">
      <w:pPr>
        <w:spacing w:before="120" w:after="120" w:line="280" w:lineRule="atLeast"/>
        <w:jc w:val="center"/>
        <w:rPr>
          <w:rFonts w:eastAsia="SimSun"/>
          <w:b/>
          <w:sz w:val="20"/>
          <w:szCs w:val="20"/>
          <w:lang w:val="en-US" w:eastAsia="en-GB"/>
        </w:rPr>
      </w:pPr>
      <w:r>
        <w:rPr>
          <w:noProof/>
          <w:lang w:eastAsia="en-AU"/>
        </w:rPr>
        <w:drawing>
          <wp:inline distT="0" distB="0" distL="0" distR="0" wp14:anchorId="75068F4D" wp14:editId="17B47F6D">
            <wp:extent cx="4548855" cy="340995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AYIW_P2_L2.tif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68606" cy="3424756"/>
                    </a:xfrm>
                    <a:prstGeom prst="rect">
                      <a:avLst/>
                    </a:prstGeom>
                  </pic:spPr>
                </pic:pic>
              </a:graphicData>
            </a:graphic>
          </wp:inline>
        </w:drawing>
      </w:r>
      <w:r w:rsidR="003D1799">
        <w:rPr>
          <w:lang w:val="en-US"/>
        </w:rPr>
        <w:br/>
      </w:r>
      <w:bookmarkStart w:id="12" w:name="Fig3"/>
      <w:r w:rsidR="003D1799" w:rsidRPr="004D7644">
        <w:rPr>
          <w:rFonts w:eastAsia="SimSun"/>
          <w:b/>
          <w:sz w:val="20"/>
          <w:szCs w:val="20"/>
          <w:lang w:val="en-US" w:eastAsia="en-GB"/>
        </w:rPr>
        <w:t>Figure 3</w:t>
      </w:r>
      <w:bookmarkEnd w:id="12"/>
      <w:r w:rsidR="003D1799" w:rsidRPr="004D7644">
        <w:rPr>
          <w:rFonts w:eastAsia="SimSun"/>
          <w:b/>
          <w:sz w:val="20"/>
          <w:szCs w:val="20"/>
          <w:lang w:val="en-US" w:eastAsia="en-GB"/>
        </w:rPr>
        <w:t>: Mean Changes from Baseline in Mean Monthly Migraine Days in PROMISE 2 - Weeks 1-24</w:t>
      </w:r>
    </w:p>
    <w:p w14:paraId="29052C64" w14:textId="77777777" w:rsidR="00C5172D" w:rsidRDefault="00C5172D">
      <w:pPr>
        <w:rPr>
          <w:rFonts w:eastAsia="SimSun"/>
          <w:b/>
          <w:sz w:val="20"/>
          <w:szCs w:val="20"/>
          <w:lang w:val="en-US" w:eastAsia="en-GB"/>
        </w:rPr>
      </w:pPr>
      <w:r>
        <w:rPr>
          <w:rFonts w:eastAsia="SimSun"/>
          <w:b/>
          <w:sz w:val="20"/>
          <w:szCs w:val="20"/>
          <w:lang w:val="en-US" w:eastAsia="en-GB"/>
        </w:rPr>
        <w:br w:type="page"/>
      </w:r>
    </w:p>
    <w:p w14:paraId="491AFA90" w14:textId="676C0070" w:rsidR="00066790" w:rsidRPr="00066790" w:rsidRDefault="00066790" w:rsidP="00E71FB5">
      <w:pPr>
        <w:spacing w:before="240"/>
        <w:rPr>
          <w:lang w:val="en-US"/>
        </w:rPr>
      </w:pPr>
      <w:r w:rsidRPr="00066790">
        <w:rPr>
          <w:lang w:val="en-US"/>
        </w:rPr>
        <w:lastRenderedPageBreak/>
        <w:t xml:space="preserve">The daily results over the first week after the initial infusion of </w:t>
      </w:r>
      <w:r w:rsidR="002646FB">
        <w:rPr>
          <w:lang w:val="en-US"/>
        </w:rPr>
        <w:t>VYEPTI®</w:t>
      </w:r>
      <w:r w:rsidR="00F415D3">
        <w:rPr>
          <w:lang w:val="en-US"/>
        </w:rPr>
        <w:t xml:space="preserve"> </w:t>
      </w:r>
      <w:r w:rsidRPr="00066790">
        <w:rPr>
          <w:lang w:val="en-US"/>
        </w:rPr>
        <w:t>treatment are presented as percentage</w:t>
      </w:r>
      <w:r w:rsidR="00C36FF0">
        <w:rPr>
          <w:lang w:val="en-US"/>
        </w:rPr>
        <w:t>s</w:t>
      </w:r>
      <w:r w:rsidRPr="00066790">
        <w:rPr>
          <w:lang w:val="en-US"/>
        </w:rPr>
        <w:t xml:space="preserve"> of subjects with a migraine (</w:t>
      </w:r>
      <w:hyperlink w:anchor="Fig4" w:history="1">
        <w:r w:rsidRPr="00DA6780">
          <w:rPr>
            <w:rStyle w:val="Hyperlink"/>
            <w:lang w:val="en-US"/>
          </w:rPr>
          <w:t>Figure 4</w:t>
        </w:r>
      </w:hyperlink>
      <w:r w:rsidRPr="00066790">
        <w:rPr>
          <w:lang w:val="en-US"/>
        </w:rPr>
        <w:t xml:space="preserve">). A preventive treatment benefit over placebo for both doses of </w:t>
      </w:r>
      <w:r w:rsidR="002646FB">
        <w:rPr>
          <w:lang w:val="en-US"/>
        </w:rPr>
        <w:t>VYEPTI®</w:t>
      </w:r>
      <w:r w:rsidR="00F415D3">
        <w:rPr>
          <w:lang w:val="en-US"/>
        </w:rPr>
        <w:t xml:space="preserve"> </w:t>
      </w:r>
      <w:r w:rsidRPr="00066790">
        <w:rPr>
          <w:lang w:val="en-US"/>
        </w:rPr>
        <w:t>was observed as early as Day 1 post-infusion.</w:t>
      </w:r>
    </w:p>
    <w:p w14:paraId="0E88B393" w14:textId="77777777" w:rsidR="003D1799" w:rsidRPr="00C275D7" w:rsidRDefault="005123F6" w:rsidP="003D1799">
      <w:pPr>
        <w:jc w:val="center"/>
        <w:rPr>
          <w:b/>
          <w:sz w:val="20"/>
          <w:szCs w:val="20"/>
          <w:lang w:val="en-US"/>
        </w:rPr>
      </w:pPr>
      <w:r>
        <w:rPr>
          <w:noProof/>
          <w:lang w:eastAsia="en-AU"/>
        </w:rPr>
        <w:drawing>
          <wp:inline distT="0" distB="0" distL="0" distR="0" wp14:anchorId="195997D9" wp14:editId="7A3BDC46">
            <wp:extent cx="4362450" cy="3271677"/>
            <wp:effectExtent l="0" t="0" r="0" b="5080"/>
            <wp:docPr id="5" name="Picture 5" descr="MDAY_P2_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AY_P2_L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68503" cy="3276216"/>
                    </a:xfrm>
                    <a:prstGeom prst="rect">
                      <a:avLst/>
                    </a:prstGeom>
                    <a:noFill/>
                    <a:ln>
                      <a:noFill/>
                    </a:ln>
                  </pic:spPr>
                </pic:pic>
              </a:graphicData>
            </a:graphic>
          </wp:inline>
        </w:drawing>
      </w:r>
      <w:r w:rsidR="003D1799">
        <w:rPr>
          <w:lang w:val="en-US"/>
        </w:rPr>
        <w:br/>
      </w:r>
      <w:bookmarkStart w:id="13" w:name="Fig4"/>
      <w:r w:rsidR="003D1799" w:rsidRPr="00C275D7">
        <w:rPr>
          <w:b/>
          <w:sz w:val="20"/>
          <w:szCs w:val="20"/>
          <w:lang w:val="en-US"/>
        </w:rPr>
        <w:t>Figure 4</w:t>
      </w:r>
      <w:bookmarkEnd w:id="13"/>
      <w:r w:rsidR="003D1799" w:rsidRPr="00C275D7">
        <w:rPr>
          <w:b/>
          <w:sz w:val="20"/>
          <w:szCs w:val="20"/>
          <w:lang w:val="en-US"/>
        </w:rPr>
        <w:t>: Percentages of Subjects with a Migraine from Day -1 (Day Prior to Infusion) to Day in PROMISE 2 – Days 1-7</w:t>
      </w:r>
    </w:p>
    <w:p w14:paraId="4C3B1840" w14:textId="05C38EBC" w:rsidR="00C22721" w:rsidRPr="00593C40" w:rsidRDefault="00C22721" w:rsidP="00C22721">
      <w:pPr>
        <w:rPr>
          <w:lang w:val="en-US"/>
        </w:rPr>
      </w:pPr>
      <w:r w:rsidRPr="00C22721">
        <w:rPr>
          <w:lang w:val="en-US"/>
        </w:rPr>
        <w:t xml:space="preserve">Eptinezumab treatment demonstrated statistically significant and clinically meaningful improvements for key </w:t>
      </w:r>
      <w:r w:rsidRPr="00593C40">
        <w:rPr>
          <w:lang w:val="en-US"/>
        </w:rPr>
        <w:t xml:space="preserve">efficacy endpoints as summarized in </w:t>
      </w:r>
      <w:hyperlink w:anchor="Table3" w:history="1">
        <w:r w:rsidRPr="00D461EB">
          <w:rPr>
            <w:rStyle w:val="Hyperlink"/>
            <w:lang w:val="en-US"/>
          </w:rPr>
          <w:t xml:space="preserve">Table </w:t>
        </w:r>
        <w:r w:rsidR="009D09B3" w:rsidRPr="00D461EB">
          <w:rPr>
            <w:rStyle w:val="Hyperlink"/>
            <w:lang w:val="en-US"/>
          </w:rPr>
          <w:t>3</w:t>
        </w:r>
      </w:hyperlink>
      <w:r w:rsidRPr="00593C40">
        <w:rPr>
          <w:lang w:val="en-US"/>
        </w:rPr>
        <w:t>.</w:t>
      </w:r>
    </w:p>
    <w:p w14:paraId="3AE94B5E" w14:textId="77777777" w:rsidR="00CC033B" w:rsidRPr="00CF3ECF" w:rsidRDefault="00F94BB6" w:rsidP="00CC033B">
      <w:pPr>
        <w:tabs>
          <w:tab w:val="right" w:pos="9746"/>
        </w:tabs>
        <w:spacing w:before="120" w:after="120" w:line="240" w:lineRule="auto"/>
        <w:rPr>
          <w:rFonts w:cstheme="minorHAnsi"/>
          <w:b/>
          <w:sz w:val="20"/>
          <w:szCs w:val="20"/>
          <w:lang w:val="en-US" w:bidi="th-TH"/>
        </w:rPr>
      </w:pPr>
      <w:bookmarkStart w:id="14" w:name="Table3"/>
      <w:r w:rsidRPr="00CF3ECF">
        <w:rPr>
          <w:rFonts w:cstheme="minorHAnsi"/>
          <w:b/>
          <w:sz w:val="20"/>
          <w:szCs w:val="20"/>
          <w:lang w:val="en-US" w:bidi="th-TH"/>
        </w:rPr>
        <w:t>T</w:t>
      </w:r>
      <w:r w:rsidR="009D09B3" w:rsidRPr="00CF3ECF">
        <w:rPr>
          <w:rFonts w:cstheme="minorHAnsi"/>
          <w:b/>
          <w:sz w:val="20"/>
          <w:szCs w:val="20"/>
          <w:lang w:val="en-US" w:bidi="th-TH"/>
        </w:rPr>
        <w:t>able 3</w:t>
      </w:r>
      <w:bookmarkEnd w:id="14"/>
      <w:r w:rsidRPr="00CF3ECF">
        <w:rPr>
          <w:rFonts w:cstheme="minorHAnsi"/>
          <w:b/>
          <w:sz w:val="20"/>
          <w:szCs w:val="20"/>
          <w:lang w:val="en-US" w:bidi="th-TH"/>
        </w:rPr>
        <w:t xml:space="preserve">: Primary and Key Secondary Efficacy Endpoint Results in </w:t>
      </w:r>
      <w:r w:rsidR="00F501A5" w:rsidRPr="00CF3ECF">
        <w:rPr>
          <w:rFonts w:cstheme="minorHAnsi"/>
          <w:b/>
          <w:sz w:val="20"/>
          <w:szCs w:val="20"/>
          <w:lang w:val="en-US" w:bidi="th-TH"/>
        </w:rPr>
        <w:t>PROMISE 2</w:t>
      </w:r>
      <w:r w:rsidRPr="00CF3ECF">
        <w:rPr>
          <w:rFonts w:cstheme="minorHAnsi"/>
          <w:b/>
          <w:sz w:val="20"/>
          <w:szCs w:val="20"/>
          <w:lang w:val="en-US" w:bidi="th-TH"/>
        </w:rPr>
        <w:t xml:space="preserve"> (Chronic Migraine)</w:t>
      </w:r>
    </w:p>
    <w:tbl>
      <w:tblPr>
        <w:tblStyle w:val="TableGrid"/>
        <w:tblW w:w="8784" w:type="dxa"/>
        <w:tblInd w:w="-3" w:type="dxa"/>
        <w:tblLook w:val="04A0" w:firstRow="1" w:lastRow="0" w:firstColumn="1" w:lastColumn="0" w:noHBand="0" w:noVBand="1"/>
      </w:tblPr>
      <w:tblGrid>
        <w:gridCol w:w="3397"/>
        <w:gridCol w:w="1843"/>
        <w:gridCol w:w="1843"/>
        <w:gridCol w:w="1701"/>
      </w:tblGrid>
      <w:tr w:rsidR="00885EA3" w14:paraId="75220165" w14:textId="77777777" w:rsidTr="00C663F0">
        <w:trPr>
          <w:tblHeader/>
        </w:trPr>
        <w:tc>
          <w:tcPr>
            <w:tcW w:w="3397" w:type="dxa"/>
            <w:tcBorders>
              <w:top w:val="single" w:sz="6" w:space="0" w:color="000000"/>
              <w:left w:val="single" w:sz="6" w:space="0" w:color="000000"/>
              <w:bottom w:val="single" w:sz="6" w:space="0" w:color="000000"/>
              <w:right w:val="single" w:sz="6" w:space="0" w:color="000000"/>
            </w:tcBorders>
            <w:vAlign w:val="center"/>
          </w:tcPr>
          <w:p w14:paraId="590975F6" w14:textId="77777777" w:rsidR="00885EA3" w:rsidRPr="00CC033B" w:rsidRDefault="00885EA3" w:rsidP="00885EA3">
            <w:pPr>
              <w:rPr>
                <w:rFonts w:cstheme="minorHAnsi"/>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14995ACE" w14:textId="35AAEBA3" w:rsidR="00885EA3" w:rsidRPr="008C61D5" w:rsidRDefault="00885EA3" w:rsidP="00885EA3">
            <w:pPr>
              <w:keepNext/>
              <w:keepLines/>
              <w:widowControl w:val="0"/>
              <w:spacing w:before="80" w:after="40"/>
              <w:jc w:val="center"/>
              <w:rPr>
                <w:rFonts w:cstheme="minorHAnsi"/>
                <w:b/>
                <w:bCs/>
                <w:spacing w:val="-1"/>
                <w:sz w:val="20"/>
                <w:szCs w:val="20"/>
                <w:lang w:val="en-US" w:eastAsia="en-CA" w:bidi="th-TH"/>
              </w:rPr>
            </w:pPr>
            <w:r w:rsidRPr="00CC033B">
              <w:rPr>
                <w:rFonts w:cstheme="minorHAnsi"/>
                <w:b/>
                <w:bCs/>
                <w:spacing w:val="-1"/>
                <w:sz w:val="20"/>
                <w:szCs w:val="20"/>
                <w:lang w:val="en-US" w:eastAsia="en-CA" w:bidi="th-TH"/>
              </w:rPr>
              <w:t>VYEPTI</w:t>
            </w:r>
            <w:r w:rsidR="008C61D5" w:rsidRPr="008C61D5">
              <w:rPr>
                <w:rFonts w:cstheme="minorHAnsi"/>
                <w:b/>
                <w:bCs/>
                <w:spacing w:val="-1"/>
                <w:sz w:val="20"/>
                <w:szCs w:val="20"/>
                <w:lang w:val="en-US" w:eastAsia="en-CA" w:bidi="th-TH"/>
              </w:rPr>
              <w:t>®</w:t>
            </w:r>
          </w:p>
          <w:p w14:paraId="0C3319E5" w14:textId="5A3D55FE" w:rsidR="00885EA3" w:rsidRPr="00CC033B" w:rsidRDefault="00885EA3" w:rsidP="00885EA3">
            <w:pPr>
              <w:jc w:val="center"/>
              <w:rPr>
                <w:rFonts w:cstheme="minorHAnsi"/>
                <w:sz w:val="20"/>
                <w:szCs w:val="20"/>
                <w:lang w:val="en-US"/>
              </w:rPr>
            </w:pPr>
            <w:r w:rsidRPr="00CC033B">
              <w:rPr>
                <w:rFonts w:cstheme="minorHAnsi"/>
                <w:b/>
                <w:sz w:val="20"/>
                <w:szCs w:val="20"/>
                <w:lang w:val="en-US" w:eastAsia="en-CA" w:bidi="th-TH"/>
              </w:rPr>
              <w:t>100 mg</w:t>
            </w:r>
            <w:r w:rsidRPr="00CC033B">
              <w:rPr>
                <w:rFonts w:cstheme="minorHAnsi"/>
                <w:b/>
                <w:spacing w:val="-3"/>
                <w:sz w:val="20"/>
                <w:szCs w:val="20"/>
                <w:lang w:val="en-US" w:eastAsia="en-CA" w:bidi="th-TH"/>
              </w:rPr>
              <w:br/>
            </w:r>
            <w:r w:rsidRPr="00CC033B">
              <w:rPr>
                <w:rFonts w:cstheme="minorHAnsi"/>
                <w:b/>
                <w:spacing w:val="-1"/>
                <w:sz w:val="20"/>
                <w:szCs w:val="20"/>
                <w:lang w:val="en-US" w:eastAsia="en-CA" w:bidi="th-TH"/>
              </w:rPr>
              <w:t>N=356</w:t>
            </w:r>
          </w:p>
        </w:tc>
        <w:tc>
          <w:tcPr>
            <w:tcW w:w="1843" w:type="dxa"/>
            <w:tcBorders>
              <w:top w:val="single" w:sz="6" w:space="0" w:color="000000"/>
              <w:left w:val="single" w:sz="6" w:space="0" w:color="000000"/>
              <w:bottom w:val="single" w:sz="6" w:space="0" w:color="000000"/>
              <w:right w:val="single" w:sz="6" w:space="0" w:color="000000"/>
            </w:tcBorders>
            <w:vAlign w:val="center"/>
          </w:tcPr>
          <w:p w14:paraId="1BF7DDE3" w14:textId="791EA141" w:rsidR="00885EA3" w:rsidRPr="008C61D5" w:rsidRDefault="00885EA3" w:rsidP="00885EA3">
            <w:pPr>
              <w:keepNext/>
              <w:keepLines/>
              <w:widowControl w:val="0"/>
              <w:spacing w:before="80" w:after="40"/>
              <w:jc w:val="center"/>
              <w:rPr>
                <w:rFonts w:cstheme="minorHAnsi"/>
                <w:b/>
                <w:bCs/>
                <w:sz w:val="20"/>
                <w:szCs w:val="20"/>
                <w:lang w:val="en-US" w:eastAsia="en-CA" w:bidi="th-TH"/>
              </w:rPr>
            </w:pPr>
            <w:r w:rsidRPr="00CC033B">
              <w:rPr>
                <w:rFonts w:cstheme="minorHAnsi"/>
                <w:b/>
                <w:bCs/>
                <w:sz w:val="20"/>
                <w:szCs w:val="20"/>
                <w:lang w:val="en-US" w:eastAsia="en-CA" w:bidi="th-TH"/>
              </w:rPr>
              <w:t>VYEPTI</w:t>
            </w:r>
            <w:r w:rsidR="008C61D5" w:rsidRPr="008C61D5">
              <w:rPr>
                <w:rFonts w:cstheme="minorHAnsi"/>
                <w:b/>
                <w:bCs/>
                <w:sz w:val="20"/>
                <w:szCs w:val="20"/>
                <w:lang w:val="en-US" w:eastAsia="en-CA" w:bidi="th-TH"/>
              </w:rPr>
              <w:t>®</w:t>
            </w:r>
          </w:p>
          <w:p w14:paraId="6B243E41" w14:textId="0F080118" w:rsidR="00885EA3" w:rsidRPr="00CC033B" w:rsidRDefault="00885EA3" w:rsidP="00885EA3">
            <w:pPr>
              <w:jc w:val="center"/>
              <w:rPr>
                <w:rFonts w:cstheme="minorHAnsi"/>
                <w:sz w:val="20"/>
                <w:szCs w:val="20"/>
                <w:lang w:val="en-US"/>
              </w:rPr>
            </w:pPr>
            <w:r w:rsidRPr="00CC033B">
              <w:rPr>
                <w:rFonts w:cstheme="minorHAnsi"/>
                <w:b/>
                <w:sz w:val="20"/>
                <w:szCs w:val="20"/>
                <w:lang w:val="en-US" w:eastAsia="en-CA" w:bidi="th-TH"/>
              </w:rPr>
              <w:t>300 mg</w:t>
            </w:r>
            <w:r w:rsidRPr="00CC033B">
              <w:rPr>
                <w:rFonts w:cstheme="minorHAnsi"/>
                <w:b/>
                <w:spacing w:val="-3"/>
                <w:sz w:val="20"/>
                <w:szCs w:val="20"/>
                <w:lang w:val="en-US" w:eastAsia="en-CA" w:bidi="th-TH"/>
              </w:rPr>
              <w:br/>
            </w:r>
            <w:r w:rsidRPr="00CC033B">
              <w:rPr>
                <w:rFonts w:cstheme="minorHAnsi"/>
                <w:b/>
                <w:spacing w:val="-1"/>
                <w:sz w:val="20"/>
                <w:szCs w:val="20"/>
                <w:lang w:val="en-US" w:eastAsia="en-CA" w:bidi="th-TH"/>
              </w:rPr>
              <w:t>N=350</w:t>
            </w:r>
          </w:p>
        </w:tc>
        <w:tc>
          <w:tcPr>
            <w:tcW w:w="1701" w:type="dxa"/>
            <w:tcBorders>
              <w:top w:val="single" w:sz="6" w:space="0" w:color="000000"/>
              <w:left w:val="single" w:sz="6" w:space="0" w:color="000000"/>
              <w:bottom w:val="single" w:sz="6" w:space="0" w:color="000000"/>
              <w:right w:val="single" w:sz="6" w:space="0" w:color="000000"/>
            </w:tcBorders>
            <w:vAlign w:val="center"/>
          </w:tcPr>
          <w:p w14:paraId="68753FEB" w14:textId="7B4D28B6" w:rsidR="00885EA3" w:rsidRPr="00CC033B" w:rsidRDefault="00885EA3" w:rsidP="00885EA3">
            <w:pPr>
              <w:jc w:val="center"/>
              <w:rPr>
                <w:rFonts w:cstheme="minorHAnsi"/>
                <w:sz w:val="20"/>
                <w:szCs w:val="20"/>
                <w:lang w:val="en-US"/>
              </w:rPr>
            </w:pPr>
            <w:r w:rsidRPr="00CC033B">
              <w:rPr>
                <w:rFonts w:cstheme="minorHAnsi"/>
                <w:b/>
                <w:sz w:val="20"/>
                <w:szCs w:val="20"/>
                <w:lang w:val="en-US" w:eastAsia="en-CA" w:bidi="th-TH"/>
              </w:rPr>
              <w:t>Placebo</w:t>
            </w:r>
            <w:r w:rsidRPr="00CC033B">
              <w:rPr>
                <w:rFonts w:cstheme="minorHAnsi"/>
                <w:b/>
                <w:sz w:val="20"/>
                <w:szCs w:val="20"/>
                <w:lang w:val="en-US" w:eastAsia="en-CA" w:bidi="th-TH"/>
              </w:rPr>
              <w:br/>
            </w:r>
            <w:r w:rsidRPr="00CC033B">
              <w:rPr>
                <w:rFonts w:cstheme="minorHAnsi"/>
                <w:b/>
                <w:spacing w:val="-1"/>
                <w:sz w:val="20"/>
                <w:szCs w:val="20"/>
                <w:lang w:val="en-US" w:eastAsia="en-CA" w:bidi="th-TH"/>
              </w:rPr>
              <w:t>N=366</w:t>
            </w:r>
          </w:p>
        </w:tc>
      </w:tr>
      <w:tr w:rsidR="00885EA3" w14:paraId="717BF62D" w14:textId="77777777" w:rsidTr="00C663F0">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349C7687" w14:textId="0A69F163" w:rsidR="00885EA3" w:rsidRPr="00CC033B" w:rsidRDefault="00885EA3" w:rsidP="00885EA3">
            <w:pPr>
              <w:rPr>
                <w:rFonts w:cstheme="minorHAnsi"/>
                <w:b/>
                <w:sz w:val="20"/>
                <w:szCs w:val="20"/>
              </w:rPr>
            </w:pPr>
            <w:r w:rsidRPr="00CC033B">
              <w:rPr>
                <w:rFonts w:cstheme="minorHAnsi"/>
                <w:spacing w:val="-1"/>
                <w:sz w:val="20"/>
                <w:szCs w:val="20"/>
                <w:lang w:val="en-US" w:eastAsia="en-CA" w:bidi="th-TH"/>
              </w:rPr>
              <w:t>Monthly</w:t>
            </w:r>
            <w:r w:rsidRPr="00CC033B">
              <w:rPr>
                <w:rFonts w:cstheme="minorHAnsi"/>
                <w:spacing w:val="-3"/>
                <w:sz w:val="20"/>
                <w:szCs w:val="20"/>
                <w:lang w:val="en-US" w:eastAsia="en-CA" w:bidi="th-TH"/>
              </w:rPr>
              <w:t xml:space="preserve"> </w:t>
            </w:r>
            <w:r w:rsidRPr="00CC033B">
              <w:rPr>
                <w:rFonts w:cstheme="minorHAnsi"/>
                <w:spacing w:val="-1"/>
                <w:sz w:val="20"/>
                <w:szCs w:val="20"/>
                <w:lang w:val="en-US" w:eastAsia="en-CA" w:bidi="th-TH"/>
              </w:rPr>
              <w:t>Migraine</w:t>
            </w:r>
            <w:r w:rsidRPr="00CC033B">
              <w:rPr>
                <w:rFonts w:cstheme="minorHAnsi"/>
                <w:sz w:val="20"/>
                <w:szCs w:val="20"/>
                <w:lang w:val="en-US" w:eastAsia="en-CA" w:bidi="th-TH"/>
              </w:rPr>
              <w:t xml:space="preserve"> </w:t>
            </w:r>
            <w:r w:rsidRPr="00CC033B">
              <w:rPr>
                <w:rFonts w:cstheme="minorHAnsi"/>
                <w:spacing w:val="-1"/>
                <w:sz w:val="20"/>
                <w:szCs w:val="20"/>
                <w:lang w:val="en-US" w:eastAsia="en-CA" w:bidi="th-TH"/>
              </w:rPr>
              <w:t>Days</w:t>
            </w:r>
            <w:r w:rsidRPr="00CC033B">
              <w:rPr>
                <w:rFonts w:cstheme="minorHAnsi"/>
                <w:sz w:val="20"/>
                <w:szCs w:val="20"/>
                <w:lang w:val="en-US" w:eastAsia="en-CA" w:bidi="th-TH"/>
              </w:rPr>
              <w:t xml:space="preserve"> </w:t>
            </w:r>
            <w:r w:rsidRPr="00CC033B">
              <w:rPr>
                <w:rFonts w:cstheme="minorHAnsi"/>
                <w:spacing w:val="-1"/>
                <w:sz w:val="20"/>
                <w:szCs w:val="20"/>
                <w:lang w:val="en-US" w:eastAsia="en-CA" w:bidi="th-TH"/>
              </w:rPr>
              <w:t>(MMD)</w:t>
            </w:r>
            <w:r w:rsidRPr="00CC033B">
              <w:rPr>
                <w:rFonts w:cstheme="minorHAnsi"/>
                <w:spacing w:val="1"/>
                <w:sz w:val="20"/>
                <w:szCs w:val="20"/>
                <w:lang w:val="en-US" w:eastAsia="en-CA" w:bidi="th-TH"/>
              </w:rPr>
              <w:t xml:space="preserve"> </w:t>
            </w:r>
            <w:r w:rsidRPr="00CC033B">
              <w:rPr>
                <w:rFonts w:cstheme="minorHAnsi"/>
                <w:sz w:val="20"/>
                <w:szCs w:val="20"/>
                <w:lang w:val="en-US" w:eastAsia="en-CA" w:bidi="th-TH"/>
              </w:rPr>
              <w:t>–</w:t>
            </w:r>
            <w:r w:rsidRPr="00CC033B">
              <w:rPr>
                <w:rFonts w:cstheme="minorHAnsi"/>
                <w:spacing w:val="-4"/>
                <w:sz w:val="20"/>
                <w:szCs w:val="20"/>
                <w:lang w:val="en-US" w:eastAsia="en-CA" w:bidi="th-TH"/>
              </w:rPr>
              <w:t xml:space="preserve"> </w:t>
            </w:r>
            <w:r w:rsidRPr="00CC033B">
              <w:rPr>
                <w:rFonts w:cstheme="minorHAnsi"/>
                <w:sz w:val="20"/>
                <w:szCs w:val="20"/>
                <w:lang w:val="en-US" w:eastAsia="en-CA" w:bidi="th-TH"/>
              </w:rPr>
              <w:t>Weeks 1-12</w:t>
            </w:r>
          </w:p>
        </w:tc>
      </w:tr>
      <w:tr w:rsidR="00885EA3" w14:paraId="6341E885"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3BA01415" w14:textId="0CB5659B" w:rsidR="00885EA3" w:rsidRPr="00CC033B" w:rsidRDefault="00885EA3" w:rsidP="00885EA3">
            <w:pPr>
              <w:rPr>
                <w:rFonts w:cstheme="minorHAnsi"/>
                <w:sz w:val="20"/>
                <w:szCs w:val="20"/>
                <w:lang w:val="en-US"/>
              </w:rPr>
            </w:pPr>
            <w:r w:rsidRPr="00CC033B">
              <w:rPr>
                <w:rFonts w:cstheme="minorHAnsi"/>
                <w:spacing w:val="-1"/>
                <w:sz w:val="20"/>
                <w:szCs w:val="20"/>
                <w:lang w:val="en-US" w:eastAsia="en-CA" w:bidi="th-TH"/>
              </w:rPr>
              <w:t>Baseline</w:t>
            </w:r>
          </w:p>
        </w:tc>
        <w:tc>
          <w:tcPr>
            <w:tcW w:w="1843" w:type="dxa"/>
            <w:tcBorders>
              <w:top w:val="single" w:sz="6" w:space="0" w:color="000000"/>
              <w:left w:val="single" w:sz="6" w:space="0" w:color="000000"/>
              <w:bottom w:val="single" w:sz="6" w:space="0" w:color="000000"/>
              <w:right w:val="single" w:sz="6" w:space="0" w:color="000000"/>
            </w:tcBorders>
            <w:vAlign w:val="center"/>
          </w:tcPr>
          <w:p w14:paraId="072F4DA9" w14:textId="0F5D3FEF" w:rsidR="00885EA3" w:rsidRPr="00CC033B" w:rsidRDefault="00885EA3" w:rsidP="00885EA3">
            <w:pPr>
              <w:keepNext/>
              <w:keepLines/>
              <w:widowControl w:val="0"/>
              <w:spacing w:before="80" w:after="40" w:line="250" w:lineRule="exact"/>
              <w:jc w:val="center"/>
              <w:rPr>
                <w:rFonts w:cstheme="minorHAnsi"/>
                <w:b/>
                <w:bCs/>
                <w:spacing w:val="-1"/>
                <w:sz w:val="20"/>
                <w:szCs w:val="20"/>
              </w:rPr>
            </w:pPr>
            <w:r w:rsidRPr="00CC033B">
              <w:rPr>
                <w:rFonts w:cstheme="minorHAnsi"/>
                <w:spacing w:val="-1"/>
                <w:sz w:val="20"/>
                <w:szCs w:val="20"/>
                <w:lang w:val="en-US" w:eastAsia="en-CA" w:bidi="th-TH"/>
              </w:rPr>
              <w:t>16.1</w:t>
            </w:r>
          </w:p>
        </w:tc>
        <w:tc>
          <w:tcPr>
            <w:tcW w:w="1843" w:type="dxa"/>
            <w:tcBorders>
              <w:top w:val="single" w:sz="6" w:space="0" w:color="000000"/>
              <w:left w:val="single" w:sz="6" w:space="0" w:color="000000"/>
              <w:bottom w:val="single" w:sz="6" w:space="0" w:color="000000"/>
              <w:right w:val="single" w:sz="6" w:space="0" w:color="000000"/>
            </w:tcBorders>
            <w:vAlign w:val="center"/>
          </w:tcPr>
          <w:p w14:paraId="3CC312AE" w14:textId="18828137" w:rsidR="00885EA3" w:rsidRPr="00CC033B" w:rsidRDefault="00885EA3" w:rsidP="00885EA3">
            <w:pPr>
              <w:keepNext/>
              <w:keepLines/>
              <w:widowControl w:val="0"/>
              <w:spacing w:before="80" w:after="40" w:line="250" w:lineRule="exact"/>
              <w:jc w:val="center"/>
              <w:rPr>
                <w:rFonts w:cstheme="minorHAnsi"/>
                <w:b/>
                <w:bCs/>
                <w:spacing w:val="-1"/>
                <w:sz w:val="20"/>
                <w:szCs w:val="20"/>
              </w:rPr>
            </w:pPr>
            <w:r w:rsidRPr="00CC033B">
              <w:rPr>
                <w:rFonts w:cstheme="minorHAnsi"/>
                <w:spacing w:val="-1"/>
                <w:sz w:val="20"/>
                <w:szCs w:val="20"/>
                <w:lang w:val="en-US" w:eastAsia="en-CA" w:bidi="th-TH"/>
              </w:rPr>
              <w:t>16.1</w:t>
            </w:r>
          </w:p>
        </w:tc>
        <w:tc>
          <w:tcPr>
            <w:tcW w:w="1701" w:type="dxa"/>
            <w:tcBorders>
              <w:top w:val="single" w:sz="6" w:space="0" w:color="000000"/>
              <w:left w:val="single" w:sz="6" w:space="0" w:color="000000"/>
              <w:bottom w:val="single" w:sz="6" w:space="0" w:color="000000"/>
              <w:right w:val="single" w:sz="6" w:space="0" w:color="000000"/>
            </w:tcBorders>
            <w:vAlign w:val="center"/>
          </w:tcPr>
          <w:p w14:paraId="22B05F3A" w14:textId="66F1909E" w:rsidR="00885EA3" w:rsidRPr="00CC033B" w:rsidRDefault="00885EA3" w:rsidP="00885EA3">
            <w:pPr>
              <w:jc w:val="center"/>
              <w:rPr>
                <w:rFonts w:cstheme="minorHAnsi"/>
                <w:b/>
                <w:sz w:val="20"/>
                <w:szCs w:val="20"/>
              </w:rPr>
            </w:pPr>
            <w:r w:rsidRPr="00CC033B">
              <w:rPr>
                <w:rFonts w:cstheme="minorHAnsi"/>
                <w:spacing w:val="-1"/>
                <w:sz w:val="20"/>
                <w:szCs w:val="20"/>
                <w:lang w:val="en-US" w:eastAsia="en-CA" w:bidi="th-TH"/>
              </w:rPr>
              <w:t>16.2</w:t>
            </w:r>
          </w:p>
        </w:tc>
      </w:tr>
      <w:tr w:rsidR="00885EA3" w14:paraId="1E505B2E"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728215D9" w14:textId="02D71D5D" w:rsidR="00885EA3" w:rsidRPr="00CC033B" w:rsidRDefault="00885EA3" w:rsidP="00885EA3">
            <w:pPr>
              <w:rPr>
                <w:rFonts w:cstheme="minorHAnsi"/>
                <w:sz w:val="20"/>
                <w:szCs w:val="20"/>
                <w:lang w:val="en-US"/>
              </w:rPr>
            </w:pPr>
            <w:r w:rsidRPr="00CC033B">
              <w:rPr>
                <w:rFonts w:cstheme="minorHAnsi"/>
                <w:spacing w:val="-1"/>
                <w:sz w:val="20"/>
                <w:szCs w:val="20"/>
                <w:lang w:val="en-US" w:eastAsia="en-CA" w:bidi="th-TH"/>
              </w:rPr>
              <w:t>Mean Change</w:t>
            </w:r>
          </w:p>
        </w:tc>
        <w:tc>
          <w:tcPr>
            <w:tcW w:w="1843" w:type="dxa"/>
            <w:tcBorders>
              <w:top w:val="single" w:sz="6" w:space="0" w:color="000000"/>
              <w:left w:val="single" w:sz="6" w:space="0" w:color="000000"/>
              <w:bottom w:val="single" w:sz="6" w:space="0" w:color="000000"/>
              <w:right w:val="single" w:sz="6" w:space="0" w:color="000000"/>
            </w:tcBorders>
            <w:vAlign w:val="center"/>
          </w:tcPr>
          <w:p w14:paraId="038D1661" w14:textId="179DC87F" w:rsidR="00885EA3" w:rsidRPr="00CC033B" w:rsidRDefault="00885EA3" w:rsidP="00885EA3">
            <w:pPr>
              <w:keepNext/>
              <w:keepLines/>
              <w:widowControl w:val="0"/>
              <w:spacing w:before="80" w:after="40" w:line="250" w:lineRule="exact"/>
              <w:jc w:val="center"/>
              <w:rPr>
                <w:rFonts w:cstheme="minorHAnsi"/>
                <w:b/>
                <w:bCs/>
                <w:spacing w:val="-1"/>
                <w:sz w:val="20"/>
                <w:szCs w:val="20"/>
              </w:rPr>
            </w:pPr>
            <w:r w:rsidRPr="00CC033B">
              <w:rPr>
                <w:rFonts w:cstheme="minorHAnsi"/>
                <w:spacing w:val="-1"/>
                <w:sz w:val="20"/>
                <w:szCs w:val="20"/>
                <w:lang w:val="en-US" w:eastAsia="en-CA" w:bidi="th-TH"/>
              </w:rPr>
              <w:t>-7.7</w:t>
            </w:r>
          </w:p>
        </w:tc>
        <w:tc>
          <w:tcPr>
            <w:tcW w:w="1843" w:type="dxa"/>
            <w:tcBorders>
              <w:top w:val="single" w:sz="6" w:space="0" w:color="000000"/>
              <w:left w:val="single" w:sz="6" w:space="0" w:color="000000"/>
              <w:bottom w:val="single" w:sz="6" w:space="0" w:color="000000"/>
              <w:right w:val="single" w:sz="6" w:space="0" w:color="000000"/>
            </w:tcBorders>
            <w:vAlign w:val="center"/>
          </w:tcPr>
          <w:p w14:paraId="56A0341F" w14:textId="6EF98189" w:rsidR="00885EA3" w:rsidRPr="00CC033B" w:rsidRDefault="00885EA3" w:rsidP="00885EA3">
            <w:pPr>
              <w:keepNext/>
              <w:keepLines/>
              <w:widowControl w:val="0"/>
              <w:spacing w:before="80" w:after="40" w:line="250" w:lineRule="exact"/>
              <w:jc w:val="center"/>
              <w:rPr>
                <w:rFonts w:cstheme="minorHAnsi"/>
                <w:b/>
                <w:bCs/>
                <w:spacing w:val="-1"/>
                <w:sz w:val="20"/>
                <w:szCs w:val="20"/>
              </w:rPr>
            </w:pPr>
            <w:r w:rsidRPr="00CC033B">
              <w:rPr>
                <w:rFonts w:cstheme="minorHAnsi"/>
                <w:spacing w:val="-1"/>
                <w:sz w:val="20"/>
                <w:szCs w:val="20"/>
                <w:lang w:val="en-US" w:eastAsia="en-CA" w:bidi="th-TH"/>
              </w:rPr>
              <w:t>-8.2</w:t>
            </w:r>
          </w:p>
        </w:tc>
        <w:tc>
          <w:tcPr>
            <w:tcW w:w="1701" w:type="dxa"/>
            <w:tcBorders>
              <w:top w:val="single" w:sz="6" w:space="0" w:color="000000"/>
              <w:left w:val="single" w:sz="6" w:space="0" w:color="000000"/>
              <w:bottom w:val="single" w:sz="6" w:space="0" w:color="000000"/>
              <w:right w:val="single" w:sz="6" w:space="0" w:color="000000"/>
            </w:tcBorders>
            <w:vAlign w:val="center"/>
          </w:tcPr>
          <w:p w14:paraId="5AFC5B88" w14:textId="0379AE35" w:rsidR="00885EA3" w:rsidRPr="00CC033B" w:rsidRDefault="00885EA3" w:rsidP="00885EA3">
            <w:pPr>
              <w:jc w:val="center"/>
              <w:rPr>
                <w:rFonts w:cstheme="minorHAnsi"/>
                <w:b/>
                <w:sz w:val="20"/>
                <w:szCs w:val="20"/>
              </w:rPr>
            </w:pPr>
            <w:r w:rsidRPr="00CC033B">
              <w:rPr>
                <w:rFonts w:cstheme="minorHAnsi"/>
                <w:spacing w:val="-1"/>
                <w:sz w:val="20"/>
                <w:szCs w:val="20"/>
                <w:lang w:val="en-US" w:eastAsia="en-CA" w:bidi="th-TH"/>
              </w:rPr>
              <w:t>-5.6</w:t>
            </w:r>
          </w:p>
        </w:tc>
      </w:tr>
      <w:tr w:rsidR="00885EA3" w14:paraId="4450062F"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0BC6C756" w14:textId="654D7A9A" w:rsidR="00885EA3" w:rsidRPr="00CC033B" w:rsidRDefault="00885EA3" w:rsidP="00885EA3">
            <w:pPr>
              <w:rPr>
                <w:rFonts w:cstheme="minorHAnsi"/>
                <w:sz w:val="20"/>
                <w:szCs w:val="20"/>
                <w:lang w:val="en-US"/>
              </w:rPr>
            </w:pPr>
            <w:r w:rsidRPr="00CC033B">
              <w:rPr>
                <w:rFonts w:cstheme="minorHAnsi"/>
                <w:spacing w:val="-1"/>
                <w:sz w:val="20"/>
                <w:szCs w:val="20"/>
                <w:lang w:val="en-US" w:eastAsia="en-CA" w:bidi="th-TH"/>
              </w:rPr>
              <w:t>Difference from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63D9D6A0" w14:textId="125AB085" w:rsidR="00885EA3" w:rsidRPr="00CC033B" w:rsidRDefault="00885EA3" w:rsidP="00885EA3">
            <w:pPr>
              <w:keepNext/>
              <w:keepLines/>
              <w:widowControl w:val="0"/>
              <w:spacing w:before="80" w:after="40" w:line="250" w:lineRule="exact"/>
              <w:jc w:val="center"/>
              <w:rPr>
                <w:rFonts w:cstheme="minorHAnsi"/>
                <w:b/>
                <w:bCs/>
                <w:spacing w:val="-1"/>
                <w:sz w:val="20"/>
                <w:szCs w:val="20"/>
              </w:rPr>
            </w:pPr>
            <w:r w:rsidRPr="00CC033B">
              <w:rPr>
                <w:rFonts w:cstheme="minorHAnsi"/>
                <w:spacing w:val="-1"/>
                <w:sz w:val="20"/>
                <w:szCs w:val="20"/>
                <w:lang w:val="en-US" w:eastAsia="en-CA" w:bidi="th-TH"/>
              </w:rPr>
              <w:t>-2.0</w:t>
            </w:r>
          </w:p>
        </w:tc>
        <w:tc>
          <w:tcPr>
            <w:tcW w:w="1843" w:type="dxa"/>
            <w:tcBorders>
              <w:top w:val="single" w:sz="6" w:space="0" w:color="000000"/>
              <w:left w:val="single" w:sz="6" w:space="0" w:color="000000"/>
              <w:bottom w:val="single" w:sz="6" w:space="0" w:color="000000"/>
              <w:right w:val="single" w:sz="6" w:space="0" w:color="000000"/>
            </w:tcBorders>
            <w:vAlign w:val="center"/>
          </w:tcPr>
          <w:p w14:paraId="370BB4A8" w14:textId="79BCB9AD" w:rsidR="00885EA3" w:rsidRPr="00CC033B" w:rsidRDefault="00885EA3" w:rsidP="00885EA3">
            <w:pPr>
              <w:keepNext/>
              <w:keepLines/>
              <w:widowControl w:val="0"/>
              <w:spacing w:before="80" w:after="40" w:line="250" w:lineRule="exact"/>
              <w:jc w:val="center"/>
              <w:rPr>
                <w:rFonts w:cstheme="minorHAnsi"/>
                <w:b/>
                <w:bCs/>
                <w:spacing w:val="-1"/>
                <w:sz w:val="20"/>
                <w:szCs w:val="20"/>
              </w:rPr>
            </w:pPr>
            <w:r w:rsidRPr="00CC033B">
              <w:rPr>
                <w:rFonts w:cstheme="minorHAnsi"/>
                <w:spacing w:val="-1"/>
                <w:sz w:val="20"/>
                <w:szCs w:val="20"/>
                <w:lang w:val="en-US" w:eastAsia="en-CA" w:bidi="th-TH"/>
              </w:rPr>
              <w:t>-2.6</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71E6686" w14:textId="77777777" w:rsidR="00885EA3" w:rsidRPr="00CC033B" w:rsidRDefault="00885EA3" w:rsidP="00885EA3">
            <w:pPr>
              <w:jc w:val="center"/>
              <w:rPr>
                <w:rFonts w:cstheme="minorHAnsi"/>
                <w:b/>
                <w:sz w:val="20"/>
                <w:szCs w:val="20"/>
              </w:rPr>
            </w:pPr>
          </w:p>
        </w:tc>
      </w:tr>
      <w:tr w:rsidR="00885EA3" w14:paraId="3BC81F11"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4D0A1B4E" w14:textId="2E34B4B7" w:rsidR="00885EA3" w:rsidRPr="00CC033B" w:rsidRDefault="00885EA3" w:rsidP="00885EA3">
            <w:pPr>
              <w:rPr>
                <w:rFonts w:cstheme="minorHAnsi"/>
                <w:sz w:val="20"/>
                <w:szCs w:val="20"/>
                <w:lang w:val="en-US"/>
              </w:rPr>
            </w:pPr>
            <w:r w:rsidRPr="00CC033B">
              <w:rPr>
                <w:rFonts w:cstheme="minorHAnsi"/>
                <w:spacing w:val="-1"/>
                <w:sz w:val="20"/>
                <w:szCs w:val="20"/>
                <w:lang w:val="en-US" w:eastAsia="en-CA" w:bidi="th-TH"/>
              </w:rPr>
              <w:t>CI</w:t>
            </w:r>
            <w:r w:rsidRPr="00CC033B">
              <w:rPr>
                <w:rFonts w:cstheme="minorHAnsi"/>
                <w:spacing w:val="-1"/>
                <w:sz w:val="20"/>
                <w:szCs w:val="20"/>
                <w:vertAlign w:val="subscript"/>
                <w:lang w:val="en-US" w:eastAsia="en-CA" w:bidi="th-TH"/>
              </w:rPr>
              <w:t>95%</w:t>
            </w:r>
          </w:p>
        </w:tc>
        <w:tc>
          <w:tcPr>
            <w:tcW w:w="1843" w:type="dxa"/>
            <w:tcBorders>
              <w:top w:val="single" w:sz="6" w:space="0" w:color="000000"/>
              <w:left w:val="single" w:sz="6" w:space="0" w:color="000000"/>
              <w:bottom w:val="single" w:sz="6" w:space="0" w:color="000000"/>
              <w:right w:val="single" w:sz="6" w:space="0" w:color="000000"/>
            </w:tcBorders>
            <w:vAlign w:val="center"/>
          </w:tcPr>
          <w:p w14:paraId="17C65E33" w14:textId="6D5B94DE" w:rsidR="00885EA3" w:rsidRPr="00CC033B" w:rsidRDefault="00885EA3" w:rsidP="00885EA3">
            <w:pPr>
              <w:keepNext/>
              <w:keepLines/>
              <w:widowControl w:val="0"/>
              <w:spacing w:before="80" w:after="40" w:line="250" w:lineRule="exact"/>
              <w:jc w:val="center"/>
              <w:rPr>
                <w:rFonts w:cstheme="minorHAnsi"/>
                <w:b/>
                <w:bCs/>
                <w:spacing w:val="-1"/>
                <w:sz w:val="20"/>
                <w:szCs w:val="20"/>
              </w:rPr>
            </w:pPr>
            <w:r w:rsidRPr="00CC033B">
              <w:rPr>
                <w:rFonts w:cstheme="minorHAnsi"/>
                <w:sz w:val="20"/>
                <w:szCs w:val="20"/>
                <w:lang w:val="en-US" w:eastAsia="en-CA" w:bidi="th-TH"/>
              </w:rPr>
              <w:t xml:space="preserve"> (-2.9, -1.2)</w:t>
            </w:r>
          </w:p>
        </w:tc>
        <w:tc>
          <w:tcPr>
            <w:tcW w:w="1843" w:type="dxa"/>
            <w:tcBorders>
              <w:top w:val="single" w:sz="6" w:space="0" w:color="000000"/>
              <w:left w:val="single" w:sz="6" w:space="0" w:color="000000"/>
              <w:bottom w:val="single" w:sz="6" w:space="0" w:color="000000"/>
              <w:right w:val="single" w:sz="6" w:space="0" w:color="000000"/>
            </w:tcBorders>
            <w:vAlign w:val="center"/>
          </w:tcPr>
          <w:p w14:paraId="30187C5B" w14:textId="3AFAEA80" w:rsidR="00885EA3" w:rsidRPr="00CC033B" w:rsidRDefault="00885EA3" w:rsidP="00885EA3">
            <w:pPr>
              <w:keepNext/>
              <w:keepLines/>
              <w:widowControl w:val="0"/>
              <w:spacing w:before="80" w:after="40" w:line="250" w:lineRule="exact"/>
              <w:jc w:val="center"/>
              <w:rPr>
                <w:rFonts w:cstheme="minorHAnsi"/>
                <w:b/>
                <w:bCs/>
                <w:spacing w:val="-1"/>
                <w:sz w:val="20"/>
                <w:szCs w:val="20"/>
              </w:rPr>
            </w:pPr>
            <w:r w:rsidRPr="00CC033B">
              <w:rPr>
                <w:rFonts w:cstheme="minorHAnsi"/>
                <w:sz w:val="20"/>
                <w:szCs w:val="20"/>
                <w:lang w:val="en-US" w:eastAsia="en-CA" w:bidi="th-TH"/>
              </w:rPr>
              <w:t>(-3.5, -1.7)</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66780E2" w14:textId="77777777" w:rsidR="00885EA3" w:rsidRPr="00CC033B" w:rsidRDefault="00885EA3" w:rsidP="00885EA3">
            <w:pPr>
              <w:jc w:val="center"/>
              <w:rPr>
                <w:rFonts w:cstheme="minorHAnsi"/>
                <w:b/>
                <w:sz w:val="20"/>
                <w:szCs w:val="20"/>
              </w:rPr>
            </w:pPr>
          </w:p>
        </w:tc>
      </w:tr>
      <w:tr w:rsidR="00885EA3" w14:paraId="10FBF62F"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075C952A" w14:textId="5C206CB9" w:rsidR="00885EA3" w:rsidRPr="00CC033B" w:rsidRDefault="00885EA3" w:rsidP="00885EA3">
            <w:pPr>
              <w:rPr>
                <w:rFonts w:cstheme="minorHAnsi"/>
                <w:sz w:val="20"/>
                <w:szCs w:val="20"/>
                <w:lang w:val="en-US"/>
              </w:rPr>
            </w:pPr>
            <w:r w:rsidRPr="00CC033B">
              <w:rPr>
                <w:rFonts w:cstheme="minorHAnsi"/>
                <w:i/>
                <w:spacing w:val="-1"/>
                <w:sz w:val="20"/>
                <w:szCs w:val="20"/>
                <w:lang w:val="en-US" w:eastAsia="en-CA" w:bidi="th-TH"/>
              </w:rPr>
              <w:t>p</w:t>
            </w:r>
            <w:r w:rsidRPr="00CC033B">
              <w:rPr>
                <w:rFonts w:cstheme="minorHAnsi"/>
                <w:spacing w:val="-1"/>
                <w:sz w:val="20"/>
                <w:szCs w:val="20"/>
                <w:lang w:val="en-US" w:eastAsia="en-CA" w:bidi="th-TH"/>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05D31266" w14:textId="592D8141" w:rsidR="00885EA3" w:rsidRPr="00CC033B" w:rsidRDefault="00885EA3" w:rsidP="00885EA3">
            <w:pPr>
              <w:keepNext/>
              <w:keepLines/>
              <w:widowControl w:val="0"/>
              <w:spacing w:before="80" w:after="40" w:line="250" w:lineRule="exact"/>
              <w:jc w:val="center"/>
              <w:rPr>
                <w:rFonts w:cstheme="minorHAnsi"/>
                <w:b/>
                <w:bCs/>
                <w:spacing w:val="-1"/>
                <w:sz w:val="20"/>
                <w:szCs w:val="20"/>
              </w:rPr>
            </w:pPr>
            <w:r w:rsidRPr="00CC033B">
              <w:rPr>
                <w:rFonts w:cstheme="minorHAnsi"/>
                <w:sz w:val="20"/>
                <w:szCs w:val="20"/>
                <w:lang w:val="en-US" w:eastAsia="en-CA" w:bidi="th-TH"/>
              </w:rPr>
              <w:t>&lt; 0.0001</w:t>
            </w:r>
          </w:p>
        </w:tc>
        <w:tc>
          <w:tcPr>
            <w:tcW w:w="1843" w:type="dxa"/>
            <w:tcBorders>
              <w:top w:val="single" w:sz="6" w:space="0" w:color="000000"/>
              <w:left w:val="single" w:sz="6" w:space="0" w:color="000000"/>
              <w:bottom w:val="single" w:sz="6" w:space="0" w:color="000000"/>
              <w:right w:val="single" w:sz="6" w:space="0" w:color="000000"/>
            </w:tcBorders>
            <w:vAlign w:val="center"/>
          </w:tcPr>
          <w:p w14:paraId="0D7597FE" w14:textId="2807DF93" w:rsidR="00885EA3" w:rsidRPr="00CC033B" w:rsidRDefault="00885EA3" w:rsidP="00885EA3">
            <w:pPr>
              <w:keepNext/>
              <w:keepLines/>
              <w:widowControl w:val="0"/>
              <w:spacing w:before="80" w:after="40" w:line="250" w:lineRule="exact"/>
              <w:jc w:val="center"/>
              <w:rPr>
                <w:rFonts w:cstheme="minorHAnsi"/>
                <w:b/>
                <w:bCs/>
                <w:spacing w:val="-1"/>
                <w:sz w:val="20"/>
                <w:szCs w:val="20"/>
              </w:rPr>
            </w:pPr>
            <w:r w:rsidRPr="00CC033B">
              <w:rPr>
                <w:rFonts w:cstheme="minorHAnsi"/>
                <w:sz w:val="20"/>
                <w:szCs w:val="20"/>
                <w:lang w:val="en-US" w:eastAsia="en-CA" w:bidi="th-TH"/>
              </w:rPr>
              <w:t>&lt; 0.0001</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354A2F1" w14:textId="77777777" w:rsidR="00885EA3" w:rsidRPr="00CC033B" w:rsidRDefault="00885EA3" w:rsidP="00885EA3">
            <w:pPr>
              <w:jc w:val="center"/>
              <w:rPr>
                <w:rFonts w:cstheme="minorHAnsi"/>
                <w:b/>
                <w:sz w:val="20"/>
                <w:szCs w:val="20"/>
              </w:rPr>
            </w:pPr>
          </w:p>
        </w:tc>
      </w:tr>
      <w:tr w:rsidR="00885EA3" w14:paraId="43D1A072" w14:textId="77777777" w:rsidTr="00C663F0">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D201BA7" w14:textId="1AFB8656" w:rsidR="00885EA3" w:rsidRPr="00CC033B" w:rsidRDefault="00885EA3" w:rsidP="00885EA3">
            <w:pPr>
              <w:rPr>
                <w:rFonts w:cstheme="minorHAnsi"/>
                <w:b/>
                <w:sz w:val="20"/>
                <w:szCs w:val="20"/>
              </w:rPr>
            </w:pPr>
            <w:r w:rsidRPr="00CC033B">
              <w:rPr>
                <w:rFonts w:cstheme="minorHAnsi"/>
                <w:sz w:val="20"/>
                <w:szCs w:val="20"/>
              </w:rPr>
              <w:t>≥ 75% MMD responders – Weeks 1-4</w:t>
            </w:r>
          </w:p>
        </w:tc>
      </w:tr>
      <w:tr w:rsidR="00885EA3" w14:paraId="1770602A"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5C0519E4" w14:textId="3E5D628A" w:rsidR="00885EA3" w:rsidRPr="00CC033B" w:rsidRDefault="00885EA3" w:rsidP="00885EA3">
            <w:pPr>
              <w:rPr>
                <w:rFonts w:cstheme="minorHAnsi"/>
                <w:i/>
                <w:spacing w:val="-1"/>
                <w:sz w:val="20"/>
                <w:szCs w:val="20"/>
              </w:rPr>
            </w:pPr>
            <w:r w:rsidRPr="00CC033B">
              <w:rPr>
                <w:rFonts w:cstheme="minorHAnsi"/>
                <w:sz w:val="20"/>
                <w:szCs w:val="20"/>
              </w:rPr>
              <w:t>Responders</w:t>
            </w:r>
          </w:p>
        </w:tc>
        <w:tc>
          <w:tcPr>
            <w:tcW w:w="1843" w:type="dxa"/>
            <w:tcBorders>
              <w:top w:val="single" w:sz="6" w:space="0" w:color="000000"/>
              <w:left w:val="single" w:sz="6" w:space="0" w:color="000000"/>
              <w:bottom w:val="single" w:sz="6" w:space="0" w:color="000000"/>
              <w:right w:val="single" w:sz="6" w:space="0" w:color="000000"/>
            </w:tcBorders>
            <w:vAlign w:val="center"/>
          </w:tcPr>
          <w:p w14:paraId="4ABF2FEC" w14:textId="1F9A250C"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30.9%</w:t>
            </w:r>
          </w:p>
        </w:tc>
        <w:tc>
          <w:tcPr>
            <w:tcW w:w="1843" w:type="dxa"/>
            <w:tcBorders>
              <w:top w:val="single" w:sz="6" w:space="0" w:color="000000"/>
              <w:left w:val="single" w:sz="6" w:space="0" w:color="000000"/>
              <w:bottom w:val="single" w:sz="6" w:space="0" w:color="000000"/>
              <w:right w:val="single" w:sz="6" w:space="0" w:color="000000"/>
            </w:tcBorders>
            <w:vAlign w:val="center"/>
          </w:tcPr>
          <w:p w14:paraId="239E4063" w14:textId="778BF9D3"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36.9%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18CCAB" w14:textId="4FFC03E5" w:rsidR="00885EA3" w:rsidRPr="00CC033B" w:rsidRDefault="00885EA3" w:rsidP="00885EA3">
            <w:pPr>
              <w:jc w:val="center"/>
              <w:rPr>
                <w:rFonts w:cstheme="minorHAnsi"/>
                <w:b/>
                <w:sz w:val="20"/>
                <w:szCs w:val="20"/>
              </w:rPr>
            </w:pPr>
            <w:r w:rsidRPr="00CC033B">
              <w:rPr>
                <w:rFonts w:cstheme="minorHAnsi"/>
                <w:sz w:val="20"/>
                <w:szCs w:val="20"/>
              </w:rPr>
              <w:t>15.6%</w:t>
            </w:r>
          </w:p>
        </w:tc>
      </w:tr>
      <w:tr w:rsidR="00885EA3" w14:paraId="131BCAED"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4D25ECE5" w14:textId="122E45EE" w:rsidR="00885EA3" w:rsidRPr="00CC033B" w:rsidRDefault="00885EA3" w:rsidP="00885EA3">
            <w:pPr>
              <w:rPr>
                <w:rFonts w:cstheme="minorHAnsi"/>
                <w:i/>
                <w:spacing w:val="-1"/>
                <w:sz w:val="20"/>
                <w:szCs w:val="20"/>
              </w:rPr>
            </w:pPr>
            <w:r w:rsidRPr="00CC033B">
              <w:rPr>
                <w:rFonts w:cstheme="minorHAnsi"/>
                <w:sz w:val="20"/>
                <w:szCs w:val="20"/>
              </w:rPr>
              <w:t>Difference from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42FDEB87" w14:textId="143D77DB"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15.3%</w:t>
            </w:r>
          </w:p>
        </w:tc>
        <w:tc>
          <w:tcPr>
            <w:tcW w:w="1843" w:type="dxa"/>
            <w:tcBorders>
              <w:top w:val="single" w:sz="6" w:space="0" w:color="000000"/>
              <w:left w:val="single" w:sz="6" w:space="0" w:color="000000"/>
              <w:bottom w:val="single" w:sz="6" w:space="0" w:color="000000"/>
              <w:right w:val="single" w:sz="6" w:space="0" w:color="000000"/>
            </w:tcBorders>
            <w:vAlign w:val="center"/>
          </w:tcPr>
          <w:p w14:paraId="224167D2" w14:textId="152BCF79"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21.3%</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238AB98" w14:textId="77777777" w:rsidR="00885EA3" w:rsidRPr="00CC033B" w:rsidRDefault="00885EA3" w:rsidP="00885EA3">
            <w:pPr>
              <w:jc w:val="center"/>
              <w:rPr>
                <w:rFonts w:cstheme="minorHAnsi"/>
                <w:b/>
                <w:sz w:val="20"/>
                <w:szCs w:val="20"/>
              </w:rPr>
            </w:pPr>
          </w:p>
        </w:tc>
      </w:tr>
      <w:tr w:rsidR="00885EA3" w14:paraId="4A35AC53"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2C449E5F" w14:textId="4CC3104D" w:rsidR="00885EA3" w:rsidRPr="00CC033B" w:rsidRDefault="00885EA3" w:rsidP="00885EA3">
            <w:pPr>
              <w:rPr>
                <w:rFonts w:cstheme="minorHAnsi"/>
                <w:i/>
                <w:spacing w:val="-1"/>
                <w:sz w:val="20"/>
                <w:szCs w:val="20"/>
              </w:rPr>
            </w:pPr>
            <w:r w:rsidRPr="002865AA">
              <w:rPr>
                <w:rFonts w:cstheme="minorHAnsi"/>
                <w:i/>
                <w:sz w:val="20"/>
                <w:szCs w:val="20"/>
              </w:rPr>
              <w:t>p</w:t>
            </w:r>
            <w:r w:rsidRPr="00CC033B">
              <w:rPr>
                <w:rFonts w:cstheme="minorHAnsi"/>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5F7C65CC" w14:textId="72552E6A"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&lt; 0.0001</w:t>
            </w:r>
          </w:p>
        </w:tc>
        <w:tc>
          <w:tcPr>
            <w:tcW w:w="1843" w:type="dxa"/>
            <w:tcBorders>
              <w:top w:val="single" w:sz="6" w:space="0" w:color="000000"/>
              <w:left w:val="single" w:sz="6" w:space="0" w:color="000000"/>
              <w:bottom w:val="single" w:sz="6" w:space="0" w:color="000000"/>
              <w:right w:val="single" w:sz="6" w:space="0" w:color="000000"/>
            </w:tcBorders>
            <w:vAlign w:val="center"/>
          </w:tcPr>
          <w:p w14:paraId="425A214B" w14:textId="48E28D8C"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 xml:space="preserve">&lt; 0.0001 </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6BC2073" w14:textId="77777777" w:rsidR="00885EA3" w:rsidRPr="00CC033B" w:rsidRDefault="00885EA3" w:rsidP="00885EA3">
            <w:pPr>
              <w:jc w:val="center"/>
              <w:rPr>
                <w:rFonts w:cstheme="minorHAnsi"/>
                <w:b/>
                <w:sz w:val="20"/>
                <w:szCs w:val="20"/>
              </w:rPr>
            </w:pPr>
          </w:p>
        </w:tc>
      </w:tr>
      <w:tr w:rsidR="00885EA3" w14:paraId="6DDC817C" w14:textId="77777777" w:rsidTr="00C663F0">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820D01C" w14:textId="2F342944" w:rsidR="00885EA3" w:rsidRPr="00CC033B" w:rsidRDefault="00885EA3" w:rsidP="00885EA3">
            <w:pPr>
              <w:rPr>
                <w:rFonts w:cstheme="minorHAnsi"/>
                <w:b/>
                <w:sz w:val="20"/>
                <w:szCs w:val="20"/>
              </w:rPr>
            </w:pPr>
            <w:r w:rsidRPr="00CC033B">
              <w:rPr>
                <w:rFonts w:cstheme="minorHAnsi"/>
                <w:sz w:val="20"/>
                <w:szCs w:val="20"/>
              </w:rPr>
              <w:t>≥ 75% MMD responders – Weeks 1-12</w:t>
            </w:r>
          </w:p>
        </w:tc>
      </w:tr>
      <w:tr w:rsidR="00885EA3" w14:paraId="44D1D2A5"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3F605E8B" w14:textId="7F1FE62C" w:rsidR="00885EA3" w:rsidRPr="00CC033B" w:rsidRDefault="00885EA3" w:rsidP="00885EA3">
            <w:pPr>
              <w:rPr>
                <w:rFonts w:cstheme="minorHAnsi"/>
                <w:i/>
                <w:spacing w:val="-1"/>
                <w:sz w:val="20"/>
                <w:szCs w:val="20"/>
              </w:rPr>
            </w:pPr>
            <w:r w:rsidRPr="00CC033B">
              <w:rPr>
                <w:rFonts w:cstheme="minorHAnsi"/>
                <w:sz w:val="20"/>
                <w:szCs w:val="20"/>
              </w:rPr>
              <w:t>Responders</w:t>
            </w:r>
          </w:p>
        </w:tc>
        <w:tc>
          <w:tcPr>
            <w:tcW w:w="1843" w:type="dxa"/>
            <w:tcBorders>
              <w:top w:val="single" w:sz="6" w:space="0" w:color="000000"/>
              <w:left w:val="single" w:sz="6" w:space="0" w:color="000000"/>
              <w:bottom w:val="single" w:sz="6" w:space="0" w:color="000000"/>
              <w:right w:val="single" w:sz="6" w:space="0" w:color="000000"/>
            </w:tcBorders>
            <w:vAlign w:val="center"/>
          </w:tcPr>
          <w:p w14:paraId="6F17D4EF" w14:textId="05CE2956"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26.7%</w:t>
            </w:r>
          </w:p>
        </w:tc>
        <w:tc>
          <w:tcPr>
            <w:tcW w:w="1843" w:type="dxa"/>
            <w:tcBorders>
              <w:top w:val="single" w:sz="6" w:space="0" w:color="000000"/>
              <w:left w:val="single" w:sz="6" w:space="0" w:color="000000"/>
              <w:bottom w:val="single" w:sz="6" w:space="0" w:color="000000"/>
              <w:right w:val="single" w:sz="6" w:space="0" w:color="000000"/>
            </w:tcBorders>
            <w:vAlign w:val="center"/>
          </w:tcPr>
          <w:p w14:paraId="0050B7E2" w14:textId="51148BC0"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33.1%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AB11AC" w14:textId="1C4237D8" w:rsidR="00885EA3" w:rsidRPr="00CC033B" w:rsidRDefault="00885EA3" w:rsidP="00885EA3">
            <w:pPr>
              <w:jc w:val="center"/>
              <w:rPr>
                <w:rFonts w:cstheme="minorHAnsi"/>
                <w:b/>
                <w:sz w:val="20"/>
                <w:szCs w:val="20"/>
              </w:rPr>
            </w:pPr>
            <w:r w:rsidRPr="00CC033B">
              <w:rPr>
                <w:rFonts w:cstheme="minorHAnsi"/>
                <w:sz w:val="20"/>
                <w:szCs w:val="20"/>
              </w:rPr>
              <w:t>15.0%</w:t>
            </w:r>
          </w:p>
        </w:tc>
      </w:tr>
      <w:tr w:rsidR="00885EA3" w14:paraId="54C8140C"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408AE007" w14:textId="33650CF2" w:rsidR="00885EA3" w:rsidRPr="00CC033B" w:rsidRDefault="00885EA3" w:rsidP="00885EA3">
            <w:pPr>
              <w:rPr>
                <w:rFonts w:cstheme="minorHAnsi"/>
                <w:i/>
                <w:spacing w:val="-1"/>
                <w:sz w:val="20"/>
                <w:szCs w:val="20"/>
              </w:rPr>
            </w:pPr>
            <w:r w:rsidRPr="00CC033B">
              <w:rPr>
                <w:rFonts w:cstheme="minorHAnsi"/>
                <w:sz w:val="20"/>
                <w:szCs w:val="20"/>
              </w:rPr>
              <w:lastRenderedPageBreak/>
              <w:t>Difference from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2AC14F73" w14:textId="46AE7196"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11.7%</w:t>
            </w:r>
          </w:p>
        </w:tc>
        <w:tc>
          <w:tcPr>
            <w:tcW w:w="1843" w:type="dxa"/>
            <w:tcBorders>
              <w:top w:val="single" w:sz="6" w:space="0" w:color="000000"/>
              <w:left w:val="single" w:sz="6" w:space="0" w:color="000000"/>
              <w:bottom w:val="single" w:sz="6" w:space="0" w:color="000000"/>
              <w:right w:val="single" w:sz="6" w:space="0" w:color="000000"/>
            </w:tcBorders>
            <w:vAlign w:val="center"/>
          </w:tcPr>
          <w:p w14:paraId="5511BFA0" w14:textId="2D4860E2"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18.1%</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4F13697" w14:textId="77777777" w:rsidR="00885EA3" w:rsidRPr="00CC033B" w:rsidRDefault="00885EA3" w:rsidP="00885EA3">
            <w:pPr>
              <w:jc w:val="center"/>
              <w:rPr>
                <w:rFonts w:cstheme="minorHAnsi"/>
                <w:b/>
                <w:sz w:val="20"/>
                <w:szCs w:val="20"/>
              </w:rPr>
            </w:pPr>
          </w:p>
        </w:tc>
      </w:tr>
      <w:tr w:rsidR="00885EA3" w14:paraId="3EF55598"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1AB5FE5B" w14:textId="4CB98C54" w:rsidR="00885EA3" w:rsidRPr="00CC033B" w:rsidRDefault="00885EA3" w:rsidP="00885EA3">
            <w:pPr>
              <w:rPr>
                <w:rFonts w:cstheme="minorHAnsi"/>
                <w:i/>
                <w:spacing w:val="-1"/>
                <w:sz w:val="20"/>
                <w:szCs w:val="20"/>
              </w:rPr>
            </w:pPr>
            <w:r w:rsidRPr="002865AA">
              <w:rPr>
                <w:rFonts w:cstheme="minorHAnsi"/>
                <w:i/>
                <w:iCs/>
                <w:sz w:val="20"/>
                <w:szCs w:val="20"/>
              </w:rPr>
              <w:t>p</w:t>
            </w:r>
            <w:r w:rsidRPr="00CC033B">
              <w:rPr>
                <w:rFonts w:cstheme="minorHAnsi"/>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52EBB569" w14:textId="05493E46"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0.0001</w:t>
            </w:r>
          </w:p>
        </w:tc>
        <w:tc>
          <w:tcPr>
            <w:tcW w:w="1843" w:type="dxa"/>
            <w:tcBorders>
              <w:top w:val="single" w:sz="6" w:space="0" w:color="000000"/>
              <w:left w:val="single" w:sz="6" w:space="0" w:color="000000"/>
              <w:bottom w:val="single" w:sz="6" w:space="0" w:color="000000"/>
              <w:right w:val="single" w:sz="6" w:space="0" w:color="000000"/>
            </w:tcBorders>
            <w:vAlign w:val="center"/>
          </w:tcPr>
          <w:p w14:paraId="379B5A82" w14:textId="65E6A90B"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 xml:space="preserve">&lt; 0.0001 </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DEBED24" w14:textId="77777777" w:rsidR="00885EA3" w:rsidRPr="00CC033B" w:rsidRDefault="00885EA3" w:rsidP="00885EA3">
            <w:pPr>
              <w:jc w:val="center"/>
              <w:rPr>
                <w:rFonts w:cstheme="minorHAnsi"/>
                <w:b/>
                <w:sz w:val="20"/>
                <w:szCs w:val="20"/>
              </w:rPr>
            </w:pPr>
          </w:p>
        </w:tc>
      </w:tr>
      <w:tr w:rsidR="00885EA3" w14:paraId="3B2D40C7" w14:textId="77777777" w:rsidTr="00C663F0">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4E1880D" w14:textId="36A1D2DB" w:rsidR="00885EA3" w:rsidRPr="00CC033B" w:rsidRDefault="00885EA3" w:rsidP="00885EA3">
            <w:pPr>
              <w:rPr>
                <w:rFonts w:cstheme="minorHAnsi"/>
                <w:b/>
                <w:sz w:val="20"/>
                <w:szCs w:val="20"/>
              </w:rPr>
            </w:pPr>
            <w:r w:rsidRPr="00CC033B">
              <w:rPr>
                <w:rFonts w:cstheme="minorHAnsi"/>
                <w:sz w:val="20"/>
                <w:szCs w:val="20"/>
              </w:rPr>
              <w:t>≥ 50% MMD responders – Weeks 1-12</w:t>
            </w:r>
          </w:p>
        </w:tc>
      </w:tr>
      <w:tr w:rsidR="00885EA3" w14:paraId="3BCBF838"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521AD4E7" w14:textId="6B94DB12" w:rsidR="00885EA3" w:rsidRPr="00CC033B" w:rsidRDefault="00885EA3" w:rsidP="00885EA3">
            <w:pPr>
              <w:rPr>
                <w:rFonts w:cstheme="minorHAnsi"/>
                <w:i/>
                <w:spacing w:val="-1"/>
                <w:sz w:val="20"/>
                <w:szCs w:val="20"/>
              </w:rPr>
            </w:pPr>
            <w:r w:rsidRPr="00CC033B">
              <w:rPr>
                <w:rFonts w:cstheme="minorHAnsi"/>
                <w:sz w:val="20"/>
                <w:szCs w:val="20"/>
              </w:rPr>
              <w:t>Responders</w:t>
            </w:r>
          </w:p>
        </w:tc>
        <w:tc>
          <w:tcPr>
            <w:tcW w:w="1843" w:type="dxa"/>
            <w:tcBorders>
              <w:top w:val="single" w:sz="6" w:space="0" w:color="000000"/>
              <w:left w:val="single" w:sz="6" w:space="0" w:color="000000"/>
              <w:bottom w:val="single" w:sz="6" w:space="0" w:color="000000"/>
              <w:right w:val="single" w:sz="6" w:space="0" w:color="000000"/>
            </w:tcBorders>
            <w:vAlign w:val="center"/>
          </w:tcPr>
          <w:p w14:paraId="6A668E1D" w14:textId="48A5286A"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57.6%</w:t>
            </w:r>
          </w:p>
        </w:tc>
        <w:tc>
          <w:tcPr>
            <w:tcW w:w="1843" w:type="dxa"/>
            <w:tcBorders>
              <w:top w:val="single" w:sz="6" w:space="0" w:color="000000"/>
              <w:left w:val="single" w:sz="6" w:space="0" w:color="000000"/>
              <w:bottom w:val="single" w:sz="6" w:space="0" w:color="000000"/>
              <w:right w:val="single" w:sz="6" w:space="0" w:color="000000"/>
            </w:tcBorders>
            <w:vAlign w:val="center"/>
          </w:tcPr>
          <w:p w14:paraId="7B66D376" w14:textId="030C537D"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61.4%</w:t>
            </w:r>
          </w:p>
        </w:tc>
        <w:tc>
          <w:tcPr>
            <w:tcW w:w="1701" w:type="dxa"/>
            <w:tcBorders>
              <w:top w:val="single" w:sz="6" w:space="0" w:color="000000"/>
              <w:left w:val="single" w:sz="6" w:space="0" w:color="000000"/>
              <w:bottom w:val="single" w:sz="6" w:space="0" w:color="000000"/>
              <w:right w:val="single" w:sz="6" w:space="0" w:color="000000"/>
            </w:tcBorders>
            <w:vAlign w:val="center"/>
          </w:tcPr>
          <w:p w14:paraId="32CB4968" w14:textId="0AEB81E2" w:rsidR="00885EA3" w:rsidRPr="00CC033B" w:rsidRDefault="00885EA3" w:rsidP="00885EA3">
            <w:pPr>
              <w:jc w:val="center"/>
              <w:rPr>
                <w:rFonts w:cstheme="minorHAnsi"/>
                <w:b/>
                <w:sz w:val="20"/>
                <w:szCs w:val="20"/>
              </w:rPr>
            </w:pPr>
            <w:r w:rsidRPr="00CC033B">
              <w:rPr>
                <w:rFonts w:cstheme="minorHAnsi"/>
                <w:sz w:val="20"/>
                <w:szCs w:val="20"/>
              </w:rPr>
              <w:t>39.3%</w:t>
            </w:r>
          </w:p>
        </w:tc>
      </w:tr>
      <w:tr w:rsidR="00885EA3" w14:paraId="3710BBB7"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1AFE433A" w14:textId="07E279AC" w:rsidR="00885EA3" w:rsidRPr="00CC033B" w:rsidRDefault="00885EA3" w:rsidP="00885EA3">
            <w:pPr>
              <w:rPr>
                <w:rFonts w:cstheme="minorHAnsi"/>
                <w:i/>
                <w:spacing w:val="-1"/>
                <w:sz w:val="20"/>
                <w:szCs w:val="20"/>
              </w:rPr>
            </w:pPr>
            <w:r w:rsidRPr="00CC033B">
              <w:rPr>
                <w:rFonts w:cstheme="minorHAnsi"/>
                <w:sz w:val="20"/>
                <w:szCs w:val="20"/>
              </w:rPr>
              <w:t>Difference from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2765DB78" w14:textId="1662794B"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18.2%</w:t>
            </w:r>
          </w:p>
        </w:tc>
        <w:tc>
          <w:tcPr>
            <w:tcW w:w="1843" w:type="dxa"/>
            <w:tcBorders>
              <w:top w:val="single" w:sz="6" w:space="0" w:color="000000"/>
              <w:left w:val="single" w:sz="6" w:space="0" w:color="000000"/>
              <w:bottom w:val="single" w:sz="6" w:space="0" w:color="000000"/>
              <w:right w:val="single" w:sz="6" w:space="0" w:color="000000"/>
            </w:tcBorders>
            <w:vAlign w:val="center"/>
          </w:tcPr>
          <w:p w14:paraId="09A14471" w14:textId="5AD3F735"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22.1%</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ACB5F39" w14:textId="77777777" w:rsidR="00885EA3" w:rsidRPr="00CC033B" w:rsidRDefault="00885EA3" w:rsidP="00885EA3">
            <w:pPr>
              <w:jc w:val="center"/>
              <w:rPr>
                <w:rFonts w:cstheme="minorHAnsi"/>
                <w:b/>
                <w:sz w:val="20"/>
                <w:szCs w:val="20"/>
              </w:rPr>
            </w:pPr>
          </w:p>
        </w:tc>
      </w:tr>
      <w:tr w:rsidR="00885EA3" w14:paraId="3D863D7F"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17FE2331" w14:textId="10BF91B6" w:rsidR="00885EA3" w:rsidRPr="00CC033B" w:rsidRDefault="00885EA3" w:rsidP="00885EA3">
            <w:pPr>
              <w:rPr>
                <w:rFonts w:cstheme="minorHAnsi"/>
                <w:i/>
                <w:spacing w:val="-1"/>
                <w:sz w:val="20"/>
                <w:szCs w:val="20"/>
              </w:rPr>
            </w:pPr>
            <w:r w:rsidRPr="002865AA">
              <w:rPr>
                <w:rFonts w:cstheme="minorHAnsi"/>
                <w:i/>
                <w:iCs/>
                <w:sz w:val="20"/>
                <w:szCs w:val="20"/>
              </w:rPr>
              <w:t>p</w:t>
            </w:r>
            <w:r w:rsidRPr="00CC033B">
              <w:rPr>
                <w:rFonts w:cstheme="minorHAnsi"/>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0B98BBC3" w14:textId="2045A459"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&lt; 0.0001</w:t>
            </w:r>
          </w:p>
        </w:tc>
        <w:tc>
          <w:tcPr>
            <w:tcW w:w="1843" w:type="dxa"/>
            <w:tcBorders>
              <w:top w:val="single" w:sz="6" w:space="0" w:color="000000"/>
              <w:left w:val="single" w:sz="6" w:space="0" w:color="000000"/>
              <w:bottom w:val="single" w:sz="6" w:space="0" w:color="000000"/>
              <w:right w:val="single" w:sz="6" w:space="0" w:color="000000"/>
            </w:tcBorders>
            <w:vAlign w:val="center"/>
          </w:tcPr>
          <w:p w14:paraId="7D67DAB6" w14:textId="2ABEAAC6"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 xml:space="preserve">&lt; 0.0001 </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43E8523" w14:textId="77777777" w:rsidR="00885EA3" w:rsidRPr="00CC033B" w:rsidRDefault="00885EA3" w:rsidP="00885EA3">
            <w:pPr>
              <w:jc w:val="center"/>
              <w:rPr>
                <w:rFonts w:cstheme="minorHAnsi"/>
                <w:b/>
                <w:sz w:val="20"/>
                <w:szCs w:val="20"/>
              </w:rPr>
            </w:pPr>
          </w:p>
        </w:tc>
      </w:tr>
      <w:tr w:rsidR="00885EA3" w14:paraId="1D820BA9" w14:textId="77777777" w:rsidTr="00C663F0">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1F20A4D" w14:textId="492DC9C4" w:rsidR="00885EA3" w:rsidRPr="00CC033B" w:rsidRDefault="00885EA3" w:rsidP="00885EA3">
            <w:pPr>
              <w:rPr>
                <w:rFonts w:cstheme="minorHAnsi"/>
                <w:b/>
                <w:sz w:val="20"/>
                <w:szCs w:val="20"/>
              </w:rPr>
            </w:pPr>
            <w:r w:rsidRPr="00CC033B">
              <w:rPr>
                <w:rFonts w:cstheme="minorHAnsi"/>
                <w:sz w:val="20"/>
                <w:szCs w:val="20"/>
              </w:rPr>
              <w:t>Percent of Subjects with a Migraine on the Day After Dosing</w:t>
            </w:r>
          </w:p>
        </w:tc>
      </w:tr>
      <w:tr w:rsidR="00885EA3" w14:paraId="7D8E3902"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21060426" w14:textId="57687739" w:rsidR="00885EA3" w:rsidRPr="00CC033B" w:rsidRDefault="00885EA3" w:rsidP="00885EA3">
            <w:pPr>
              <w:rPr>
                <w:rFonts w:cstheme="minorHAnsi"/>
                <w:i/>
                <w:spacing w:val="-1"/>
                <w:sz w:val="20"/>
                <w:szCs w:val="20"/>
              </w:rPr>
            </w:pPr>
            <w:r w:rsidRPr="00CC033B">
              <w:rPr>
                <w:rFonts w:cstheme="minorHAnsi"/>
                <w:sz w:val="20"/>
                <w:szCs w:val="20"/>
              </w:rPr>
              <w:t>Migraine during the Baseline Period</w:t>
            </w:r>
            <w:r w:rsidRPr="00CC033B">
              <w:rPr>
                <w:rFonts w:cstheme="minorHAnsi"/>
                <w:sz w:val="20"/>
                <w:szCs w:val="20"/>
                <w:vertAlign w:val="superscript"/>
              </w:rPr>
              <w:t>a</w:t>
            </w:r>
          </w:p>
        </w:tc>
        <w:tc>
          <w:tcPr>
            <w:tcW w:w="1843" w:type="dxa"/>
            <w:tcBorders>
              <w:top w:val="single" w:sz="6" w:space="0" w:color="000000"/>
              <w:left w:val="single" w:sz="6" w:space="0" w:color="000000"/>
              <w:bottom w:val="single" w:sz="6" w:space="0" w:color="000000"/>
              <w:right w:val="single" w:sz="6" w:space="0" w:color="000000"/>
            </w:tcBorders>
            <w:vAlign w:val="center"/>
          </w:tcPr>
          <w:p w14:paraId="7ED9F0A8" w14:textId="5DB29FB2"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57.5%</w:t>
            </w:r>
          </w:p>
        </w:tc>
        <w:tc>
          <w:tcPr>
            <w:tcW w:w="1843" w:type="dxa"/>
            <w:tcBorders>
              <w:top w:val="single" w:sz="6" w:space="0" w:color="000000"/>
              <w:left w:val="single" w:sz="6" w:space="0" w:color="000000"/>
              <w:bottom w:val="single" w:sz="6" w:space="0" w:color="000000"/>
              <w:right w:val="single" w:sz="6" w:space="0" w:color="000000"/>
            </w:tcBorders>
            <w:vAlign w:val="center"/>
          </w:tcPr>
          <w:p w14:paraId="09F2487B" w14:textId="28A54F46"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57.4%</w:t>
            </w:r>
          </w:p>
        </w:tc>
        <w:tc>
          <w:tcPr>
            <w:tcW w:w="1701" w:type="dxa"/>
            <w:tcBorders>
              <w:top w:val="single" w:sz="6" w:space="0" w:color="000000"/>
              <w:left w:val="single" w:sz="6" w:space="0" w:color="000000"/>
              <w:bottom w:val="single" w:sz="6" w:space="0" w:color="000000"/>
              <w:right w:val="single" w:sz="6" w:space="0" w:color="000000"/>
            </w:tcBorders>
            <w:vAlign w:val="center"/>
          </w:tcPr>
          <w:p w14:paraId="2ED35C71" w14:textId="68DF0193" w:rsidR="00885EA3" w:rsidRPr="00CC033B" w:rsidRDefault="00885EA3" w:rsidP="00885EA3">
            <w:pPr>
              <w:jc w:val="center"/>
              <w:rPr>
                <w:rFonts w:cstheme="minorHAnsi"/>
                <w:b/>
                <w:sz w:val="20"/>
                <w:szCs w:val="20"/>
              </w:rPr>
            </w:pPr>
            <w:r w:rsidRPr="00CC033B">
              <w:rPr>
                <w:rFonts w:cstheme="minorHAnsi"/>
                <w:sz w:val="20"/>
                <w:szCs w:val="20"/>
              </w:rPr>
              <w:t>58.0%</w:t>
            </w:r>
          </w:p>
        </w:tc>
      </w:tr>
      <w:tr w:rsidR="00885EA3" w14:paraId="71172324"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542DF963" w14:textId="4E4C59BD" w:rsidR="00885EA3" w:rsidRPr="00CC033B" w:rsidRDefault="00885EA3" w:rsidP="00885EA3">
            <w:pPr>
              <w:rPr>
                <w:rFonts w:cstheme="minorHAnsi"/>
                <w:i/>
                <w:spacing w:val="-1"/>
                <w:sz w:val="20"/>
                <w:szCs w:val="20"/>
              </w:rPr>
            </w:pPr>
            <w:r w:rsidRPr="00CC033B">
              <w:rPr>
                <w:rFonts w:cstheme="minorHAnsi"/>
                <w:sz w:val="20"/>
                <w:szCs w:val="20"/>
              </w:rPr>
              <w:t>Day 1</w:t>
            </w:r>
          </w:p>
        </w:tc>
        <w:tc>
          <w:tcPr>
            <w:tcW w:w="1843" w:type="dxa"/>
            <w:tcBorders>
              <w:top w:val="single" w:sz="6" w:space="0" w:color="000000"/>
              <w:left w:val="single" w:sz="6" w:space="0" w:color="000000"/>
              <w:bottom w:val="single" w:sz="6" w:space="0" w:color="000000"/>
              <w:right w:val="single" w:sz="6" w:space="0" w:color="000000"/>
            </w:tcBorders>
            <w:vAlign w:val="center"/>
          </w:tcPr>
          <w:p w14:paraId="02C527F4" w14:textId="621B92BB"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28.6%</w:t>
            </w:r>
          </w:p>
        </w:tc>
        <w:tc>
          <w:tcPr>
            <w:tcW w:w="1843" w:type="dxa"/>
            <w:tcBorders>
              <w:top w:val="single" w:sz="6" w:space="0" w:color="000000"/>
              <w:left w:val="single" w:sz="6" w:space="0" w:color="000000"/>
              <w:bottom w:val="single" w:sz="6" w:space="0" w:color="000000"/>
              <w:right w:val="single" w:sz="6" w:space="0" w:color="000000"/>
            </w:tcBorders>
            <w:vAlign w:val="center"/>
          </w:tcPr>
          <w:p w14:paraId="609A7F13" w14:textId="56D8FF6D"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27.8%</w:t>
            </w:r>
          </w:p>
        </w:tc>
        <w:tc>
          <w:tcPr>
            <w:tcW w:w="1701" w:type="dxa"/>
            <w:tcBorders>
              <w:top w:val="single" w:sz="6" w:space="0" w:color="000000"/>
              <w:left w:val="single" w:sz="6" w:space="0" w:color="000000"/>
              <w:bottom w:val="single" w:sz="6" w:space="0" w:color="000000"/>
              <w:right w:val="single" w:sz="6" w:space="0" w:color="000000"/>
            </w:tcBorders>
            <w:vAlign w:val="center"/>
          </w:tcPr>
          <w:p w14:paraId="2209E807" w14:textId="5DCBDD3A" w:rsidR="00885EA3" w:rsidRPr="00CC033B" w:rsidRDefault="00885EA3" w:rsidP="00885EA3">
            <w:pPr>
              <w:jc w:val="center"/>
              <w:rPr>
                <w:rFonts w:cstheme="minorHAnsi"/>
                <w:b/>
                <w:sz w:val="20"/>
                <w:szCs w:val="20"/>
              </w:rPr>
            </w:pPr>
            <w:r w:rsidRPr="00CC033B">
              <w:rPr>
                <w:rFonts w:cstheme="minorHAnsi"/>
                <w:sz w:val="20"/>
                <w:szCs w:val="20"/>
              </w:rPr>
              <w:t>42.3%</w:t>
            </w:r>
          </w:p>
        </w:tc>
      </w:tr>
      <w:tr w:rsidR="00885EA3" w14:paraId="1292A9C5"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1FAC0AAD" w14:textId="70F2D1BC" w:rsidR="00885EA3" w:rsidRPr="00CC033B" w:rsidRDefault="00885EA3" w:rsidP="00885EA3">
            <w:pPr>
              <w:rPr>
                <w:rFonts w:cstheme="minorHAnsi"/>
                <w:i/>
                <w:spacing w:val="-1"/>
                <w:sz w:val="20"/>
                <w:szCs w:val="20"/>
              </w:rPr>
            </w:pPr>
            <w:r w:rsidRPr="002865AA">
              <w:rPr>
                <w:rFonts w:cstheme="minorHAnsi"/>
                <w:i/>
                <w:iCs/>
                <w:sz w:val="20"/>
                <w:szCs w:val="20"/>
              </w:rPr>
              <w:t>p</w:t>
            </w:r>
            <w:r w:rsidRPr="00CC033B">
              <w:rPr>
                <w:rFonts w:cstheme="minorHAnsi"/>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26224639" w14:textId="2E650711"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&lt; 0.0001</w:t>
            </w:r>
          </w:p>
        </w:tc>
        <w:tc>
          <w:tcPr>
            <w:tcW w:w="1843" w:type="dxa"/>
            <w:tcBorders>
              <w:top w:val="single" w:sz="6" w:space="0" w:color="000000"/>
              <w:left w:val="single" w:sz="6" w:space="0" w:color="000000"/>
              <w:bottom w:val="single" w:sz="6" w:space="0" w:color="000000"/>
              <w:right w:val="single" w:sz="6" w:space="0" w:color="000000"/>
            </w:tcBorders>
            <w:vAlign w:val="center"/>
          </w:tcPr>
          <w:p w14:paraId="0BECB51A" w14:textId="74CCF50F"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 xml:space="preserve">&lt; 0.001 </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2EC695C" w14:textId="77777777" w:rsidR="00885EA3" w:rsidRPr="00CC033B" w:rsidRDefault="00885EA3" w:rsidP="00885EA3">
            <w:pPr>
              <w:jc w:val="center"/>
              <w:rPr>
                <w:rFonts w:cstheme="minorHAnsi"/>
                <w:b/>
                <w:sz w:val="20"/>
                <w:szCs w:val="20"/>
              </w:rPr>
            </w:pPr>
          </w:p>
        </w:tc>
      </w:tr>
      <w:tr w:rsidR="00885EA3" w14:paraId="6C503EBE" w14:textId="77777777" w:rsidTr="00C663F0">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1C13664" w14:textId="788BEE25" w:rsidR="00885EA3" w:rsidRPr="00CC033B" w:rsidRDefault="00885EA3" w:rsidP="00885EA3">
            <w:pPr>
              <w:rPr>
                <w:rFonts w:cstheme="minorHAnsi"/>
                <w:b/>
                <w:sz w:val="20"/>
                <w:szCs w:val="20"/>
              </w:rPr>
            </w:pPr>
            <w:r w:rsidRPr="00CC033B">
              <w:rPr>
                <w:rFonts w:cstheme="minorHAnsi"/>
                <w:sz w:val="20"/>
                <w:szCs w:val="20"/>
              </w:rPr>
              <w:t>Reduction in Migraine Prevalence</w:t>
            </w:r>
            <w:r w:rsidRPr="00CC033B">
              <w:rPr>
                <w:rFonts w:cstheme="minorHAnsi"/>
                <w:sz w:val="20"/>
                <w:szCs w:val="20"/>
                <w:vertAlign w:val="superscript"/>
              </w:rPr>
              <w:t>b</w:t>
            </w:r>
            <w:r w:rsidRPr="00CC033B">
              <w:rPr>
                <w:rFonts w:cstheme="minorHAnsi"/>
                <w:sz w:val="20"/>
                <w:szCs w:val="20"/>
              </w:rPr>
              <w:t xml:space="preserve"> – Weeks 1-4</w:t>
            </w:r>
          </w:p>
        </w:tc>
      </w:tr>
      <w:tr w:rsidR="00885EA3" w14:paraId="56BE902C"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191CEA8A" w14:textId="7C0F4D63" w:rsidR="00885EA3" w:rsidRPr="00CC033B" w:rsidRDefault="00885EA3" w:rsidP="00885EA3">
            <w:pPr>
              <w:rPr>
                <w:rFonts w:cstheme="minorHAnsi"/>
                <w:sz w:val="20"/>
                <w:szCs w:val="20"/>
              </w:rPr>
            </w:pPr>
            <w:r w:rsidRPr="00CC033B">
              <w:rPr>
                <w:rFonts w:cstheme="minorHAnsi"/>
                <w:sz w:val="20"/>
                <w:szCs w:val="20"/>
              </w:rPr>
              <w:t>Mean Change</w:t>
            </w:r>
          </w:p>
        </w:tc>
        <w:tc>
          <w:tcPr>
            <w:tcW w:w="1843" w:type="dxa"/>
            <w:tcBorders>
              <w:top w:val="single" w:sz="6" w:space="0" w:color="000000"/>
              <w:left w:val="single" w:sz="6" w:space="0" w:color="000000"/>
              <w:bottom w:val="single" w:sz="6" w:space="0" w:color="000000"/>
              <w:right w:val="single" w:sz="6" w:space="0" w:color="000000"/>
            </w:tcBorders>
            <w:vAlign w:val="center"/>
          </w:tcPr>
          <w:p w14:paraId="055E821C" w14:textId="7218C0B4"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-27.1%</w:t>
            </w:r>
          </w:p>
        </w:tc>
        <w:tc>
          <w:tcPr>
            <w:tcW w:w="1843" w:type="dxa"/>
            <w:tcBorders>
              <w:top w:val="single" w:sz="6" w:space="0" w:color="000000"/>
              <w:left w:val="single" w:sz="6" w:space="0" w:color="000000"/>
              <w:bottom w:val="single" w:sz="6" w:space="0" w:color="000000"/>
              <w:right w:val="single" w:sz="6" w:space="0" w:color="000000"/>
            </w:tcBorders>
            <w:vAlign w:val="center"/>
          </w:tcPr>
          <w:p w14:paraId="15B214B6" w14:textId="3AA5AF67"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-29.8%</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BD147DB" w14:textId="0146DF8F" w:rsidR="00885EA3" w:rsidRPr="00CC033B" w:rsidRDefault="00885EA3" w:rsidP="00885EA3">
            <w:pPr>
              <w:jc w:val="center"/>
              <w:rPr>
                <w:rFonts w:cstheme="minorHAnsi"/>
                <w:b/>
                <w:sz w:val="20"/>
                <w:szCs w:val="20"/>
              </w:rPr>
            </w:pPr>
            <w:r w:rsidRPr="00CC033B">
              <w:rPr>
                <w:rFonts w:cstheme="minorHAnsi"/>
                <w:sz w:val="20"/>
                <w:szCs w:val="20"/>
              </w:rPr>
              <w:t>-18.8%</w:t>
            </w:r>
          </w:p>
        </w:tc>
      </w:tr>
      <w:tr w:rsidR="00885EA3" w14:paraId="67D91415"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37745D95" w14:textId="16FB1BF6" w:rsidR="00885EA3" w:rsidRPr="00CC033B" w:rsidRDefault="00885EA3" w:rsidP="00885EA3">
            <w:pPr>
              <w:rPr>
                <w:rFonts w:cstheme="minorHAnsi"/>
                <w:sz w:val="20"/>
                <w:szCs w:val="20"/>
              </w:rPr>
            </w:pPr>
            <w:r w:rsidRPr="00CC033B">
              <w:rPr>
                <w:rFonts w:cstheme="minorHAnsi"/>
                <w:sz w:val="20"/>
                <w:szCs w:val="20"/>
              </w:rPr>
              <w:t>Difference from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0636ED3B" w14:textId="3A6C69E3"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-8.3%</w:t>
            </w:r>
          </w:p>
        </w:tc>
        <w:tc>
          <w:tcPr>
            <w:tcW w:w="1843" w:type="dxa"/>
            <w:tcBorders>
              <w:top w:val="single" w:sz="6" w:space="0" w:color="000000"/>
              <w:left w:val="single" w:sz="6" w:space="0" w:color="000000"/>
              <w:bottom w:val="single" w:sz="6" w:space="0" w:color="000000"/>
              <w:right w:val="single" w:sz="6" w:space="0" w:color="000000"/>
            </w:tcBorders>
            <w:vAlign w:val="center"/>
          </w:tcPr>
          <w:p w14:paraId="0437AA95" w14:textId="6C26ED4F"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-11.0%</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697C7CE" w14:textId="77777777" w:rsidR="00885EA3" w:rsidRPr="00CC033B" w:rsidRDefault="00885EA3" w:rsidP="00885EA3">
            <w:pPr>
              <w:jc w:val="center"/>
              <w:rPr>
                <w:rFonts w:cstheme="minorHAnsi"/>
                <w:b/>
                <w:sz w:val="20"/>
                <w:szCs w:val="20"/>
              </w:rPr>
            </w:pPr>
          </w:p>
        </w:tc>
      </w:tr>
      <w:tr w:rsidR="00885EA3" w14:paraId="64DCD7FB" w14:textId="77777777" w:rsidTr="00C663F0">
        <w:tc>
          <w:tcPr>
            <w:tcW w:w="3397" w:type="dxa"/>
            <w:tcBorders>
              <w:top w:val="single" w:sz="6" w:space="0" w:color="000000"/>
              <w:left w:val="single" w:sz="6" w:space="0" w:color="000000"/>
              <w:bottom w:val="single" w:sz="6" w:space="0" w:color="000000"/>
              <w:right w:val="single" w:sz="6" w:space="0" w:color="000000"/>
            </w:tcBorders>
            <w:vAlign w:val="center"/>
          </w:tcPr>
          <w:p w14:paraId="669DFF31" w14:textId="2C6AEEEE" w:rsidR="00885EA3" w:rsidRPr="00CC033B" w:rsidRDefault="00885EA3" w:rsidP="00885EA3">
            <w:pPr>
              <w:rPr>
                <w:rFonts w:cstheme="minorHAnsi"/>
                <w:sz w:val="20"/>
                <w:szCs w:val="20"/>
              </w:rPr>
            </w:pPr>
            <w:r w:rsidRPr="00CC033B">
              <w:rPr>
                <w:rFonts w:cstheme="minorHAnsi"/>
                <w:sz w:val="20"/>
                <w:szCs w:val="20"/>
              </w:rPr>
              <w:t>CI</w:t>
            </w:r>
            <w:r w:rsidRPr="00CC033B">
              <w:rPr>
                <w:rFonts w:cstheme="minorHAnsi"/>
                <w:sz w:val="20"/>
                <w:szCs w:val="20"/>
                <w:vertAlign w:val="subscript"/>
              </w:rPr>
              <w:t>95%</w:t>
            </w:r>
          </w:p>
        </w:tc>
        <w:tc>
          <w:tcPr>
            <w:tcW w:w="1843" w:type="dxa"/>
            <w:tcBorders>
              <w:top w:val="single" w:sz="6" w:space="0" w:color="000000"/>
              <w:left w:val="single" w:sz="6" w:space="0" w:color="000000"/>
              <w:bottom w:val="single" w:sz="6" w:space="0" w:color="000000"/>
              <w:right w:val="single" w:sz="6" w:space="0" w:color="000000"/>
            </w:tcBorders>
            <w:vAlign w:val="center"/>
          </w:tcPr>
          <w:p w14:paraId="5653FA07" w14:textId="1D5CE46C"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(-11.5%, -5.1%)</w:t>
            </w:r>
          </w:p>
        </w:tc>
        <w:tc>
          <w:tcPr>
            <w:tcW w:w="1843" w:type="dxa"/>
            <w:tcBorders>
              <w:top w:val="single" w:sz="6" w:space="0" w:color="000000"/>
              <w:left w:val="single" w:sz="6" w:space="0" w:color="000000"/>
              <w:bottom w:val="single" w:sz="6" w:space="0" w:color="000000"/>
              <w:right w:val="single" w:sz="6" w:space="0" w:color="000000"/>
            </w:tcBorders>
            <w:vAlign w:val="center"/>
          </w:tcPr>
          <w:p w14:paraId="6EABC8B7" w14:textId="0FB3D369"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 xml:space="preserve">(-14.2%, -7.8%) </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F3FFD14" w14:textId="77777777" w:rsidR="00885EA3" w:rsidRPr="00CC033B" w:rsidRDefault="00885EA3" w:rsidP="00885EA3">
            <w:pPr>
              <w:jc w:val="center"/>
              <w:rPr>
                <w:rFonts w:cstheme="minorHAnsi"/>
                <w:b/>
                <w:sz w:val="20"/>
                <w:szCs w:val="20"/>
              </w:rPr>
            </w:pPr>
          </w:p>
        </w:tc>
      </w:tr>
      <w:tr w:rsidR="00885EA3" w14:paraId="51E0CA6E"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417FBB5C" w14:textId="00C22443" w:rsidR="00885EA3" w:rsidRPr="00CC033B" w:rsidRDefault="00885EA3" w:rsidP="008C4033">
            <w:pPr>
              <w:rPr>
                <w:rFonts w:cstheme="minorHAnsi"/>
                <w:sz w:val="20"/>
                <w:szCs w:val="20"/>
              </w:rPr>
            </w:pPr>
            <w:r w:rsidRPr="002865AA">
              <w:rPr>
                <w:rFonts w:cstheme="minorHAnsi"/>
                <w:i/>
                <w:iCs/>
                <w:sz w:val="20"/>
                <w:szCs w:val="20"/>
              </w:rPr>
              <w:t>p</w:t>
            </w:r>
            <w:r w:rsidRPr="00CC033B">
              <w:rPr>
                <w:rFonts w:cstheme="minorHAnsi"/>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5C438AB1" w14:textId="32F5CBE6"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&lt; 0.0001</w:t>
            </w:r>
          </w:p>
        </w:tc>
        <w:tc>
          <w:tcPr>
            <w:tcW w:w="1843" w:type="dxa"/>
            <w:tcBorders>
              <w:top w:val="single" w:sz="6" w:space="0" w:color="000000"/>
              <w:left w:val="single" w:sz="6" w:space="0" w:color="000000"/>
              <w:bottom w:val="single" w:sz="6" w:space="0" w:color="000000"/>
              <w:right w:val="single" w:sz="6" w:space="0" w:color="000000"/>
            </w:tcBorders>
            <w:vAlign w:val="center"/>
          </w:tcPr>
          <w:p w14:paraId="262C9313" w14:textId="1A9BFAD1"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&lt; 0.0001</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7131386" w14:textId="77777777" w:rsidR="00885EA3" w:rsidRPr="00CC033B" w:rsidRDefault="00885EA3" w:rsidP="00885EA3">
            <w:pPr>
              <w:jc w:val="center"/>
              <w:rPr>
                <w:rFonts w:cstheme="minorHAnsi"/>
                <w:b/>
                <w:sz w:val="20"/>
                <w:szCs w:val="20"/>
              </w:rPr>
            </w:pPr>
          </w:p>
        </w:tc>
      </w:tr>
      <w:tr w:rsidR="00885EA3" w14:paraId="4E0EB4A7" w14:textId="77777777" w:rsidTr="00C663F0">
        <w:trPr>
          <w:trHeight w:val="72"/>
        </w:trPr>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2B67E0E" w14:textId="38AD61F7" w:rsidR="00885EA3" w:rsidRPr="00CC033B" w:rsidRDefault="00885EA3" w:rsidP="008C4033">
            <w:pPr>
              <w:rPr>
                <w:rFonts w:cstheme="minorHAnsi"/>
                <w:b/>
                <w:sz w:val="20"/>
                <w:szCs w:val="20"/>
              </w:rPr>
            </w:pPr>
            <w:r w:rsidRPr="00CC033B">
              <w:rPr>
                <w:rFonts w:cstheme="minorHAnsi"/>
                <w:sz w:val="20"/>
                <w:szCs w:val="20"/>
              </w:rPr>
              <w:t>HIT-6 Score – Week 12</w:t>
            </w:r>
            <w:r w:rsidRPr="00CC033B">
              <w:rPr>
                <w:rFonts w:cstheme="minorHAnsi"/>
                <w:sz w:val="20"/>
                <w:szCs w:val="20"/>
                <w:vertAlign w:val="superscript"/>
              </w:rPr>
              <w:t>c</w:t>
            </w:r>
          </w:p>
        </w:tc>
      </w:tr>
      <w:tr w:rsidR="00885EA3" w14:paraId="522C5995"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00C0444C" w14:textId="2C17C8C7" w:rsidR="00885EA3" w:rsidRPr="00CC033B" w:rsidRDefault="00885EA3" w:rsidP="00885EA3">
            <w:pPr>
              <w:rPr>
                <w:rFonts w:cstheme="minorHAnsi"/>
                <w:sz w:val="20"/>
                <w:szCs w:val="20"/>
              </w:rPr>
            </w:pPr>
            <w:r w:rsidRPr="00CC033B">
              <w:rPr>
                <w:rFonts w:cstheme="minorHAnsi"/>
                <w:sz w:val="20"/>
                <w:szCs w:val="20"/>
              </w:rPr>
              <w:t>Baseline</w:t>
            </w:r>
          </w:p>
        </w:tc>
        <w:tc>
          <w:tcPr>
            <w:tcW w:w="1843" w:type="dxa"/>
            <w:tcBorders>
              <w:top w:val="single" w:sz="6" w:space="0" w:color="000000"/>
              <w:left w:val="single" w:sz="6" w:space="0" w:color="000000"/>
              <w:bottom w:val="single" w:sz="6" w:space="0" w:color="000000"/>
              <w:right w:val="single" w:sz="6" w:space="0" w:color="000000"/>
            </w:tcBorders>
            <w:vAlign w:val="center"/>
          </w:tcPr>
          <w:p w14:paraId="6B08B74D" w14:textId="277E56E8"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65.0</w:t>
            </w:r>
          </w:p>
        </w:tc>
        <w:tc>
          <w:tcPr>
            <w:tcW w:w="1843" w:type="dxa"/>
            <w:tcBorders>
              <w:top w:val="single" w:sz="6" w:space="0" w:color="000000"/>
              <w:left w:val="single" w:sz="6" w:space="0" w:color="000000"/>
              <w:bottom w:val="single" w:sz="6" w:space="0" w:color="000000"/>
              <w:right w:val="single" w:sz="6" w:space="0" w:color="000000"/>
            </w:tcBorders>
            <w:vAlign w:val="center"/>
          </w:tcPr>
          <w:p w14:paraId="486CFECF" w14:textId="34D8C93D"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65.1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878178E" w14:textId="7BAD0385" w:rsidR="00885EA3" w:rsidRPr="00CC033B" w:rsidRDefault="00885EA3" w:rsidP="00885EA3">
            <w:pPr>
              <w:jc w:val="center"/>
              <w:rPr>
                <w:rFonts w:cstheme="minorHAnsi"/>
                <w:b/>
                <w:sz w:val="20"/>
                <w:szCs w:val="20"/>
              </w:rPr>
            </w:pPr>
            <w:r w:rsidRPr="00CC033B">
              <w:rPr>
                <w:rFonts w:cstheme="minorHAnsi"/>
                <w:sz w:val="20"/>
                <w:szCs w:val="20"/>
              </w:rPr>
              <w:t>64.8</w:t>
            </w:r>
          </w:p>
        </w:tc>
      </w:tr>
      <w:tr w:rsidR="00885EA3" w14:paraId="4CA60AC3"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4AE8CC6E" w14:textId="376D07C4" w:rsidR="00885EA3" w:rsidRPr="00CC033B" w:rsidRDefault="00885EA3" w:rsidP="00885EA3">
            <w:pPr>
              <w:rPr>
                <w:rFonts w:cstheme="minorHAnsi"/>
                <w:sz w:val="20"/>
                <w:szCs w:val="20"/>
              </w:rPr>
            </w:pPr>
            <w:r w:rsidRPr="00CC033B">
              <w:rPr>
                <w:rFonts w:cstheme="minorHAnsi"/>
                <w:sz w:val="20"/>
                <w:szCs w:val="20"/>
              </w:rPr>
              <w:t>Mean Change</w:t>
            </w:r>
          </w:p>
        </w:tc>
        <w:tc>
          <w:tcPr>
            <w:tcW w:w="1843" w:type="dxa"/>
            <w:tcBorders>
              <w:top w:val="single" w:sz="6" w:space="0" w:color="000000"/>
              <w:left w:val="single" w:sz="6" w:space="0" w:color="000000"/>
              <w:bottom w:val="single" w:sz="6" w:space="0" w:color="000000"/>
              <w:right w:val="single" w:sz="6" w:space="0" w:color="000000"/>
            </w:tcBorders>
            <w:vAlign w:val="center"/>
          </w:tcPr>
          <w:p w14:paraId="5FF76B34" w14:textId="6CCFCD2E"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-6.2</w:t>
            </w:r>
          </w:p>
        </w:tc>
        <w:tc>
          <w:tcPr>
            <w:tcW w:w="1843" w:type="dxa"/>
            <w:tcBorders>
              <w:top w:val="single" w:sz="6" w:space="0" w:color="000000"/>
              <w:left w:val="single" w:sz="6" w:space="0" w:color="000000"/>
              <w:bottom w:val="single" w:sz="6" w:space="0" w:color="000000"/>
              <w:right w:val="single" w:sz="6" w:space="0" w:color="000000"/>
            </w:tcBorders>
            <w:vAlign w:val="center"/>
          </w:tcPr>
          <w:p w14:paraId="31D8A287" w14:textId="7AFF5BE3"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-7.3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EDFD973" w14:textId="31750F2C" w:rsidR="00885EA3" w:rsidRPr="00CC033B" w:rsidRDefault="00885EA3" w:rsidP="00885EA3">
            <w:pPr>
              <w:jc w:val="center"/>
              <w:rPr>
                <w:rFonts w:cstheme="minorHAnsi"/>
                <w:b/>
                <w:sz w:val="20"/>
                <w:szCs w:val="20"/>
              </w:rPr>
            </w:pPr>
            <w:r w:rsidRPr="00CC033B">
              <w:rPr>
                <w:rFonts w:cstheme="minorHAnsi"/>
                <w:sz w:val="20"/>
                <w:szCs w:val="20"/>
              </w:rPr>
              <w:t>-4.5</w:t>
            </w:r>
          </w:p>
        </w:tc>
      </w:tr>
      <w:tr w:rsidR="00885EA3" w14:paraId="77F5E1C5"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5BFD629F" w14:textId="72D3E0A0" w:rsidR="00885EA3" w:rsidRPr="00CC033B" w:rsidRDefault="00885EA3" w:rsidP="00885EA3">
            <w:pPr>
              <w:rPr>
                <w:rFonts w:cstheme="minorHAnsi"/>
                <w:sz w:val="20"/>
                <w:szCs w:val="20"/>
              </w:rPr>
            </w:pPr>
            <w:r w:rsidRPr="00CC033B">
              <w:rPr>
                <w:rFonts w:cstheme="minorHAnsi"/>
                <w:sz w:val="20"/>
                <w:szCs w:val="20"/>
              </w:rPr>
              <w:t>Difference from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22BD4A27" w14:textId="455D4B91"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-1.7</w:t>
            </w:r>
          </w:p>
        </w:tc>
        <w:tc>
          <w:tcPr>
            <w:tcW w:w="1843" w:type="dxa"/>
            <w:tcBorders>
              <w:top w:val="single" w:sz="6" w:space="0" w:color="000000"/>
              <w:left w:val="single" w:sz="6" w:space="0" w:color="000000"/>
              <w:bottom w:val="single" w:sz="6" w:space="0" w:color="000000"/>
              <w:right w:val="single" w:sz="6" w:space="0" w:color="000000"/>
            </w:tcBorders>
            <w:vAlign w:val="center"/>
          </w:tcPr>
          <w:p w14:paraId="52D277AF" w14:textId="2728D3D1"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-2.9</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F465348" w14:textId="77777777" w:rsidR="00885EA3" w:rsidRPr="00CC033B" w:rsidRDefault="00885EA3" w:rsidP="00885EA3">
            <w:pPr>
              <w:jc w:val="center"/>
              <w:rPr>
                <w:rFonts w:cstheme="minorHAnsi"/>
                <w:b/>
                <w:sz w:val="20"/>
                <w:szCs w:val="20"/>
              </w:rPr>
            </w:pPr>
          </w:p>
        </w:tc>
      </w:tr>
      <w:tr w:rsidR="00885EA3" w14:paraId="0537397E"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6B5DA47A" w14:textId="6452C01B" w:rsidR="00885EA3" w:rsidRPr="00CC033B" w:rsidRDefault="00885EA3" w:rsidP="00885EA3">
            <w:pPr>
              <w:rPr>
                <w:rFonts w:cstheme="minorHAnsi"/>
                <w:sz w:val="20"/>
                <w:szCs w:val="20"/>
              </w:rPr>
            </w:pPr>
            <w:r w:rsidRPr="00CC033B">
              <w:rPr>
                <w:rFonts w:cstheme="minorHAnsi"/>
                <w:sz w:val="20"/>
                <w:szCs w:val="20"/>
              </w:rPr>
              <w:t>CI</w:t>
            </w:r>
            <w:r w:rsidRPr="00CC033B">
              <w:rPr>
                <w:rFonts w:cstheme="minorHAnsi"/>
                <w:sz w:val="20"/>
                <w:szCs w:val="20"/>
                <w:vertAlign w:val="subscript"/>
              </w:rPr>
              <w:t>95%</w:t>
            </w:r>
          </w:p>
        </w:tc>
        <w:tc>
          <w:tcPr>
            <w:tcW w:w="1843" w:type="dxa"/>
            <w:tcBorders>
              <w:top w:val="single" w:sz="6" w:space="0" w:color="000000"/>
              <w:left w:val="single" w:sz="6" w:space="0" w:color="000000"/>
              <w:bottom w:val="single" w:sz="6" w:space="0" w:color="000000"/>
              <w:right w:val="single" w:sz="6" w:space="0" w:color="000000"/>
            </w:tcBorders>
            <w:vAlign w:val="center"/>
          </w:tcPr>
          <w:p w14:paraId="027BDBED" w14:textId="55A0BB13"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(-2.8, -0.7)</w:t>
            </w:r>
          </w:p>
        </w:tc>
        <w:tc>
          <w:tcPr>
            <w:tcW w:w="1843" w:type="dxa"/>
            <w:tcBorders>
              <w:top w:val="single" w:sz="6" w:space="0" w:color="000000"/>
              <w:left w:val="single" w:sz="6" w:space="0" w:color="000000"/>
              <w:bottom w:val="single" w:sz="6" w:space="0" w:color="000000"/>
              <w:right w:val="single" w:sz="6" w:space="0" w:color="000000"/>
            </w:tcBorders>
            <w:vAlign w:val="center"/>
          </w:tcPr>
          <w:p w14:paraId="64B0D376" w14:textId="1235BDFE"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(-3.9, -1.8)</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EAD30D4" w14:textId="77777777" w:rsidR="00885EA3" w:rsidRPr="00CC033B" w:rsidRDefault="00885EA3" w:rsidP="00885EA3">
            <w:pPr>
              <w:jc w:val="center"/>
              <w:rPr>
                <w:rFonts w:cstheme="minorHAnsi"/>
                <w:b/>
                <w:sz w:val="20"/>
                <w:szCs w:val="20"/>
              </w:rPr>
            </w:pPr>
          </w:p>
        </w:tc>
      </w:tr>
      <w:tr w:rsidR="00885EA3" w14:paraId="0B073632"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41230AB1" w14:textId="32C676F1" w:rsidR="00885EA3" w:rsidRPr="00CC033B" w:rsidRDefault="00885EA3" w:rsidP="00885EA3">
            <w:pPr>
              <w:rPr>
                <w:rFonts w:cstheme="minorHAnsi"/>
                <w:sz w:val="20"/>
                <w:szCs w:val="20"/>
              </w:rPr>
            </w:pPr>
            <w:r w:rsidRPr="002865AA">
              <w:rPr>
                <w:rFonts w:cstheme="minorHAnsi"/>
                <w:i/>
                <w:iCs/>
                <w:sz w:val="20"/>
                <w:szCs w:val="20"/>
              </w:rPr>
              <w:t>p</w:t>
            </w:r>
            <w:r w:rsidRPr="00CC033B">
              <w:rPr>
                <w:rFonts w:cstheme="minorHAnsi"/>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785DF074" w14:textId="02CDC1D6"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0.0010</w:t>
            </w:r>
          </w:p>
        </w:tc>
        <w:tc>
          <w:tcPr>
            <w:tcW w:w="1843" w:type="dxa"/>
            <w:tcBorders>
              <w:top w:val="single" w:sz="6" w:space="0" w:color="000000"/>
              <w:left w:val="single" w:sz="6" w:space="0" w:color="000000"/>
              <w:bottom w:val="single" w:sz="6" w:space="0" w:color="000000"/>
              <w:right w:val="single" w:sz="6" w:space="0" w:color="000000"/>
            </w:tcBorders>
            <w:vAlign w:val="center"/>
          </w:tcPr>
          <w:p w14:paraId="46DE8F45" w14:textId="2A91F0C1"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 xml:space="preserve">&lt; 0.0001 </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32B3117" w14:textId="77777777" w:rsidR="00885EA3" w:rsidRPr="00CC033B" w:rsidRDefault="00885EA3" w:rsidP="00885EA3">
            <w:pPr>
              <w:jc w:val="center"/>
              <w:rPr>
                <w:rFonts w:cstheme="minorHAnsi"/>
                <w:b/>
                <w:sz w:val="20"/>
                <w:szCs w:val="20"/>
              </w:rPr>
            </w:pPr>
          </w:p>
        </w:tc>
      </w:tr>
      <w:tr w:rsidR="00885EA3" w14:paraId="5C8F01D6" w14:textId="77777777" w:rsidTr="00C663F0">
        <w:trPr>
          <w:trHeight w:val="72"/>
        </w:trPr>
        <w:tc>
          <w:tcPr>
            <w:tcW w:w="878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2EEC1D6" w14:textId="4C505D36" w:rsidR="00885EA3" w:rsidRPr="00CC033B" w:rsidRDefault="00885EA3" w:rsidP="008C4033">
            <w:pPr>
              <w:rPr>
                <w:rFonts w:cstheme="minorHAnsi"/>
                <w:b/>
                <w:sz w:val="20"/>
                <w:szCs w:val="20"/>
              </w:rPr>
            </w:pPr>
            <w:r w:rsidRPr="00CC033B">
              <w:rPr>
                <w:rFonts w:cstheme="minorHAnsi"/>
                <w:sz w:val="20"/>
                <w:szCs w:val="20"/>
              </w:rPr>
              <w:t>Days per month with Acute Medication Use – Weeks 1-12</w:t>
            </w:r>
            <w:r w:rsidRPr="00CC033B">
              <w:rPr>
                <w:rFonts w:cstheme="minorHAnsi"/>
                <w:sz w:val="20"/>
                <w:szCs w:val="20"/>
                <w:vertAlign w:val="superscript"/>
              </w:rPr>
              <w:t>a</w:t>
            </w:r>
            <w:r w:rsidR="000D259E" w:rsidRPr="00CC033B">
              <w:rPr>
                <w:rFonts w:cstheme="minorHAnsi"/>
                <w:sz w:val="20"/>
                <w:szCs w:val="20"/>
                <w:vertAlign w:val="superscript"/>
              </w:rPr>
              <w:t>,c</w:t>
            </w:r>
          </w:p>
        </w:tc>
      </w:tr>
      <w:tr w:rsidR="00885EA3" w14:paraId="1A7B74F8"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474A104F" w14:textId="6786D8A2" w:rsidR="00885EA3" w:rsidRPr="00CC033B" w:rsidRDefault="00885EA3" w:rsidP="00885EA3">
            <w:pPr>
              <w:rPr>
                <w:rFonts w:cstheme="minorHAnsi"/>
                <w:sz w:val="20"/>
                <w:szCs w:val="20"/>
              </w:rPr>
            </w:pPr>
            <w:r w:rsidRPr="00CC033B">
              <w:rPr>
                <w:rFonts w:cstheme="minorHAnsi"/>
                <w:sz w:val="20"/>
                <w:szCs w:val="20"/>
              </w:rPr>
              <w:t>Baseline</w:t>
            </w:r>
          </w:p>
        </w:tc>
        <w:tc>
          <w:tcPr>
            <w:tcW w:w="1843" w:type="dxa"/>
            <w:tcBorders>
              <w:top w:val="single" w:sz="6" w:space="0" w:color="000000"/>
              <w:left w:val="single" w:sz="6" w:space="0" w:color="000000"/>
              <w:bottom w:val="single" w:sz="6" w:space="0" w:color="000000"/>
              <w:right w:val="single" w:sz="6" w:space="0" w:color="000000"/>
            </w:tcBorders>
            <w:vAlign w:val="center"/>
          </w:tcPr>
          <w:p w14:paraId="7F608EEC" w14:textId="3B31A654"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6.6</w:t>
            </w:r>
          </w:p>
        </w:tc>
        <w:tc>
          <w:tcPr>
            <w:tcW w:w="1843" w:type="dxa"/>
            <w:tcBorders>
              <w:top w:val="single" w:sz="6" w:space="0" w:color="000000"/>
              <w:left w:val="single" w:sz="6" w:space="0" w:color="000000"/>
              <w:bottom w:val="single" w:sz="6" w:space="0" w:color="000000"/>
              <w:right w:val="single" w:sz="6" w:space="0" w:color="000000"/>
            </w:tcBorders>
            <w:vAlign w:val="center"/>
          </w:tcPr>
          <w:p w14:paraId="3657E6FA" w14:textId="7AC6B86F"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6.7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544C661" w14:textId="349E64F3" w:rsidR="00885EA3" w:rsidRPr="00CC033B" w:rsidRDefault="00885EA3" w:rsidP="00885EA3">
            <w:pPr>
              <w:jc w:val="center"/>
              <w:rPr>
                <w:rFonts w:cstheme="minorHAnsi"/>
                <w:b/>
                <w:sz w:val="20"/>
                <w:szCs w:val="20"/>
              </w:rPr>
            </w:pPr>
            <w:r w:rsidRPr="00CC033B">
              <w:rPr>
                <w:rFonts w:cstheme="minorHAnsi"/>
                <w:sz w:val="20"/>
                <w:szCs w:val="20"/>
              </w:rPr>
              <w:t>6.2</w:t>
            </w:r>
          </w:p>
        </w:tc>
      </w:tr>
      <w:tr w:rsidR="00885EA3" w14:paraId="23C4D8EB"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612426A8" w14:textId="3B938409" w:rsidR="00885EA3" w:rsidRPr="00CC033B" w:rsidRDefault="00885EA3" w:rsidP="00885EA3">
            <w:pPr>
              <w:rPr>
                <w:rFonts w:cstheme="minorHAnsi"/>
                <w:sz w:val="20"/>
                <w:szCs w:val="20"/>
              </w:rPr>
            </w:pPr>
            <w:r w:rsidRPr="00CC033B">
              <w:rPr>
                <w:rFonts w:cstheme="minorHAnsi"/>
                <w:sz w:val="20"/>
                <w:szCs w:val="20"/>
              </w:rPr>
              <w:t>Mean Change</w:t>
            </w:r>
          </w:p>
        </w:tc>
        <w:tc>
          <w:tcPr>
            <w:tcW w:w="1843" w:type="dxa"/>
            <w:tcBorders>
              <w:top w:val="single" w:sz="6" w:space="0" w:color="000000"/>
              <w:left w:val="single" w:sz="6" w:space="0" w:color="000000"/>
              <w:bottom w:val="single" w:sz="6" w:space="0" w:color="000000"/>
              <w:right w:val="single" w:sz="6" w:space="0" w:color="000000"/>
            </w:tcBorders>
            <w:vAlign w:val="center"/>
          </w:tcPr>
          <w:p w14:paraId="42EBE56E" w14:textId="253D2B3B"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-3.3</w:t>
            </w:r>
          </w:p>
        </w:tc>
        <w:tc>
          <w:tcPr>
            <w:tcW w:w="1843" w:type="dxa"/>
            <w:tcBorders>
              <w:top w:val="single" w:sz="6" w:space="0" w:color="000000"/>
              <w:left w:val="single" w:sz="6" w:space="0" w:color="000000"/>
              <w:bottom w:val="single" w:sz="6" w:space="0" w:color="000000"/>
              <w:right w:val="single" w:sz="6" w:space="0" w:color="000000"/>
            </w:tcBorders>
            <w:vAlign w:val="center"/>
          </w:tcPr>
          <w:p w14:paraId="6ECD841A" w14:textId="36B047BB"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-3.5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D51BCCC" w14:textId="23BCADD9" w:rsidR="00885EA3" w:rsidRPr="00CC033B" w:rsidRDefault="00885EA3" w:rsidP="00885EA3">
            <w:pPr>
              <w:jc w:val="center"/>
              <w:rPr>
                <w:rFonts w:cstheme="minorHAnsi"/>
                <w:b/>
                <w:sz w:val="20"/>
                <w:szCs w:val="20"/>
              </w:rPr>
            </w:pPr>
            <w:r w:rsidRPr="00CC033B">
              <w:rPr>
                <w:rFonts w:cstheme="minorHAnsi"/>
                <w:sz w:val="20"/>
                <w:szCs w:val="20"/>
              </w:rPr>
              <w:t>-1.9</w:t>
            </w:r>
          </w:p>
        </w:tc>
      </w:tr>
      <w:tr w:rsidR="00885EA3" w14:paraId="26C46E1B"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79E422EF" w14:textId="18661A4D" w:rsidR="00885EA3" w:rsidRPr="00CC033B" w:rsidRDefault="00885EA3" w:rsidP="00885EA3">
            <w:pPr>
              <w:rPr>
                <w:rFonts w:cstheme="minorHAnsi"/>
                <w:sz w:val="20"/>
                <w:szCs w:val="20"/>
              </w:rPr>
            </w:pPr>
            <w:r w:rsidRPr="00CC033B">
              <w:rPr>
                <w:rFonts w:cstheme="minorHAnsi"/>
                <w:sz w:val="20"/>
                <w:szCs w:val="20"/>
              </w:rPr>
              <w:t>Difference from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401D1CCA" w14:textId="200BC5DB"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-1.2</w:t>
            </w:r>
          </w:p>
        </w:tc>
        <w:tc>
          <w:tcPr>
            <w:tcW w:w="1843" w:type="dxa"/>
            <w:tcBorders>
              <w:top w:val="single" w:sz="6" w:space="0" w:color="000000"/>
              <w:left w:val="single" w:sz="6" w:space="0" w:color="000000"/>
              <w:bottom w:val="single" w:sz="6" w:space="0" w:color="000000"/>
              <w:right w:val="single" w:sz="6" w:space="0" w:color="000000"/>
            </w:tcBorders>
            <w:vAlign w:val="center"/>
          </w:tcPr>
          <w:p w14:paraId="37E655DD" w14:textId="7EB219C7"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-1.4</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A78C904" w14:textId="77777777" w:rsidR="00885EA3" w:rsidRPr="00CC033B" w:rsidRDefault="00885EA3" w:rsidP="00885EA3">
            <w:pPr>
              <w:jc w:val="center"/>
              <w:rPr>
                <w:rFonts w:cstheme="minorHAnsi"/>
                <w:b/>
                <w:sz w:val="20"/>
                <w:szCs w:val="20"/>
              </w:rPr>
            </w:pPr>
          </w:p>
        </w:tc>
      </w:tr>
      <w:tr w:rsidR="00885EA3" w14:paraId="1D0CB952"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582AA0B2" w14:textId="1193E27A" w:rsidR="00885EA3" w:rsidRPr="00CC033B" w:rsidRDefault="00885EA3" w:rsidP="00885EA3">
            <w:pPr>
              <w:rPr>
                <w:rFonts w:cstheme="minorHAnsi"/>
                <w:sz w:val="20"/>
                <w:szCs w:val="20"/>
              </w:rPr>
            </w:pPr>
            <w:r w:rsidRPr="00CC033B">
              <w:rPr>
                <w:rFonts w:cstheme="minorHAnsi"/>
                <w:sz w:val="20"/>
                <w:szCs w:val="20"/>
              </w:rPr>
              <w:t>CI</w:t>
            </w:r>
            <w:r w:rsidRPr="00CC033B">
              <w:rPr>
                <w:rFonts w:cstheme="minorHAnsi"/>
                <w:sz w:val="20"/>
                <w:szCs w:val="20"/>
                <w:vertAlign w:val="subscript"/>
              </w:rPr>
              <w:t>95%</w:t>
            </w:r>
          </w:p>
        </w:tc>
        <w:tc>
          <w:tcPr>
            <w:tcW w:w="1843" w:type="dxa"/>
            <w:tcBorders>
              <w:top w:val="single" w:sz="6" w:space="0" w:color="000000"/>
              <w:left w:val="single" w:sz="6" w:space="0" w:color="000000"/>
              <w:bottom w:val="single" w:sz="6" w:space="0" w:color="000000"/>
              <w:right w:val="single" w:sz="6" w:space="0" w:color="000000"/>
            </w:tcBorders>
            <w:vAlign w:val="center"/>
          </w:tcPr>
          <w:p w14:paraId="7663A29B" w14:textId="71642D78"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(-1.7, -0.7)</w:t>
            </w:r>
          </w:p>
        </w:tc>
        <w:tc>
          <w:tcPr>
            <w:tcW w:w="1843" w:type="dxa"/>
            <w:tcBorders>
              <w:top w:val="single" w:sz="6" w:space="0" w:color="000000"/>
              <w:left w:val="single" w:sz="6" w:space="0" w:color="000000"/>
              <w:bottom w:val="single" w:sz="6" w:space="0" w:color="000000"/>
              <w:right w:val="single" w:sz="6" w:space="0" w:color="000000"/>
            </w:tcBorders>
            <w:vAlign w:val="center"/>
          </w:tcPr>
          <w:p w14:paraId="6761FB42" w14:textId="2B315BEA"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(-1.9, -0.9)</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4F102FF" w14:textId="77777777" w:rsidR="00885EA3" w:rsidRPr="00CC033B" w:rsidRDefault="00885EA3" w:rsidP="00885EA3">
            <w:pPr>
              <w:jc w:val="center"/>
              <w:rPr>
                <w:rFonts w:cstheme="minorHAnsi"/>
                <w:b/>
                <w:sz w:val="20"/>
                <w:szCs w:val="20"/>
              </w:rPr>
            </w:pPr>
          </w:p>
        </w:tc>
      </w:tr>
      <w:tr w:rsidR="00885EA3" w14:paraId="79A0E4C7" w14:textId="77777777" w:rsidTr="00C663F0">
        <w:trPr>
          <w:trHeight w:val="72"/>
        </w:trPr>
        <w:tc>
          <w:tcPr>
            <w:tcW w:w="3397" w:type="dxa"/>
            <w:tcBorders>
              <w:top w:val="single" w:sz="6" w:space="0" w:color="000000"/>
              <w:left w:val="single" w:sz="6" w:space="0" w:color="000000"/>
              <w:bottom w:val="single" w:sz="6" w:space="0" w:color="000000"/>
              <w:right w:val="single" w:sz="6" w:space="0" w:color="000000"/>
            </w:tcBorders>
            <w:vAlign w:val="center"/>
          </w:tcPr>
          <w:p w14:paraId="49CF9B04" w14:textId="1F9FFBA6" w:rsidR="00885EA3" w:rsidRPr="00CC033B" w:rsidRDefault="00885EA3" w:rsidP="00885EA3">
            <w:pPr>
              <w:rPr>
                <w:rFonts w:cstheme="minorHAnsi"/>
                <w:sz w:val="20"/>
                <w:szCs w:val="20"/>
              </w:rPr>
            </w:pPr>
            <w:r w:rsidRPr="002865AA">
              <w:rPr>
                <w:rFonts w:cstheme="minorHAnsi"/>
                <w:i/>
                <w:iCs/>
                <w:sz w:val="20"/>
                <w:szCs w:val="20"/>
              </w:rPr>
              <w:t>p</w:t>
            </w:r>
            <w:r w:rsidRPr="00CC033B">
              <w:rPr>
                <w:rFonts w:cstheme="minorHAnsi"/>
                <w:sz w:val="20"/>
                <w:szCs w:val="20"/>
              </w:rPr>
              <w:t>-value vs placebo</w:t>
            </w:r>
          </w:p>
        </w:tc>
        <w:tc>
          <w:tcPr>
            <w:tcW w:w="1843" w:type="dxa"/>
            <w:tcBorders>
              <w:top w:val="single" w:sz="6" w:space="0" w:color="000000"/>
              <w:left w:val="single" w:sz="6" w:space="0" w:color="000000"/>
              <w:bottom w:val="single" w:sz="6" w:space="0" w:color="000000"/>
              <w:right w:val="single" w:sz="6" w:space="0" w:color="000000"/>
            </w:tcBorders>
            <w:vAlign w:val="center"/>
          </w:tcPr>
          <w:p w14:paraId="3C7AD03B" w14:textId="5785C866"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&lt; 0.0001</w:t>
            </w:r>
          </w:p>
        </w:tc>
        <w:tc>
          <w:tcPr>
            <w:tcW w:w="1843" w:type="dxa"/>
            <w:tcBorders>
              <w:top w:val="single" w:sz="6" w:space="0" w:color="000000"/>
              <w:left w:val="single" w:sz="6" w:space="0" w:color="000000"/>
              <w:bottom w:val="single" w:sz="6" w:space="0" w:color="000000"/>
              <w:right w:val="single" w:sz="6" w:space="0" w:color="000000"/>
            </w:tcBorders>
            <w:vAlign w:val="center"/>
          </w:tcPr>
          <w:p w14:paraId="4E9330DD" w14:textId="4265DAA1" w:rsidR="00885EA3" w:rsidRPr="00CC033B" w:rsidRDefault="00885EA3" w:rsidP="00885EA3">
            <w:pPr>
              <w:keepNext/>
              <w:keepLines/>
              <w:widowControl w:val="0"/>
              <w:spacing w:before="80" w:after="40" w:line="250" w:lineRule="exact"/>
              <w:jc w:val="center"/>
              <w:rPr>
                <w:rFonts w:cstheme="minorHAnsi"/>
                <w:sz w:val="20"/>
                <w:szCs w:val="20"/>
              </w:rPr>
            </w:pPr>
            <w:r w:rsidRPr="00CC033B">
              <w:rPr>
                <w:rFonts w:cstheme="minorHAnsi"/>
                <w:sz w:val="20"/>
                <w:szCs w:val="20"/>
              </w:rPr>
              <w:t>&lt; 0.0001</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FC6686C" w14:textId="77777777" w:rsidR="00885EA3" w:rsidRPr="00CC033B" w:rsidRDefault="00885EA3" w:rsidP="00885EA3">
            <w:pPr>
              <w:jc w:val="center"/>
              <w:rPr>
                <w:rFonts w:cstheme="minorHAnsi"/>
                <w:b/>
                <w:sz w:val="20"/>
                <w:szCs w:val="20"/>
              </w:rPr>
            </w:pPr>
          </w:p>
        </w:tc>
      </w:tr>
    </w:tbl>
    <w:p w14:paraId="665DCD52" w14:textId="77777777" w:rsidR="00F94BB6" w:rsidRPr="00F94BB6" w:rsidRDefault="00F94BB6" w:rsidP="00F94BB6">
      <w:pPr>
        <w:spacing w:after="0" w:line="240" w:lineRule="auto"/>
        <w:rPr>
          <w:rFonts w:ascii="Cambria" w:hAnsi="Cambria" w:cs="Calibri"/>
          <w:sz w:val="18"/>
          <w:lang w:val="en-US" w:bidi="th-TH"/>
        </w:rPr>
      </w:pPr>
      <w:r w:rsidRPr="006E6031">
        <w:rPr>
          <w:rFonts w:ascii="Cambria" w:hAnsi="Cambria" w:cs="Calibri"/>
          <w:sz w:val="18"/>
          <w:vertAlign w:val="superscript"/>
          <w:lang w:val="en-US" w:bidi="th-TH"/>
        </w:rPr>
        <w:t>a</w:t>
      </w:r>
      <w:r w:rsidRPr="00F94BB6">
        <w:rPr>
          <w:rFonts w:ascii="Cambria" w:hAnsi="Cambria" w:cs="Calibri"/>
          <w:sz w:val="18"/>
          <w:lang w:val="en-US" w:bidi="th-TH"/>
        </w:rPr>
        <w:t xml:space="preserve"> A baseline was the average over the 28-day screening period prior to receiving treatment</w:t>
      </w:r>
    </w:p>
    <w:p w14:paraId="379ABDD2" w14:textId="77777777" w:rsidR="00F94BB6" w:rsidRPr="00F94BB6" w:rsidRDefault="00F94BB6" w:rsidP="00F94BB6">
      <w:pPr>
        <w:spacing w:after="0" w:line="240" w:lineRule="auto"/>
        <w:rPr>
          <w:rFonts w:ascii="Cambria" w:hAnsi="Cambria" w:cs="Calibri"/>
          <w:sz w:val="18"/>
          <w:lang w:val="en-US" w:bidi="th-TH"/>
        </w:rPr>
      </w:pPr>
      <w:r w:rsidRPr="006E6031">
        <w:rPr>
          <w:rFonts w:ascii="Cambria" w:hAnsi="Cambria" w:cs="Calibri"/>
          <w:sz w:val="18"/>
          <w:vertAlign w:val="superscript"/>
          <w:lang w:val="en-US" w:bidi="th-TH"/>
        </w:rPr>
        <w:t>b</w:t>
      </w:r>
      <w:r w:rsidRPr="00F94BB6">
        <w:rPr>
          <w:rFonts w:ascii="Cambria" w:hAnsi="Cambria" w:cs="Calibri"/>
          <w:sz w:val="18"/>
          <w:lang w:val="en-US" w:bidi="th-TH"/>
        </w:rPr>
        <w:t xml:space="preserve"> Migraine prevalence: The average percent of subjects with a migraine on any given day during baseline and the equivalent average rates over weeks 1, 2, 3, and 4</w:t>
      </w:r>
    </w:p>
    <w:p w14:paraId="685ED4F9" w14:textId="1AE4EC12" w:rsidR="0005135D" w:rsidRPr="00C5172D" w:rsidRDefault="00F94BB6" w:rsidP="00C5172D">
      <w:pPr>
        <w:rPr>
          <w:rFonts w:ascii="Cambria" w:hAnsi="Cambria" w:cs="Calibri"/>
          <w:sz w:val="18"/>
          <w:lang w:val="en-US" w:bidi="th-TH"/>
        </w:rPr>
      </w:pPr>
      <w:r w:rsidRPr="006E6031">
        <w:rPr>
          <w:rFonts w:ascii="Cambria" w:hAnsi="Cambria" w:cs="Calibri"/>
          <w:sz w:val="18"/>
          <w:vertAlign w:val="superscript"/>
          <w:lang w:val="en-US" w:bidi="th-TH"/>
        </w:rPr>
        <w:t>c</w:t>
      </w:r>
      <w:r w:rsidRPr="00F94BB6">
        <w:rPr>
          <w:rFonts w:ascii="Cambria" w:hAnsi="Cambria" w:cs="Calibri"/>
          <w:sz w:val="18"/>
          <w:lang w:val="en-US" w:bidi="th-TH"/>
        </w:rPr>
        <w:t xml:space="preserve"> The endpoint for the 100 mg dose was not a pre-specified key secondary endpoint.</w:t>
      </w:r>
    </w:p>
    <w:p w14:paraId="7DDD0E65" w14:textId="77777777" w:rsidR="00A05F94" w:rsidRPr="00A44B9E" w:rsidRDefault="0005135D" w:rsidP="0005135D">
      <w:pPr>
        <w:spacing w:before="120" w:after="120" w:line="280" w:lineRule="atLeast"/>
        <w:rPr>
          <w:rFonts w:eastAsia="SimSun"/>
          <w:lang w:eastAsia="en-GB"/>
        </w:rPr>
      </w:pPr>
      <w:r w:rsidRPr="00A44B9E">
        <w:rPr>
          <w:rFonts w:eastAsia="SimSun"/>
          <w:lang w:eastAsia="en-GB"/>
        </w:rPr>
        <w:t xml:space="preserve">Subjects with medication overuse headache (MOH), other than those using opioids or butalbital &gt; 4 days/month, were enrolled in </w:t>
      </w:r>
      <w:r w:rsidR="00F501A5" w:rsidRPr="00A44B9E">
        <w:rPr>
          <w:rFonts w:eastAsia="SimSun"/>
          <w:lang w:eastAsia="en-GB"/>
        </w:rPr>
        <w:t>PROMISE 2</w:t>
      </w:r>
      <w:r w:rsidRPr="00A44B9E">
        <w:rPr>
          <w:rFonts w:eastAsia="SimSun"/>
          <w:lang w:eastAsia="en-GB"/>
        </w:rPr>
        <w:t>: at baseline, 40.2% of the patients had MOH. In subjects with chronic migraine, similar reductions in MMD (Mean for Weeks 1-12) were observed in subjects with and without MOH at baseline. The mean change from baseline in MMD (Weeks 1-12) for the subjects with MOH was for 300 mg: -8.6, 100 mg: -8.4, placebo: -5.4 and for subjects without MOH was 300 mg: -8.1, 100 mg: -</w:t>
      </w:r>
      <w:r w:rsidRPr="00A44B9E">
        <w:rPr>
          <w:rFonts w:eastAsia="SimSun"/>
          <w:lang w:eastAsia="en-GB"/>
        </w:rPr>
        <w:lastRenderedPageBreak/>
        <w:t>7.4, placebo:-6.1.The mean difference to placebo in change from baseline in MMD (Weeks 1-12) for the subjects with MOH was (300 mg: -3.2 [95% CI: -4.75; -1.70], 100 mg: -3.0 [-4.52; -1.49]) and for subjects without MOH was (300 mg: -2.4 [-3.59; -1.12], 100 mg: -1.5 [-2.70; -0.31]).</w:t>
      </w:r>
    </w:p>
    <w:p w14:paraId="04D17EFC" w14:textId="10A8016C" w:rsidR="00DA2119" w:rsidRDefault="00E3766D" w:rsidP="00C5172D">
      <w:pPr>
        <w:spacing w:before="120" w:after="240" w:line="280" w:lineRule="atLeast"/>
        <w:rPr>
          <w:rFonts w:eastAsia="SimSun"/>
          <w:lang w:eastAsia="en-GB"/>
        </w:rPr>
      </w:pPr>
      <w:r w:rsidRPr="00A44B9E">
        <w:rPr>
          <w:rFonts w:eastAsia="SimSun"/>
          <w:lang w:eastAsia="en-GB"/>
        </w:rPr>
        <w:t>In the 431 (40%) patients from PROMISE 2 diagnosed with medication overuse headache, the difference in the reduction of mean monthly migraine headache days (MMD) observed between VYEPTI</w:t>
      </w:r>
      <w:r w:rsidR="008C2A4E" w:rsidRPr="00A44B9E">
        <w:rPr>
          <w:rFonts w:eastAsia="SimSun"/>
          <w:lang w:eastAsia="en-GB"/>
        </w:rPr>
        <w:t>®</w:t>
      </w:r>
      <w:r w:rsidRPr="00A44B9E">
        <w:rPr>
          <w:rFonts w:eastAsia="SimSun"/>
          <w:lang w:eastAsia="en-GB"/>
        </w:rPr>
        <w:t xml:space="preserve"> and placebo was -3.0 [95% CI: -4.52; -1.49] days and  3.2 [95% CI:  4.75; -1.70] for 100 mg and 300 mg, respectively</w:t>
      </w:r>
      <w:r w:rsidR="00E468DE" w:rsidRPr="00A44B9E">
        <w:rPr>
          <w:rFonts w:eastAsia="SimSun"/>
          <w:lang w:eastAsia="en-GB"/>
        </w:rPr>
        <w:t>.</w:t>
      </w:r>
    </w:p>
    <w:p w14:paraId="39170A96" w14:textId="7C37D41E" w:rsidR="006931FF" w:rsidRPr="00DA2119" w:rsidRDefault="006931FF" w:rsidP="006931FF">
      <w:pPr>
        <w:spacing w:before="120" w:after="120" w:line="280" w:lineRule="atLeast"/>
        <w:rPr>
          <w:rFonts w:eastAsia="SimSun"/>
          <w:b/>
          <w:iCs/>
          <w:u w:val="single"/>
          <w:lang w:val="en-US" w:eastAsia="en-GB"/>
        </w:rPr>
      </w:pPr>
      <w:r w:rsidRPr="00DA2119">
        <w:rPr>
          <w:rFonts w:eastAsia="SimSun"/>
          <w:b/>
          <w:iCs/>
          <w:u w:val="single"/>
          <w:lang w:val="en-US" w:eastAsia="en-GB"/>
        </w:rPr>
        <w:t>PREVAIL: Long-term study</w:t>
      </w:r>
    </w:p>
    <w:p w14:paraId="3569F59B" w14:textId="6688295F" w:rsidR="00CE687C" w:rsidRPr="004D0D29" w:rsidRDefault="002646FB" w:rsidP="00027412">
      <w:pPr>
        <w:rPr>
          <w:rFonts w:eastAsia="SimSun"/>
          <w:lang w:eastAsia="en-GB"/>
        </w:rPr>
      </w:pPr>
      <w:r>
        <w:rPr>
          <w:rFonts w:eastAsia="SimSun"/>
          <w:lang w:eastAsia="en-GB"/>
        </w:rPr>
        <w:t>VYEPTI®</w:t>
      </w:r>
      <w:r w:rsidR="00027412" w:rsidRPr="005872B7">
        <w:rPr>
          <w:rFonts w:eastAsia="SimSun"/>
          <w:lang w:eastAsia="en-GB"/>
        </w:rPr>
        <w:t xml:space="preserve">300 mg was administered every 12 weeks by IV infusion </w:t>
      </w:r>
      <w:r w:rsidR="00042A2F">
        <w:rPr>
          <w:rFonts w:eastAsia="SimSun"/>
          <w:lang w:eastAsia="en-GB"/>
        </w:rPr>
        <w:t>for up to 96 weeks</w:t>
      </w:r>
      <w:r w:rsidR="009A51FC">
        <w:rPr>
          <w:rFonts w:eastAsia="SimSun"/>
          <w:lang w:eastAsia="en-GB"/>
        </w:rPr>
        <w:t xml:space="preserve"> </w:t>
      </w:r>
      <w:r w:rsidR="00027412" w:rsidRPr="005872B7">
        <w:rPr>
          <w:rFonts w:eastAsia="SimSun"/>
          <w:lang w:eastAsia="en-GB"/>
        </w:rPr>
        <w:t xml:space="preserve">in </w:t>
      </w:r>
      <w:r w:rsidR="009C44A3" w:rsidRPr="009C44A3">
        <w:rPr>
          <w:rFonts w:eastAsia="SimSun"/>
          <w:lang w:eastAsia="en-GB"/>
        </w:rPr>
        <w:t>128 subjects with chronic migraine</w:t>
      </w:r>
      <w:r w:rsidR="009C44A3">
        <w:rPr>
          <w:rFonts w:eastAsia="SimSun"/>
          <w:lang w:eastAsia="en-GB"/>
        </w:rPr>
        <w:t>.</w:t>
      </w:r>
      <w:r w:rsidR="00027412" w:rsidRPr="005872B7">
        <w:rPr>
          <w:rFonts w:eastAsia="SimSun"/>
          <w:lang w:eastAsia="en-GB"/>
        </w:rPr>
        <w:t xml:space="preserve"> </w:t>
      </w:r>
      <w:r w:rsidR="00633BC5">
        <w:rPr>
          <w:rFonts w:eastAsia="SimSun"/>
          <w:lang w:eastAsia="en-GB"/>
        </w:rPr>
        <w:t>T</w:t>
      </w:r>
      <w:r w:rsidR="00027412" w:rsidRPr="005872B7">
        <w:rPr>
          <w:rFonts w:eastAsia="SimSun"/>
          <w:lang w:eastAsia="en-GB"/>
        </w:rPr>
        <w:t xml:space="preserve">he primary objective </w:t>
      </w:r>
      <w:r w:rsidR="00847437" w:rsidRPr="00847437">
        <w:rPr>
          <w:rFonts w:eastAsia="SimSun"/>
          <w:lang w:eastAsia="en-GB"/>
        </w:rPr>
        <w:t xml:space="preserve">was to </w:t>
      </w:r>
      <w:r w:rsidR="00847437" w:rsidRPr="005872B7">
        <w:rPr>
          <w:rFonts w:eastAsia="SimSun"/>
          <w:lang w:eastAsia="en-GB"/>
        </w:rPr>
        <w:t>evaluat</w:t>
      </w:r>
      <w:r w:rsidR="00847437">
        <w:rPr>
          <w:rFonts w:eastAsia="SimSun"/>
          <w:lang w:eastAsia="en-GB"/>
        </w:rPr>
        <w:t>e</w:t>
      </w:r>
      <w:r w:rsidR="00847437" w:rsidRPr="005872B7">
        <w:rPr>
          <w:rFonts w:eastAsia="SimSun"/>
          <w:lang w:eastAsia="en-GB"/>
        </w:rPr>
        <w:t xml:space="preserve"> </w:t>
      </w:r>
      <w:r w:rsidR="00027412" w:rsidRPr="005872B7">
        <w:rPr>
          <w:rFonts w:eastAsia="SimSun"/>
          <w:lang w:eastAsia="en-GB"/>
        </w:rPr>
        <w:t xml:space="preserve">the long-term safety following repeated doses of </w:t>
      </w:r>
      <w:r w:rsidR="00027412" w:rsidRPr="00163B83">
        <w:rPr>
          <w:rFonts w:eastAsia="SimSun"/>
          <w:lang w:eastAsia="en-GB"/>
        </w:rPr>
        <w:t>VYEPTI</w:t>
      </w:r>
      <w:r w:rsidR="00847437">
        <w:rPr>
          <w:rFonts w:eastAsia="SimSun"/>
          <w:lang w:eastAsia="en-GB"/>
        </w:rPr>
        <w:t>®</w:t>
      </w:r>
      <w:r w:rsidR="00027412" w:rsidRPr="00163B83">
        <w:rPr>
          <w:rFonts w:eastAsia="SimSun"/>
          <w:lang w:eastAsia="en-GB"/>
        </w:rPr>
        <w:t xml:space="preserve">. Secondary objectives included characterization of the PK and immunogenicity profiles for </w:t>
      </w:r>
      <w:r>
        <w:rPr>
          <w:rFonts w:eastAsia="SimSun"/>
          <w:lang w:eastAsia="en-GB"/>
        </w:rPr>
        <w:t>VYEPTI®</w:t>
      </w:r>
      <w:r w:rsidR="0071590F">
        <w:rPr>
          <w:rFonts w:eastAsia="SimSun"/>
          <w:lang w:eastAsia="en-GB"/>
        </w:rPr>
        <w:t xml:space="preserve"> </w:t>
      </w:r>
      <w:r w:rsidR="00027412" w:rsidRPr="00163B83">
        <w:rPr>
          <w:rFonts w:eastAsia="SimSun"/>
          <w:lang w:eastAsia="en-GB"/>
        </w:rPr>
        <w:t>(section 4.8) and evaluat</w:t>
      </w:r>
      <w:r w:rsidR="00027412" w:rsidRPr="00027412">
        <w:rPr>
          <w:rFonts w:eastAsia="SimSun"/>
          <w:lang w:eastAsia="en-GB"/>
        </w:rPr>
        <w:t xml:space="preserve">ion of the therapeutic effect of </w:t>
      </w:r>
      <w:r>
        <w:rPr>
          <w:rFonts w:eastAsia="SimSun"/>
          <w:lang w:eastAsia="en-GB"/>
        </w:rPr>
        <w:t>VYEPTI®</w:t>
      </w:r>
      <w:r w:rsidR="00F415D3">
        <w:rPr>
          <w:rFonts w:eastAsia="SimSun"/>
          <w:lang w:eastAsia="en-GB"/>
        </w:rPr>
        <w:t xml:space="preserve"> </w:t>
      </w:r>
      <w:r w:rsidR="00027412" w:rsidRPr="00027412">
        <w:rPr>
          <w:rFonts w:eastAsia="SimSun"/>
          <w:lang w:eastAsia="en-GB"/>
        </w:rPr>
        <w:t xml:space="preserve">on several patient reported outcomes relating to migraine and quality of life, including the Headache Impact Test (HIT-6). </w:t>
      </w:r>
      <w:r w:rsidR="00B0603C">
        <w:rPr>
          <w:rFonts w:eastAsia="SimSun"/>
          <w:lang w:eastAsia="en-GB"/>
        </w:rPr>
        <w:t>Subjects</w:t>
      </w:r>
      <w:r w:rsidR="00027412" w:rsidRPr="00027412">
        <w:rPr>
          <w:rFonts w:eastAsia="SimSun"/>
          <w:lang w:eastAsia="en-GB"/>
        </w:rPr>
        <w:t xml:space="preserve"> had a mean age of 41.5 years (range: 18 to 65 years), 85% were female, and 95% were white</w:t>
      </w:r>
      <w:r w:rsidR="00416460">
        <w:rPr>
          <w:rFonts w:eastAsia="SimSun"/>
          <w:lang w:eastAsia="en-GB"/>
        </w:rPr>
        <w:t xml:space="preserve">, and 36% took </w:t>
      </w:r>
      <w:r w:rsidR="00027412" w:rsidRPr="00027412">
        <w:rPr>
          <w:rFonts w:eastAsia="SimSun"/>
          <w:lang w:eastAsia="en-GB"/>
        </w:rPr>
        <w:t xml:space="preserve">concomitant preventive medication for migraine. The mean number of migraine days per 28-day period in the 3 months preceding screening was 14.1 days. In total, 100 patients (78.1%) completed the study (Week 104). </w:t>
      </w:r>
      <w:r w:rsidR="00ED4988" w:rsidRPr="005872B7">
        <w:rPr>
          <w:rFonts w:eastAsia="SimSun"/>
          <w:lang w:eastAsia="en-GB"/>
        </w:rPr>
        <w:t>The safety profile was consistent with the safety profiles observed in randomized, placebo-controlled studies</w:t>
      </w:r>
      <w:r w:rsidR="002755D7" w:rsidRPr="002755D7">
        <w:rPr>
          <w:rFonts w:eastAsia="SimSun"/>
          <w:lang w:eastAsia="en-GB"/>
        </w:rPr>
        <w:t>, and a sustained effect on patient-relevant outcomes was observed for up to 96 weeks.</w:t>
      </w:r>
    </w:p>
    <w:p w14:paraId="3E6F01F9" w14:textId="48545686" w:rsidR="001A3992" w:rsidRDefault="001A3992" w:rsidP="006E6031">
      <w:pPr>
        <w:pStyle w:val="Heading2"/>
        <w:rPr>
          <w:lang w:val="en-US"/>
        </w:rPr>
      </w:pPr>
      <w:r w:rsidRPr="00EC3C40">
        <w:rPr>
          <w:lang w:val="en-US"/>
        </w:rPr>
        <w:t>Pharmacokinetic properties</w:t>
      </w:r>
    </w:p>
    <w:p w14:paraId="10465457" w14:textId="6FAC8417" w:rsidR="00E77BCD" w:rsidRPr="00E77BCD" w:rsidRDefault="00813AAC" w:rsidP="00D23281">
      <w:pPr>
        <w:spacing w:after="0" w:line="240" w:lineRule="auto"/>
        <w:rPr>
          <w:rFonts w:cstheme="minorHAnsi"/>
          <w:lang w:val="en-US" w:bidi="th-TH"/>
        </w:rPr>
      </w:pPr>
      <w:r w:rsidRPr="00813AAC">
        <w:rPr>
          <w:rFonts w:cstheme="minorHAnsi"/>
          <w:lang w:bidi="th-TH"/>
        </w:rPr>
        <w:t>As eptinezumab is administered intravenously, it is 100% bioavailable.  Eptinezumab exhibits linear pharmacokinetics and exposure increases proportionally with doses from 1 to 1000 mg</w:t>
      </w:r>
      <w:r w:rsidR="00E77BCD" w:rsidRPr="00E77BCD">
        <w:rPr>
          <w:rFonts w:cstheme="minorHAnsi"/>
          <w:lang w:val="en-US" w:bidi="th-TH"/>
        </w:rPr>
        <w:t xml:space="preserve">.  Steady-state is attained after the </w:t>
      </w:r>
      <w:r w:rsidR="00E77BCD" w:rsidRPr="00CE7F06">
        <w:rPr>
          <w:rFonts w:cstheme="minorHAnsi"/>
          <w:lang w:val="en-US" w:bidi="th-TH"/>
        </w:rPr>
        <w:t>first</w:t>
      </w:r>
      <w:r w:rsidR="00315D5B" w:rsidRPr="00CE7F06">
        <w:rPr>
          <w:rFonts w:cstheme="minorHAnsi"/>
          <w:lang w:val="en-US" w:bidi="th-TH"/>
        </w:rPr>
        <w:t xml:space="preserve"> </w:t>
      </w:r>
      <w:r w:rsidR="00E77BCD" w:rsidRPr="00CE7F06">
        <w:rPr>
          <w:rFonts w:cstheme="minorHAnsi"/>
          <w:lang w:val="en-US" w:bidi="th-TH"/>
        </w:rPr>
        <w:t>dose</w:t>
      </w:r>
      <w:r w:rsidR="00E77BCD" w:rsidRPr="00E77BCD">
        <w:rPr>
          <w:rFonts w:cstheme="minorHAnsi"/>
          <w:lang w:val="en-US" w:bidi="th-TH"/>
        </w:rPr>
        <w:t xml:space="preserve"> during a once every 12 weeks dosing schedule. Median time to maximum concentration (C</w:t>
      </w:r>
      <w:r w:rsidR="00E77BCD" w:rsidRPr="00E77BCD">
        <w:rPr>
          <w:rFonts w:cstheme="minorHAnsi"/>
          <w:vertAlign w:val="subscript"/>
          <w:lang w:val="en-US" w:bidi="th-TH"/>
        </w:rPr>
        <w:t>max</w:t>
      </w:r>
      <w:r w:rsidR="00E77BCD" w:rsidRPr="00E77BCD">
        <w:rPr>
          <w:rFonts w:cstheme="minorHAnsi"/>
          <w:lang w:val="en-US" w:bidi="th-TH"/>
        </w:rPr>
        <w:t>) is 30 minutes (end-of-infusion), and the average terminal elimination half-life is 27 days. The mean accumulation ratios based on C</w:t>
      </w:r>
      <w:r w:rsidR="00E77BCD" w:rsidRPr="00E77BCD">
        <w:rPr>
          <w:rFonts w:cstheme="minorHAnsi"/>
          <w:vertAlign w:val="subscript"/>
          <w:lang w:val="en-US" w:bidi="th-TH"/>
        </w:rPr>
        <w:t>max</w:t>
      </w:r>
      <w:r w:rsidR="00E77BCD" w:rsidRPr="00E77BCD">
        <w:rPr>
          <w:rFonts w:cstheme="minorHAnsi"/>
          <w:lang w:val="en-US" w:bidi="th-TH"/>
        </w:rPr>
        <w:t xml:space="preserve"> and AUC</w:t>
      </w:r>
      <w:r w:rsidR="00E77BCD" w:rsidRPr="00E77BCD">
        <w:rPr>
          <w:rFonts w:cstheme="minorHAnsi"/>
          <w:vertAlign w:val="subscript"/>
          <w:lang w:val="en-US" w:bidi="th-TH"/>
        </w:rPr>
        <w:t>0-tau</w:t>
      </w:r>
      <w:r w:rsidR="00E77BCD" w:rsidRPr="00E77BCD">
        <w:rPr>
          <w:rFonts w:cstheme="minorHAnsi"/>
          <w:lang w:val="en-US" w:bidi="th-TH"/>
        </w:rPr>
        <w:t xml:space="preserve"> are 1.08 and 1.15, respectively.</w:t>
      </w:r>
    </w:p>
    <w:p w14:paraId="67E89999" w14:textId="77777777" w:rsidR="004C75E9" w:rsidRPr="004C75E9" w:rsidRDefault="004C75E9" w:rsidP="00D23281">
      <w:pPr>
        <w:pStyle w:val="Heading3"/>
        <w:ind w:left="0"/>
        <w:rPr>
          <w:lang w:bidi="th-TH"/>
        </w:rPr>
      </w:pPr>
      <w:r w:rsidRPr="004C75E9">
        <w:rPr>
          <w:lang w:bidi="th-TH"/>
        </w:rPr>
        <w:t>Absorption</w:t>
      </w:r>
    </w:p>
    <w:p w14:paraId="61596F00" w14:textId="77777777" w:rsidR="004C75E9" w:rsidRPr="00162B76" w:rsidRDefault="004C75E9" w:rsidP="004C75E9">
      <w:pPr>
        <w:spacing w:after="0" w:line="240" w:lineRule="auto"/>
        <w:rPr>
          <w:rFonts w:cstheme="minorHAnsi"/>
          <w:lang w:bidi="th-TH"/>
        </w:rPr>
      </w:pPr>
      <w:r w:rsidRPr="00162B76">
        <w:rPr>
          <w:rFonts w:cstheme="minorHAnsi"/>
          <w:lang w:bidi="th-TH"/>
        </w:rPr>
        <w:t>Eptinezumab is administered by intravenous infusion which bypasses extravascular absorption and is 100% bioavailable. Median time to peak concentration was attained at the end of infusion (30 minutes).</w:t>
      </w:r>
    </w:p>
    <w:p w14:paraId="23046E8F" w14:textId="77777777" w:rsidR="004C75E9" w:rsidRPr="004C75E9" w:rsidRDefault="004C75E9" w:rsidP="00D23281">
      <w:pPr>
        <w:pStyle w:val="Heading3"/>
        <w:ind w:left="0"/>
        <w:rPr>
          <w:lang w:bidi="th-TH"/>
        </w:rPr>
      </w:pPr>
      <w:r w:rsidRPr="004C75E9">
        <w:rPr>
          <w:lang w:bidi="th-TH"/>
        </w:rPr>
        <w:t>Distribution</w:t>
      </w:r>
    </w:p>
    <w:p w14:paraId="7C121BFE" w14:textId="652941B4" w:rsidR="004C75E9" w:rsidRPr="00162B76" w:rsidRDefault="004C75E9" w:rsidP="004C75E9">
      <w:pPr>
        <w:spacing w:after="0" w:line="240" w:lineRule="auto"/>
        <w:rPr>
          <w:rFonts w:cstheme="minorHAnsi"/>
          <w:lang w:bidi="th-TH"/>
        </w:rPr>
      </w:pPr>
      <w:r w:rsidRPr="00162B76">
        <w:rPr>
          <w:rFonts w:cstheme="minorHAnsi"/>
          <w:lang w:bidi="th-TH"/>
        </w:rPr>
        <w:t xml:space="preserve">The central volume of distribution (Vc) for eptinezumab was approximately 3.7 </w:t>
      </w:r>
      <w:r w:rsidR="00AC30BD" w:rsidRPr="00162B76">
        <w:rPr>
          <w:rFonts w:cstheme="minorHAnsi"/>
          <w:lang w:bidi="th-TH"/>
        </w:rPr>
        <w:t>litres</w:t>
      </w:r>
      <w:r w:rsidRPr="00162B76">
        <w:rPr>
          <w:rFonts w:cstheme="minorHAnsi"/>
          <w:lang w:bidi="th-TH"/>
        </w:rPr>
        <w:t>.</w:t>
      </w:r>
    </w:p>
    <w:p w14:paraId="7D6EA5DC" w14:textId="77777777" w:rsidR="004C75E9" w:rsidRPr="004C75E9" w:rsidRDefault="004C75E9" w:rsidP="00D23281">
      <w:pPr>
        <w:pStyle w:val="Heading3"/>
        <w:ind w:left="0"/>
        <w:rPr>
          <w:rFonts w:cstheme="minorHAnsi"/>
          <w:lang w:bidi="th-TH"/>
        </w:rPr>
      </w:pPr>
      <w:r w:rsidRPr="004C75E9">
        <w:rPr>
          <w:rFonts w:cstheme="minorHAnsi"/>
          <w:lang w:bidi="th-TH"/>
        </w:rPr>
        <w:t>Metabolism</w:t>
      </w:r>
    </w:p>
    <w:p w14:paraId="18DDD4F9" w14:textId="77777777" w:rsidR="004C75E9" w:rsidRPr="00162B76" w:rsidRDefault="004C75E9" w:rsidP="004C75E9">
      <w:pPr>
        <w:spacing w:after="0" w:line="240" w:lineRule="auto"/>
        <w:rPr>
          <w:rFonts w:cstheme="minorHAnsi"/>
          <w:lang w:bidi="th-TH"/>
        </w:rPr>
      </w:pPr>
      <w:r w:rsidRPr="00162B76">
        <w:rPr>
          <w:rFonts w:cstheme="minorHAnsi"/>
          <w:lang w:bidi="th-TH"/>
        </w:rPr>
        <w:t>Eptinezumab is expected to be degraded by proteolytic enzymes into small peptides and amino acids.</w:t>
      </w:r>
    </w:p>
    <w:p w14:paraId="6015B226" w14:textId="77777777" w:rsidR="004C75E9" w:rsidRPr="004C75E9" w:rsidRDefault="004C75E9" w:rsidP="00D23281">
      <w:pPr>
        <w:pStyle w:val="Heading3"/>
        <w:ind w:left="0"/>
        <w:rPr>
          <w:lang w:bidi="th-TH"/>
        </w:rPr>
      </w:pPr>
      <w:r w:rsidRPr="004C75E9">
        <w:rPr>
          <w:lang w:bidi="th-TH"/>
        </w:rPr>
        <w:t>Excretion</w:t>
      </w:r>
    </w:p>
    <w:p w14:paraId="3B605677" w14:textId="77777777" w:rsidR="004C75E9" w:rsidRPr="00162B76" w:rsidRDefault="004C75E9" w:rsidP="004C75E9">
      <w:pPr>
        <w:spacing w:after="0" w:line="240" w:lineRule="auto"/>
        <w:rPr>
          <w:rFonts w:cstheme="minorHAnsi"/>
          <w:lang w:bidi="th-TH"/>
        </w:rPr>
      </w:pPr>
      <w:r w:rsidRPr="00162B76">
        <w:rPr>
          <w:rFonts w:cstheme="minorHAnsi"/>
          <w:lang w:bidi="th-TH"/>
        </w:rPr>
        <w:t>Eptinezumab apparent clearance was 0.15 L/day, and the terminal elimination half-life was approximately 27 days.</w:t>
      </w:r>
    </w:p>
    <w:p w14:paraId="79E1D3F7" w14:textId="7F327CB2" w:rsidR="004C75E9" w:rsidRDefault="004C75E9" w:rsidP="00D23281">
      <w:pPr>
        <w:pStyle w:val="Heading3"/>
        <w:ind w:left="0"/>
        <w:rPr>
          <w:lang w:bidi="th-TH"/>
        </w:rPr>
      </w:pPr>
      <w:r w:rsidRPr="004C75E9">
        <w:rPr>
          <w:lang w:bidi="th-TH"/>
        </w:rPr>
        <w:t>Special populations</w:t>
      </w:r>
    </w:p>
    <w:p w14:paraId="6BE3F33F" w14:textId="1BAB3952" w:rsidR="002A284F" w:rsidRPr="00D23281" w:rsidRDefault="002A284F" w:rsidP="00D23281">
      <w:pPr>
        <w:spacing w:before="120" w:after="0"/>
        <w:rPr>
          <w:lang w:bidi="th-TH"/>
        </w:rPr>
      </w:pPr>
      <w:r w:rsidRPr="00D23281">
        <w:rPr>
          <w:u w:val="single"/>
          <w:lang w:bidi="th-TH"/>
        </w:rPr>
        <w:t xml:space="preserve">Age, Gender, Race </w:t>
      </w:r>
    </w:p>
    <w:p w14:paraId="408768B6" w14:textId="11EDB289" w:rsidR="004C75E9" w:rsidRPr="00162B76" w:rsidRDefault="004C75E9" w:rsidP="00C5172D">
      <w:pPr>
        <w:spacing w:after="120" w:line="240" w:lineRule="auto"/>
        <w:rPr>
          <w:rFonts w:cstheme="minorHAnsi"/>
          <w:lang w:val="en-US" w:bidi="th-TH"/>
        </w:rPr>
      </w:pPr>
      <w:r w:rsidRPr="00162B76">
        <w:rPr>
          <w:rFonts w:cstheme="minorHAnsi"/>
          <w:lang w:val="en-US" w:bidi="th-TH"/>
        </w:rPr>
        <w:t>The pharmacokinetics of eptinezumab were not affected by age, gender, or race based on population pharmacokinetics. Therefore, no dose adjustment is needed based on either age, sex or race.</w:t>
      </w:r>
    </w:p>
    <w:p w14:paraId="44277695" w14:textId="7233843F" w:rsidR="002A284F" w:rsidRPr="00D23281" w:rsidRDefault="002A284F" w:rsidP="00D23281">
      <w:pPr>
        <w:spacing w:after="0"/>
        <w:rPr>
          <w:bCs/>
          <w:u w:val="single"/>
        </w:rPr>
      </w:pPr>
      <w:r w:rsidRPr="00D23281">
        <w:rPr>
          <w:rFonts w:cstheme="minorHAnsi"/>
          <w:u w:val="single"/>
          <w:lang w:val="en-GB" w:bidi="th-TH"/>
        </w:rPr>
        <w:t>Renal or Hepatic Impairment</w:t>
      </w:r>
    </w:p>
    <w:p w14:paraId="38FD14A9" w14:textId="4684D41D" w:rsidR="002A284F" w:rsidRDefault="002A284F" w:rsidP="002A284F">
      <w:r w:rsidRPr="002A284F">
        <w:lastRenderedPageBreak/>
        <w:t>No dedicated</w:t>
      </w:r>
      <w:r w:rsidR="007D254C">
        <w:t xml:space="preserve"> hepatic and</w:t>
      </w:r>
      <w:r w:rsidRPr="002A284F">
        <w:t xml:space="preserve"> renal impairment studies were conducted to assess the effects of </w:t>
      </w:r>
      <w:r w:rsidR="00C636FA">
        <w:t xml:space="preserve">hepatic and </w:t>
      </w:r>
      <w:r w:rsidRPr="002A284F">
        <w:t xml:space="preserve">renal impairment upon the pharmacokinetics of eptinezumab. Population pharmacokinetic analysis of integrated data from the </w:t>
      </w:r>
      <w:r w:rsidR="002646FB">
        <w:t>VYEPTI®</w:t>
      </w:r>
      <w:r w:rsidR="0048190F">
        <w:t xml:space="preserve"> </w:t>
      </w:r>
      <w:r w:rsidRPr="002A284F">
        <w:t>clinical studies including biomarkers for hepatic and renal function as covariates revealed no differences that would require dose adjustments.</w:t>
      </w:r>
    </w:p>
    <w:p w14:paraId="4B741AAD" w14:textId="7B15B130" w:rsidR="001A3992" w:rsidRDefault="001A3992" w:rsidP="001A3992">
      <w:pPr>
        <w:pStyle w:val="Heading2"/>
        <w:spacing w:before="0" w:after="120"/>
        <w:rPr>
          <w:lang w:val="en-US"/>
        </w:rPr>
      </w:pPr>
      <w:r w:rsidRPr="00EC3C40">
        <w:rPr>
          <w:lang w:val="en-US"/>
        </w:rPr>
        <w:t>Preclinical safety data</w:t>
      </w:r>
    </w:p>
    <w:p w14:paraId="1B4498AA" w14:textId="77777777" w:rsidR="00975300" w:rsidRPr="00593C40" w:rsidRDefault="00975300" w:rsidP="009D09B3">
      <w:pPr>
        <w:pStyle w:val="Heading3"/>
      </w:pPr>
      <w:r w:rsidRPr="00593C40">
        <w:t>Genotoxicity</w:t>
      </w:r>
    </w:p>
    <w:p w14:paraId="31A18348" w14:textId="02F62C6B" w:rsidR="00975300" w:rsidRPr="00593C40" w:rsidRDefault="00DB5302" w:rsidP="00975300">
      <w:r w:rsidRPr="00DB5302">
        <w:t>The genotoxic potential of eptinezumab has not been evaluated; however, monoclonal antibodies are not expected to alter DNA or chromosomes.</w:t>
      </w:r>
    </w:p>
    <w:p w14:paraId="655A3323" w14:textId="77777777" w:rsidR="00975300" w:rsidRPr="00593C40" w:rsidRDefault="00975300" w:rsidP="009D09B3">
      <w:pPr>
        <w:pStyle w:val="Heading3"/>
        <w:rPr>
          <w:lang w:val="en-US"/>
        </w:rPr>
      </w:pPr>
      <w:r w:rsidRPr="00593C40">
        <w:t>Carcin</w:t>
      </w:r>
      <w:r w:rsidRPr="00593C40">
        <w:rPr>
          <w:lang w:val="en-US"/>
        </w:rPr>
        <w:t>ogenicity</w:t>
      </w:r>
    </w:p>
    <w:p w14:paraId="5068B715" w14:textId="2AA41DB1" w:rsidR="00975300" w:rsidRPr="00593C40" w:rsidRDefault="00B56C75" w:rsidP="00975300">
      <w:pPr>
        <w:rPr>
          <w:lang w:val="en-US"/>
        </w:rPr>
      </w:pPr>
      <w:r w:rsidRPr="00B56C75">
        <w:rPr>
          <w:lang w:val="en-US"/>
        </w:rPr>
        <w:t>Carcinogenicity studies have not been conducted with eptinezumab, as eptinezumab is a monoclonal antibody.</w:t>
      </w:r>
    </w:p>
    <w:p w14:paraId="5BEC76F2" w14:textId="77777777" w:rsidR="001A3992" w:rsidRDefault="001A3992" w:rsidP="001A3992">
      <w:pPr>
        <w:pStyle w:val="Heading1"/>
        <w:spacing w:before="0" w:after="120"/>
        <w:rPr>
          <w:lang w:val="en-US"/>
        </w:rPr>
      </w:pPr>
      <w:r>
        <w:rPr>
          <w:lang w:val="en-US"/>
        </w:rPr>
        <w:t>Pharmaceutical particulars</w:t>
      </w:r>
    </w:p>
    <w:p w14:paraId="199C0D4A" w14:textId="7B554965" w:rsidR="005B2812" w:rsidRPr="00497C85" w:rsidRDefault="005B2812" w:rsidP="005B2812">
      <w:pPr>
        <w:pStyle w:val="Heading2"/>
        <w:spacing w:before="0" w:after="120"/>
        <w:rPr>
          <w:rFonts w:cstheme="minorHAnsi"/>
          <w:lang w:val="en-US"/>
        </w:rPr>
      </w:pPr>
      <w:bookmarkStart w:id="15" w:name="_List_of_excipients"/>
      <w:bookmarkEnd w:id="15"/>
      <w:r w:rsidRPr="00497C85">
        <w:rPr>
          <w:rFonts w:cstheme="minorHAnsi"/>
          <w:lang w:val="en-US"/>
        </w:rPr>
        <w:t>List of excipients</w:t>
      </w:r>
    </w:p>
    <w:p w14:paraId="5ED77B28" w14:textId="3586A7AC" w:rsidR="00781D10" w:rsidRDefault="00781D10" w:rsidP="003B3E91">
      <w:pPr>
        <w:numPr>
          <w:ilvl w:val="0"/>
          <w:numId w:val="12"/>
        </w:numPr>
        <w:spacing w:after="0" w:line="240" w:lineRule="auto"/>
        <w:contextualSpacing/>
        <w:rPr>
          <w:rFonts w:cstheme="minorHAnsi"/>
          <w:lang w:val="en" w:bidi="th-TH"/>
        </w:rPr>
      </w:pPr>
      <w:r>
        <w:rPr>
          <w:rFonts w:cstheme="minorHAnsi"/>
          <w:lang w:val="en" w:bidi="th-TH"/>
        </w:rPr>
        <w:t>Histidine</w:t>
      </w:r>
    </w:p>
    <w:p w14:paraId="3F5496EB" w14:textId="38B34B30" w:rsidR="00B40779" w:rsidRDefault="00625CD2" w:rsidP="003B3E91">
      <w:pPr>
        <w:numPr>
          <w:ilvl w:val="0"/>
          <w:numId w:val="12"/>
        </w:numPr>
        <w:spacing w:after="0" w:line="240" w:lineRule="auto"/>
        <w:contextualSpacing/>
        <w:rPr>
          <w:rFonts w:cstheme="minorHAnsi"/>
          <w:lang w:val="en" w:bidi="th-TH"/>
        </w:rPr>
      </w:pPr>
      <w:r w:rsidRPr="00B40779">
        <w:rPr>
          <w:rFonts w:cstheme="minorHAnsi"/>
          <w:lang w:val="en" w:bidi="th-TH"/>
        </w:rPr>
        <w:t>H</w:t>
      </w:r>
      <w:r w:rsidR="00586B42" w:rsidRPr="00B40779">
        <w:rPr>
          <w:rFonts w:cstheme="minorHAnsi"/>
          <w:lang w:val="en" w:bidi="th-TH"/>
        </w:rPr>
        <w:t xml:space="preserve">istidine </w:t>
      </w:r>
      <w:r w:rsidR="00B40779" w:rsidRPr="00B40779">
        <w:rPr>
          <w:rFonts w:cstheme="minorHAnsi"/>
          <w:lang w:val="en" w:bidi="th-TH"/>
        </w:rPr>
        <w:t>hydrochloride monohydrate</w:t>
      </w:r>
    </w:p>
    <w:p w14:paraId="3F8AB72C" w14:textId="77777777" w:rsidR="00586B42" w:rsidRPr="00B40779" w:rsidRDefault="00586B42" w:rsidP="003B3E91">
      <w:pPr>
        <w:numPr>
          <w:ilvl w:val="0"/>
          <w:numId w:val="12"/>
        </w:numPr>
        <w:spacing w:after="0" w:line="240" w:lineRule="auto"/>
        <w:contextualSpacing/>
        <w:rPr>
          <w:rFonts w:cstheme="minorHAnsi"/>
          <w:lang w:val="en" w:bidi="th-TH"/>
        </w:rPr>
      </w:pPr>
      <w:r w:rsidRPr="00B40779">
        <w:rPr>
          <w:rFonts w:cstheme="minorHAnsi"/>
          <w:lang w:val="en" w:bidi="th-TH"/>
        </w:rPr>
        <w:t xml:space="preserve">Polysorbate 80 </w:t>
      </w:r>
    </w:p>
    <w:p w14:paraId="47A1EFAC" w14:textId="77777777" w:rsidR="00586B42" w:rsidRPr="00E46AC2" w:rsidRDefault="00586B42" w:rsidP="00586B42">
      <w:pPr>
        <w:numPr>
          <w:ilvl w:val="0"/>
          <w:numId w:val="12"/>
        </w:numPr>
        <w:spacing w:after="0" w:line="240" w:lineRule="auto"/>
        <w:contextualSpacing/>
        <w:rPr>
          <w:rFonts w:cstheme="minorHAnsi"/>
          <w:lang w:val="en" w:bidi="th-TH"/>
        </w:rPr>
      </w:pPr>
      <w:r w:rsidRPr="00E46AC2">
        <w:rPr>
          <w:rFonts w:cstheme="minorHAnsi"/>
          <w:lang w:val="en" w:bidi="th-TH"/>
        </w:rPr>
        <w:t xml:space="preserve">Sorbitol </w:t>
      </w:r>
    </w:p>
    <w:p w14:paraId="4EAFFD63" w14:textId="03756744" w:rsidR="00586B42" w:rsidRDefault="00586B42" w:rsidP="004D0D29">
      <w:pPr>
        <w:numPr>
          <w:ilvl w:val="0"/>
          <w:numId w:val="12"/>
        </w:numPr>
        <w:spacing w:after="0" w:line="240" w:lineRule="auto"/>
        <w:contextualSpacing/>
        <w:rPr>
          <w:rFonts w:cstheme="minorHAnsi"/>
          <w:lang w:val="en" w:bidi="th-TH"/>
        </w:rPr>
      </w:pPr>
      <w:r w:rsidRPr="00E46AC2">
        <w:rPr>
          <w:rFonts w:cstheme="minorHAnsi"/>
          <w:lang w:val="en" w:bidi="th-TH"/>
        </w:rPr>
        <w:t>Water for Injection</w:t>
      </w:r>
      <w:r w:rsidR="00625CD2">
        <w:rPr>
          <w:rFonts w:cstheme="minorHAnsi"/>
          <w:lang w:val="en" w:bidi="th-TH"/>
        </w:rPr>
        <w:t>s</w:t>
      </w:r>
    </w:p>
    <w:p w14:paraId="50989B6D" w14:textId="77777777" w:rsidR="00586B42" w:rsidRPr="00586B42" w:rsidRDefault="00586B42" w:rsidP="009250DA">
      <w:pPr>
        <w:pStyle w:val="Heading2"/>
        <w:rPr>
          <w:lang w:val="en-US" w:bidi="th-TH"/>
        </w:rPr>
      </w:pPr>
      <w:r w:rsidRPr="00586B42">
        <w:rPr>
          <w:lang w:val="en-US" w:bidi="th-TH"/>
        </w:rPr>
        <w:t xml:space="preserve">Incompatibilities </w:t>
      </w:r>
    </w:p>
    <w:p w14:paraId="4B141B25" w14:textId="3AEF4BEE" w:rsidR="004C297B" w:rsidRDefault="00586B42" w:rsidP="00C5172D">
      <w:pPr>
        <w:spacing w:after="120" w:line="240" w:lineRule="auto"/>
      </w:pPr>
      <w:r w:rsidRPr="00E46AC2">
        <w:rPr>
          <w:rFonts w:cstheme="minorHAnsi"/>
          <w:lang w:val="en" w:bidi="th-TH"/>
        </w:rPr>
        <w:t>In the absence of compatibility studies, this medicinal product must not be mixed with other medicinal products</w:t>
      </w:r>
      <w:r w:rsidR="00381764">
        <w:rPr>
          <w:rFonts w:cstheme="minorHAnsi"/>
          <w:lang w:val="en" w:bidi="th-TH"/>
        </w:rPr>
        <w:t>.</w:t>
      </w:r>
    </w:p>
    <w:p w14:paraId="098F83FC" w14:textId="24EFC7D6" w:rsidR="00586B42" w:rsidRPr="00085A9A" w:rsidRDefault="004C297B" w:rsidP="00586B42">
      <w:pPr>
        <w:spacing w:after="0" w:line="240" w:lineRule="auto"/>
        <w:rPr>
          <w:rFonts w:cstheme="minorHAnsi"/>
          <w:lang w:bidi="th-TH"/>
        </w:rPr>
      </w:pPr>
      <w:r w:rsidRPr="004C297B">
        <w:rPr>
          <w:rFonts w:cstheme="minorHAnsi"/>
          <w:lang w:bidi="th-TH"/>
        </w:rPr>
        <w:t>No other medications should be administered through the infusion set or mixed with VYEPTI</w:t>
      </w:r>
      <w:r w:rsidR="008C61D5">
        <w:t>®</w:t>
      </w:r>
      <w:r>
        <w:rPr>
          <w:rFonts w:cstheme="minorHAnsi"/>
          <w:lang w:bidi="th-TH"/>
        </w:rPr>
        <w:t>, see</w:t>
      </w:r>
      <w:r w:rsidR="00085A9A">
        <w:rPr>
          <w:rFonts w:cstheme="minorHAnsi"/>
          <w:lang w:bidi="th-TH"/>
        </w:rPr>
        <w:t xml:space="preserve"> </w:t>
      </w:r>
      <w:hyperlink w:anchor="_Dose_and_method" w:history="1">
        <w:r w:rsidR="00862522" w:rsidRPr="00862522">
          <w:rPr>
            <w:rStyle w:val="Hyperlink"/>
            <w:rFonts w:cstheme="minorHAnsi"/>
            <w:lang w:bidi="th-TH"/>
          </w:rPr>
          <w:t>S</w:t>
        </w:r>
        <w:r w:rsidR="00085A9A" w:rsidRPr="00862522">
          <w:rPr>
            <w:rStyle w:val="Hyperlink"/>
            <w:rFonts w:cstheme="minorHAnsi"/>
            <w:lang w:bidi="th-TH"/>
          </w:rPr>
          <w:t xml:space="preserve">ection </w:t>
        </w:r>
        <w:r w:rsidRPr="00862522">
          <w:rPr>
            <w:rStyle w:val="Hyperlink"/>
            <w:rFonts w:cstheme="minorHAnsi"/>
            <w:lang w:val="en" w:bidi="th-TH"/>
          </w:rPr>
          <w:t>4.2 Dose and method of administration</w:t>
        </w:r>
      </w:hyperlink>
      <w:r w:rsidR="00862522">
        <w:rPr>
          <w:rFonts w:cstheme="minorHAnsi"/>
          <w:lang w:val="en" w:bidi="th-TH"/>
        </w:rPr>
        <w:t>.</w:t>
      </w:r>
      <w:r>
        <w:rPr>
          <w:rFonts w:cstheme="minorHAnsi"/>
          <w:lang w:val="en" w:bidi="th-TH"/>
        </w:rPr>
        <w:t xml:space="preserve"> </w:t>
      </w:r>
    </w:p>
    <w:p w14:paraId="2DC21EB9" w14:textId="77777777" w:rsidR="00586B42" w:rsidRPr="00586B42" w:rsidRDefault="00586B42" w:rsidP="009250DA">
      <w:pPr>
        <w:pStyle w:val="Heading2"/>
        <w:rPr>
          <w:lang w:val="en-US" w:bidi="th-TH"/>
        </w:rPr>
      </w:pPr>
      <w:r w:rsidRPr="00586B42">
        <w:rPr>
          <w:lang w:val="en-US" w:bidi="th-TH"/>
        </w:rPr>
        <w:t xml:space="preserve">Shelf life </w:t>
      </w:r>
    </w:p>
    <w:p w14:paraId="3DACC6BF" w14:textId="49FEBCD4" w:rsidR="00B40779" w:rsidRDefault="00563404" w:rsidP="006E6031">
      <w:pPr>
        <w:rPr>
          <w:lang w:val="en-US" w:bidi="th-TH"/>
        </w:rPr>
      </w:pPr>
      <w:r w:rsidRPr="00563404">
        <w:rPr>
          <w:lang w:val="en-US" w:bidi="th-TH"/>
        </w:rPr>
        <w:t>In Australia, information on the shelf life can be found on the public summary of the Australian Register of Therapeutic Goods (ARTG). The expiry date can be found on the packaging.</w:t>
      </w:r>
    </w:p>
    <w:p w14:paraId="1AD7D972" w14:textId="295BB4F2" w:rsidR="00586B42" w:rsidRPr="00C5172D" w:rsidRDefault="00B40779" w:rsidP="00586B42">
      <w:pPr>
        <w:spacing w:after="0" w:line="240" w:lineRule="auto"/>
        <w:rPr>
          <w:rFonts w:cstheme="minorHAnsi"/>
          <w:lang w:val="en-US" w:bidi="th-TH"/>
        </w:rPr>
      </w:pPr>
      <w:r w:rsidRPr="00B40779">
        <w:rPr>
          <w:rFonts w:cstheme="minorHAnsi"/>
          <w:lang w:val="en-US" w:bidi="th-TH"/>
        </w:rPr>
        <w:t xml:space="preserve">Following dilution, the </w:t>
      </w:r>
      <w:r w:rsidR="002646FB">
        <w:rPr>
          <w:rFonts w:cstheme="minorHAnsi"/>
          <w:lang w:val="en-US" w:bidi="th-TH"/>
        </w:rPr>
        <w:t>VYEPTI®</w:t>
      </w:r>
      <w:r w:rsidR="0048190F">
        <w:rPr>
          <w:rFonts w:cstheme="minorHAnsi"/>
          <w:lang w:val="en-US" w:bidi="th-TH"/>
        </w:rPr>
        <w:t xml:space="preserve"> </w:t>
      </w:r>
      <w:r w:rsidRPr="00B40779">
        <w:rPr>
          <w:rFonts w:cstheme="minorHAnsi"/>
          <w:lang w:val="en-US" w:bidi="th-TH"/>
        </w:rPr>
        <w:t>solution for infusion (</w:t>
      </w:r>
      <w:r w:rsidR="002646FB">
        <w:rPr>
          <w:rFonts w:cstheme="minorHAnsi"/>
          <w:lang w:val="en-US" w:bidi="th-TH"/>
        </w:rPr>
        <w:t>VYEPTI®</w:t>
      </w:r>
      <w:r w:rsidR="0048190F">
        <w:rPr>
          <w:rFonts w:cstheme="minorHAnsi"/>
          <w:lang w:val="en-US" w:bidi="th-TH"/>
        </w:rPr>
        <w:t xml:space="preserve"> </w:t>
      </w:r>
      <w:r w:rsidRPr="00B40779">
        <w:rPr>
          <w:rFonts w:cstheme="minorHAnsi"/>
          <w:lang w:val="en-US" w:bidi="th-TH"/>
        </w:rPr>
        <w:t xml:space="preserve">and 0.9% Sodium Chloride for Injection) must be infused within 8 hours (see </w:t>
      </w:r>
      <w:hyperlink w:anchor="_Special_precautions_for" w:history="1">
        <w:r w:rsidRPr="00862522">
          <w:rPr>
            <w:rStyle w:val="Hyperlink"/>
            <w:rFonts w:cstheme="minorHAnsi"/>
            <w:lang w:val="en-US" w:bidi="th-TH"/>
          </w:rPr>
          <w:t>Section 6.4</w:t>
        </w:r>
        <w:r w:rsidR="00862522" w:rsidRPr="00862522">
          <w:rPr>
            <w:rStyle w:val="Hyperlink"/>
            <w:rFonts w:cstheme="minorHAnsi"/>
            <w:lang w:val="en-US" w:bidi="th-TH"/>
          </w:rPr>
          <w:t xml:space="preserve"> Special precautions for storage</w:t>
        </w:r>
      </w:hyperlink>
      <w:r w:rsidRPr="00B40779">
        <w:rPr>
          <w:rFonts w:cstheme="minorHAnsi"/>
          <w:lang w:val="en-US" w:bidi="th-TH"/>
        </w:rPr>
        <w:t>).</w:t>
      </w:r>
    </w:p>
    <w:p w14:paraId="65BD99C4" w14:textId="77777777" w:rsidR="00586B42" w:rsidRPr="00586B42" w:rsidRDefault="00586B42" w:rsidP="009250DA">
      <w:pPr>
        <w:pStyle w:val="Heading2"/>
        <w:rPr>
          <w:lang w:val="en-US" w:bidi="th-TH"/>
        </w:rPr>
      </w:pPr>
      <w:bookmarkStart w:id="16" w:name="_Special_precautions_for"/>
      <w:bookmarkEnd w:id="16"/>
      <w:r w:rsidRPr="00586B42">
        <w:rPr>
          <w:lang w:val="en-US" w:bidi="th-TH"/>
        </w:rPr>
        <w:t xml:space="preserve">Special precautions for storage </w:t>
      </w:r>
    </w:p>
    <w:p w14:paraId="34D4D13B" w14:textId="77777777" w:rsidR="006A78E1" w:rsidRDefault="00586B42" w:rsidP="00586B42">
      <w:pPr>
        <w:suppressAutoHyphens/>
        <w:overflowPunct w:val="0"/>
        <w:autoSpaceDE w:val="0"/>
        <w:autoSpaceDN w:val="0"/>
        <w:adjustRightInd w:val="0"/>
        <w:spacing w:before="240" w:after="0" w:line="240" w:lineRule="auto"/>
        <w:textAlignment w:val="baseline"/>
        <w:rPr>
          <w:rFonts w:eastAsia="Times New Roman" w:cstheme="minorHAnsi"/>
          <w:lang w:val="da-DK" w:eastAsia="da-DK" w:bidi="th-TH"/>
        </w:rPr>
      </w:pPr>
      <w:r w:rsidRPr="00E46AC2">
        <w:rPr>
          <w:rFonts w:eastAsia="Times New Roman" w:cstheme="minorHAnsi"/>
          <w:lang w:val="da-DK" w:eastAsia="da-DK" w:bidi="th-TH"/>
        </w:rPr>
        <w:t>Store refrigerated at 2 to 8°C</w:t>
      </w:r>
      <w:r w:rsidR="006A78E1">
        <w:rPr>
          <w:rFonts w:eastAsia="Times New Roman" w:cstheme="minorHAnsi"/>
          <w:lang w:val="da-DK" w:eastAsia="da-DK" w:bidi="th-TH"/>
        </w:rPr>
        <w:t>.</w:t>
      </w:r>
    </w:p>
    <w:p w14:paraId="35C0EC9D" w14:textId="339EBF0A" w:rsidR="00586B42" w:rsidRPr="002A59AF" w:rsidRDefault="006A78E1" w:rsidP="00586B42">
      <w:pPr>
        <w:suppressAutoHyphens/>
        <w:overflowPunct w:val="0"/>
        <w:autoSpaceDE w:val="0"/>
        <w:autoSpaceDN w:val="0"/>
        <w:adjustRightInd w:val="0"/>
        <w:spacing w:before="240" w:after="0" w:line="240" w:lineRule="auto"/>
        <w:textAlignment w:val="baseline"/>
        <w:rPr>
          <w:rFonts w:eastAsia="Times New Roman" w:cstheme="minorHAnsi"/>
          <w:lang w:val="en-US" w:eastAsia="da-DK" w:bidi="th-TH"/>
        </w:rPr>
      </w:pPr>
      <w:r w:rsidRPr="002A59AF">
        <w:rPr>
          <w:rFonts w:eastAsia="Times New Roman" w:cstheme="minorHAnsi"/>
          <w:lang w:val="en-US" w:eastAsia="da-DK" w:bidi="th-TH"/>
        </w:rPr>
        <w:t>Keep the vial</w:t>
      </w:r>
      <w:r w:rsidR="00586B42" w:rsidRPr="00E46AC2">
        <w:rPr>
          <w:rFonts w:eastAsia="Times New Roman" w:cstheme="minorHAnsi"/>
          <w:lang w:val="en-GB" w:eastAsia="da-DK" w:bidi="th-TH"/>
        </w:rPr>
        <w:t xml:space="preserve"> </w:t>
      </w:r>
      <w:r w:rsidR="00586B42" w:rsidRPr="002A59AF">
        <w:rPr>
          <w:rFonts w:eastAsia="Times New Roman" w:cstheme="minorHAnsi"/>
          <w:lang w:val="en-US" w:eastAsia="da-DK" w:bidi="th-TH"/>
        </w:rPr>
        <w:t xml:space="preserve">in the </w:t>
      </w:r>
      <w:r w:rsidRPr="002A59AF">
        <w:rPr>
          <w:rFonts w:eastAsia="Times New Roman" w:cstheme="minorHAnsi"/>
          <w:lang w:val="en-US" w:eastAsia="da-DK" w:bidi="th-TH"/>
        </w:rPr>
        <w:t xml:space="preserve">outer </w:t>
      </w:r>
      <w:r w:rsidR="00586B42" w:rsidRPr="002A59AF">
        <w:rPr>
          <w:rFonts w:eastAsia="Times New Roman" w:cstheme="minorHAnsi"/>
          <w:lang w:val="en-US" w:eastAsia="da-DK" w:bidi="th-TH"/>
        </w:rPr>
        <w:t xml:space="preserve">carton </w:t>
      </w:r>
      <w:r w:rsidRPr="002A59AF">
        <w:rPr>
          <w:rFonts w:eastAsia="Times New Roman" w:cstheme="minorHAnsi"/>
          <w:lang w:val="en-US" w:eastAsia="da-DK" w:bidi="th-TH"/>
        </w:rPr>
        <w:t xml:space="preserve">in order </w:t>
      </w:r>
      <w:r w:rsidR="00586B42" w:rsidRPr="002A59AF">
        <w:rPr>
          <w:rFonts w:eastAsia="Times New Roman" w:cstheme="minorHAnsi"/>
          <w:lang w:val="en-US" w:eastAsia="da-DK" w:bidi="th-TH"/>
        </w:rPr>
        <w:t>to protect from light</w:t>
      </w:r>
    </w:p>
    <w:p w14:paraId="13C235E7" w14:textId="77777777" w:rsidR="00586B42" w:rsidRPr="00E46AC2" w:rsidRDefault="00586B42" w:rsidP="00586B42">
      <w:pPr>
        <w:suppressAutoHyphens/>
        <w:overflowPunct w:val="0"/>
        <w:autoSpaceDE w:val="0"/>
        <w:autoSpaceDN w:val="0"/>
        <w:adjustRightInd w:val="0"/>
        <w:spacing w:before="240" w:after="0" w:line="240" w:lineRule="auto"/>
        <w:textAlignment w:val="baseline"/>
        <w:rPr>
          <w:rFonts w:eastAsia="Times New Roman" w:cstheme="minorHAnsi"/>
          <w:lang w:val="en-GB" w:eastAsia="da-DK" w:bidi="th-TH"/>
        </w:rPr>
      </w:pPr>
      <w:r w:rsidRPr="00E46AC2">
        <w:rPr>
          <w:rFonts w:eastAsia="Times New Roman" w:cstheme="minorHAnsi"/>
          <w:lang w:val="en-GB" w:eastAsia="da-DK" w:bidi="th-TH"/>
        </w:rPr>
        <w:t>Do not freeze or shake.</w:t>
      </w:r>
    </w:p>
    <w:p w14:paraId="1CCD2A18" w14:textId="6A1D70F9" w:rsidR="002B2C98" w:rsidRDefault="002B2C98" w:rsidP="00586B42">
      <w:pPr>
        <w:suppressAutoHyphens/>
        <w:overflowPunct w:val="0"/>
        <w:autoSpaceDE w:val="0"/>
        <w:autoSpaceDN w:val="0"/>
        <w:adjustRightInd w:val="0"/>
        <w:spacing w:before="240" w:after="0" w:line="240" w:lineRule="auto"/>
        <w:textAlignment w:val="baseline"/>
        <w:rPr>
          <w:rFonts w:eastAsia="Times New Roman" w:cstheme="minorHAnsi"/>
          <w:lang w:val="en-GB" w:eastAsia="da-DK" w:bidi="th-TH"/>
        </w:rPr>
      </w:pPr>
      <w:r w:rsidRPr="002B2C98">
        <w:rPr>
          <w:rFonts w:eastAsia="Times New Roman" w:cstheme="minorHAnsi"/>
          <w:lang w:val="en-GB" w:eastAsia="da-DK" w:bidi="th-TH"/>
        </w:rPr>
        <w:lastRenderedPageBreak/>
        <w:t xml:space="preserve">Following dilution, the </w:t>
      </w:r>
      <w:r w:rsidR="002646FB">
        <w:rPr>
          <w:rFonts w:eastAsia="Times New Roman" w:cstheme="minorHAnsi"/>
          <w:lang w:val="en-GB" w:eastAsia="da-DK" w:bidi="th-TH"/>
        </w:rPr>
        <w:t>VYEPTI®</w:t>
      </w:r>
      <w:r w:rsidR="0048190F">
        <w:rPr>
          <w:rFonts w:eastAsia="Times New Roman" w:cstheme="minorHAnsi"/>
          <w:lang w:val="en-GB" w:eastAsia="da-DK" w:bidi="th-TH"/>
        </w:rPr>
        <w:t xml:space="preserve"> </w:t>
      </w:r>
      <w:r w:rsidRPr="002B2C98">
        <w:rPr>
          <w:rFonts w:eastAsia="Times New Roman" w:cstheme="minorHAnsi"/>
          <w:lang w:val="en-GB" w:eastAsia="da-DK" w:bidi="th-TH"/>
        </w:rPr>
        <w:t>solution for infusion (</w:t>
      </w:r>
      <w:r w:rsidR="002646FB">
        <w:rPr>
          <w:rFonts w:eastAsia="Times New Roman" w:cstheme="minorHAnsi"/>
          <w:lang w:val="en-GB" w:eastAsia="da-DK" w:bidi="th-TH"/>
        </w:rPr>
        <w:t>VYEPTI®</w:t>
      </w:r>
      <w:r w:rsidR="0048190F">
        <w:rPr>
          <w:rFonts w:eastAsia="Times New Roman" w:cstheme="minorHAnsi"/>
          <w:lang w:val="en-GB" w:eastAsia="da-DK" w:bidi="th-TH"/>
        </w:rPr>
        <w:t xml:space="preserve"> </w:t>
      </w:r>
      <w:r w:rsidRPr="002B2C98">
        <w:rPr>
          <w:rFonts w:eastAsia="Times New Roman" w:cstheme="minorHAnsi"/>
          <w:lang w:val="en-GB" w:eastAsia="da-DK" w:bidi="th-TH"/>
        </w:rPr>
        <w:t>and 0.9% Sodium Chloride for Injection) may be stored at room temperature or refrigerated at 2 to 8°C</w:t>
      </w:r>
      <w:r w:rsidRPr="002B2C98" w:rsidDel="002B2C98">
        <w:rPr>
          <w:rFonts w:eastAsia="Times New Roman" w:cstheme="minorHAnsi"/>
          <w:lang w:val="en-GB" w:eastAsia="da-DK" w:bidi="th-TH"/>
        </w:rPr>
        <w:t xml:space="preserve"> </w:t>
      </w:r>
      <w:r w:rsidR="008C2092">
        <w:rPr>
          <w:rFonts w:eastAsia="Times New Roman" w:cstheme="minorHAnsi"/>
          <w:lang w:val="en-GB" w:eastAsia="da-DK" w:bidi="th-TH"/>
        </w:rPr>
        <w:t>for up to 8 hours.</w:t>
      </w:r>
    </w:p>
    <w:p w14:paraId="7BC1359B" w14:textId="5EF2F2DB" w:rsidR="000E01FC" w:rsidRPr="00C5172D" w:rsidRDefault="0056071B" w:rsidP="00586B42">
      <w:pPr>
        <w:suppressAutoHyphens/>
        <w:overflowPunct w:val="0"/>
        <w:autoSpaceDE w:val="0"/>
        <w:autoSpaceDN w:val="0"/>
        <w:adjustRightInd w:val="0"/>
        <w:spacing w:before="240" w:after="0" w:line="240" w:lineRule="auto"/>
        <w:textAlignment w:val="baseline"/>
        <w:rPr>
          <w:rFonts w:eastAsia="Times New Roman" w:cstheme="minorHAnsi"/>
          <w:lang w:val="en-GB" w:eastAsia="da-DK" w:bidi="th-TH"/>
        </w:rPr>
      </w:pPr>
      <w:r w:rsidRPr="00F52ADC">
        <w:rPr>
          <w:rFonts w:eastAsia="Times New Roman" w:cstheme="minorHAnsi"/>
          <w:lang w:val="en-GB" w:eastAsia="da-DK" w:bidi="th-TH"/>
        </w:rPr>
        <w:t>VYEPTI® is for single use in one patient only. Discard any residue.</w:t>
      </w:r>
    </w:p>
    <w:p w14:paraId="0BD9567E" w14:textId="77777777" w:rsidR="00586B42" w:rsidRPr="00586B42" w:rsidRDefault="00586B42" w:rsidP="005B681E">
      <w:pPr>
        <w:pStyle w:val="Heading2"/>
        <w:rPr>
          <w:lang w:val="en-US" w:bidi="th-TH"/>
        </w:rPr>
      </w:pPr>
      <w:r w:rsidRPr="00586B42">
        <w:rPr>
          <w:lang w:val="en-US" w:bidi="th-TH"/>
        </w:rPr>
        <w:t xml:space="preserve">Nature and contents of container </w:t>
      </w:r>
    </w:p>
    <w:p w14:paraId="2BD7D1C1" w14:textId="77777777" w:rsidR="00586B42" w:rsidRPr="00E46AC2" w:rsidRDefault="00586B42" w:rsidP="00586B42">
      <w:pPr>
        <w:spacing w:after="0" w:line="240" w:lineRule="auto"/>
        <w:rPr>
          <w:rFonts w:cstheme="minorHAnsi"/>
          <w:lang w:val="en-US" w:bidi="th-TH"/>
        </w:rPr>
      </w:pPr>
      <w:r w:rsidRPr="00E46AC2">
        <w:rPr>
          <w:rFonts w:cstheme="minorHAnsi"/>
          <w:lang w:val="en-US" w:bidi="th-TH"/>
        </w:rPr>
        <w:t>1 mL solution in a Type I glass vial with chlorobutyl rubber stopper. The vial stopper is not made with natural rubber latex.</w:t>
      </w:r>
    </w:p>
    <w:p w14:paraId="11969283" w14:textId="77777777" w:rsidR="00586B42" w:rsidRPr="00E46AC2" w:rsidRDefault="00586B42" w:rsidP="00586B42">
      <w:pPr>
        <w:spacing w:after="0" w:line="240" w:lineRule="auto"/>
        <w:rPr>
          <w:rFonts w:cstheme="minorHAnsi"/>
          <w:lang w:val="en-US" w:bidi="th-TH"/>
        </w:rPr>
      </w:pPr>
    </w:p>
    <w:p w14:paraId="587F644F" w14:textId="44FB955E" w:rsidR="00586B42" w:rsidRPr="00E46AC2" w:rsidRDefault="00586B42" w:rsidP="00586B42">
      <w:pPr>
        <w:spacing w:after="0" w:line="240" w:lineRule="auto"/>
        <w:rPr>
          <w:rFonts w:cstheme="minorHAnsi"/>
          <w:lang w:val="en-US" w:bidi="th-TH"/>
        </w:rPr>
      </w:pPr>
      <w:r w:rsidRPr="00E46AC2">
        <w:rPr>
          <w:rFonts w:cstheme="minorHAnsi"/>
          <w:lang w:val="en-US" w:bidi="th-TH"/>
        </w:rPr>
        <w:t xml:space="preserve">Each </w:t>
      </w:r>
      <w:r w:rsidR="00BD2A6D">
        <w:rPr>
          <w:rFonts w:cstheme="minorHAnsi"/>
          <w:lang w:val="en-US" w:bidi="th-TH"/>
        </w:rPr>
        <w:t>carton</w:t>
      </w:r>
      <w:r w:rsidR="00BD2A6D" w:rsidRPr="00E46AC2">
        <w:rPr>
          <w:rFonts w:cstheme="minorHAnsi"/>
          <w:lang w:val="en-US" w:bidi="th-TH"/>
        </w:rPr>
        <w:t xml:space="preserve"> </w:t>
      </w:r>
      <w:r w:rsidRPr="00E46AC2">
        <w:rPr>
          <w:rFonts w:cstheme="minorHAnsi"/>
          <w:lang w:val="en-US" w:bidi="th-TH"/>
        </w:rPr>
        <w:t>contains one vial.</w:t>
      </w:r>
    </w:p>
    <w:p w14:paraId="44F5B291" w14:textId="77777777" w:rsidR="00586B42" w:rsidRPr="00586B42" w:rsidRDefault="00586B42" w:rsidP="005B681E">
      <w:pPr>
        <w:pStyle w:val="Heading2"/>
        <w:rPr>
          <w:lang w:val="en-US" w:bidi="th-TH"/>
        </w:rPr>
      </w:pPr>
      <w:bookmarkStart w:id="17" w:name="_Hlk36592208"/>
      <w:r w:rsidRPr="00586B42">
        <w:rPr>
          <w:lang w:val="en-US" w:bidi="th-TH"/>
        </w:rPr>
        <w:t xml:space="preserve">Special precautions for disposal </w:t>
      </w:r>
    </w:p>
    <w:bookmarkEnd w:id="17"/>
    <w:p w14:paraId="20D04D21" w14:textId="77777777" w:rsidR="00586B42" w:rsidRPr="00E46AC2" w:rsidRDefault="00586B42" w:rsidP="00586B42">
      <w:pPr>
        <w:spacing w:after="0" w:line="240" w:lineRule="auto"/>
        <w:rPr>
          <w:rFonts w:cstheme="minorHAnsi"/>
          <w:lang w:val="en" w:bidi="th-TH"/>
        </w:rPr>
      </w:pPr>
      <w:r w:rsidRPr="00E46AC2">
        <w:rPr>
          <w:rFonts w:cstheme="minorHAnsi"/>
          <w:lang w:val="en" w:bidi="th-TH"/>
        </w:rPr>
        <w:t>In Australia, any unused medicine or waste material should be disposed of in accordance with local requirements.</w:t>
      </w:r>
    </w:p>
    <w:p w14:paraId="0F9BBF32" w14:textId="77777777" w:rsidR="00586B42" w:rsidRPr="00586B42" w:rsidRDefault="00586B42" w:rsidP="005B681E">
      <w:pPr>
        <w:pStyle w:val="Heading2"/>
        <w:rPr>
          <w:lang w:val="en-US" w:bidi="th-TH"/>
        </w:rPr>
      </w:pPr>
      <w:r w:rsidRPr="00586B42">
        <w:rPr>
          <w:lang w:val="en-US" w:bidi="th-TH"/>
        </w:rPr>
        <w:t>Physicochemical properties</w:t>
      </w:r>
    </w:p>
    <w:p w14:paraId="07C9CDB6" w14:textId="346BCEBE" w:rsidR="00C279A3" w:rsidRPr="00C279A3" w:rsidRDefault="00C279A3" w:rsidP="006E6031">
      <w:pPr>
        <w:pStyle w:val="Heading3"/>
        <w:rPr>
          <w:lang w:val="en-GB" w:bidi="th-TH"/>
        </w:rPr>
      </w:pPr>
      <w:r w:rsidRPr="00C279A3">
        <w:rPr>
          <w:lang w:val="en-GB" w:bidi="th-TH"/>
        </w:rPr>
        <w:t>Chemical Abstract Index Name:</w:t>
      </w:r>
    </w:p>
    <w:p w14:paraId="3502551C" w14:textId="63E565A1" w:rsidR="00C279A3" w:rsidRPr="002E6C34" w:rsidRDefault="00C279A3" w:rsidP="00C279A3">
      <w:pPr>
        <w:spacing w:after="0" w:line="240" w:lineRule="auto"/>
        <w:rPr>
          <w:rFonts w:cstheme="minorHAnsi"/>
          <w:lang w:val="en-US" w:bidi="th-TH"/>
        </w:rPr>
      </w:pPr>
      <w:r w:rsidRPr="00C279A3">
        <w:rPr>
          <w:rFonts w:cstheme="minorHAnsi"/>
          <w:lang w:val="en-GB" w:bidi="th-TH"/>
        </w:rPr>
        <w:t>Immunoglobulin G1, anti-(calcitonin gene-related peptide) (human-Oryctolagus cuniculus monoclonal ALD403 heavy chain), disulfide with human-Oryctolagus cuniculus monoclonal ALD403 κ-chain, dimer</w:t>
      </w:r>
    </w:p>
    <w:p w14:paraId="53ABBBF6" w14:textId="77777777" w:rsidR="00586B42" w:rsidRPr="00C735AC" w:rsidRDefault="00586B42" w:rsidP="00E46AC2">
      <w:pPr>
        <w:keepNext/>
        <w:keepLines/>
        <w:spacing w:before="200" w:after="0" w:line="240" w:lineRule="auto"/>
        <w:ind w:left="227"/>
        <w:outlineLvl w:val="2"/>
        <w:rPr>
          <w:rFonts w:asciiTheme="majorHAnsi" w:eastAsiaTheme="majorEastAsia" w:hAnsiTheme="majorHAnsi" w:cstheme="majorBidi"/>
          <w:b/>
          <w:bCs/>
          <w:lang w:val="pt-PT" w:bidi="th-TH"/>
        </w:rPr>
      </w:pPr>
      <w:r w:rsidRPr="00C735AC">
        <w:rPr>
          <w:rFonts w:asciiTheme="majorHAnsi" w:eastAsiaTheme="majorEastAsia" w:hAnsiTheme="majorHAnsi" w:cstheme="majorBidi"/>
          <w:b/>
          <w:bCs/>
          <w:lang w:val="pt-PT" w:bidi="th-TH"/>
        </w:rPr>
        <w:t>CAS number:</w:t>
      </w:r>
    </w:p>
    <w:p w14:paraId="7E56C140" w14:textId="77777777" w:rsidR="00586B42" w:rsidRPr="00C735AC" w:rsidRDefault="00586B42" w:rsidP="00586B42">
      <w:pPr>
        <w:spacing w:after="0" w:line="240" w:lineRule="auto"/>
        <w:rPr>
          <w:rFonts w:cstheme="minorHAnsi"/>
          <w:lang w:val="pt-PT" w:bidi="th-TH"/>
        </w:rPr>
      </w:pPr>
      <w:r w:rsidRPr="00C735AC">
        <w:rPr>
          <w:rFonts w:cstheme="minorHAnsi"/>
          <w:lang w:val="pt-PT" w:bidi="th-TH"/>
        </w:rPr>
        <w:t>1644539-04-7</w:t>
      </w:r>
    </w:p>
    <w:p w14:paraId="6140C23D" w14:textId="3FEC7B53" w:rsidR="00586B42" w:rsidRPr="00C735AC" w:rsidRDefault="002D50D7" w:rsidP="00586B42">
      <w:pPr>
        <w:keepNext/>
        <w:keepLines/>
        <w:spacing w:before="200" w:after="0" w:line="240" w:lineRule="auto"/>
        <w:ind w:left="227"/>
        <w:outlineLvl w:val="2"/>
        <w:rPr>
          <w:rFonts w:asciiTheme="majorHAnsi" w:eastAsiaTheme="majorEastAsia" w:hAnsiTheme="majorHAnsi" w:cstheme="majorBidi"/>
          <w:b/>
          <w:bCs/>
          <w:lang w:val="pt-PT" w:bidi="th-TH"/>
        </w:rPr>
      </w:pPr>
      <w:r>
        <w:rPr>
          <w:rFonts w:asciiTheme="majorHAnsi" w:eastAsiaTheme="majorEastAsia" w:hAnsiTheme="majorHAnsi" w:cstheme="majorBidi"/>
          <w:b/>
          <w:bCs/>
          <w:lang w:val="pt-PT" w:bidi="th-TH"/>
        </w:rPr>
        <w:t>Chemical Structure</w:t>
      </w:r>
    </w:p>
    <w:p w14:paraId="0C688018" w14:textId="77777777" w:rsidR="00586B42" w:rsidRPr="00C735AC" w:rsidRDefault="00586B42" w:rsidP="00085A9A">
      <w:pPr>
        <w:spacing w:line="240" w:lineRule="auto"/>
        <w:rPr>
          <w:rFonts w:cstheme="minorHAnsi"/>
          <w:lang w:val="pt-PT" w:bidi="th-TH"/>
        </w:rPr>
      </w:pPr>
      <w:r w:rsidRPr="00C735AC">
        <w:rPr>
          <w:rFonts w:cstheme="minorHAnsi"/>
          <w:lang w:val="pt-PT" w:bidi="th-TH"/>
        </w:rPr>
        <w:t xml:space="preserve"> C</w:t>
      </w:r>
      <w:r w:rsidRPr="00C735AC">
        <w:rPr>
          <w:rFonts w:cstheme="minorHAnsi"/>
          <w:vertAlign w:val="subscript"/>
          <w:lang w:val="pt-PT" w:bidi="th-TH"/>
        </w:rPr>
        <w:t>6352</w:t>
      </w:r>
      <w:r w:rsidRPr="00C735AC">
        <w:rPr>
          <w:rFonts w:cstheme="minorHAnsi"/>
          <w:lang w:val="pt-PT" w:bidi="th-TH"/>
        </w:rPr>
        <w:t>H</w:t>
      </w:r>
      <w:r w:rsidRPr="00C735AC">
        <w:rPr>
          <w:rFonts w:cstheme="minorHAnsi"/>
          <w:vertAlign w:val="subscript"/>
          <w:lang w:val="pt-PT" w:bidi="th-TH"/>
        </w:rPr>
        <w:t>9838</w:t>
      </w:r>
      <w:r w:rsidRPr="00C735AC">
        <w:rPr>
          <w:rFonts w:cstheme="minorHAnsi"/>
          <w:lang w:val="pt-PT" w:bidi="th-TH"/>
        </w:rPr>
        <w:t>N</w:t>
      </w:r>
      <w:r w:rsidRPr="00C735AC">
        <w:rPr>
          <w:rFonts w:cstheme="minorHAnsi"/>
          <w:vertAlign w:val="subscript"/>
          <w:lang w:val="pt-PT" w:bidi="th-TH"/>
        </w:rPr>
        <w:t>1694</w:t>
      </w:r>
      <w:r w:rsidRPr="00C735AC">
        <w:rPr>
          <w:rFonts w:cstheme="minorHAnsi"/>
          <w:lang w:val="pt-PT" w:bidi="th-TH"/>
        </w:rPr>
        <w:t>O</w:t>
      </w:r>
      <w:r w:rsidRPr="00C735AC">
        <w:rPr>
          <w:rFonts w:cstheme="minorHAnsi"/>
          <w:vertAlign w:val="subscript"/>
          <w:lang w:val="pt-PT" w:bidi="th-TH"/>
        </w:rPr>
        <w:t>1992</w:t>
      </w:r>
      <w:r w:rsidRPr="00C735AC">
        <w:rPr>
          <w:rFonts w:cstheme="minorHAnsi"/>
          <w:lang w:val="pt-PT" w:bidi="th-TH"/>
        </w:rPr>
        <w:t>S</w:t>
      </w:r>
      <w:r w:rsidRPr="00C735AC">
        <w:rPr>
          <w:rFonts w:cstheme="minorHAnsi"/>
          <w:vertAlign w:val="subscript"/>
          <w:lang w:val="pt-PT" w:bidi="th-TH"/>
        </w:rPr>
        <w:t>46</w:t>
      </w:r>
      <w:r w:rsidRPr="00C735AC">
        <w:rPr>
          <w:rFonts w:cstheme="minorHAnsi"/>
          <w:lang w:val="pt-PT" w:bidi="th-TH"/>
        </w:rPr>
        <w:t xml:space="preserve"> </w:t>
      </w:r>
    </w:p>
    <w:p w14:paraId="5AC97E80" w14:textId="30A4C3E0" w:rsidR="001A3992" w:rsidRDefault="001A3992" w:rsidP="001A3992">
      <w:pPr>
        <w:pStyle w:val="Heading1"/>
        <w:spacing w:before="0" w:after="120"/>
        <w:rPr>
          <w:lang w:val="en-US"/>
        </w:rPr>
      </w:pPr>
      <w:r>
        <w:rPr>
          <w:lang w:val="en-US"/>
        </w:rPr>
        <w:t>Medicine</w:t>
      </w:r>
      <w:r w:rsidRPr="007D497E">
        <w:rPr>
          <w:lang w:val="en-US"/>
        </w:rPr>
        <w:t xml:space="preserve"> schedule </w:t>
      </w:r>
      <w:r>
        <w:rPr>
          <w:lang w:val="en-US"/>
        </w:rPr>
        <w:t>(Poisons Standard)</w:t>
      </w:r>
    </w:p>
    <w:p w14:paraId="3BFB33E7" w14:textId="2C552A9F" w:rsidR="00051282" w:rsidRPr="00051282" w:rsidRDefault="00051282" w:rsidP="00051282">
      <w:pPr>
        <w:rPr>
          <w:lang w:val="en-US"/>
        </w:rPr>
      </w:pPr>
      <w:r w:rsidRPr="00051282">
        <w:rPr>
          <w:lang w:val="en-US"/>
        </w:rPr>
        <w:t>Schedule 4 – Prescription Medicine</w:t>
      </w:r>
    </w:p>
    <w:p w14:paraId="7F06E830" w14:textId="2AC87589" w:rsidR="00285173" w:rsidRDefault="001A3992" w:rsidP="00285173">
      <w:pPr>
        <w:pStyle w:val="Heading1"/>
        <w:spacing w:before="0" w:after="120"/>
        <w:rPr>
          <w:lang w:val="en-US"/>
        </w:rPr>
      </w:pPr>
      <w:r w:rsidRPr="007D497E">
        <w:rPr>
          <w:lang w:val="en-US"/>
        </w:rPr>
        <w:t>Sponsor</w:t>
      </w:r>
      <w:r w:rsidR="00285173" w:rsidRPr="00285173">
        <w:rPr>
          <w:lang w:val="en-US"/>
        </w:rPr>
        <w:t xml:space="preserve"> </w:t>
      </w:r>
    </w:p>
    <w:p w14:paraId="03EB2FC1" w14:textId="77777777" w:rsidR="009947AD" w:rsidRDefault="009947AD" w:rsidP="009947AD">
      <w:pPr>
        <w:spacing w:line="240" w:lineRule="auto"/>
        <w:rPr>
          <w:lang w:val="en-GB" w:eastAsia="en-CA"/>
        </w:rPr>
      </w:pPr>
      <w:r w:rsidRPr="001B10CA">
        <w:rPr>
          <w:lang w:val="en-GB" w:eastAsia="en-CA"/>
        </w:rPr>
        <w:t>Lundbeck Australia Pty Limited</w:t>
      </w:r>
      <w:r w:rsidRPr="001B10CA">
        <w:rPr>
          <w:lang w:val="en-GB" w:eastAsia="en-CA"/>
        </w:rPr>
        <w:br/>
        <w:t>1 Innovation Road</w:t>
      </w:r>
      <w:r w:rsidRPr="001B10CA">
        <w:rPr>
          <w:lang w:val="en-GB" w:eastAsia="en-CA"/>
        </w:rPr>
        <w:br/>
        <w:t>North Ryde NSW 2113</w:t>
      </w:r>
      <w:r>
        <w:rPr>
          <w:lang w:val="en-GB" w:eastAsia="en-CA"/>
        </w:rPr>
        <w:br/>
      </w:r>
      <w:r w:rsidRPr="00D353F8">
        <w:rPr>
          <w:lang w:val="en-GB" w:eastAsia="en-CA"/>
        </w:rPr>
        <w:t xml:space="preserve">Ph: </w:t>
      </w:r>
      <w:r>
        <w:rPr>
          <w:lang w:val="en-GB" w:eastAsia="en-CA"/>
        </w:rPr>
        <w:t>0</w:t>
      </w:r>
      <w:r w:rsidRPr="00D353F8">
        <w:rPr>
          <w:lang w:val="en-GB" w:eastAsia="en-CA"/>
        </w:rPr>
        <w:t>2 8669 1000</w:t>
      </w:r>
    </w:p>
    <w:p w14:paraId="3D7E30E3" w14:textId="77777777" w:rsidR="00051282" w:rsidRDefault="00285173" w:rsidP="00285173">
      <w:pPr>
        <w:pStyle w:val="Heading1"/>
        <w:spacing w:before="0" w:after="120"/>
        <w:rPr>
          <w:lang w:val="en-US"/>
        </w:rPr>
      </w:pPr>
      <w:r w:rsidRPr="007D497E">
        <w:rPr>
          <w:lang w:val="en-US"/>
        </w:rPr>
        <w:t xml:space="preserve">Date of first </w:t>
      </w:r>
      <w:r>
        <w:rPr>
          <w:lang w:val="en-US"/>
        </w:rPr>
        <w:t xml:space="preserve">approval </w:t>
      </w:r>
    </w:p>
    <w:p w14:paraId="470664A9" w14:textId="5D9EBDA2" w:rsidR="00C5172D" w:rsidRDefault="00434F44" w:rsidP="00051282">
      <w:pPr>
        <w:rPr>
          <w:lang w:val="en-US"/>
        </w:rPr>
      </w:pPr>
      <w:r>
        <w:rPr>
          <w:lang w:val="en-US"/>
        </w:rPr>
        <w:t>16</w:t>
      </w:r>
      <w:r w:rsidRPr="00434F44">
        <w:rPr>
          <w:vertAlign w:val="superscript"/>
          <w:lang w:val="en-US"/>
        </w:rPr>
        <w:t>th</w:t>
      </w:r>
      <w:r>
        <w:rPr>
          <w:lang w:val="en-US"/>
        </w:rPr>
        <w:t xml:space="preserve"> June 2021</w:t>
      </w:r>
    </w:p>
    <w:p w14:paraId="1AF900C1" w14:textId="34273397" w:rsidR="00285173" w:rsidRDefault="00C5172D" w:rsidP="00051282">
      <w:pPr>
        <w:rPr>
          <w:lang w:val="en-US"/>
        </w:rPr>
      </w:pPr>
      <w:r>
        <w:rPr>
          <w:lang w:val="en-US"/>
        </w:rPr>
        <w:br w:type="page"/>
      </w:r>
    </w:p>
    <w:p w14:paraId="5B507E89" w14:textId="7B1EB9B1" w:rsidR="00285173" w:rsidRDefault="00285173" w:rsidP="00285173">
      <w:pPr>
        <w:pStyle w:val="Heading1"/>
        <w:spacing w:before="0" w:after="120"/>
        <w:rPr>
          <w:lang w:val="en-US"/>
        </w:rPr>
      </w:pPr>
      <w:r>
        <w:rPr>
          <w:lang w:val="en-US"/>
        </w:rPr>
        <w:lastRenderedPageBreak/>
        <w:t>Date of revision</w:t>
      </w:r>
    </w:p>
    <w:p w14:paraId="3A133120" w14:textId="77777777" w:rsidR="00285173" w:rsidRDefault="00285173" w:rsidP="00285173">
      <w:pPr>
        <w:pStyle w:val="Heading2"/>
        <w:numPr>
          <w:ilvl w:val="0"/>
          <w:numId w:val="0"/>
        </w:numPr>
        <w:spacing w:before="0" w:after="120"/>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285173" w14:paraId="07EEAB67" w14:textId="77777777" w:rsidTr="00DB5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0D506CEC" w14:textId="77777777" w:rsidR="00285173" w:rsidRPr="002E277D" w:rsidRDefault="00285173" w:rsidP="00DB528B">
            <w:pPr>
              <w:rPr>
                <w:sz w:val="20"/>
                <w:lang w:val="en-US"/>
              </w:rPr>
            </w:pPr>
            <w:r w:rsidRPr="002E277D">
              <w:rPr>
                <w:sz w:val="20"/>
                <w:lang w:val="en-US"/>
              </w:rPr>
              <w:t>Section Changed</w:t>
            </w:r>
          </w:p>
        </w:tc>
        <w:tc>
          <w:tcPr>
            <w:tcW w:w="7858" w:type="dxa"/>
            <w:shd w:val="clear" w:color="auto" w:fill="F2F2F2" w:themeFill="background1" w:themeFillShade="F2"/>
            <w:vAlign w:val="center"/>
          </w:tcPr>
          <w:p w14:paraId="616F5A79" w14:textId="77777777" w:rsidR="00285173" w:rsidRPr="002E277D" w:rsidRDefault="00285173" w:rsidP="00DB528B">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285173" w14:paraId="5B37FA18" w14:textId="77777777" w:rsidTr="00DB528B">
        <w:tc>
          <w:tcPr>
            <w:cnfStyle w:val="001000000000" w:firstRow="0" w:lastRow="0" w:firstColumn="1" w:lastColumn="0" w:oddVBand="0" w:evenVBand="0" w:oddHBand="0" w:evenHBand="0" w:firstRowFirstColumn="0" w:firstRowLastColumn="0" w:lastRowFirstColumn="0" w:lastRowLastColumn="0"/>
            <w:tcW w:w="1384" w:type="dxa"/>
            <w:vAlign w:val="center"/>
          </w:tcPr>
          <w:p w14:paraId="6A3240EB" w14:textId="77777777" w:rsidR="00285173" w:rsidRDefault="00285173" w:rsidP="00DB528B">
            <w:pPr>
              <w:rPr>
                <w:lang w:val="en-US"/>
              </w:rPr>
            </w:pPr>
          </w:p>
        </w:tc>
        <w:tc>
          <w:tcPr>
            <w:tcW w:w="7858" w:type="dxa"/>
            <w:vAlign w:val="center"/>
          </w:tcPr>
          <w:p w14:paraId="24F1618C" w14:textId="77777777" w:rsidR="00285173" w:rsidRDefault="00285173" w:rsidP="00DB528B">
            <w:pPr>
              <w:cnfStyle w:val="000000000000" w:firstRow="0" w:lastRow="0" w:firstColumn="0" w:lastColumn="0" w:oddVBand="0" w:evenVBand="0" w:oddHBand="0" w:evenHBand="0" w:firstRowFirstColumn="0" w:firstRowLastColumn="0" w:lastRowFirstColumn="0" w:lastRowLastColumn="0"/>
              <w:rPr>
                <w:lang w:val="en-US"/>
              </w:rPr>
            </w:pPr>
          </w:p>
        </w:tc>
      </w:tr>
      <w:tr w:rsidR="00285173" w14:paraId="57BBBC39" w14:textId="77777777" w:rsidTr="00DB528B">
        <w:tc>
          <w:tcPr>
            <w:cnfStyle w:val="001000000000" w:firstRow="0" w:lastRow="0" w:firstColumn="1" w:lastColumn="0" w:oddVBand="0" w:evenVBand="0" w:oddHBand="0" w:evenHBand="0" w:firstRowFirstColumn="0" w:firstRowLastColumn="0" w:lastRowFirstColumn="0" w:lastRowLastColumn="0"/>
            <w:tcW w:w="1384" w:type="dxa"/>
            <w:vAlign w:val="center"/>
          </w:tcPr>
          <w:p w14:paraId="0D825A71" w14:textId="77777777" w:rsidR="00285173" w:rsidRDefault="00285173" w:rsidP="00DB528B">
            <w:pPr>
              <w:rPr>
                <w:lang w:val="en-US"/>
              </w:rPr>
            </w:pPr>
          </w:p>
        </w:tc>
        <w:tc>
          <w:tcPr>
            <w:tcW w:w="7858" w:type="dxa"/>
            <w:vAlign w:val="center"/>
          </w:tcPr>
          <w:p w14:paraId="5CD44DDB" w14:textId="77777777" w:rsidR="00285173" w:rsidRDefault="00285173" w:rsidP="00DB528B">
            <w:pPr>
              <w:cnfStyle w:val="000000000000" w:firstRow="0" w:lastRow="0" w:firstColumn="0" w:lastColumn="0" w:oddVBand="0" w:evenVBand="0" w:oddHBand="0" w:evenHBand="0" w:firstRowFirstColumn="0" w:firstRowLastColumn="0" w:lastRowFirstColumn="0" w:lastRowLastColumn="0"/>
              <w:rPr>
                <w:lang w:val="en-US"/>
              </w:rPr>
            </w:pPr>
          </w:p>
        </w:tc>
      </w:tr>
      <w:tr w:rsidR="00285173" w14:paraId="0624C213" w14:textId="77777777" w:rsidTr="00DB528B">
        <w:tc>
          <w:tcPr>
            <w:cnfStyle w:val="001000000000" w:firstRow="0" w:lastRow="0" w:firstColumn="1" w:lastColumn="0" w:oddVBand="0" w:evenVBand="0" w:oddHBand="0" w:evenHBand="0" w:firstRowFirstColumn="0" w:firstRowLastColumn="0" w:lastRowFirstColumn="0" w:lastRowLastColumn="0"/>
            <w:tcW w:w="1384" w:type="dxa"/>
            <w:vAlign w:val="center"/>
          </w:tcPr>
          <w:p w14:paraId="5830C59A" w14:textId="77777777" w:rsidR="00285173" w:rsidRDefault="00285173" w:rsidP="00DB528B">
            <w:pPr>
              <w:rPr>
                <w:lang w:val="en-US"/>
              </w:rPr>
            </w:pPr>
          </w:p>
        </w:tc>
        <w:tc>
          <w:tcPr>
            <w:tcW w:w="7858" w:type="dxa"/>
            <w:vAlign w:val="center"/>
          </w:tcPr>
          <w:p w14:paraId="62197830" w14:textId="77777777" w:rsidR="00285173" w:rsidRDefault="00285173" w:rsidP="00DB528B">
            <w:pPr>
              <w:cnfStyle w:val="000000000000" w:firstRow="0" w:lastRow="0" w:firstColumn="0" w:lastColumn="0" w:oddVBand="0" w:evenVBand="0" w:oddHBand="0" w:evenHBand="0" w:firstRowFirstColumn="0" w:firstRowLastColumn="0" w:lastRowFirstColumn="0" w:lastRowLastColumn="0"/>
              <w:rPr>
                <w:lang w:val="en-US"/>
              </w:rPr>
            </w:pPr>
          </w:p>
        </w:tc>
      </w:tr>
    </w:tbl>
    <w:p w14:paraId="75292BAE" w14:textId="6B3119A2" w:rsidR="00960CD5" w:rsidRDefault="00960CD5" w:rsidP="00C5172D">
      <w:pPr>
        <w:pStyle w:val="Heading1"/>
        <w:numPr>
          <w:ilvl w:val="0"/>
          <w:numId w:val="0"/>
        </w:numPr>
        <w:spacing w:before="0" w:after="120"/>
      </w:pPr>
    </w:p>
    <w:sectPr w:rsidR="00960CD5" w:rsidSect="00744189">
      <w:headerReference w:type="default" r:id="rId17"/>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8324C" w14:textId="77777777" w:rsidR="007C5ACB" w:rsidRDefault="007C5ACB" w:rsidP="001A3992">
      <w:pPr>
        <w:spacing w:after="0" w:line="240" w:lineRule="auto"/>
      </w:pPr>
      <w:r>
        <w:separator/>
      </w:r>
    </w:p>
  </w:endnote>
  <w:endnote w:type="continuationSeparator" w:id="0">
    <w:p w14:paraId="7823B483" w14:textId="77777777" w:rsidR="007C5ACB" w:rsidRDefault="007C5ACB" w:rsidP="001A3992">
      <w:pPr>
        <w:spacing w:after="0" w:line="240" w:lineRule="auto"/>
      </w:pPr>
      <w:r>
        <w:continuationSeparator/>
      </w:r>
    </w:p>
  </w:endnote>
  <w:endnote w:type="continuationNotice" w:id="1">
    <w:p w14:paraId="45D01CD9" w14:textId="77777777" w:rsidR="007C5ACB" w:rsidRDefault="007C5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noProof/>
        <w:sz w:val="20"/>
      </w:rPr>
    </w:sdtEndPr>
    <w:sdtContent>
      <w:p w14:paraId="7159666C" w14:textId="0F9D592C" w:rsidR="00315D5B" w:rsidRPr="00B8074A" w:rsidRDefault="00315D5B" w:rsidP="00DB528B">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Pr>
            <w:noProof/>
            <w:sz w:val="20"/>
          </w:rPr>
          <w:t>8</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32C1D" w14:textId="77777777" w:rsidR="007C5ACB" w:rsidRDefault="007C5ACB" w:rsidP="001A3992">
      <w:pPr>
        <w:spacing w:after="0" w:line="240" w:lineRule="auto"/>
      </w:pPr>
      <w:r>
        <w:separator/>
      </w:r>
    </w:p>
  </w:footnote>
  <w:footnote w:type="continuationSeparator" w:id="0">
    <w:p w14:paraId="0F6CC437" w14:textId="77777777" w:rsidR="007C5ACB" w:rsidRDefault="007C5ACB" w:rsidP="001A3992">
      <w:pPr>
        <w:spacing w:after="0" w:line="240" w:lineRule="auto"/>
      </w:pPr>
      <w:r>
        <w:continuationSeparator/>
      </w:r>
    </w:p>
  </w:footnote>
  <w:footnote w:type="continuationNotice" w:id="1">
    <w:p w14:paraId="31047D69" w14:textId="77777777" w:rsidR="007C5ACB" w:rsidRDefault="007C5A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shd w:val="clear" w:color="auto" w:fill="E4F2E0"/>
      <w:tblLook w:val="04A0" w:firstRow="1" w:lastRow="0" w:firstColumn="1" w:lastColumn="0" w:noHBand="0" w:noVBand="1"/>
    </w:tblPr>
    <w:tblGrid>
      <w:gridCol w:w="9039"/>
    </w:tblGrid>
    <w:tr w:rsidR="0093587D" w:rsidRPr="000B2145" w14:paraId="76379963" w14:textId="77777777" w:rsidTr="0093587D">
      <w:trPr>
        <w:trHeight w:val="1012"/>
        <w:jc w:val="center"/>
      </w:trPr>
      <w:tc>
        <w:tcPr>
          <w:tcW w:w="9039" w:type="dxa"/>
          <w:shd w:val="clear" w:color="auto" w:fill="E4F2E0"/>
        </w:tcPr>
        <w:p w14:paraId="28D16DA2" w14:textId="77777777" w:rsidR="0093587D" w:rsidRPr="00931FB5" w:rsidRDefault="0093587D" w:rsidP="0093587D">
          <w:pPr>
            <w:pStyle w:val="Footer"/>
            <w:rPr>
              <w:b/>
              <w:sz w:val="18"/>
              <w:szCs w:val="18"/>
            </w:rPr>
          </w:pPr>
          <w:bookmarkStart w:id="18" w:name="_Hlk80611440"/>
          <w:r w:rsidRPr="000E4791">
            <w:rPr>
              <w:b/>
              <w:sz w:val="18"/>
              <w:szCs w:val="18"/>
            </w:rPr>
            <w:t>Attachment 1</w:t>
          </w:r>
          <w:r>
            <w:t xml:space="preserve"> </w:t>
          </w:r>
          <w:r w:rsidRPr="00931FB5">
            <w:rPr>
              <w:b/>
              <w:sz w:val="18"/>
              <w:szCs w:val="18"/>
            </w:rPr>
            <w:t>AusPAR - Vyepti - eptinezumab - Lundbeck Australia Pty Ltd - PM-2020-01823-1-1</w:t>
          </w:r>
        </w:p>
        <w:p w14:paraId="0567B280" w14:textId="77777777" w:rsidR="0093587D" w:rsidRPr="000E4791" w:rsidRDefault="0093587D" w:rsidP="0093587D">
          <w:pPr>
            <w:pStyle w:val="Footer"/>
            <w:rPr>
              <w:b/>
              <w:sz w:val="18"/>
              <w:szCs w:val="18"/>
            </w:rPr>
          </w:pPr>
          <w:r w:rsidRPr="00931FB5">
            <w:rPr>
              <w:b/>
              <w:sz w:val="18"/>
              <w:szCs w:val="18"/>
            </w:rPr>
            <w:t>Final 25 February 2022</w:t>
          </w:r>
          <w:r w:rsidRPr="000E4791">
            <w:rPr>
              <w:b/>
            </w:rPr>
            <w:t>.</w:t>
          </w:r>
          <w:r w:rsidRPr="000E4791">
            <w:rPr>
              <w:b/>
              <w:sz w:val="18"/>
              <w:szCs w:val="18"/>
            </w:rPr>
            <w:t xml:space="preserve"> This is the Product Information that was approved with the submission described in this AusPAR.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8"/>
  </w:tbl>
  <w:p w14:paraId="450AD26F" w14:textId="77777777" w:rsidR="0093587D" w:rsidRDefault="00935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A7C66"/>
    <w:multiLevelType w:val="hybridMultilevel"/>
    <w:tmpl w:val="5A5CD8E8"/>
    <w:lvl w:ilvl="0" w:tplc="E88CE922">
      <w:numFmt w:val="bullet"/>
      <w:lvlText w:val=""/>
      <w:lvlJc w:val="left"/>
      <w:pPr>
        <w:ind w:left="467" w:hanging="360"/>
      </w:pPr>
      <w:rPr>
        <w:rFonts w:ascii="Symbol" w:eastAsia="Symbol" w:hAnsi="Symbol" w:cs="Symbol" w:hint="default"/>
        <w:w w:val="99"/>
        <w:sz w:val="20"/>
        <w:szCs w:val="20"/>
      </w:rPr>
    </w:lvl>
    <w:lvl w:ilvl="1" w:tplc="560EB7B4">
      <w:numFmt w:val="bullet"/>
      <w:lvlText w:val="•"/>
      <w:lvlJc w:val="left"/>
      <w:pPr>
        <w:ind w:left="2080" w:hanging="360"/>
      </w:pPr>
      <w:rPr>
        <w:rFonts w:hint="default"/>
      </w:rPr>
    </w:lvl>
    <w:lvl w:ilvl="2" w:tplc="13946832">
      <w:numFmt w:val="bullet"/>
      <w:lvlText w:val="•"/>
      <w:lvlJc w:val="left"/>
      <w:pPr>
        <w:ind w:left="3036" w:hanging="360"/>
      </w:pPr>
      <w:rPr>
        <w:rFonts w:hint="default"/>
      </w:rPr>
    </w:lvl>
    <w:lvl w:ilvl="3" w:tplc="D97A96E6">
      <w:numFmt w:val="bullet"/>
      <w:lvlText w:val="•"/>
      <w:lvlJc w:val="left"/>
      <w:pPr>
        <w:ind w:left="3993" w:hanging="360"/>
      </w:pPr>
      <w:rPr>
        <w:rFonts w:hint="default"/>
      </w:rPr>
    </w:lvl>
    <w:lvl w:ilvl="4" w:tplc="5B343FB4">
      <w:numFmt w:val="bullet"/>
      <w:lvlText w:val="•"/>
      <w:lvlJc w:val="left"/>
      <w:pPr>
        <w:ind w:left="4949" w:hanging="360"/>
      </w:pPr>
      <w:rPr>
        <w:rFonts w:hint="default"/>
      </w:rPr>
    </w:lvl>
    <w:lvl w:ilvl="5" w:tplc="69566EBC">
      <w:numFmt w:val="bullet"/>
      <w:lvlText w:val="•"/>
      <w:lvlJc w:val="left"/>
      <w:pPr>
        <w:ind w:left="5906" w:hanging="360"/>
      </w:pPr>
      <w:rPr>
        <w:rFonts w:hint="default"/>
      </w:rPr>
    </w:lvl>
    <w:lvl w:ilvl="6" w:tplc="AD92508E">
      <w:numFmt w:val="bullet"/>
      <w:lvlText w:val="•"/>
      <w:lvlJc w:val="left"/>
      <w:pPr>
        <w:ind w:left="6862" w:hanging="360"/>
      </w:pPr>
      <w:rPr>
        <w:rFonts w:hint="default"/>
      </w:rPr>
    </w:lvl>
    <w:lvl w:ilvl="7" w:tplc="E55EDDB0">
      <w:numFmt w:val="bullet"/>
      <w:lvlText w:val="•"/>
      <w:lvlJc w:val="left"/>
      <w:pPr>
        <w:ind w:left="7819" w:hanging="360"/>
      </w:pPr>
      <w:rPr>
        <w:rFonts w:hint="default"/>
      </w:rPr>
    </w:lvl>
    <w:lvl w:ilvl="8" w:tplc="6CCE7FEE">
      <w:numFmt w:val="bullet"/>
      <w:lvlText w:val="•"/>
      <w:lvlJc w:val="left"/>
      <w:pPr>
        <w:ind w:left="8775" w:hanging="360"/>
      </w:pPr>
      <w:rPr>
        <w:rFont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253608"/>
    <w:multiLevelType w:val="hybridMultilevel"/>
    <w:tmpl w:val="1744E7B0"/>
    <w:lvl w:ilvl="0" w:tplc="F724D148">
      <w:numFmt w:val="bullet"/>
      <w:lvlText w:val=""/>
      <w:lvlJc w:val="left"/>
      <w:pPr>
        <w:ind w:left="467" w:hanging="360"/>
      </w:pPr>
      <w:rPr>
        <w:rFonts w:ascii="Symbol" w:eastAsia="Symbol" w:hAnsi="Symbol" w:cs="Symbol" w:hint="default"/>
        <w:w w:val="99"/>
        <w:sz w:val="20"/>
        <w:szCs w:val="20"/>
      </w:rPr>
    </w:lvl>
    <w:lvl w:ilvl="1" w:tplc="67D84092">
      <w:numFmt w:val="bullet"/>
      <w:lvlText w:val="•"/>
      <w:lvlJc w:val="left"/>
      <w:pPr>
        <w:ind w:left="2080" w:hanging="360"/>
      </w:pPr>
      <w:rPr>
        <w:rFonts w:hint="default"/>
      </w:rPr>
    </w:lvl>
    <w:lvl w:ilvl="2" w:tplc="81F4EFF8">
      <w:numFmt w:val="bullet"/>
      <w:lvlText w:val="•"/>
      <w:lvlJc w:val="left"/>
      <w:pPr>
        <w:ind w:left="3036" w:hanging="360"/>
      </w:pPr>
      <w:rPr>
        <w:rFonts w:hint="default"/>
      </w:rPr>
    </w:lvl>
    <w:lvl w:ilvl="3" w:tplc="8EC4960E">
      <w:numFmt w:val="bullet"/>
      <w:lvlText w:val="•"/>
      <w:lvlJc w:val="left"/>
      <w:pPr>
        <w:ind w:left="3993" w:hanging="360"/>
      </w:pPr>
      <w:rPr>
        <w:rFonts w:hint="default"/>
      </w:rPr>
    </w:lvl>
    <w:lvl w:ilvl="4" w:tplc="3280A834">
      <w:numFmt w:val="bullet"/>
      <w:lvlText w:val="•"/>
      <w:lvlJc w:val="left"/>
      <w:pPr>
        <w:ind w:left="4949" w:hanging="360"/>
      </w:pPr>
      <w:rPr>
        <w:rFonts w:hint="default"/>
      </w:rPr>
    </w:lvl>
    <w:lvl w:ilvl="5" w:tplc="523AE166">
      <w:numFmt w:val="bullet"/>
      <w:lvlText w:val="•"/>
      <w:lvlJc w:val="left"/>
      <w:pPr>
        <w:ind w:left="5906" w:hanging="360"/>
      </w:pPr>
      <w:rPr>
        <w:rFonts w:hint="default"/>
      </w:rPr>
    </w:lvl>
    <w:lvl w:ilvl="6" w:tplc="A94E9EEE">
      <w:numFmt w:val="bullet"/>
      <w:lvlText w:val="•"/>
      <w:lvlJc w:val="left"/>
      <w:pPr>
        <w:ind w:left="6862" w:hanging="360"/>
      </w:pPr>
      <w:rPr>
        <w:rFonts w:hint="default"/>
      </w:rPr>
    </w:lvl>
    <w:lvl w:ilvl="7" w:tplc="91B68612">
      <w:numFmt w:val="bullet"/>
      <w:lvlText w:val="•"/>
      <w:lvlJc w:val="left"/>
      <w:pPr>
        <w:ind w:left="7819" w:hanging="360"/>
      </w:pPr>
      <w:rPr>
        <w:rFonts w:hint="default"/>
      </w:rPr>
    </w:lvl>
    <w:lvl w:ilvl="8" w:tplc="D40448C2">
      <w:numFmt w:val="bullet"/>
      <w:lvlText w:val="•"/>
      <w:lvlJc w:val="left"/>
      <w:pPr>
        <w:ind w:left="8775" w:hanging="360"/>
      </w:pPr>
      <w:rPr>
        <w:rFonts w:hint="default"/>
      </w:rPr>
    </w:lvl>
  </w:abstractNum>
  <w:abstractNum w:abstractNumId="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4688"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EE27B8"/>
    <w:multiLevelType w:val="hybridMultilevel"/>
    <w:tmpl w:val="D2744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5"/>
  </w:num>
  <w:num w:numId="5">
    <w:abstractNumId w:val="12"/>
  </w:num>
  <w:num w:numId="6">
    <w:abstractNumId w:val="9"/>
  </w:num>
  <w:num w:numId="7">
    <w:abstractNumId w:val="7"/>
  </w:num>
  <w:num w:numId="8">
    <w:abstractNumId w:val="10"/>
  </w:num>
  <w:num w:numId="9">
    <w:abstractNumId w:val="3"/>
  </w:num>
  <w:num w:numId="10">
    <w:abstractNumId w:val="6"/>
  </w:num>
  <w:num w:numId="11">
    <w:abstractNumId w:val="4"/>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7A"/>
    <w:rsid w:val="00000EC0"/>
    <w:rsid w:val="00002723"/>
    <w:rsid w:val="0000588E"/>
    <w:rsid w:val="00013B62"/>
    <w:rsid w:val="00015879"/>
    <w:rsid w:val="00021DD9"/>
    <w:rsid w:val="00025079"/>
    <w:rsid w:val="0002545D"/>
    <w:rsid w:val="000254B9"/>
    <w:rsid w:val="00027412"/>
    <w:rsid w:val="00031DB0"/>
    <w:rsid w:val="00032052"/>
    <w:rsid w:val="00034BB9"/>
    <w:rsid w:val="0003519C"/>
    <w:rsid w:val="000374CB"/>
    <w:rsid w:val="00041689"/>
    <w:rsid w:val="000417F3"/>
    <w:rsid w:val="00042302"/>
    <w:rsid w:val="000427D1"/>
    <w:rsid w:val="00042A2F"/>
    <w:rsid w:val="0004380C"/>
    <w:rsid w:val="00043AD8"/>
    <w:rsid w:val="000508BF"/>
    <w:rsid w:val="00051282"/>
    <w:rsid w:val="0005135D"/>
    <w:rsid w:val="000516AE"/>
    <w:rsid w:val="00054F6D"/>
    <w:rsid w:val="00056450"/>
    <w:rsid w:val="00057BDB"/>
    <w:rsid w:val="00060AA0"/>
    <w:rsid w:val="0006120B"/>
    <w:rsid w:val="00065A6E"/>
    <w:rsid w:val="00066790"/>
    <w:rsid w:val="0006688A"/>
    <w:rsid w:val="00067BB4"/>
    <w:rsid w:val="00085A9A"/>
    <w:rsid w:val="00085D07"/>
    <w:rsid w:val="00086DFD"/>
    <w:rsid w:val="000876B2"/>
    <w:rsid w:val="00091400"/>
    <w:rsid w:val="00091D59"/>
    <w:rsid w:val="00092EC9"/>
    <w:rsid w:val="00094089"/>
    <w:rsid w:val="00096BCA"/>
    <w:rsid w:val="000A0F5B"/>
    <w:rsid w:val="000A24B4"/>
    <w:rsid w:val="000A693A"/>
    <w:rsid w:val="000B4A7E"/>
    <w:rsid w:val="000B54DE"/>
    <w:rsid w:val="000B6CF4"/>
    <w:rsid w:val="000C1BDB"/>
    <w:rsid w:val="000C3D69"/>
    <w:rsid w:val="000C4C38"/>
    <w:rsid w:val="000C5D00"/>
    <w:rsid w:val="000C7D42"/>
    <w:rsid w:val="000D1698"/>
    <w:rsid w:val="000D1FA9"/>
    <w:rsid w:val="000D23E0"/>
    <w:rsid w:val="000D259E"/>
    <w:rsid w:val="000D454A"/>
    <w:rsid w:val="000D73BD"/>
    <w:rsid w:val="000E01FC"/>
    <w:rsid w:val="000E2A94"/>
    <w:rsid w:val="000E7510"/>
    <w:rsid w:val="000E7D68"/>
    <w:rsid w:val="000F1599"/>
    <w:rsid w:val="000F5B13"/>
    <w:rsid w:val="000F6A94"/>
    <w:rsid w:val="001002EB"/>
    <w:rsid w:val="00100CD4"/>
    <w:rsid w:val="00101B59"/>
    <w:rsid w:val="001022B7"/>
    <w:rsid w:val="00103D5D"/>
    <w:rsid w:val="001053F4"/>
    <w:rsid w:val="00105B27"/>
    <w:rsid w:val="00111A5B"/>
    <w:rsid w:val="00113245"/>
    <w:rsid w:val="001213EB"/>
    <w:rsid w:val="001229E0"/>
    <w:rsid w:val="00123F6E"/>
    <w:rsid w:val="001420A8"/>
    <w:rsid w:val="00142AAA"/>
    <w:rsid w:val="00154BE2"/>
    <w:rsid w:val="00154CF7"/>
    <w:rsid w:val="00160CE3"/>
    <w:rsid w:val="00162B76"/>
    <w:rsid w:val="00163B83"/>
    <w:rsid w:val="001643E7"/>
    <w:rsid w:val="00164B4E"/>
    <w:rsid w:val="001668FF"/>
    <w:rsid w:val="00170516"/>
    <w:rsid w:val="0017731C"/>
    <w:rsid w:val="00177A3F"/>
    <w:rsid w:val="00181D6C"/>
    <w:rsid w:val="001825A4"/>
    <w:rsid w:val="0018276D"/>
    <w:rsid w:val="00186002"/>
    <w:rsid w:val="00195EBE"/>
    <w:rsid w:val="00196D58"/>
    <w:rsid w:val="001A3471"/>
    <w:rsid w:val="001A3992"/>
    <w:rsid w:val="001A7BC4"/>
    <w:rsid w:val="001B0582"/>
    <w:rsid w:val="001B3871"/>
    <w:rsid w:val="001B3BD9"/>
    <w:rsid w:val="001B4B61"/>
    <w:rsid w:val="001B6870"/>
    <w:rsid w:val="001C070A"/>
    <w:rsid w:val="001C2C67"/>
    <w:rsid w:val="001C53D3"/>
    <w:rsid w:val="001D069D"/>
    <w:rsid w:val="001D0806"/>
    <w:rsid w:val="001D14BC"/>
    <w:rsid w:val="001D6CE9"/>
    <w:rsid w:val="001E6FD8"/>
    <w:rsid w:val="00200241"/>
    <w:rsid w:val="002101AD"/>
    <w:rsid w:val="00210736"/>
    <w:rsid w:val="0021200F"/>
    <w:rsid w:val="002157B0"/>
    <w:rsid w:val="002201F0"/>
    <w:rsid w:val="00223D6D"/>
    <w:rsid w:val="00225BD4"/>
    <w:rsid w:val="00225E92"/>
    <w:rsid w:val="00234A93"/>
    <w:rsid w:val="00240019"/>
    <w:rsid w:val="0024105F"/>
    <w:rsid w:val="00245BFB"/>
    <w:rsid w:val="00250EDB"/>
    <w:rsid w:val="002531AB"/>
    <w:rsid w:val="00257033"/>
    <w:rsid w:val="00257757"/>
    <w:rsid w:val="002642B0"/>
    <w:rsid w:val="002646FB"/>
    <w:rsid w:val="00265DA2"/>
    <w:rsid w:val="002755D7"/>
    <w:rsid w:val="00280953"/>
    <w:rsid w:val="002839C2"/>
    <w:rsid w:val="002844DE"/>
    <w:rsid w:val="00285173"/>
    <w:rsid w:val="002859BB"/>
    <w:rsid w:val="0028610C"/>
    <w:rsid w:val="002861B8"/>
    <w:rsid w:val="002865AA"/>
    <w:rsid w:val="002869BF"/>
    <w:rsid w:val="00290877"/>
    <w:rsid w:val="00292BD4"/>
    <w:rsid w:val="00292CCD"/>
    <w:rsid w:val="00293460"/>
    <w:rsid w:val="0029428D"/>
    <w:rsid w:val="0029600B"/>
    <w:rsid w:val="002962B2"/>
    <w:rsid w:val="002A040F"/>
    <w:rsid w:val="002A098C"/>
    <w:rsid w:val="002A106C"/>
    <w:rsid w:val="002A284F"/>
    <w:rsid w:val="002A43BF"/>
    <w:rsid w:val="002A59AF"/>
    <w:rsid w:val="002B0C3A"/>
    <w:rsid w:val="002B2C98"/>
    <w:rsid w:val="002B4C34"/>
    <w:rsid w:val="002C629C"/>
    <w:rsid w:val="002D140A"/>
    <w:rsid w:val="002D4563"/>
    <w:rsid w:val="002D50D7"/>
    <w:rsid w:val="002E277D"/>
    <w:rsid w:val="002E51C5"/>
    <w:rsid w:val="002E53A2"/>
    <w:rsid w:val="002E6C34"/>
    <w:rsid w:val="002F5B01"/>
    <w:rsid w:val="00306355"/>
    <w:rsid w:val="00307493"/>
    <w:rsid w:val="003102C0"/>
    <w:rsid w:val="00311828"/>
    <w:rsid w:val="00315D5B"/>
    <w:rsid w:val="0032626B"/>
    <w:rsid w:val="00326920"/>
    <w:rsid w:val="0033133F"/>
    <w:rsid w:val="00334D2F"/>
    <w:rsid w:val="00335F45"/>
    <w:rsid w:val="00350984"/>
    <w:rsid w:val="003513DC"/>
    <w:rsid w:val="003515CE"/>
    <w:rsid w:val="00351E5D"/>
    <w:rsid w:val="0036486A"/>
    <w:rsid w:val="0036690D"/>
    <w:rsid w:val="00375191"/>
    <w:rsid w:val="00375DF3"/>
    <w:rsid w:val="00380052"/>
    <w:rsid w:val="00381764"/>
    <w:rsid w:val="00382B02"/>
    <w:rsid w:val="00382F32"/>
    <w:rsid w:val="003851B0"/>
    <w:rsid w:val="0038602D"/>
    <w:rsid w:val="0039012E"/>
    <w:rsid w:val="00394C7C"/>
    <w:rsid w:val="003954A4"/>
    <w:rsid w:val="00395FB1"/>
    <w:rsid w:val="003A0BB4"/>
    <w:rsid w:val="003A4515"/>
    <w:rsid w:val="003A5441"/>
    <w:rsid w:val="003A7E7A"/>
    <w:rsid w:val="003B13F5"/>
    <w:rsid w:val="003B2830"/>
    <w:rsid w:val="003B3E91"/>
    <w:rsid w:val="003B5C0A"/>
    <w:rsid w:val="003B74C1"/>
    <w:rsid w:val="003B7991"/>
    <w:rsid w:val="003C114C"/>
    <w:rsid w:val="003C2056"/>
    <w:rsid w:val="003C2E6A"/>
    <w:rsid w:val="003D1799"/>
    <w:rsid w:val="003D3A9C"/>
    <w:rsid w:val="003D66FE"/>
    <w:rsid w:val="003E1263"/>
    <w:rsid w:val="003F066F"/>
    <w:rsid w:val="003F40AC"/>
    <w:rsid w:val="003F4CC2"/>
    <w:rsid w:val="003F787A"/>
    <w:rsid w:val="00400BB6"/>
    <w:rsid w:val="00402852"/>
    <w:rsid w:val="00402991"/>
    <w:rsid w:val="00413484"/>
    <w:rsid w:val="004139AA"/>
    <w:rsid w:val="00416460"/>
    <w:rsid w:val="00416572"/>
    <w:rsid w:val="00417D19"/>
    <w:rsid w:val="00420838"/>
    <w:rsid w:val="004226CD"/>
    <w:rsid w:val="004233DE"/>
    <w:rsid w:val="0042562B"/>
    <w:rsid w:val="00431ACD"/>
    <w:rsid w:val="00433CF6"/>
    <w:rsid w:val="00434F44"/>
    <w:rsid w:val="00435058"/>
    <w:rsid w:val="00436889"/>
    <w:rsid w:val="00440E58"/>
    <w:rsid w:val="00443029"/>
    <w:rsid w:val="00451180"/>
    <w:rsid w:val="00455726"/>
    <w:rsid w:val="00461346"/>
    <w:rsid w:val="004617FB"/>
    <w:rsid w:val="00462013"/>
    <w:rsid w:val="00462EAB"/>
    <w:rsid w:val="00471A41"/>
    <w:rsid w:val="0047740F"/>
    <w:rsid w:val="0048190F"/>
    <w:rsid w:val="00483640"/>
    <w:rsid w:val="0048370A"/>
    <w:rsid w:val="00484172"/>
    <w:rsid w:val="00485660"/>
    <w:rsid w:val="0048762A"/>
    <w:rsid w:val="00491AB1"/>
    <w:rsid w:val="0049516F"/>
    <w:rsid w:val="004A39D4"/>
    <w:rsid w:val="004A4373"/>
    <w:rsid w:val="004B078B"/>
    <w:rsid w:val="004B2B16"/>
    <w:rsid w:val="004B6B19"/>
    <w:rsid w:val="004B770E"/>
    <w:rsid w:val="004C297B"/>
    <w:rsid w:val="004C6D37"/>
    <w:rsid w:val="004C75E9"/>
    <w:rsid w:val="004D0D29"/>
    <w:rsid w:val="004D158B"/>
    <w:rsid w:val="004D50BE"/>
    <w:rsid w:val="004D633C"/>
    <w:rsid w:val="004D66E8"/>
    <w:rsid w:val="004D7644"/>
    <w:rsid w:val="004D796C"/>
    <w:rsid w:val="004D7D9C"/>
    <w:rsid w:val="004E1D74"/>
    <w:rsid w:val="004E2851"/>
    <w:rsid w:val="004F0B59"/>
    <w:rsid w:val="004F1058"/>
    <w:rsid w:val="004F11A5"/>
    <w:rsid w:val="00504D3E"/>
    <w:rsid w:val="00505173"/>
    <w:rsid w:val="005070A2"/>
    <w:rsid w:val="00511E8B"/>
    <w:rsid w:val="005123F6"/>
    <w:rsid w:val="0051690C"/>
    <w:rsid w:val="00525320"/>
    <w:rsid w:val="00526A3E"/>
    <w:rsid w:val="00532E20"/>
    <w:rsid w:val="00533304"/>
    <w:rsid w:val="0053450C"/>
    <w:rsid w:val="00534995"/>
    <w:rsid w:val="005414FE"/>
    <w:rsid w:val="00543FC5"/>
    <w:rsid w:val="00552DC7"/>
    <w:rsid w:val="00552EDD"/>
    <w:rsid w:val="005570F3"/>
    <w:rsid w:val="0056071B"/>
    <w:rsid w:val="00563404"/>
    <w:rsid w:val="0057267C"/>
    <w:rsid w:val="00572775"/>
    <w:rsid w:val="00574E47"/>
    <w:rsid w:val="00574F2B"/>
    <w:rsid w:val="00580903"/>
    <w:rsid w:val="00580D5F"/>
    <w:rsid w:val="005820D2"/>
    <w:rsid w:val="0058307F"/>
    <w:rsid w:val="00586B42"/>
    <w:rsid w:val="00590DBF"/>
    <w:rsid w:val="00591C7D"/>
    <w:rsid w:val="00593C40"/>
    <w:rsid w:val="00594189"/>
    <w:rsid w:val="00595B4F"/>
    <w:rsid w:val="005A1A08"/>
    <w:rsid w:val="005A1E54"/>
    <w:rsid w:val="005A28A5"/>
    <w:rsid w:val="005A323E"/>
    <w:rsid w:val="005A405F"/>
    <w:rsid w:val="005B1243"/>
    <w:rsid w:val="005B1B6B"/>
    <w:rsid w:val="005B2812"/>
    <w:rsid w:val="005B29CC"/>
    <w:rsid w:val="005B2BF5"/>
    <w:rsid w:val="005B330B"/>
    <w:rsid w:val="005B681E"/>
    <w:rsid w:val="005C2582"/>
    <w:rsid w:val="005C62A4"/>
    <w:rsid w:val="005C66F8"/>
    <w:rsid w:val="005D4EBF"/>
    <w:rsid w:val="005E0EDF"/>
    <w:rsid w:val="005E3A27"/>
    <w:rsid w:val="005E3AD1"/>
    <w:rsid w:val="005F6348"/>
    <w:rsid w:val="006018AE"/>
    <w:rsid w:val="0060344D"/>
    <w:rsid w:val="0061285C"/>
    <w:rsid w:val="00612DC3"/>
    <w:rsid w:val="00613EDE"/>
    <w:rsid w:val="0061588E"/>
    <w:rsid w:val="00616627"/>
    <w:rsid w:val="00616721"/>
    <w:rsid w:val="0061721C"/>
    <w:rsid w:val="00617B7E"/>
    <w:rsid w:val="0062024D"/>
    <w:rsid w:val="00625CD2"/>
    <w:rsid w:val="00631FE4"/>
    <w:rsid w:val="00633BC5"/>
    <w:rsid w:val="00634354"/>
    <w:rsid w:val="00637277"/>
    <w:rsid w:val="006375C8"/>
    <w:rsid w:val="00643731"/>
    <w:rsid w:val="0064462E"/>
    <w:rsid w:val="00645A5E"/>
    <w:rsid w:val="00650B46"/>
    <w:rsid w:val="00652954"/>
    <w:rsid w:val="0065406B"/>
    <w:rsid w:val="00655E4E"/>
    <w:rsid w:val="006562CB"/>
    <w:rsid w:val="00656A11"/>
    <w:rsid w:val="00657FEC"/>
    <w:rsid w:val="00660B3A"/>
    <w:rsid w:val="006633AC"/>
    <w:rsid w:val="00664890"/>
    <w:rsid w:val="006670FD"/>
    <w:rsid w:val="00673772"/>
    <w:rsid w:val="006744B0"/>
    <w:rsid w:val="00676440"/>
    <w:rsid w:val="00677425"/>
    <w:rsid w:val="00683AC9"/>
    <w:rsid w:val="00687893"/>
    <w:rsid w:val="006907CE"/>
    <w:rsid w:val="0069235E"/>
    <w:rsid w:val="006931FF"/>
    <w:rsid w:val="00693517"/>
    <w:rsid w:val="0069581C"/>
    <w:rsid w:val="00697F56"/>
    <w:rsid w:val="006A0F3C"/>
    <w:rsid w:val="006A3A53"/>
    <w:rsid w:val="006A4263"/>
    <w:rsid w:val="006A5DA6"/>
    <w:rsid w:val="006A78E1"/>
    <w:rsid w:val="006B0681"/>
    <w:rsid w:val="006B621F"/>
    <w:rsid w:val="006B6F55"/>
    <w:rsid w:val="006B793F"/>
    <w:rsid w:val="006C3171"/>
    <w:rsid w:val="006C4901"/>
    <w:rsid w:val="006C551F"/>
    <w:rsid w:val="006C5558"/>
    <w:rsid w:val="006D1223"/>
    <w:rsid w:val="006D4B00"/>
    <w:rsid w:val="006E3734"/>
    <w:rsid w:val="006E4870"/>
    <w:rsid w:val="006E6031"/>
    <w:rsid w:val="006F0633"/>
    <w:rsid w:val="006F0F62"/>
    <w:rsid w:val="006F353B"/>
    <w:rsid w:val="006F3C3B"/>
    <w:rsid w:val="006F6001"/>
    <w:rsid w:val="006F6C44"/>
    <w:rsid w:val="006F7B8B"/>
    <w:rsid w:val="00701E49"/>
    <w:rsid w:val="0070302F"/>
    <w:rsid w:val="00707C28"/>
    <w:rsid w:val="00713778"/>
    <w:rsid w:val="0071590F"/>
    <w:rsid w:val="00721F3A"/>
    <w:rsid w:val="007223C6"/>
    <w:rsid w:val="007233A4"/>
    <w:rsid w:val="0072635C"/>
    <w:rsid w:val="00726C98"/>
    <w:rsid w:val="00734720"/>
    <w:rsid w:val="00740785"/>
    <w:rsid w:val="00740C6A"/>
    <w:rsid w:val="00742C37"/>
    <w:rsid w:val="0074356A"/>
    <w:rsid w:val="00744028"/>
    <w:rsid w:val="00744189"/>
    <w:rsid w:val="00744622"/>
    <w:rsid w:val="00746C19"/>
    <w:rsid w:val="00750254"/>
    <w:rsid w:val="007514B3"/>
    <w:rsid w:val="007524A6"/>
    <w:rsid w:val="00753AAE"/>
    <w:rsid w:val="00757CF6"/>
    <w:rsid w:val="00757F2B"/>
    <w:rsid w:val="0076606B"/>
    <w:rsid w:val="00771A9B"/>
    <w:rsid w:val="0077224A"/>
    <w:rsid w:val="00773216"/>
    <w:rsid w:val="00773E06"/>
    <w:rsid w:val="00775117"/>
    <w:rsid w:val="00775991"/>
    <w:rsid w:val="0078176B"/>
    <w:rsid w:val="00781D10"/>
    <w:rsid w:val="0078407B"/>
    <w:rsid w:val="00790AB6"/>
    <w:rsid w:val="007910AA"/>
    <w:rsid w:val="0079160B"/>
    <w:rsid w:val="00791BF9"/>
    <w:rsid w:val="00792A95"/>
    <w:rsid w:val="00793A3F"/>
    <w:rsid w:val="007A137D"/>
    <w:rsid w:val="007A2DB9"/>
    <w:rsid w:val="007B1108"/>
    <w:rsid w:val="007B472A"/>
    <w:rsid w:val="007B4B81"/>
    <w:rsid w:val="007B5B1D"/>
    <w:rsid w:val="007C339E"/>
    <w:rsid w:val="007C5469"/>
    <w:rsid w:val="007C552E"/>
    <w:rsid w:val="007C5ACB"/>
    <w:rsid w:val="007C5CF7"/>
    <w:rsid w:val="007C66C8"/>
    <w:rsid w:val="007D1903"/>
    <w:rsid w:val="007D2008"/>
    <w:rsid w:val="007D22C1"/>
    <w:rsid w:val="007D254C"/>
    <w:rsid w:val="007D3686"/>
    <w:rsid w:val="007F15A5"/>
    <w:rsid w:val="007F3476"/>
    <w:rsid w:val="007F656C"/>
    <w:rsid w:val="00802295"/>
    <w:rsid w:val="008077E3"/>
    <w:rsid w:val="00810138"/>
    <w:rsid w:val="00811E99"/>
    <w:rsid w:val="00813AAC"/>
    <w:rsid w:val="008173FA"/>
    <w:rsid w:val="008209DE"/>
    <w:rsid w:val="00823EAF"/>
    <w:rsid w:val="00827D7B"/>
    <w:rsid w:val="008305F4"/>
    <w:rsid w:val="00835F37"/>
    <w:rsid w:val="00837666"/>
    <w:rsid w:val="00840D16"/>
    <w:rsid w:val="00843624"/>
    <w:rsid w:val="00847437"/>
    <w:rsid w:val="00853DDA"/>
    <w:rsid w:val="008548E0"/>
    <w:rsid w:val="00856A67"/>
    <w:rsid w:val="00856C0C"/>
    <w:rsid w:val="00862522"/>
    <w:rsid w:val="00864A9F"/>
    <w:rsid w:val="008650B9"/>
    <w:rsid w:val="00865587"/>
    <w:rsid w:val="00867105"/>
    <w:rsid w:val="00873923"/>
    <w:rsid w:val="00875C73"/>
    <w:rsid w:val="00875D73"/>
    <w:rsid w:val="00883BC7"/>
    <w:rsid w:val="00885EA3"/>
    <w:rsid w:val="008872EC"/>
    <w:rsid w:val="00887E44"/>
    <w:rsid w:val="00890DFE"/>
    <w:rsid w:val="00891002"/>
    <w:rsid w:val="0089129E"/>
    <w:rsid w:val="0089465E"/>
    <w:rsid w:val="0089719D"/>
    <w:rsid w:val="008A406F"/>
    <w:rsid w:val="008A419D"/>
    <w:rsid w:val="008A43CC"/>
    <w:rsid w:val="008A45FF"/>
    <w:rsid w:val="008C2092"/>
    <w:rsid w:val="008C28E5"/>
    <w:rsid w:val="008C2A4E"/>
    <w:rsid w:val="008C4033"/>
    <w:rsid w:val="008C61D5"/>
    <w:rsid w:val="008C68B8"/>
    <w:rsid w:val="008D2161"/>
    <w:rsid w:val="008D33AB"/>
    <w:rsid w:val="008D348C"/>
    <w:rsid w:val="008E0D0D"/>
    <w:rsid w:val="008E3881"/>
    <w:rsid w:val="008E3DCE"/>
    <w:rsid w:val="008F069F"/>
    <w:rsid w:val="008F44A1"/>
    <w:rsid w:val="0090051E"/>
    <w:rsid w:val="0090092C"/>
    <w:rsid w:val="0090098E"/>
    <w:rsid w:val="009010F7"/>
    <w:rsid w:val="00902AAD"/>
    <w:rsid w:val="00902D9A"/>
    <w:rsid w:val="00905ED2"/>
    <w:rsid w:val="00905FE6"/>
    <w:rsid w:val="00910C29"/>
    <w:rsid w:val="00912DE7"/>
    <w:rsid w:val="00913D1B"/>
    <w:rsid w:val="0092004F"/>
    <w:rsid w:val="009207DE"/>
    <w:rsid w:val="00920C7F"/>
    <w:rsid w:val="0092135E"/>
    <w:rsid w:val="00921DD2"/>
    <w:rsid w:val="009250DA"/>
    <w:rsid w:val="00925941"/>
    <w:rsid w:val="009269D1"/>
    <w:rsid w:val="009315F4"/>
    <w:rsid w:val="00932DE8"/>
    <w:rsid w:val="0093587D"/>
    <w:rsid w:val="009410CB"/>
    <w:rsid w:val="00941519"/>
    <w:rsid w:val="00950AF9"/>
    <w:rsid w:val="009514A4"/>
    <w:rsid w:val="009517E3"/>
    <w:rsid w:val="009562E1"/>
    <w:rsid w:val="009575A2"/>
    <w:rsid w:val="00957F6F"/>
    <w:rsid w:val="00960CD5"/>
    <w:rsid w:val="00965814"/>
    <w:rsid w:val="009667C2"/>
    <w:rsid w:val="009706C3"/>
    <w:rsid w:val="00971FDB"/>
    <w:rsid w:val="009735E5"/>
    <w:rsid w:val="00975300"/>
    <w:rsid w:val="009757E2"/>
    <w:rsid w:val="009765EC"/>
    <w:rsid w:val="0098030B"/>
    <w:rsid w:val="00980867"/>
    <w:rsid w:val="00981B73"/>
    <w:rsid w:val="0098237F"/>
    <w:rsid w:val="00983752"/>
    <w:rsid w:val="00986C86"/>
    <w:rsid w:val="00993CD1"/>
    <w:rsid w:val="0099441D"/>
    <w:rsid w:val="009947AD"/>
    <w:rsid w:val="009950CC"/>
    <w:rsid w:val="00997E23"/>
    <w:rsid w:val="009A3DC3"/>
    <w:rsid w:val="009A51FC"/>
    <w:rsid w:val="009A6265"/>
    <w:rsid w:val="009B0D2E"/>
    <w:rsid w:val="009B1F21"/>
    <w:rsid w:val="009B256A"/>
    <w:rsid w:val="009B3074"/>
    <w:rsid w:val="009B49C7"/>
    <w:rsid w:val="009C1157"/>
    <w:rsid w:val="009C28D6"/>
    <w:rsid w:val="009C32C6"/>
    <w:rsid w:val="009C44A3"/>
    <w:rsid w:val="009C67CE"/>
    <w:rsid w:val="009C6AEE"/>
    <w:rsid w:val="009C7774"/>
    <w:rsid w:val="009C7C2D"/>
    <w:rsid w:val="009D09B3"/>
    <w:rsid w:val="009D13B9"/>
    <w:rsid w:val="009E402F"/>
    <w:rsid w:val="009F0CAF"/>
    <w:rsid w:val="009F1012"/>
    <w:rsid w:val="009F752F"/>
    <w:rsid w:val="00A00674"/>
    <w:rsid w:val="00A02D22"/>
    <w:rsid w:val="00A05F94"/>
    <w:rsid w:val="00A06C30"/>
    <w:rsid w:val="00A079DA"/>
    <w:rsid w:val="00A152D3"/>
    <w:rsid w:val="00A15A65"/>
    <w:rsid w:val="00A17E79"/>
    <w:rsid w:val="00A31B17"/>
    <w:rsid w:val="00A34042"/>
    <w:rsid w:val="00A352F2"/>
    <w:rsid w:val="00A4262A"/>
    <w:rsid w:val="00A42B3E"/>
    <w:rsid w:val="00A43420"/>
    <w:rsid w:val="00A44B9E"/>
    <w:rsid w:val="00A502AC"/>
    <w:rsid w:val="00A5113F"/>
    <w:rsid w:val="00A523C8"/>
    <w:rsid w:val="00A55202"/>
    <w:rsid w:val="00A56DBA"/>
    <w:rsid w:val="00A60803"/>
    <w:rsid w:val="00A61C02"/>
    <w:rsid w:val="00A6396E"/>
    <w:rsid w:val="00A64655"/>
    <w:rsid w:val="00A65791"/>
    <w:rsid w:val="00A66E40"/>
    <w:rsid w:val="00A70ABA"/>
    <w:rsid w:val="00A736FB"/>
    <w:rsid w:val="00A81409"/>
    <w:rsid w:val="00A81EB0"/>
    <w:rsid w:val="00A828CF"/>
    <w:rsid w:val="00A8493E"/>
    <w:rsid w:val="00A861AC"/>
    <w:rsid w:val="00A928DB"/>
    <w:rsid w:val="00A93B80"/>
    <w:rsid w:val="00A973AD"/>
    <w:rsid w:val="00AA67C9"/>
    <w:rsid w:val="00AB34FA"/>
    <w:rsid w:val="00AC30BD"/>
    <w:rsid w:val="00AC7C16"/>
    <w:rsid w:val="00AD0BC5"/>
    <w:rsid w:val="00AD3DFF"/>
    <w:rsid w:val="00AD44CB"/>
    <w:rsid w:val="00AD4830"/>
    <w:rsid w:val="00AD59A9"/>
    <w:rsid w:val="00AD6282"/>
    <w:rsid w:val="00AE40E9"/>
    <w:rsid w:val="00AE7BAB"/>
    <w:rsid w:val="00AF16D1"/>
    <w:rsid w:val="00AF238D"/>
    <w:rsid w:val="00AF3F6B"/>
    <w:rsid w:val="00B0603C"/>
    <w:rsid w:val="00B0748C"/>
    <w:rsid w:val="00B13732"/>
    <w:rsid w:val="00B14B0A"/>
    <w:rsid w:val="00B14B8E"/>
    <w:rsid w:val="00B20554"/>
    <w:rsid w:val="00B21224"/>
    <w:rsid w:val="00B21EAC"/>
    <w:rsid w:val="00B22F4F"/>
    <w:rsid w:val="00B24B6F"/>
    <w:rsid w:val="00B250C5"/>
    <w:rsid w:val="00B25631"/>
    <w:rsid w:val="00B25ABE"/>
    <w:rsid w:val="00B27D90"/>
    <w:rsid w:val="00B309E1"/>
    <w:rsid w:val="00B34374"/>
    <w:rsid w:val="00B35B15"/>
    <w:rsid w:val="00B37AC8"/>
    <w:rsid w:val="00B40281"/>
    <w:rsid w:val="00B40779"/>
    <w:rsid w:val="00B429A0"/>
    <w:rsid w:val="00B4373C"/>
    <w:rsid w:val="00B473B3"/>
    <w:rsid w:val="00B56C75"/>
    <w:rsid w:val="00B61CD7"/>
    <w:rsid w:val="00B629E4"/>
    <w:rsid w:val="00B62FCD"/>
    <w:rsid w:val="00B66EFF"/>
    <w:rsid w:val="00B748B6"/>
    <w:rsid w:val="00B75DD3"/>
    <w:rsid w:val="00B81C8B"/>
    <w:rsid w:val="00B830BB"/>
    <w:rsid w:val="00B8665A"/>
    <w:rsid w:val="00B8698D"/>
    <w:rsid w:val="00B9202D"/>
    <w:rsid w:val="00B96638"/>
    <w:rsid w:val="00BA2662"/>
    <w:rsid w:val="00BA5895"/>
    <w:rsid w:val="00BA5FD9"/>
    <w:rsid w:val="00BB3074"/>
    <w:rsid w:val="00BB5634"/>
    <w:rsid w:val="00BC3EFC"/>
    <w:rsid w:val="00BC4012"/>
    <w:rsid w:val="00BC7D5B"/>
    <w:rsid w:val="00BC7FCE"/>
    <w:rsid w:val="00BD21EE"/>
    <w:rsid w:val="00BD2A6D"/>
    <w:rsid w:val="00BD3080"/>
    <w:rsid w:val="00BD3A25"/>
    <w:rsid w:val="00BD3C54"/>
    <w:rsid w:val="00BD5F3B"/>
    <w:rsid w:val="00BD60F9"/>
    <w:rsid w:val="00BE2403"/>
    <w:rsid w:val="00BE2A26"/>
    <w:rsid w:val="00BE4870"/>
    <w:rsid w:val="00BE652C"/>
    <w:rsid w:val="00BE6DB1"/>
    <w:rsid w:val="00BF3577"/>
    <w:rsid w:val="00BF35E6"/>
    <w:rsid w:val="00BF611F"/>
    <w:rsid w:val="00C00E37"/>
    <w:rsid w:val="00C0165D"/>
    <w:rsid w:val="00C01A61"/>
    <w:rsid w:val="00C05FD1"/>
    <w:rsid w:val="00C12C0E"/>
    <w:rsid w:val="00C15EA1"/>
    <w:rsid w:val="00C1634D"/>
    <w:rsid w:val="00C22721"/>
    <w:rsid w:val="00C24752"/>
    <w:rsid w:val="00C26E04"/>
    <w:rsid w:val="00C275D7"/>
    <w:rsid w:val="00C279A3"/>
    <w:rsid w:val="00C32C64"/>
    <w:rsid w:val="00C34B0F"/>
    <w:rsid w:val="00C36FF0"/>
    <w:rsid w:val="00C46ED8"/>
    <w:rsid w:val="00C475DB"/>
    <w:rsid w:val="00C5151B"/>
    <w:rsid w:val="00C51696"/>
    <w:rsid w:val="00C5172D"/>
    <w:rsid w:val="00C6249C"/>
    <w:rsid w:val="00C636FA"/>
    <w:rsid w:val="00C63FD0"/>
    <w:rsid w:val="00C663F0"/>
    <w:rsid w:val="00C735AC"/>
    <w:rsid w:val="00C762D4"/>
    <w:rsid w:val="00C805C7"/>
    <w:rsid w:val="00C82D46"/>
    <w:rsid w:val="00C83849"/>
    <w:rsid w:val="00C85305"/>
    <w:rsid w:val="00C92FB2"/>
    <w:rsid w:val="00C94226"/>
    <w:rsid w:val="00C963AF"/>
    <w:rsid w:val="00C96ABB"/>
    <w:rsid w:val="00C978B4"/>
    <w:rsid w:val="00CA00F8"/>
    <w:rsid w:val="00CA1165"/>
    <w:rsid w:val="00CA152A"/>
    <w:rsid w:val="00CA57C3"/>
    <w:rsid w:val="00CA7C6C"/>
    <w:rsid w:val="00CC00CD"/>
    <w:rsid w:val="00CC033B"/>
    <w:rsid w:val="00CC2BA6"/>
    <w:rsid w:val="00CC5940"/>
    <w:rsid w:val="00CC600E"/>
    <w:rsid w:val="00CC7BA7"/>
    <w:rsid w:val="00CD1260"/>
    <w:rsid w:val="00CD4D7B"/>
    <w:rsid w:val="00CD5E1A"/>
    <w:rsid w:val="00CE66EB"/>
    <w:rsid w:val="00CE687C"/>
    <w:rsid w:val="00CE7F06"/>
    <w:rsid w:val="00CF0DDE"/>
    <w:rsid w:val="00CF3ECF"/>
    <w:rsid w:val="00CF5F14"/>
    <w:rsid w:val="00CF7D8D"/>
    <w:rsid w:val="00D01487"/>
    <w:rsid w:val="00D05FDD"/>
    <w:rsid w:val="00D10D60"/>
    <w:rsid w:val="00D12898"/>
    <w:rsid w:val="00D12AB1"/>
    <w:rsid w:val="00D2219C"/>
    <w:rsid w:val="00D2286B"/>
    <w:rsid w:val="00D23281"/>
    <w:rsid w:val="00D24B80"/>
    <w:rsid w:val="00D27435"/>
    <w:rsid w:val="00D3144C"/>
    <w:rsid w:val="00D31EA3"/>
    <w:rsid w:val="00D32443"/>
    <w:rsid w:val="00D324D1"/>
    <w:rsid w:val="00D3264E"/>
    <w:rsid w:val="00D4117E"/>
    <w:rsid w:val="00D415E7"/>
    <w:rsid w:val="00D43502"/>
    <w:rsid w:val="00D4507D"/>
    <w:rsid w:val="00D45C29"/>
    <w:rsid w:val="00D461EB"/>
    <w:rsid w:val="00D50768"/>
    <w:rsid w:val="00D51BD0"/>
    <w:rsid w:val="00D51F27"/>
    <w:rsid w:val="00D56089"/>
    <w:rsid w:val="00D56E1D"/>
    <w:rsid w:val="00D65A5A"/>
    <w:rsid w:val="00D65F85"/>
    <w:rsid w:val="00D66D25"/>
    <w:rsid w:val="00D67C8F"/>
    <w:rsid w:val="00D714A0"/>
    <w:rsid w:val="00D72AC0"/>
    <w:rsid w:val="00D7354B"/>
    <w:rsid w:val="00D74E43"/>
    <w:rsid w:val="00D76662"/>
    <w:rsid w:val="00D7752A"/>
    <w:rsid w:val="00D829D9"/>
    <w:rsid w:val="00D83044"/>
    <w:rsid w:val="00D8338E"/>
    <w:rsid w:val="00D875BF"/>
    <w:rsid w:val="00D879E7"/>
    <w:rsid w:val="00D901BE"/>
    <w:rsid w:val="00D91645"/>
    <w:rsid w:val="00D928B9"/>
    <w:rsid w:val="00D93D85"/>
    <w:rsid w:val="00DA1AF2"/>
    <w:rsid w:val="00DA2119"/>
    <w:rsid w:val="00DA2FCF"/>
    <w:rsid w:val="00DA5D5A"/>
    <w:rsid w:val="00DA6780"/>
    <w:rsid w:val="00DB528B"/>
    <w:rsid w:val="00DB5302"/>
    <w:rsid w:val="00DB718E"/>
    <w:rsid w:val="00DB7596"/>
    <w:rsid w:val="00DC2E15"/>
    <w:rsid w:val="00DC58D2"/>
    <w:rsid w:val="00DC7369"/>
    <w:rsid w:val="00DC7C10"/>
    <w:rsid w:val="00DD054C"/>
    <w:rsid w:val="00DD2F3D"/>
    <w:rsid w:val="00DD5883"/>
    <w:rsid w:val="00DD6C5B"/>
    <w:rsid w:val="00DE33E6"/>
    <w:rsid w:val="00DE5CE5"/>
    <w:rsid w:val="00DE7673"/>
    <w:rsid w:val="00DF0ACD"/>
    <w:rsid w:val="00DF276B"/>
    <w:rsid w:val="00DF4791"/>
    <w:rsid w:val="00DF6E86"/>
    <w:rsid w:val="00DF7A08"/>
    <w:rsid w:val="00E0618E"/>
    <w:rsid w:val="00E10B73"/>
    <w:rsid w:val="00E11761"/>
    <w:rsid w:val="00E12786"/>
    <w:rsid w:val="00E13B36"/>
    <w:rsid w:val="00E13CAB"/>
    <w:rsid w:val="00E20247"/>
    <w:rsid w:val="00E242D1"/>
    <w:rsid w:val="00E27AE3"/>
    <w:rsid w:val="00E3664F"/>
    <w:rsid w:val="00E36797"/>
    <w:rsid w:val="00E3766D"/>
    <w:rsid w:val="00E4131D"/>
    <w:rsid w:val="00E462BD"/>
    <w:rsid w:val="00E468DE"/>
    <w:rsid w:val="00E46AC2"/>
    <w:rsid w:val="00E473A9"/>
    <w:rsid w:val="00E535EB"/>
    <w:rsid w:val="00E54A0B"/>
    <w:rsid w:val="00E55D18"/>
    <w:rsid w:val="00E64AE3"/>
    <w:rsid w:val="00E6731B"/>
    <w:rsid w:val="00E7115F"/>
    <w:rsid w:val="00E71FB5"/>
    <w:rsid w:val="00E74A56"/>
    <w:rsid w:val="00E766F1"/>
    <w:rsid w:val="00E768B3"/>
    <w:rsid w:val="00E76E27"/>
    <w:rsid w:val="00E77BCD"/>
    <w:rsid w:val="00E80438"/>
    <w:rsid w:val="00E84D0B"/>
    <w:rsid w:val="00E935E9"/>
    <w:rsid w:val="00E95891"/>
    <w:rsid w:val="00EA3C1A"/>
    <w:rsid w:val="00EA5B84"/>
    <w:rsid w:val="00EA6D64"/>
    <w:rsid w:val="00EB04B5"/>
    <w:rsid w:val="00EB121A"/>
    <w:rsid w:val="00EB1634"/>
    <w:rsid w:val="00EB32F2"/>
    <w:rsid w:val="00EB3B89"/>
    <w:rsid w:val="00EB4C9B"/>
    <w:rsid w:val="00EB508F"/>
    <w:rsid w:val="00EB5FF0"/>
    <w:rsid w:val="00EB7BD8"/>
    <w:rsid w:val="00EB7C2D"/>
    <w:rsid w:val="00EC12B4"/>
    <w:rsid w:val="00EC34A0"/>
    <w:rsid w:val="00EC380F"/>
    <w:rsid w:val="00EC5CD4"/>
    <w:rsid w:val="00EC75E9"/>
    <w:rsid w:val="00ED0155"/>
    <w:rsid w:val="00ED0B0A"/>
    <w:rsid w:val="00ED101A"/>
    <w:rsid w:val="00ED4988"/>
    <w:rsid w:val="00ED7053"/>
    <w:rsid w:val="00EE20EC"/>
    <w:rsid w:val="00EE523F"/>
    <w:rsid w:val="00EF0AB4"/>
    <w:rsid w:val="00EF13CF"/>
    <w:rsid w:val="00EF5EF0"/>
    <w:rsid w:val="00EF6178"/>
    <w:rsid w:val="00EF717E"/>
    <w:rsid w:val="00F01A79"/>
    <w:rsid w:val="00F0206B"/>
    <w:rsid w:val="00F02586"/>
    <w:rsid w:val="00F026B8"/>
    <w:rsid w:val="00F05063"/>
    <w:rsid w:val="00F06487"/>
    <w:rsid w:val="00F070C0"/>
    <w:rsid w:val="00F14CB5"/>
    <w:rsid w:val="00F225A8"/>
    <w:rsid w:val="00F23437"/>
    <w:rsid w:val="00F3124E"/>
    <w:rsid w:val="00F31EED"/>
    <w:rsid w:val="00F32144"/>
    <w:rsid w:val="00F33662"/>
    <w:rsid w:val="00F3576B"/>
    <w:rsid w:val="00F3593A"/>
    <w:rsid w:val="00F403C9"/>
    <w:rsid w:val="00F415D3"/>
    <w:rsid w:val="00F4568E"/>
    <w:rsid w:val="00F501A5"/>
    <w:rsid w:val="00F5075D"/>
    <w:rsid w:val="00F51224"/>
    <w:rsid w:val="00F513BC"/>
    <w:rsid w:val="00F51B1C"/>
    <w:rsid w:val="00F52ADC"/>
    <w:rsid w:val="00F563DE"/>
    <w:rsid w:val="00F646E5"/>
    <w:rsid w:val="00F64D6F"/>
    <w:rsid w:val="00F66754"/>
    <w:rsid w:val="00F70E85"/>
    <w:rsid w:val="00F741F8"/>
    <w:rsid w:val="00F75D12"/>
    <w:rsid w:val="00F807EB"/>
    <w:rsid w:val="00F82B60"/>
    <w:rsid w:val="00F82CE3"/>
    <w:rsid w:val="00F86456"/>
    <w:rsid w:val="00F87E06"/>
    <w:rsid w:val="00F9061F"/>
    <w:rsid w:val="00F94BB6"/>
    <w:rsid w:val="00FA2DD8"/>
    <w:rsid w:val="00FA4C74"/>
    <w:rsid w:val="00FA7666"/>
    <w:rsid w:val="00FB0A38"/>
    <w:rsid w:val="00FB2A05"/>
    <w:rsid w:val="00FB506E"/>
    <w:rsid w:val="00FC21FC"/>
    <w:rsid w:val="00FC2263"/>
    <w:rsid w:val="00FC42B4"/>
    <w:rsid w:val="00FC495E"/>
    <w:rsid w:val="00FC4D8C"/>
    <w:rsid w:val="00FC781E"/>
    <w:rsid w:val="00FD399D"/>
    <w:rsid w:val="00FD4274"/>
    <w:rsid w:val="00FD587D"/>
    <w:rsid w:val="00FE2F4D"/>
    <w:rsid w:val="00FE5465"/>
    <w:rsid w:val="00FE7984"/>
    <w:rsid w:val="00FF4C12"/>
    <w:rsid w:val="00FF615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A200CD"/>
  <w15:docId w15:val="{E39AA714-9640-41FB-B3E5-3DDAB885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075D"/>
    <w:rPr>
      <w:rFonts w:asciiTheme="minorHAnsi" w:hAnsiTheme="minorHAnsi"/>
      <w:b/>
      <w:bCs/>
    </w:rPr>
  </w:style>
  <w:style w:type="character" w:customStyle="1" w:styleId="CommentSubjectChar">
    <w:name w:val="Comment Subject Char"/>
    <w:basedOn w:val="CommentTextChar"/>
    <w:link w:val="CommentSubject"/>
    <w:uiPriority w:val="99"/>
    <w:semiHidden/>
    <w:rsid w:val="00F5075D"/>
    <w:rPr>
      <w:rFonts w:ascii="Cambria" w:hAnsi="Cambria"/>
      <w:b/>
      <w:bCs/>
      <w:sz w:val="20"/>
      <w:szCs w:val="20"/>
    </w:rPr>
  </w:style>
  <w:style w:type="paragraph" w:customStyle="1" w:styleId="Body">
    <w:name w:val="Body"/>
    <w:basedOn w:val="Normal"/>
    <w:rsid w:val="00257757"/>
    <w:pPr>
      <w:suppressAutoHyphens/>
      <w:overflowPunct w:val="0"/>
      <w:autoSpaceDE w:val="0"/>
      <w:autoSpaceDN w:val="0"/>
      <w:adjustRightInd w:val="0"/>
      <w:spacing w:before="240" w:after="0" w:line="240" w:lineRule="auto"/>
      <w:textAlignment w:val="baseline"/>
    </w:pPr>
    <w:rPr>
      <w:rFonts w:ascii="Times New Roman" w:eastAsia="Times New Roman" w:hAnsi="Times New Roman" w:cs="Times New Roman"/>
      <w:sz w:val="24"/>
      <w:szCs w:val="20"/>
      <w:lang w:val="en-GB" w:eastAsia="da-DK"/>
    </w:rPr>
  </w:style>
  <w:style w:type="paragraph" w:styleId="BodyText">
    <w:name w:val="Body Text"/>
    <w:basedOn w:val="Normal"/>
    <w:link w:val="BodyTextChar"/>
    <w:uiPriority w:val="1"/>
    <w:qFormat/>
    <w:rsid w:val="00EA3C1A"/>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EA3C1A"/>
    <w:rPr>
      <w:rFonts w:ascii="Arial" w:eastAsia="Arial" w:hAnsi="Arial" w:cs="Arial"/>
      <w:sz w:val="20"/>
      <w:szCs w:val="20"/>
      <w:lang w:val="en-US"/>
    </w:rPr>
  </w:style>
  <w:style w:type="paragraph" w:customStyle="1" w:styleId="TableParagraph">
    <w:name w:val="Table Paragraph"/>
    <w:basedOn w:val="Normal"/>
    <w:uiPriority w:val="1"/>
    <w:qFormat/>
    <w:rsid w:val="00EA3C1A"/>
    <w:pPr>
      <w:widowControl w:val="0"/>
      <w:autoSpaceDE w:val="0"/>
      <w:autoSpaceDN w:val="0"/>
      <w:spacing w:after="0" w:line="240" w:lineRule="auto"/>
      <w:ind w:left="107"/>
    </w:pPr>
    <w:rPr>
      <w:rFonts w:ascii="Arial" w:eastAsia="Arial" w:hAnsi="Arial" w:cs="Arial"/>
      <w:lang w:val="en-US"/>
    </w:rPr>
  </w:style>
  <w:style w:type="table" w:styleId="TableGrid">
    <w:name w:val="Table Grid"/>
    <w:basedOn w:val="TableNormal"/>
    <w:uiPriority w:val="59"/>
    <w:rsid w:val="008D2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741F8"/>
    <w:pPr>
      <w:spacing w:line="240" w:lineRule="auto"/>
    </w:pPr>
    <w:rPr>
      <w:i/>
      <w:iCs/>
      <w:color w:val="1F497D" w:themeColor="text2"/>
      <w:sz w:val="18"/>
      <w:szCs w:val="18"/>
    </w:rPr>
  </w:style>
  <w:style w:type="paragraph" w:styleId="Revision">
    <w:name w:val="Revision"/>
    <w:hidden/>
    <w:uiPriority w:val="99"/>
    <w:semiHidden/>
    <w:rsid w:val="004F1058"/>
    <w:pPr>
      <w:spacing w:after="0" w:line="240" w:lineRule="auto"/>
    </w:pPr>
  </w:style>
  <w:style w:type="paragraph" w:styleId="Header">
    <w:name w:val="header"/>
    <w:basedOn w:val="Normal"/>
    <w:link w:val="HeaderChar"/>
    <w:uiPriority w:val="99"/>
    <w:unhideWhenUsed/>
    <w:rsid w:val="002B4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C34"/>
  </w:style>
  <w:style w:type="paragraph" w:styleId="List5">
    <w:name w:val="List 5"/>
    <w:basedOn w:val="Normal"/>
    <w:uiPriority w:val="99"/>
    <w:semiHidden/>
    <w:unhideWhenUsed/>
    <w:rsid w:val="0098030B"/>
    <w:pPr>
      <w:ind w:left="1415" w:hanging="283"/>
      <w:contextualSpacing/>
    </w:pPr>
  </w:style>
  <w:style w:type="character" w:styleId="UnresolvedMention">
    <w:name w:val="Unresolved Mention"/>
    <w:basedOn w:val="DefaultParagraphFont"/>
    <w:uiPriority w:val="99"/>
    <w:semiHidden/>
    <w:unhideWhenUsed/>
    <w:rsid w:val="00335F45"/>
    <w:rPr>
      <w:color w:val="605E5C"/>
      <w:shd w:val="clear" w:color="auto" w:fill="E1DFDD"/>
    </w:rPr>
  </w:style>
  <w:style w:type="character" w:styleId="FollowedHyperlink">
    <w:name w:val="FollowedHyperlink"/>
    <w:basedOn w:val="DefaultParagraphFont"/>
    <w:uiPriority w:val="99"/>
    <w:semiHidden/>
    <w:unhideWhenUsed/>
    <w:rsid w:val="00335F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tif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3.tif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70BDF8D3B0514B9381F001F4EF05B9" ma:contentTypeVersion="11" ma:contentTypeDescription="Create a new document." ma:contentTypeScope="" ma:versionID="ee37dcdd1b2e5cbf95c78a6f9ce80489">
  <xsd:schema xmlns:xsd="http://www.w3.org/2001/XMLSchema" xmlns:xs="http://www.w3.org/2001/XMLSchema" xmlns:p="http://schemas.microsoft.com/office/2006/metadata/properties" xmlns:ns3="1f41145f-0a62-4e88-9af3-7ca9bb95e83f" xmlns:ns4="e6f72314-e797-4241-9a7d-f6fd3d5522f2" targetNamespace="http://schemas.microsoft.com/office/2006/metadata/properties" ma:root="true" ma:fieldsID="5be0c9ce6c5560a0ac07d415ede9bee7" ns3:_="" ns4:_="">
    <xsd:import namespace="1f41145f-0a62-4e88-9af3-7ca9bb95e83f"/>
    <xsd:import namespace="e6f72314-e797-4241-9a7d-f6fd3d5522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1145f-0a62-4e88-9af3-7ca9bb95e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72314-e797-4241-9a7d-f6fd3d5522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F45B7-D201-4E62-BD8E-718F18B94B4A}">
  <ds:schemaRefs>
    <ds:schemaRef ds:uri="http://schemas.openxmlformats.org/officeDocument/2006/bibliography"/>
  </ds:schemaRefs>
</ds:datastoreItem>
</file>

<file path=customXml/itemProps2.xml><?xml version="1.0" encoding="utf-8"?>
<ds:datastoreItem xmlns:ds="http://schemas.openxmlformats.org/officeDocument/2006/customXml" ds:itemID="{00EEC82E-9220-40CD-B5C1-8FF8C7BD633A}">
  <ds:schemaRefs>
    <ds:schemaRef ds:uri="http://schemas.microsoft.com/sharepoint/v3/contenttype/forms"/>
  </ds:schemaRefs>
</ds:datastoreItem>
</file>

<file path=customXml/itemProps3.xml><?xml version="1.0" encoding="utf-8"?>
<ds:datastoreItem xmlns:ds="http://schemas.openxmlformats.org/officeDocument/2006/customXml" ds:itemID="{B1E2AA3D-9E65-497D-8538-DF430C7230A5}">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e6f72314-e797-4241-9a7d-f6fd3d5522f2"/>
    <ds:schemaRef ds:uri="1f41145f-0a62-4e88-9af3-7ca9bb95e83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07A5A9-0EB7-42DC-916C-F37B31D3E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1145f-0a62-4e88-9af3-7ca9bb95e83f"/>
    <ds:schemaRef ds:uri="e6f72314-e797-4241-9a7d-f6fd3d552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17</Pages>
  <Words>4881</Words>
  <Characters>27823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Attachment: Product information for Eptinezumab</vt:lpstr>
    </vt:vector>
  </TitlesOfParts>
  <Company>Therapeutic Goods Administration</Company>
  <LinksUpToDate>false</LinksUpToDate>
  <CharactersWithSpaces>32639</CharactersWithSpaces>
  <SharedDoc>false</SharedDoc>
  <HLinks>
    <vt:vector size="12" baseType="variant">
      <vt:variant>
        <vt:i4>5898317</vt:i4>
      </vt:variant>
      <vt:variant>
        <vt:i4>3</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Eptinezumab</dc:title>
  <dc:subject>prescription medicine regulation</dc:subject>
  <dc:creator>Lundbeck Australia Pty Ltd</dc:creator>
  <cp:keywords/>
  <dc:description/>
  <cp:lastModifiedBy>KOLARIK-OREILLY, Kristy</cp:lastModifiedBy>
  <cp:revision>5</cp:revision>
  <cp:lastPrinted>2021-06-20T22:56:00Z</cp:lastPrinted>
  <dcterms:created xsi:type="dcterms:W3CDTF">2021-06-30T01:20:00Z</dcterms:created>
  <dcterms:modified xsi:type="dcterms:W3CDTF">2022-03-02T23:28:00Z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0x010100AC70BDF8D3B0514B9381F001F4EF05B9</vt:lpwstr>
  </property>
</Properties>
</file>