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142" w:rsidRPr="008A7877" w:rsidRDefault="009F1142" w:rsidP="009F1142">
      <w:pPr>
        <w:pStyle w:val="PITITLE"/>
      </w:pPr>
      <w:r w:rsidRPr="008A7877">
        <w:t>PRODUCT INFORMATION</w:t>
      </w:r>
    </w:p>
    <w:p w:rsidR="009F1142" w:rsidRPr="008F307B" w:rsidRDefault="009F1142" w:rsidP="009F1142">
      <w:pPr>
        <w:pStyle w:val="PISubtitle"/>
        <w:rPr>
          <w:rStyle w:val="MPINormal"/>
        </w:rPr>
      </w:pPr>
      <w:r w:rsidRPr="009F1142">
        <w:rPr>
          <w:rStyle w:val="MPITradename"/>
          <w:rFonts w:ascii="Times New Roman" w:hAnsi="Times New Roman"/>
          <w:b/>
        </w:rPr>
        <w:t>INSPRA</w:t>
      </w:r>
      <w:r w:rsidRPr="009F1142">
        <w:rPr>
          <w:rStyle w:val="MPIRegisteredTrademarkSign"/>
          <w:b/>
        </w:rPr>
        <w:sym w:font="Symbol" w:char="F0D2"/>
      </w:r>
      <w:r w:rsidRPr="008F307B">
        <w:rPr>
          <w:rStyle w:val="MPIRegisteredTrademarkSign"/>
          <w:b/>
        </w:rPr>
        <w:t xml:space="preserve"> </w:t>
      </w:r>
      <w:r w:rsidRPr="008F307B">
        <w:rPr>
          <w:rStyle w:val="MPINormal"/>
        </w:rPr>
        <w:t>(</w:t>
      </w:r>
      <w:r>
        <w:rPr>
          <w:rStyle w:val="MPINormal"/>
        </w:rPr>
        <w:t>eplerenone</w:t>
      </w:r>
      <w:r w:rsidRPr="008F307B">
        <w:rPr>
          <w:rStyle w:val="MPINormal"/>
        </w:rPr>
        <w:t xml:space="preserve">) </w:t>
      </w:r>
    </w:p>
    <w:p w:rsidR="00652E30" w:rsidRDefault="00652E30" w:rsidP="00CB73DB">
      <w:pPr>
        <w:pStyle w:val="PIHeading1"/>
        <w:rPr>
          <w:sz w:val="22"/>
        </w:rPr>
      </w:pPr>
      <w:r>
        <w:t>NAME OF THE MEDICINE</w:t>
      </w:r>
    </w:p>
    <w:p w:rsidR="00652E30" w:rsidRDefault="00652E30" w:rsidP="00A157BB">
      <w:pPr>
        <w:rPr>
          <w:sz w:val="22"/>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22.7pt;margin-top:61pt;width:142.5pt;height:150.75pt;z-index:251655168;visibility:visible;mso-wrap-edited:f;mso-position-horizontal-relative:margin" fillcolor="window">
            <v:imagedata r:id="rId11" o:title=""/>
            <w10:wrap anchorx="margin"/>
          </v:shape>
          <o:OLEObject Type="Embed" ProgID="Word.Picture.8" ShapeID="_x0000_s1026" DrawAspect="Content" ObjectID="_1444639587" r:id="rId12"/>
        </w:pict>
      </w:r>
      <w:r>
        <w:t xml:space="preserve">Eplerenone (CAS 107724-20-9) is Pregn-4-ene-7,21-dicarboxylic acid, 9,11-epoxy-17-hydroxy-3-oxo, γ-lactone, methyl ester, (7α,11α,17α). </w:t>
      </w:r>
      <w:r w:rsidR="006E581A">
        <w:t xml:space="preserve"> </w:t>
      </w:r>
      <w:r>
        <w:t>The empirical formula of eplerenone is C</w:t>
      </w:r>
      <w:r>
        <w:rPr>
          <w:vertAlign w:val="subscript"/>
        </w:rPr>
        <w:t>24</w:t>
      </w:r>
      <w:r>
        <w:t>H</w:t>
      </w:r>
      <w:r>
        <w:rPr>
          <w:vertAlign w:val="subscript"/>
        </w:rPr>
        <w:t>30</w:t>
      </w:r>
      <w:r>
        <w:t>O</w:t>
      </w:r>
      <w:r>
        <w:rPr>
          <w:vertAlign w:val="subscript"/>
        </w:rPr>
        <w:t>6</w:t>
      </w:r>
      <w:r>
        <w:t xml:space="preserve"> and its molecular weight 414.50. </w:t>
      </w:r>
      <w:r w:rsidR="006E581A">
        <w:t xml:space="preserve"> </w:t>
      </w:r>
      <w:r>
        <w:t>The structural formula of eplerenone is shown below:</w:t>
      </w:r>
    </w:p>
    <w:p w:rsidR="00652E30" w:rsidRDefault="00652E30">
      <w:pPr>
        <w:spacing w:before="120"/>
        <w:rPr>
          <w:sz w:val="22"/>
        </w:rPr>
      </w:pPr>
    </w:p>
    <w:p w:rsidR="00652E30" w:rsidRDefault="00652E30">
      <w:pPr>
        <w:spacing w:before="120"/>
        <w:rPr>
          <w:sz w:val="22"/>
        </w:rPr>
      </w:pPr>
    </w:p>
    <w:p w:rsidR="00652E30" w:rsidRDefault="00652E30">
      <w:pPr>
        <w:spacing w:before="120"/>
        <w:rPr>
          <w:sz w:val="22"/>
        </w:rPr>
      </w:pPr>
    </w:p>
    <w:p w:rsidR="00652E30" w:rsidRDefault="00652E30">
      <w:pPr>
        <w:spacing w:before="120"/>
        <w:rPr>
          <w:sz w:val="22"/>
        </w:rPr>
      </w:pPr>
    </w:p>
    <w:p w:rsidR="00652E30" w:rsidRDefault="00652E30">
      <w:pPr>
        <w:spacing w:before="120"/>
        <w:rPr>
          <w:sz w:val="22"/>
        </w:rPr>
      </w:pPr>
    </w:p>
    <w:p w:rsidR="00652E30" w:rsidRDefault="00652E30" w:rsidP="00CB73DB">
      <w:pPr>
        <w:pStyle w:val="PIHeading1"/>
        <w:rPr>
          <w:sz w:val="22"/>
        </w:rPr>
      </w:pPr>
      <w:r>
        <w:t>DESCRIPTION</w:t>
      </w:r>
    </w:p>
    <w:p w:rsidR="00652E30" w:rsidRDefault="00652E30" w:rsidP="00A157BB">
      <w:pPr>
        <w:rPr>
          <w:sz w:val="22"/>
        </w:rPr>
      </w:pPr>
      <w:r>
        <w:t xml:space="preserve">Eplerenone is an odourless, white to off-white crystalline powder. </w:t>
      </w:r>
      <w:r w:rsidR="006E581A">
        <w:t xml:space="preserve"> </w:t>
      </w:r>
      <w:r>
        <w:t xml:space="preserve">It is very slightly soluble in water, with its solubility essentially pH independent. </w:t>
      </w:r>
      <w:r w:rsidR="006E581A">
        <w:t xml:space="preserve"> </w:t>
      </w:r>
      <w:r>
        <w:t>The octanol/water partition coefficient of eplerenone is approximately 7.1 at pH 7.0.</w:t>
      </w:r>
    </w:p>
    <w:p w:rsidR="00652E30" w:rsidRDefault="00652E30" w:rsidP="00A157BB">
      <w:r>
        <w:t xml:space="preserve">Each </w:t>
      </w:r>
      <w:r w:rsidR="00527983">
        <w:t>INSPRA</w:t>
      </w:r>
      <w:r>
        <w:t xml:space="preserve"> tablet contains 25 or 50</w:t>
      </w:r>
      <w:r w:rsidR="002B70EF">
        <w:t xml:space="preserve"> </w:t>
      </w:r>
      <w:r>
        <w:t>mg eplerenone and the following inactive ingredients: lactose, microcrystalline cellulose, croscarmellose sodium, hypromellose, sodium lauryl sulfate, talc-purified, magnesium stearate, titanium dioxide, macrogol 400, polysorbate 80, iron oxide yellow (CI77492), and iron oxide red (CI77491).</w:t>
      </w:r>
    </w:p>
    <w:p w:rsidR="00652E30" w:rsidRDefault="00652E30" w:rsidP="00CB73DB">
      <w:pPr>
        <w:pStyle w:val="PIHeading1"/>
        <w:rPr>
          <w:sz w:val="22"/>
        </w:rPr>
      </w:pPr>
      <w:r>
        <w:t>PHARMACOLOGY</w:t>
      </w:r>
    </w:p>
    <w:p w:rsidR="00652E30" w:rsidRDefault="00652E30" w:rsidP="00A157BB">
      <w:pPr>
        <w:pStyle w:val="Heading3"/>
        <w:rPr>
          <w:sz w:val="22"/>
        </w:rPr>
      </w:pPr>
      <w:r>
        <w:t>Pharmacodynamics</w:t>
      </w:r>
    </w:p>
    <w:p w:rsidR="00652E30" w:rsidRDefault="00652E30" w:rsidP="00A157BB">
      <w:pPr>
        <w:rPr>
          <w:sz w:val="22"/>
        </w:rPr>
      </w:pPr>
      <w:r>
        <w:t xml:space="preserve">Eplerenone is a relatively selective mineralocorticoid receptor antagonist with weak binding to androgen, glucocorticoid and progesterone receptors. </w:t>
      </w:r>
      <w:r w:rsidR="006E581A">
        <w:t xml:space="preserve"> </w:t>
      </w:r>
      <w:r>
        <w:t>Eplerenone prevents the binding of aldosterone, a key hormone in the renin-angiotensin-aldosterone-system (RAAS), which is involved in the regulation of blood pressure and the pathophysiology of cardiovascular disease.</w:t>
      </w:r>
    </w:p>
    <w:p w:rsidR="00652E30" w:rsidRDefault="00652E30" w:rsidP="00A157BB">
      <w:pPr>
        <w:rPr>
          <w:sz w:val="22"/>
        </w:rPr>
      </w:pPr>
      <w:r>
        <w:t xml:space="preserve">Eplerenone has been shown to produce sustained increases in plasma renin and serum aldosterone, consistent with inhibition of the negative regulatory feedback of aldosterone on renin secretion. </w:t>
      </w:r>
      <w:r w:rsidR="006E581A">
        <w:t xml:space="preserve"> </w:t>
      </w:r>
      <w:r>
        <w:t>The resulting increased plasma renin activity and aldosterone circulating levels do not overcome the effects of eplerenone on blood pressure.</w:t>
      </w:r>
    </w:p>
    <w:p w:rsidR="00652E30" w:rsidRDefault="00652E30" w:rsidP="00A157BB">
      <w:pPr>
        <w:rPr>
          <w:sz w:val="22"/>
        </w:rPr>
      </w:pPr>
      <w:r>
        <w:t xml:space="preserve">Eplerenone attenuates progression of heart failure in animal models with both ischaemic and nonischaemic aetiologies. </w:t>
      </w:r>
      <w:r w:rsidR="006E581A">
        <w:t xml:space="preserve"> </w:t>
      </w:r>
      <w:r>
        <w:t xml:space="preserve">Independent of blood pressure lowering, eplerenone preserves </w:t>
      </w:r>
      <w:r>
        <w:lastRenderedPageBreak/>
        <w:t xml:space="preserve">diastolic and systolic function and reduces left ventricular remodelling. </w:t>
      </w:r>
      <w:r w:rsidR="006E581A">
        <w:t xml:space="preserve"> </w:t>
      </w:r>
      <w:r>
        <w:t>In animal models, eplerenone reduces vascular inflammation and injury in the heart and kidney.</w:t>
      </w:r>
    </w:p>
    <w:p w:rsidR="00652E30" w:rsidRDefault="00652E30" w:rsidP="00A157BB">
      <w:pPr>
        <w:pStyle w:val="Heading3"/>
        <w:rPr>
          <w:sz w:val="22"/>
        </w:rPr>
      </w:pPr>
      <w:r>
        <w:t>Pharmacokinetics</w:t>
      </w:r>
    </w:p>
    <w:p w:rsidR="00652E30" w:rsidRDefault="00652E30" w:rsidP="00A157BB">
      <w:r>
        <w:t xml:space="preserve">Eplerenone is cleared predominantly by cytochrome P450 (CYP) 3A4 metabolism, with an elimination half-life of 3 to 5 hours. </w:t>
      </w:r>
      <w:r w:rsidR="006E581A">
        <w:t xml:space="preserve"> </w:t>
      </w:r>
      <w:r>
        <w:t xml:space="preserve">Steady state is reached within 2 days. </w:t>
      </w:r>
      <w:r w:rsidR="006E581A">
        <w:t xml:space="preserve"> </w:t>
      </w:r>
      <w:r>
        <w:t xml:space="preserve">Absorption is not affected by food. </w:t>
      </w:r>
      <w:r w:rsidR="006E581A">
        <w:t xml:space="preserve"> </w:t>
      </w:r>
      <w:r>
        <w:t>Inhibitors of CYP3A4 (e.g. ketoconazole, saquinavir) increase blood levels of eplerenone.</w:t>
      </w:r>
    </w:p>
    <w:p w:rsidR="00652E30" w:rsidRPr="00A157BB" w:rsidRDefault="00652E30" w:rsidP="00A157BB">
      <w:pPr>
        <w:pStyle w:val="Heading4"/>
      </w:pPr>
      <w:r w:rsidRPr="00A157BB">
        <w:t>Absorption</w:t>
      </w:r>
    </w:p>
    <w:p w:rsidR="00652E30" w:rsidRDefault="00652E30" w:rsidP="00A157BB">
      <w:r>
        <w:t xml:space="preserve">Mean peak plasma concentrations of eplerenone are reached approximately 1.5 hours following oral administration. </w:t>
      </w:r>
      <w:r w:rsidR="006E581A">
        <w:t xml:space="preserve"> </w:t>
      </w:r>
      <w:r>
        <w:t xml:space="preserve">The absolute bioavailability of eplerenone 100mg tablet is 69%. </w:t>
      </w:r>
      <w:r w:rsidR="006E581A">
        <w:t xml:space="preserve"> </w:t>
      </w:r>
      <w:r>
        <w:t>Both peak plasma levels (C</w:t>
      </w:r>
      <w:r>
        <w:rPr>
          <w:vertAlign w:val="subscript"/>
        </w:rPr>
        <w:t>max</w:t>
      </w:r>
      <w:r>
        <w:t>) and area under the curve (AUC) are dose proportional for doses of 25 to 100mg and less than proportional at doses above 100mg.</w:t>
      </w:r>
    </w:p>
    <w:p w:rsidR="00652E30" w:rsidRDefault="00652E30" w:rsidP="00A157BB">
      <w:pPr>
        <w:pStyle w:val="Heading4"/>
      </w:pPr>
      <w:r>
        <w:t>Distribution</w:t>
      </w:r>
    </w:p>
    <w:p w:rsidR="00652E30" w:rsidRDefault="00652E30" w:rsidP="00A157BB">
      <w:r>
        <w:t xml:space="preserve">The plasma protein binding of eplerenone is about 50% and is primarily bound to alpha-1-acid glycoproteins. </w:t>
      </w:r>
      <w:r w:rsidR="006E581A">
        <w:t xml:space="preserve"> </w:t>
      </w:r>
      <w:r>
        <w:t xml:space="preserve">The apparent volume of distribution at steady state ranged from 43 to 90L. </w:t>
      </w:r>
      <w:r w:rsidR="006E581A">
        <w:t xml:space="preserve"> </w:t>
      </w:r>
      <w:r>
        <w:t>Eplerenone does not preferentially bind to red blood cells.</w:t>
      </w:r>
    </w:p>
    <w:p w:rsidR="00652E30" w:rsidRDefault="00652E30" w:rsidP="00A157BB">
      <w:pPr>
        <w:pStyle w:val="Heading4"/>
      </w:pPr>
      <w:r>
        <w:t>Metabolism</w:t>
      </w:r>
    </w:p>
    <w:p w:rsidR="00652E30" w:rsidRDefault="00652E30" w:rsidP="00A157BB">
      <w:pPr>
        <w:rPr>
          <w:b/>
          <w:bCs/>
          <w:i/>
          <w:iCs/>
        </w:rPr>
      </w:pPr>
      <w:r>
        <w:t xml:space="preserve">Eplerenone metabolism is primarily mediated via CYP3A4. </w:t>
      </w:r>
      <w:r w:rsidR="006E581A">
        <w:t xml:space="preserve"> </w:t>
      </w:r>
      <w:r>
        <w:t>No active metabolites of eplerenone have been identified in human plasma.</w:t>
      </w:r>
    </w:p>
    <w:p w:rsidR="00652E30" w:rsidRDefault="00652E30" w:rsidP="00A157BB">
      <w:pPr>
        <w:pStyle w:val="Heading4"/>
      </w:pPr>
      <w:r>
        <w:t>Excretion</w:t>
      </w:r>
    </w:p>
    <w:p w:rsidR="00652E30" w:rsidRDefault="00652E30" w:rsidP="00A157BB">
      <w:pPr>
        <w:rPr>
          <w:b/>
          <w:bCs/>
          <w:i/>
          <w:iCs/>
        </w:rPr>
      </w:pPr>
      <w:r>
        <w:t xml:space="preserve">Less than 5% of an eplerenone dose is recovered as unchanged drug in the urine and faeces. </w:t>
      </w:r>
      <w:r w:rsidR="006E581A">
        <w:t xml:space="preserve"> </w:t>
      </w:r>
      <w:r>
        <w:t xml:space="preserve">Following a single oral dose of radiolabelled drug, approximately 32% of the dose was excreted in the faeces and approximately 67% was excreted in the urine. </w:t>
      </w:r>
      <w:r w:rsidR="006E581A">
        <w:t xml:space="preserve"> </w:t>
      </w:r>
      <w:r>
        <w:t>The elimination half</w:t>
      </w:r>
      <w:r w:rsidR="005F4BFB">
        <w:noBreakHyphen/>
      </w:r>
      <w:r>
        <w:t xml:space="preserve">life of eplerenone is approximately 3 to 5 hours. </w:t>
      </w:r>
      <w:r w:rsidR="006E581A">
        <w:t xml:space="preserve"> </w:t>
      </w:r>
      <w:r>
        <w:t>The apparent plasma clearance is approximately 10L/hr.</w:t>
      </w:r>
    </w:p>
    <w:p w:rsidR="00652E30" w:rsidRDefault="00652E30" w:rsidP="00A157BB">
      <w:pPr>
        <w:pStyle w:val="Heading4"/>
      </w:pPr>
      <w:r>
        <w:t xml:space="preserve">Special </w:t>
      </w:r>
      <w:r w:rsidR="004B3596">
        <w:t>P</w:t>
      </w:r>
      <w:r>
        <w:t>opulations</w:t>
      </w:r>
    </w:p>
    <w:p w:rsidR="00652E30" w:rsidRDefault="00652E30" w:rsidP="00A157BB">
      <w:r>
        <w:rPr>
          <w:b/>
        </w:rPr>
        <w:t>Age, gender, and race:</w:t>
      </w:r>
      <w:r>
        <w:rPr>
          <w:i/>
        </w:rPr>
        <w:t xml:space="preserve"> </w:t>
      </w:r>
      <w:r>
        <w:t xml:space="preserve">The pharmacokinetics of eplerenone at a dose of 100mg once daily have been investigated in the elderly (≥65 years), in males and females, and in blacks. </w:t>
      </w:r>
      <w:r w:rsidR="006E581A">
        <w:t xml:space="preserve"> </w:t>
      </w:r>
      <w:r>
        <w:t xml:space="preserve">The pharmacokinetics of eplerenone did not differ significantly between males and females. </w:t>
      </w:r>
      <w:r w:rsidR="006E581A">
        <w:t xml:space="preserve"> </w:t>
      </w:r>
      <w:r>
        <w:t>At steady state, elderly subjects had increases in C</w:t>
      </w:r>
      <w:r>
        <w:rPr>
          <w:vertAlign w:val="subscript"/>
        </w:rPr>
        <w:t>max</w:t>
      </w:r>
      <w:r>
        <w:t xml:space="preserve"> (22%) and AUC (45%) compared with younger subjects (18 to 45 years). </w:t>
      </w:r>
      <w:r w:rsidR="006E581A">
        <w:t xml:space="preserve"> </w:t>
      </w:r>
      <w:r>
        <w:t>At steady state, C</w:t>
      </w:r>
      <w:r>
        <w:rPr>
          <w:vertAlign w:val="subscript"/>
        </w:rPr>
        <w:t>max</w:t>
      </w:r>
      <w:r>
        <w:t xml:space="preserve"> was 19% lower and AUC was 26% lower in blacks (</w:t>
      </w:r>
      <w:r w:rsidR="00966A0B">
        <w:t xml:space="preserve">see </w:t>
      </w:r>
      <w:r>
        <w:t>DOSAGE AND ADMINISTRATION).</w:t>
      </w:r>
    </w:p>
    <w:p w:rsidR="00652E30" w:rsidRDefault="00390E77" w:rsidP="00A157BB">
      <w:pPr>
        <w:rPr>
          <w:bCs/>
          <w:iCs/>
        </w:rPr>
      </w:pPr>
      <w:r>
        <w:rPr>
          <w:b/>
          <w:bCs/>
          <w:iCs/>
        </w:rPr>
        <w:t>Chronic Kidney Disease</w:t>
      </w:r>
      <w:r w:rsidR="00652E30">
        <w:rPr>
          <w:b/>
          <w:bCs/>
          <w:iCs/>
        </w:rPr>
        <w:t>:</w:t>
      </w:r>
      <w:r w:rsidR="00652E30">
        <w:rPr>
          <w:iCs/>
        </w:rPr>
        <w:t xml:space="preserve"> </w:t>
      </w:r>
      <w:r w:rsidR="00652E30">
        <w:t xml:space="preserve">The pharmacokinetics of eplerenone were evaluated in patients with varying degrees of </w:t>
      </w:r>
      <w:r>
        <w:t>chronic kidney disease</w:t>
      </w:r>
      <w:r w:rsidR="00652E30">
        <w:t xml:space="preserve"> and in patients undergoing h</w:t>
      </w:r>
      <w:r w:rsidR="00A96D87">
        <w:t>a</w:t>
      </w:r>
      <w:r w:rsidR="00652E30">
        <w:t xml:space="preserve">emodialysis. </w:t>
      </w:r>
      <w:r w:rsidR="006E581A">
        <w:t xml:space="preserve"> </w:t>
      </w:r>
      <w:r w:rsidR="00652E30">
        <w:t>Compared with control subjects, steady-state AUC and C</w:t>
      </w:r>
      <w:r w:rsidR="00652E30">
        <w:rPr>
          <w:vertAlign w:val="subscript"/>
        </w:rPr>
        <w:t>max</w:t>
      </w:r>
      <w:r w:rsidR="00652E30">
        <w:t xml:space="preserve"> were increased by 38% and 24%, respectively, in patients with severe </w:t>
      </w:r>
      <w:r>
        <w:t>chronic kidney disease</w:t>
      </w:r>
      <w:r w:rsidR="00652E30">
        <w:t xml:space="preserve"> and were decreased by 26% and 3%, respectively, in patients undergoing h</w:t>
      </w:r>
      <w:r w:rsidR="00A96D87">
        <w:t>a</w:t>
      </w:r>
      <w:r w:rsidR="00652E30">
        <w:t xml:space="preserve">emodialysis. </w:t>
      </w:r>
      <w:r w:rsidR="006E581A">
        <w:t xml:space="preserve"> </w:t>
      </w:r>
      <w:r w:rsidR="00652E30">
        <w:t xml:space="preserve">No correlation was observed between plasma clearance of eplerenone and creatinine clearance. </w:t>
      </w:r>
      <w:r w:rsidR="006E581A">
        <w:t xml:space="preserve"> </w:t>
      </w:r>
      <w:r w:rsidR="00652E30">
        <w:t>Eplerenone is not removed by h</w:t>
      </w:r>
      <w:r w:rsidR="00A96D87">
        <w:t>a</w:t>
      </w:r>
      <w:r w:rsidR="00652E30">
        <w:t>emodialysis (see PRECAUTIONS).</w:t>
      </w:r>
    </w:p>
    <w:p w:rsidR="00652E30" w:rsidRDefault="00652E30" w:rsidP="00A157BB">
      <w:pPr>
        <w:rPr>
          <w:bCs/>
          <w:iCs/>
        </w:rPr>
      </w:pPr>
      <w:r>
        <w:rPr>
          <w:b/>
          <w:bCs/>
        </w:rPr>
        <w:t>Hepatic insufficiency:</w:t>
      </w:r>
      <w:r>
        <w:t xml:space="preserve"> </w:t>
      </w:r>
      <w:r>
        <w:rPr>
          <w:iCs/>
        </w:rPr>
        <w:t>The p</w:t>
      </w:r>
      <w:r>
        <w:t xml:space="preserve">harmacokinetics of eplerenone 400mg have been investigated in patients with moderate (Child-Pugh Class B) hepatic impairment and compared with normal </w:t>
      </w:r>
      <w:r>
        <w:lastRenderedPageBreak/>
        <w:t xml:space="preserve">subjects. </w:t>
      </w:r>
      <w:r w:rsidR="006E581A">
        <w:t xml:space="preserve"> </w:t>
      </w:r>
      <w:r>
        <w:t>Steady-state C</w:t>
      </w:r>
      <w:r>
        <w:rPr>
          <w:vertAlign w:val="subscript"/>
        </w:rPr>
        <w:t>max</w:t>
      </w:r>
      <w:r>
        <w:t xml:space="preserve"> and AUC of eplerenone were increased by 3.6% and 42%, respectively (see DOSAGE AND ADMINISTRATION).</w:t>
      </w:r>
    </w:p>
    <w:p w:rsidR="00652E30" w:rsidRDefault="00652E30" w:rsidP="00A157BB">
      <w:pPr>
        <w:rPr>
          <w:bCs/>
          <w:iCs/>
        </w:rPr>
      </w:pPr>
      <w:r>
        <w:rPr>
          <w:b/>
          <w:bCs/>
        </w:rPr>
        <w:t>Heart failure:</w:t>
      </w:r>
      <w:r>
        <w:t xml:space="preserve"> The pharmacokinetics of eplerenone 50</w:t>
      </w:r>
      <w:r w:rsidR="002B70EF">
        <w:t xml:space="preserve"> </w:t>
      </w:r>
      <w:r>
        <w:t xml:space="preserve">mg was evaluated in patients with heart failure (NYHA classification II–IV). </w:t>
      </w:r>
      <w:r w:rsidR="006E581A">
        <w:t xml:space="preserve"> </w:t>
      </w:r>
      <w:r>
        <w:t>Compared with healthy subjects matched according to age, weight and gender, steady state AUC and C</w:t>
      </w:r>
      <w:r>
        <w:rPr>
          <w:vertAlign w:val="subscript"/>
        </w:rPr>
        <w:t>max</w:t>
      </w:r>
      <w:r>
        <w:t xml:space="preserve"> in heart failure patients were 38% and 30% higher, respectively. </w:t>
      </w:r>
      <w:r w:rsidR="006E581A">
        <w:t xml:space="preserve"> </w:t>
      </w:r>
      <w:r>
        <w:t xml:space="preserve">Consistent with these results, a population pharmacokinetic analysis of eplerenone based on a subset of patients from </w:t>
      </w:r>
      <w:smartTag w:uri="urn:schemas-microsoft-com:office:smarttags" w:element="place">
        <w:smartTag w:uri="urn:schemas-microsoft-com:office:smarttags" w:element="City">
          <w:r>
            <w:t>EPHESUS</w:t>
          </w:r>
        </w:smartTag>
      </w:smartTag>
      <w:r>
        <w:t xml:space="preserve"> indicates that clearance of eplerenone in patients with heart failure was similar to that in healthy elderly subjects.</w:t>
      </w:r>
    </w:p>
    <w:p w:rsidR="00CB73DB" w:rsidRDefault="00CB73DB" w:rsidP="00CB73DB">
      <w:pPr>
        <w:pStyle w:val="PIHeading1"/>
      </w:pPr>
      <w:r>
        <w:t>CLINICAL TRIALS</w:t>
      </w:r>
    </w:p>
    <w:p w:rsidR="00652E30" w:rsidRDefault="00652E30" w:rsidP="00A157BB">
      <w:pPr>
        <w:pStyle w:val="Heading3"/>
      </w:pPr>
      <w:smartTag w:uri="urn:schemas-microsoft-com:office:smarttags" w:element="City">
        <w:smartTag w:uri="urn:schemas-microsoft-com:office:smarttags" w:element="place">
          <w:r>
            <w:t>EPHESUS</w:t>
          </w:r>
        </w:smartTag>
      </w:smartTag>
      <w:r>
        <w:t xml:space="preserve"> </w:t>
      </w:r>
      <w:r w:rsidR="004B3596">
        <w:t>T</w:t>
      </w:r>
      <w:r>
        <w:t>rial</w:t>
      </w:r>
    </w:p>
    <w:p w:rsidR="00652E30" w:rsidRDefault="00652E30" w:rsidP="00A157BB">
      <w:r>
        <w:t xml:space="preserve">Eplerenone was studied in the </w:t>
      </w:r>
      <w:r>
        <w:rPr>
          <w:b/>
          <w:bCs/>
        </w:rPr>
        <w:t>E</w:t>
      </w:r>
      <w:r>
        <w:t xml:space="preserve">plerenone </w:t>
      </w:r>
      <w:r>
        <w:rPr>
          <w:b/>
          <w:bCs/>
        </w:rPr>
        <w:t>P</w:t>
      </w:r>
      <w:r>
        <w:t xml:space="preserve">ost-acute myocardial infarction </w:t>
      </w:r>
      <w:r>
        <w:rPr>
          <w:b/>
          <w:bCs/>
        </w:rPr>
        <w:t>H</w:t>
      </w:r>
      <w:r>
        <w:t xml:space="preserve">eart failure </w:t>
      </w:r>
      <w:r>
        <w:rPr>
          <w:b/>
          <w:bCs/>
        </w:rPr>
        <w:t>E</w:t>
      </w:r>
      <w:r>
        <w:t xml:space="preserve">fficacy and </w:t>
      </w:r>
      <w:r>
        <w:rPr>
          <w:b/>
          <w:bCs/>
        </w:rPr>
        <w:t>SU</w:t>
      </w:r>
      <w:r>
        <w:t xml:space="preserve">rvival </w:t>
      </w:r>
      <w:r>
        <w:rPr>
          <w:b/>
          <w:bCs/>
        </w:rPr>
        <w:t>S</w:t>
      </w:r>
      <w:r>
        <w:t xml:space="preserve">tudy (EPHESUS). </w:t>
      </w:r>
      <w:r w:rsidR="006E581A">
        <w:t xml:space="preserve"> </w:t>
      </w:r>
      <w:smartTag w:uri="urn:schemas-microsoft-com:office:smarttags" w:element="place">
        <w:smartTag w:uri="urn:schemas-microsoft-com:office:smarttags" w:element="City">
          <w:r>
            <w:t>EPHESUS</w:t>
          </w:r>
        </w:smartTag>
      </w:smartTag>
      <w:r>
        <w:t xml:space="preserve"> was a large multi-centre, double-blind, placebo-controlled study, of 3-year duration, in 6,632 patients with acute myocardial infarction (AMI), left ventricular dysfunction (as measured by left ventricular ejection fraction [LVEF] </w:t>
      </w:r>
      <w:r>
        <w:sym w:font="Symbol" w:char="F0A3"/>
      </w:r>
      <w:r>
        <w:t xml:space="preserve">40%), and clinical evidence of heart failure. </w:t>
      </w:r>
      <w:r w:rsidR="006E581A">
        <w:t xml:space="preserve"> </w:t>
      </w:r>
      <w:r>
        <w:t xml:space="preserve">Patients were randomized 3 to 14 days after an acute MI. </w:t>
      </w:r>
      <w:r w:rsidR="006E581A">
        <w:t xml:space="preserve"> </w:t>
      </w:r>
      <w:r>
        <w:t>Following randomization, patients received eplerenone or placebo in addition to standard therapies at an initial dose 25</w:t>
      </w:r>
      <w:r w:rsidR="002B70EF">
        <w:t xml:space="preserve"> </w:t>
      </w:r>
      <w:r>
        <w:t>mg once daily and titrated to the target dose of 50</w:t>
      </w:r>
      <w:r w:rsidR="002B70EF">
        <w:t xml:space="preserve"> </w:t>
      </w:r>
      <w:r>
        <w:t xml:space="preserve">mg once daily after 4 weeks if serum potassium was &lt;5.0mmol/L. </w:t>
      </w:r>
      <w:r w:rsidR="006E581A">
        <w:t xml:space="preserve"> </w:t>
      </w:r>
      <w:r>
        <w:t>Dosage was reduced or suspended anytime during the study if serum potassium levels were ≥5.5mmol/L.</w:t>
      </w:r>
    </w:p>
    <w:p w:rsidR="00652E30" w:rsidRDefault="00652E30" w:rsidP="00A157BB">
      <w:r>
        <w:t xml:space="preserve">In EPHESUS, the co-primary endpoints were all-cause mortality and the combined endpoint of cardiovascular (CV) death (defined as sudden cardiac death or death due to progression of congestive heart failure [CHF], stroke, or other CV causes) or CV hospitalisation (defined as hospitalisation for progression of CHF, ventricular arrhythmias, AMI or stroke). </w:t>
      </w:r>
      <w:r w:rsidR="006E581A">
        <w:t xml:space="preserve"> </w:t>
      </w:r>
      <w:r>
        <w:t xml:space="preserve">Because of the increased CV risk associated with diabetes, patients with diabetes and </w:t>
      </w:r>
      <w:smartTag w:uri="urn:schemas-microsoft-com:office:smarttags" w:element="place">
        <w:smartTag w:uri="urn:schemas-microsoft-com:office:smarttags" w:element="City">
          <w:r>
            <w:t>LV</w:t>
          </w:r>
        </w:smartTag>
      </w:smartTag>
      <w:r>
        <w:t xml:space="preserve"> dysfunction were eligible for randomization in the absence of symptoms of heart failure; 10% of the population met this criterion. </w:t>
      </w:r>
      <w:r w:rsidR="006E581A">
        <w:t xml:space="preserve"> </w:t>
      </w:r>
      <w:r>
        <w:t>Patients with CHF of valvular or congenital aetiology or patients with unstable post-infarct angina and patients with serum potassium &gt;5.0mmol/L or serum creatinine &gt;221</w:t>
      </w:r>
      <w:r>
        <w:rPr>
          <w:rFonts w:hint="eastAsia"/>
        </w:rPr>
        <w:t>µ</w:t>
      </w:r>
      <w:r>
        <w:t xml:space="preserve">mol/L were excluded. </w:t>
      </w:r>
      <w:r w:rsidR="006E581A">
        <w:t xml:space="preserve"> </w:t>
      </w:r>
      <w:r>
        <w:t>Patients were also allowed to undergo revascularization by angioplasty or coronary artery bypass graft surgery.</w:t>
      </w:r>
    </w:p>
    <w:p w:rsidR="00652E30" w:rsidRDefault="00652E30" w:rsidP="00C65877">
      <w:r>
        <w:t xml:space="preserve">The mean time to enrolment was 7 days, and the mean duration of follow-up was approximately 16 months. </w:t>
      </w:r>
      <w:r w:rsidR="006E581A">
        <w:t xml:space="preserve"> </w:t>
      </w:r>
      <w:r>
        <w:t>During the study patients received standard post-MI drug therapy including aspirin (92%), ACE inhibitors (90%), ß-blockers (83%), nitrates (72%), loop diuretics (66%), or HMG CoA reductase inhibitors (60%).</w:t>
      </w:r>
    </w:p>
    <w:p w:rsidR="001B29B9" w:rsidRDefault="00652E30" w:rsidP="001B29B9">
      <w:r>
        <w:t xml:space="preserve">For the co-primary endpoint for all-cause mortality, 478 (14.4 %) patients on eplerenone and 554 (16.7 %) on placebo died. </w:t>
      </w:r>
      <w:r w:rsidR="006E581A">
        <w:t xml:space="preserve"> </w:t>
      </w:r>
      <w:r>
        <w:t xml:space="preserve">Consequently, a significant (p=0.008) risk reduction (RR=15%; HR=0.85; 95% CI, 0.75–0.96) was observed with eplerenone when compared to placebo. </w:t>
      </w:r>
      <w:r w:rsidR="006E581A">
        <w:t xml:space="preserve"> </w:t>
      </w:r>
      <w:r>
        <w:t xml:space="preserve">The risk benefit for all-cause mortality was primarily due to CV mortality (12.3%). </w:t>
      </w:r>
      <w:r w:rsidR="006E581A">
        <w:t xml:space="preserve"> </w:t>
      </w:r>
      <w:r>
        <w:t>Most CV deaths were attributed to sudden death, AMI and CHF.</w:t>
      </w:r>
      <w:r w:rsidR="006E581A">
        <w:t xml:space="preserve"> </w:t>
      </w:r>
      <w:r>
        <w:t xml:space="preserve"> Kaplan-Meier curves for all</w:t>
      </w:r>
      <w:r w:rsidR="003D31B0">
        <w:noBreakHyphen/>
      </w:r>
      <w:r>
        <w:t xml:space="preserve">cause mortality are shown in </w:t>
      </w:r>
      <w:r w:rsidR="00911346">
        <w:fldChar w:fldCharType="begin"/>
      </w:r>
      <w:r w:rsidR="00911346">
        <w:instrText xml:space="preserve"> REF _Ref309295498 \h </w:instrText>
      </w:r>
      <w:r w:rsidR="00911346">
        <w:fldChar w:fldCharType="separate"/>
      </w:r>
      <w:r w:rsidR="00B82F77" w:rsidRPr="00911346">
        <w:t xml:space="preserve">Figure </w:t>
      </w:r>
      <w:r w:rsidR="00B82F77">
        <w:rPr>
          <w:noProof/>
        </w:rPr>
        <w:t>2</w:t>
      </w:r>
      <w:r w:rsidR="00911346">
        <w:fldChar w:fldCharType="end"/>
      </w:r>
      <w:r>
        <w:t xml:space="preserve">, and the efficacy analyses for the components of </w:t>
      </w:r>
      <w:r w:rsidR="001B29B9">
        <w:t>mortality are provided in Table 1.</w:t>
      </w:r>
    </w:p>
    <w:p w:rsidR="001B29B9" w:rsidRDefault="00652E30" w:rsidP="00A157BB">
      <w:r>
        <w:t xml:space="preserve">With respect to the composite endpoint of CV death or CV hospitalisation, 885 (26.7%) patients on eplerenone and 993 (30%) on placebo experienced the endpoint. </w:t>
      </w:r>
      <w:r w:rsidR="006E581A">
        <w:t xml:space="preserve"> </w:t>
      </w:r>
      <w:r>
        <w:t xml:space="preserve">With respect to </w:t>
      </w:r>
      <w:r>
        <w:lastRenderedPageBreak/>
        <w:t>the above endpoint, a significant (p=0.002) risk reduction (RR=13%; HR=0.87; 95% CI: 0.79–0.95) was observed with eplerenone when compared to placebo (</w:t>
      </w:r>
      <w:r w:rsidR="00911346">
        <w:fldChar w:fldCharType="begin"/>
      </w:r>
      <w:r w:rsidR="00911346">
        <w:instrText xml:space="preserve"> REF _Ref309295022 \h </w:instrText>
      </w:r>
      <w:r w:rsidR="00911346">
        <w:fldChar w:fldCharType="separate"/>
      </w:r>
      <w:r w:rsidR="00B82F77" w:rsidRPr="00911346">
        <w:t xml:space="preserve">Table </w:t>
      </w:r>
      <w:r w:rsidR="00B82F77">
        <w:rPr>
          <w:noProof/>
        </w:rPr>
        <w:t>2</w:t>
      </w:r>
      <w:r w:rsidR="00911346">
        <w:fldChar w:fldCharType="end"/>
      </w:r>
      <w:r>
        <w:t xml:space="preserve">; </w:t>
      </w:r>
      <w:r w:rsidR="00911346">
        <w:rPr>
          <w:highlight w:val="yellow"/>
        </w:rPr>
        <w:fldChar w:fldCharType="begin"/>
      </w:r>
      <w:r w:rsidR="00911346">
        <w:rPr>
          <w:highlight w:val="yellow"/>
        </w:rPr>
        <w:instrText xml:space="preserve"> REF _Ref309295116 \h </w:instrText>
      </w:r>
      <w:r w:rsidR="00911346">
        <w:rPr>
          <w:highlight w:val="yellow"/>
        </w:rPr>
      </w:r>
      <w:r w:rsidR="00911346">
        <w:rPr>
          <w:highlight w:val="yellow"/>
        </w:rPr>
        <w:fldChar w:fldCharType="separate"/>
      </w:r>
      <w:r w:rsidR="00B82F77" w:rsidRPr="00911346">
        <w:t xml:space="preserve">Figure </w:t>
      </w:r>
      <w:r w:rsidR="00B82F77">
        <w:rPr>
          <w:noProof/>
        </w:rPr>
        <w:t>3</w:t>
      </w:r>
      <w:r w:rsidR="00911346">
        <w:rPr>
          <w:highlight w:val="yellow"/>
        </w:rPr>
        <w:fldChar w:fldCharType="end"/>
      </w:r>
      <w:r>
        <w:t>).</w:t>
      </w:r>
    </w:p>
    <w:p w:rsidR="00652E30" w:rsidRPr="001B29B9" w:rsidRDefault="00905EEE" w:rsidP="001B29B9">
      <w:pPr>
        <w:rPr>
          <w:b/>
        </w:rPr>
      </w:pPr>
      <w:bookmarkStart w:id="0" w:name="_Ref309294977"/>
      <w:r>
        <w:rPr>
          <w:b/>
        </w:rPr>
        <w:br w:type="page"/>
      </w:r>
      <w:r w:rsidR="001B29B9" w:rsidRPr="001B29B9">
        <w:rPr>
          <w:b/>
        </w:rPr>
        <w:lastRenderedPageBreak/>
        <w:t xml:space="preserve">Table </w:t>
      </w:r>
      <w:r w:rsidR="001B29B9" w:rsidRPr="001B29B9">
        <w:rPr>
          <w:b/>
        </w:rPr>
        <w:fldChar w:fldCharType="begin"/>
      </w:r>
      <w:r w:rsidR="001B29B9" w:rsidRPr="001B29B9">
        <w:rPr>
          <w:b/>
        </w:rPr>
        <w:instrText xml:space="preserve"> SEQ Table \* ARABIC </w:instrText>
      </w:r>
      <w:r w:rsidR="001B29B9" w:rsidRPr="001B29B9">
        <w:rPr>
          <w:b/>
        </w:rPr>
        <w:fldChar w:fldCharType="separate"/>
      </w:r>
      <w:r w:rsidR="00B52C2C">
        <w:rPr>
          <w:b/>
          <w:noProof/>
        </w:rPr>
        <w:t>1</w:t>
      </w:r>
      <w:r w:rsidR="001B29B9" w:rsidRPr="001B29B9">
        <w:rPr>
          <w:b/>
        </w:rPr>
        <w:fldChar w:fldCharType="end"/>
      </w:r>
      <w:r w:rsidR="001B29B9" w:rsidRPr="001B29B9">
        <w:rPr>
          <w:b/>
        </w:rPr>
        <w:t xml:space="preserve">: </w:t>
      </w:r>
      <w:bookmarkEnd w:id="0"/>
      <w:r w:rsidR="00652E30" w:rsidRPr="001B29B9">
        <w:rPr>
          <w:b/>
        </w:rPr>
        <w:t>Components of all-cause mortality in EPHESUS</w:t>
      </w:r>
    </w:p>
    <w:tbl>
      <w:tblPr>
        <w:tblW w:w="0" w:type="auto"/>
        <w:tblInd w:w="108" w:type="dxa"/>
        <w:tblBorders>
          <w:bottom w:val="single" w:sz="4" w:space="0" w:color="auto"/>
          <w:insideH w:val="single" w:sz="4" w:space="0" w:color="auto"/>
          <w:insideV w:val="single" w:sz="4" w:space="0" w:color="auto"/>
        </w:tblBorders>
        <w:tblLayout w:type="fixed"/>
        <w:tblLook w:val="0000"/>
      </w:tblPr>
      <w:tblGrid>
        <w:gridCol w:w="3428"/>
        <w:gridCol w:w="1392"/>
        <w:gridCol w:w="1559"/>
        <w:gridCol w:w="992"/>
        <w:gridCol w:w="1134"/>
      </w:tblGrid>
      <w:tr w:rsidR="00652E30" w:rsidTr="00A157BB">
        <w:tblPrEx>
          <w:tblCellMar>
            <w:top w:w="0" w:type="dxa"/>
            <w:bottom w:w="0" w:type="dxa"/>
          </w:tblCellMar>
        </w:tblPrEx>
        <w:trPr>
          <w:cantSplit/>
          <w:tblHeader/>
        </w:trPr>
        <w:tc>
          <w:tcPr>
            <w:tcW w:w="3428" w:type="dxa"/>
            <w:vMerge w:val="restart"/>
            <w:tcBorders>
              <w:top w:val="single" w:sz="4" w:space="0" w:color="auto"/>
              <w:left w:val="single" w:sz="4" w:space="0" w:color="auto"/>
            </w:tcBorders>
          </w:tcPr>
          <w:p w:rsidR="00652E30" w:rsidRDefault="00652E30">
            <w:pPr>
              <w:pStyle w:val="NormalWeb"/>
              <w:spacing w:before="60" w:beforeAutospacing="0" w:after="60" w:afterAutospacing="0"/>
              <w:rPr>
                <w:rFonts w:ascii="Times New Roman" w:eastAsia="Times New Roman" w:hAnsi="Times New Roman" w:cs="Times New Roman"/>
                <w:sz w:val="22"/>
                <w:szCs w:val="20"/>
              </w:rPr>
            </w:pPr>
          </w:p>
        </w:tc>
        <w:tc>
          <w:tcPr>
            <w:tcW w:w="2951" w:type="dxa"/>
            <w:gridSpan w:val="2"/>
            <w:tcBorders>
              <w:top w:val="single" w:sz="4" w:space="0" w:color="auto"/>
              <w:right w:val="single" w:sz="4" w:space="0" w:color="auto"/>
            </w:tcBorders>
          </w:tcPr>
          <w:p w:rsidR="00652E30" w:rsidRDefault="00652E30">
            <w:pPr>
              <w:spacing w:before="60" w:after="60"/>
              <w:jc w:val="center"/>
              <w:rPr>
                <w:b/>
                <w:sz w:val="22"/>
              </w:rPr>
            </w:pPr>
            <w:r>
              <w:rPr>
                <w:b/>
                <w:sz w:val="22"/>
              </w:rPr>
              <w:t>Number of patients (%)</w:t>
            </w:r>
          </w:p>
        </w:tc>
        <w:tc>
          <w:tcPr>
            <w:tcW w:w="992" w:type="dxa"/>
            <w:vMerge w:val="restart"/>
            <w:tcBorders>
              <w:top w:val="single" w:sz="4" w:space="0" w:color="auto"/>
              <w:right w:val="single" w:sz="4" w:space="0" w:color="auto"/>
            </w:tcBorders>
          </w:tcPr>
          <w:p w:rsidR="00652E30" w:rsidRDefault="00652E30">
            <w:pPr>
              <w:spacing w:before="60" w:after="60"/>
              <w:ind w:left="48"/>
              <w:rPr>
                <w:b/>
                <w:sz w:val="22"/>
              </w:rPr>
            </w:pPr>
            <w:r>
              <w:rPr>
                <w:b/>
                <w:sz w:val="22"/>
              </w:rPr>
              <w:t>Hazard</w:t>
            </w:r>
            <w:r>
              <w:rPr>
                <w:b/>
                <w:sz w:val="22"/>
              </w:rPr>
              <w:br/>
              <w:t>ratio</w:t>
            </w:r>
          </w:p>
        </w:tc>
        <w:tc>
          <w:tcPr>
            <w:tcW w:w="1134" w:type="dxa"/>
            <w:vMerge w:val="restart"/>
            <w:tcBorders>
              <w:top w:val="single" w:sz="4" w:space="0" w:color="auto"/>
              <w:right w:val="single" w:sz="4" w:space="0" w:color="auto"/>
            </w:tcBorders>
          </w:tcPr>
          <w:p w:rsidR="00652E30" w:rsidRDefault="00652E30">
            <w:pPr>
              <w:spacing w:before="60" w:after="60"/>
              <w:rPr>
                <w:b/>
                <w:sz w:val="22"/>
              </w:rPr>
            </w:pPr>
            <w:r>
              <w:rPr>
                <w:b/>
                <w:sz w:val="22"/>
              </w:rPr>
              <w:t>p-value</w:t>
            </w:r>
          </w:p>
        </w:tc>
      </w:tr>
      <w:tr w:rsidR="00652E30" w:rsidTr="00A157BB">
        <w:tblPrEx>
          <w:tblCellMar>
            <w:top w:w="0" w:type="dxa"/>
            <w:bottom w:w="0" w:type="dxa"/>
          </w:tblCellMar>
        </w:tblPrEx>
        <w:trPr>
          <w:cantSplit/>
          <w:tblHeader/>
        </w:trPr>
        <w:tc>
          <w:tcPr>
            <w:tcW w:w="3428" w:type="dxa"/>
            <w:vMerge/>
            <w:tcBorders>
              <w:left w:val="single" w:sz="4" w:space="0" w:color="auto"/>
            </w:tcBorders>
          </w:tcPr>
          <w:p w:rsidR="00652E30" w:rsidRDefault="00652E30">
            <w:pPr>
              <w:spacing w:before="60" w:after="60"/>
              <w:rPr>
                <w:b/>
                <w:sz w:val="22"/>
              </w:rPr>
            </w:pPr>
          </w:p>
        </w:tc>
        <w:tc>
          <w:tcPr>
            <w:tcW w:w="1392" w:type="dxa"/>
            <w:tcBorders>
              <w:top w:val="single" w:sz="4" w:space="0" w:color="auto"/>
            </w:tcBorders>
          </w:tcPr>
          <w:p w:rsidR="00652E30" w:rsidRDefault="00652E30">
            <w:pPr>
              <w:spacing w:before="60" w:after="60"/>
              <w:jc w:val="center"/>
              <w:rPr>
                <w:b/>
                <w:sz w:val="22"/>
              </w:rPr>
            </w:pPr>
            <w:r>
              <w:rPr>
                <w:b/>
                <w:sz w:val="22"/>
              </w:rPr>
              <w:t>INSPRA</w:t>
            </w:r>
            <w:r>
              <w:rPr>
                <w:b/>
                <w:sz w:val="22"/>
              </w:rPr>
              <w:br/>
              <w:t>(n=3,319)</w:t>
            </w:r>
          </w:p>
        </w:tc>
        <w:tc>
          <w:tcPr>
            <w:tcW w:w="1559" w:type="dxa"/>
            <w:tcBorders>
              <w:top w:val="single" w:sz="4" w:space="0" w:color="auto"/>
              <w:right w:val="single" w:sz="4" w:space="0" w:color="auto"/>
            </w:tcBorders>
          </w:tcPr>
          <w:p w:rsidR="00652E30" w:rsidRDefault="00652E30">
            <w:pPr>
              <w:spacing w:before="60" w:after="60"/>
              <w:jc w:val="center"/>
              <w:rPr>
                <w:b/>
                <w:sz w:val="22"/>
              </w:rPr>
            </w:pPr>
            <w:r>
              <w:rPr>
                <w:b/>
                <w:sz w:val="22"/>
              </w:rPr>
              <w:t>Placebo</w:t>
            </w:r>
            <w:r>
              <w:rPr>
                <w:b/>
                <w:sz w:val="22"/>
              </w:rPr>
              <w:br/>
              <w:t>(n=3,313)</w:t>
            </w:r>
          </w:p>
        </w:tc>
        <w:tc>
          <w:tcPr>
            <w:tcW w:w="992" w:type="dxa"/>
            <w:vMerge/>
            <w:tcBorders>
              <w:right w:val="single" w:sz="4" w:space="0" w:color="auto"/>
            </w:tcBorders>
          </w:tcPr>
          <w:p w:rsidR="00652E30" w:rsidRDefault="00652E30">
            <w:pPr>
              <w:spacing w:before="60" w:after="60"/>
              <w:ind w:left="48"/>
              <w:rPr>
                <w:b/>
                <w:sz w:val="22"/>
              </w:rPr>
            </w:pPr>
          </w:p>
        </w:tc>
        <w:tc>
          <w:tcPr>
            <w:tcW w:w="1134" w:type="dxa"/>
            <w:vMerge/>
            <w:tcBorders>
              <w:right w:val="single" w:sz="4" w:space="0" w:color="auto"/>
            </w:tcBorders>
          </w:tcPr>
          <w:p w:rsidR="00652E30" w:rsidRDefault="00652E30">
            <w:pPr>
              <w:spacing w:before="60" w:after="60"/>
              <w:rPr>
                <w:b/>
                <w:sz w:val="22"/>
              </w:rPr>
            </w:pPr>
          </w:p>
        </w:tc>
      </w:tr>
      <w:tr w:rsidR="00652E30">
        <w:tblPrEx>
          <w:tblCellMar>
            <w:top w:w="0" w:type="dxa"/>
            <w:bottom w:w="0" w:type="dxa"/>
          </w:tblCellMar>
        </w:tblPrEx>
        <w:trPr>
          <w:cantSplit/>
        </w:trPr>
        <w:tc>
          <w:tcPr>
            <w:tcW w:w="3428" w:type="dxa"/>
            <w:tcBorders>
              <w:top w:val="single" w:sz="4" w:space="0" w:color="auto"/>
              <w:left w:val="single" w:sz="4" w:space="0" w:color="auto"/>
            </w:tcBorders>
          </w:tcPr>
          <w:p w:rsidR="00652E30" w:rsidRDefault="00652E30">
            <w:pPr>
              <w:tabs>
                <w:tab w:val="left" w:pos="180"/>
                <w:tab w:val="left" w:pos="360"/>
              </w:tabs>
              <w:spacing w:before="60" w:after="60"/>
              <w:rPr>
                <w:sz w:val="22"/>
              </w:rPr>
            </w:pPr>
            <w:r>
              <w:rPr>
                <w:sz w:val="22"/>
              </w:rPr>
              <w:t>Death from any cause</w:t>
            </w:r>
          </w:p>
        </w:tc>
        <w:tc>
          <w:tcPr>
            <w:tcW w:w="1392" w:type="dxa"/>
            <w:tcBorders>
              <w:top w:val="single" w:sz="4" w:space="0" w:color="auto"/>
            </w:tcBorders>
          </w:tcPr>
          <w:p w:rsidR="00652E30" w:rsidRDefault="00652E30">
            <w:pPr>
              <w:spacing w:before="60" w:after="60"/>
              <w:jc w:val="center"/>
              <w:rPr>
                <w:sz w:val="22"/>
              </w:rPr>
            </w:pPr>
            <w:r>
              <w:rPr>
                <w:sz w:val="22"/>
              </w:rPr>
              <w:t>478 (14.4)</w:t>
            </w:r>
          </w:p>
        </w:tc>
        <w:tc>
          <w:tcPr>
            <w:tcW w:w="1559" w:type="dxa"/>
            <w:tcBorders>
              <w:right w:val="single" w:sz="4" w:space="0" w:color="auto"/>
            </w:tcBorders>
          </w:tcPr>
          <w:p w:rsidR="00652E30" w:rsidRDefault="00652E30">
            <w:pPr>
              <w:spacing w:before="60" w:after="60"/>
              <w:jc w:val="center"/>
              <w:rPr>
                <w:sz w:val="22"/>
              </w:rPr>
            </w:pPr>
            <w:r>
              <w:rPr>
                <w:sz w:val="22"/>
              </w:rPr>
              <w:t>554 (16.7)</w:t>
            </w:r>
          </w:p>
        </w:tc>
        <w:tc>
          <w:tcPr>
            <w:tcW w:w="992" w:type="dxa"/>
            <w:tcBorders>
              <w:right w:val="single" w:sz="4" w:space="0" w:color="auto"/>
            </w:tcBorders>
          </w:tcPr>
          <w:p w:rsidR="00652E30" w:rsidRDefault="00652E30">
            <w:pPr>
              <w:spacing w:before="60" w:after="60"/>
              <w:ind w:left="48"/>
              <w:rPr>
                <w:sz w:val="22"/>
              </w:rPr>
            </w:pPr>
            <w:r>
              <w:rPr>
                <w:sz w:val="22"/>
              </w:rPr>
              <w:t>0.85</w:t>
            </w:r>
          </w:p>
        </w:tc>
        <w:tc>
          <w:tcPr>
            <w:tcW w:w="1134" w:type="dxa"/>
            <w:tcBorders>
              <w:right w:val="single" w:sz="4" w:space="0" w:color="auto"/>
            </w:tcBorders>
          </w:tcPr>
          <w:p w:rsidR="00652E30" w:rsidRDefault="00652E30">
            <w:pPr>
              <w:spacing w:before="60" w:after="60"/>
              <w:rPr>
                <w:sz w:val="22"/>
              </w:rPr>
            </w:pPr>
            <w:r>
              <w:rPr>
                <w:sz w:val="22"/>
              </w:rPr>
              <w:t>0.008</w:t>
            </w:r>
          </w:p>
        </w:tc>
      </w:tr>
      <w:tr w:rsidR="00652E30">
        <w:tblPrEx>
          <w:tblCellMar>
            <w:top w:w="0" w:type="dxa"/>
            <w:bottom w:w="0" w:type="dxa"/>
          </w:tblCellMar>
        </w:tblPrEx>
        <w:trPr>
          <w:cantSplit/>
        </w:trPr>
        <w:tc>
          <w:tcPr>
            <w:tcW w:w="3428" w:type="dxa"/>
            <w:tcBorders>
              <w:top w:val="single" w:sz="4" w:space="0" w:color="auto"/>
              <w:left w:val="single" w:sz="4" w:space="0" w:color="auto"/>
              <w:bottom w:val="nil"/>
            </w:tcBorders>
          </w:tcPr>
          <w:p w:rsidR="00652E30" w:rsidRDefault="00652E30">
            <w:pPr>
              <w:pStyle w:val="Paragraph"/>
              <w:tabs>
                <w:tab w:val="left" w:pos="180"/>
                <w:tab w:val="left" w:pos="360"/>
              </w:tabs>
              <w:spacing w:before="60" w:after="60"/>
              <w:rPr>
                <w:sz w:val="22"/>
                <w:szCs w:val="20"/>
                <w:lang w:val="en-AU"/>
              </w:rPr>
            </w:pPr>
            <w:r>
              <w:rPr>
                <w:sz w:val="22"/>
                <w:szCs w:val="20"/>
                <w:lang w:val="en-AU"/>
              </w:rPr>
              <w:tab/>
              <w:t>CV death</w:t>
            </w:r>
          </w:p>
        </w:tc>
        <w:tc>
          <w:tcPr>
            <w:tcW w:w="1392" w:type="dxa"/>
            <w:tcBorders>
              <w:top w:val="single" w:sz="4" w:space="0" w:color="auto"/>
              <w:bottom w:val="nil"/>
            </w:tcBorders>
          </w:tcPr>
          <w:p w:rsidR="00652E30" w:rsidRDefault="00652E30">
            <w:pPr>
              <w:tabs>
                <w:tab w:val="left" w:pos="288"/>
              </w:tabs>
              <w:spacing w:before="60" w:after="60"/>
              <w:jc w:val="center"/>
              <w:rPr>
                <w:sz w:val="22"/>
              </w:rPr>
            </w:pPr>
            <w:r>
              <w:rPr>
                <w:sz w:val="22"/>
              </w:rPr>
              <w:t>407 (12.3)</w:t>
            </w:r>
          </w:p>
        </w:tc>
        <w:tc>
          <w:tcPr>
            <w:tcW w:w="1559" w:type="dxa"/>
            <w:tcBorders>
              <w:right w:val="single" w:sz="4" w:space="0" w:color="auto"/>
            </w:tcBorders>
          </w:tcPr>
          <w:p w:rsidR="00652E30" w:rsidRDefault="00652E30">
            <w:pPr>
              <w:tabs>
                <w:tab w:val="left" w:pos="648"/>
              </w:tabs>
              <w:spacing w:before="60" w:after="60"/>
              <w:jc w:val="center"/>
              <w:rPr>
                <w:sz w:val="22"/>
              </w:rPr>
            </w:pPr>
            <w:r>
              <w:rPr>
                <w:sz w:val="22"/>
              </w:rPr>
              <w:t>483 (14.6)</w:t>
            </w:r>
          </w:p>
        </w:tc>
        <w:tc>
          <w:tcPr>
            <w:tcW w:w="992" w:type="dxa"/>
            <w:tcBorders>
              <w:right w:val="single" w:sz="4" w:space="0" w:color="auto"/>
            </w:tcBorders>
          </w:tcPr>
          <w:p w:rsidR="00652E30" w:rsidRDefault="00652E30">
            <w:pPr>
              <w:tabs>
                <w:tab w:val="left" w:pos="648"/>
              </w:tabs>
              <w:spacing w:before="60" w:after="60"/>
              <w:ind w:left="48"/>
              <w:rPr>
                <w:sz w:val="22"/>
              </w:rPr>
            </w:pPr>
            <w:r>
              <w:rPr>
                <w:sz w:val="22"/>
              </w:rPr>
              <w:t>0.83</w:t>
            </w:r>
          </w:p>
        </w:tc>
        <w:tc>
          <w:tcPr>
            <w:tcW w:w="1134" w:type="dxa"/>
            <w:tcBorders>
              <w:right w:val="single" w:sz="4" w:space="0" w:color="auto"/>
            </w:tcBorders>
          </w:tcPr>
          <w:p w:rsidR="00652E30" w:rsidRDefault="00652E30">
            <w:pPr>
              <w:tabs>
                <w:tab w:val="left" w:pos="648"/>
              </w:tabs>
              <w:spacing w:before="60" w:after="60"/>
              <w:rPr>
                <w:sz w:val="22"/>
              </w:rPr>
            </w:pPr>
            <w:r>
              <w:rPr>
                <w:sz w:val="22"/>
              </w:rPr>
              <w:t>0.005</w:t>
            </w:r>
          </w:p>
        </w:tc>
      </w:tr>
      <w:tr w:rsidR="00652E30">
        <w:tblPrEx>
          <w:tblCellMar>
            <w:top w:w="0" w:type="dxa"/>
            <w:bottom w:w="0" w:type="dxa"/>
          </w:tblCellMar>
        </w:tblPrEx>
        <w:trPr>
          <w:cantSplit/>
        </w:trPr>
        <w:tc>
          <w:tcPr>
            <w:tcW w:w="3428" w:type="dxa"/>
            <w:tcBorders>
              <w:top w:val="single" w:sz="4" w:space="0" w:color="auto"/>
              <w:left w:val="single" w:sz="4" w:space="0" w:color="auto"/>
              <w:bottom w:val="nil"/>
            </w:tcBorders>
          </w:tcPr>
          <w:p w:rsidR="00652E30" w:rsidRDefault="00652E30">
            <w:pPr>
              <w:tabs>
                <w:tab w:val="left" w:pos="180"/>
                <w:tab w:val="left" w:pos="360"/>
                <w:tab w:val="left" w:pos="540"/>
              </w:tabs>
              <w:spacing w:before="60" w:after="60"/>
              <w:rPr>
                <w:sz w:val="22"/>
              </w:rPr>
            </w:pPr>
            <w:r>
              <w:rPr>
                <w:sz w:val="22"/>
              </w:rPr>
              <w:tab/>
              <w:t>Non-CV death</w:t>
            </w:r>
          </w:p>
        </w:tc>
        <w:tc>
          <w:tcPr>
            <w:tcW w:w="1392" w:type="dxa"/>
            <w:tcBorders>
              <w:top w:val="single" w:sz="4" w:space="0" w:color="auto"/>
              <w:bottom w:val="nil"/>
            </w:tcBorders>
          </w:tcPr>
          <w:p w:rsidR="00652E30" w:rsidRDefault="00652E30">
            <w:pPr>
              <w:tabs>
                <w:tab w:val="left" w:pos="288"/>
              </w:tabs>
              <w:spacing w:before="60" w:after="60"/>
              <w:jc w:val="center"/>
              <w:rPr>
                <w:sz w:val="22"/>
              </w:rPr>
            </w:pPr>
            <w:r>
              <w:rPr>
                <w:sz w:val="22"/>
              </w:rPr>
              <w:t>60 (1.8)</w:t>
            </w:r>
          </w:p>
        </w:tc>
        <w:tc>
          <w:tcPr>
            <w:tcW w:w="1559" w:type="dxa"/>
            <w:tcBorders>
              <w:right w:val="single" w:sz="4" w:space="0" w:color="auto"/>
            </w:tcBorders>
          </w:tcPr>
          <w:p w:rsidR="00652E30" w:rsidRDefault="00652E30">
            <w:pPr>
              <w:tabs>
                <w:tab w:val="left" w:pos="648"/>
              </w:tabs>
              <w:spacing w:before="60" w:after="60"/>
              <w:jc w:val="center"/>
              <w:rPr>
                <w:sz w:val="22"/>
              </w:rPr>
            </w:pPr>
            <w:r>
              <w:rPr>
                <w:sz w:val="22"/>
              </w:rPr>
              <w:t>54 (1.6)</w:t>
            </w:r>
          </w:p>
        </w:tc>
        <w:tc>
          <w:tcPr>
            <w:tcW w:w="992" w:type="dxa"/>
            <w:tcBorders>
              <w:right w:val="single" w:sz="4" w:space="0" w:color="auto"/>
            </w:tcBorders>
          </w:tcPr>
          <w:p w:rsidR="00652E30" w:rsidRDefault="00652E30">
            <w:pPr>
              <w:tabs>
                <w:tab w:val="left" w:pos="648"/>
              </w:tabs>
              <w:spacing w:before="60" w:after="60"/>
              <w:ind w:left="48"/>
              <w:rPr>
                <w:sz w:val="22"/>
              </w:rPr>
            </w:pPr>
          </w:p>
        </w:tc>
        <w:tc>
          <w:tcPr>
            <w:tcW w:w="1134" w:type="dxa"/>
            <w:tcBorders>
              <w:right w:val="single" w:sz="4" w:space="0" w:color="auto"/>
            </w:tcBorders>
          </w:tcPr>
          <w:p w:rsidR="00652E30" w:rsidRDefault="00652E30">
            <w:pPr>
              <w:tabs>
                <w:tab w:val="left" w:pos="648"/>
              </w:tabs>
              <w:spacing w:before="60" w:after="60"/>
              <w:rPr>
                <w:sz w:val="22"/>
              </w:rPr>
            </w:pPr>
          </w:p>
        </w:tc>
      </w:tr>
      <w:tr w:rsidR="00652E30">
        <w:tblPrEx>
          <w:tblCellMar>
            <w:top w:w="0" w:type="dxa"/>
            <w:bottom w:w="0" w:type="dxa"/>
          </w:tblCellMar>
        </w:tblPrEx>
        <w:trPr>
          <w:cantSplit/>
        </w:trPr>
        <w:tc>
          <w:tcPr>
            <w:tcW w:w="3428" w:type="dxa"/>
            <w:tcBorders>
              <w:top w:val="single" w:sz="4" w:space="0" w:color="auto"/>
              <w:left w:val="single" w:sz="4" w:space="0" w:color="auto"/>
            </w:tcBorders>
          </w:tcPr>
          <w:p w:rsidR="00652E30" w:rsidRDefault="00652E30">
            <w:pPr>
              <w:tabs>
                <w:tab w:val="left" w:pos="171"/>
              </w:tabs>
              <w:spacing w:before="60" w:after="60"/>
              <w:rPr>
                <w:sz w:val="22"/>
              </w:rPr>
            </w:pPr>
            <w:r>
              <w:rPr>
                <w:sz w:val="22"/>
              </w:rPr>
              <w:tab/>
              <w:t>Unknown or unwitnessed death</w:t>
            </w:r>
          </w:p>
        </w:tc>
        <w:tc>
          <w:tcPr>
            <w:tcW w:w="1392" w:type="dxa"/>
            <w:tcBorders>
              <w:top w:val="single" w:sz="4" w:space="0" w:color="auto"/>
            </w:tcBorders>
          </w:tcPr>
          <w:p w:rsidR="00652E30" w:rsidRDefault="00652E30">
            <w:pPr>
              <w:tabs>
                <w:tab w:val="left" w:pos="288"/>
              </w:tabs>
              <w:spacing w:before="60" w:after="60"/>
              <w:jc w:val="center"/>
              <w:rPr>
                <w:sz w:val="22"/>
              </w:rPr>
            </w:pPr>
            <w:r>
              <w:rPr>
                <w:sz w:val="22"/>
              </w:rPr>
              <w:t>11 (0.3)</w:t>
            </w:r>
          </w:p>
        </w:tc>
        <w:tc>
          <w:tcPr>
            <w:tcW w:w="1559" w:type="dxa"/>
            <w:tcBorders>
              <w:right w:val="single" w:sz="4" w:space="0" w:color="auto"/>
            </w:tcBorders>
          </w:tcPr>
          <w:p w:rsidR="00652E30" w:rsidRDefault="00652E30">
            <w:pPr>
              <w:tabs>
                <w:tab w:val="left" w:pos="648"/>
              </w:tabs>
              <w:spacing w:before="60" w:after="60"/>
              <w:jc w:val="center"/>
              <w:rPr>
                <w:sz w:val="22"/>
              </w:rPr>
            </w:pPr>
            <w:r>
              <w:rPr>
                <w:sz w:val="22"/>
              </w:rPr>
              <w:t>17 (0.5)</w:t>
            </w:r>
          </w:p>
        </w:tc>
        <w:tc>
          <w:tcPr>
            <w:tcW w:w="992" w:type="dxa"/>
            <w:tcBorders>
              <w:right w:val="single" w:sz="4" w:space="0" w:color="auto"/>
            </w:tcBorders>
          </w:tcPr>
          <w:p w:rsidR="00652E30" w:rsidRDefault="00652E30">
            <w:pPr>
              <w:tabs>
                <w:tab w:val="left" w:pos="648"/>
              </w:tabs>
              <w:spacing w:before="60" w:after="60"/>
              <w:ind w:left="48"/>
              <w:rPr>
                <w:sz w:val="22"/>
              </w:rPr>
            </w:pPr>
          </w:p>
        </w:tc>
        <w:tc>
          <w:tcPr>
            <w:tcW w:w="1134" w:type="dxa"/>
            <w:tcBorders>
              <w:right w:val="single" w:sz="4" w:space="0" w:color="auto"/>
            </w:tcBorders>
          </w:tcPr>
          <w:p w:rsidR="00652E30" w:rsidRDefault="00652E30">
            <w:pPr>
              <w:tabs>
                <w:tab w:val="left" w:pos="648"/>
              </w:tabs>
              <w:spacing w:before="60" w:after="60"/>
              <w:rPr>
                <w:sz w:val="22"/>
              </w:rPr>
            </w:pPr>
          </w:p>
        </w:tc>
      </w:tr>
    </w:tbl>
    <w:p w:rsidR="00652E30" w:rsidRDefault="00652E30" w:rsidP="00A157BB">
      <w:r>
        <w:br/>
        <w:t>Most CV deaths were attributed to sudden death, AMI, and congestive heart failure (CHF).</w:t>
      </w:r>
    </w:p>
    <w:p w:rsidR="00652E30" w:rsidRPr="00911346" w:rsidRDefault="006B0D1E" w:rsidP="006B0D1E">
      <w:pPr>
        <w:pStyle w:val="Caption"/>
      </w:pPr>
      <w:r>
        <w:t xml:space="preserve">Table </w:t>
      </w:r>
      <w:fldSimple w:instr=" SEQ Table \* ARABIC ">
        <w:r w:rsidR="00B52C2C">
          <w:rPr>
            <w:noProof/>
          </w:rPr>
          <w:t>2</w:t>
        </w:r>
      </w:fldSimple>
      <w:r w:rsidR="00911346" w:rsidRPr="00911346">
        <w:t xml:space="preserve">: </w:t>
      </w:r>
      <w:r w:rsidR="00652E30" w:rsidRPr="00911346">
        <w:t>Rates of death or hospitalisation in EPHESUS</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063"/>
        <w:gridCol w:w="1417"/>
        <w:gridCol w:w="1309"/>
      </w:tblGrid>
      <w:tr w:rsidR="00652E30">
        <w:tblPrEx>
          <w:tblCellMar>
            <w:top w:w="0" w:type="dxa"/>
            <w:bottom w:w="0" w:type="dxa"/>
          </w:tblCellMar>
        </w:tblPrEx>
        <w:tc>
          <w:tcPr>
            <w:tcW w:w="6063" w:type="dxa"/>
          </w:tcPr>
          <w:p w:rsidR="00652E30" w:rsidRDefault="00652E30">
            <w:pPr>
              <w:keepNext/>
              <w:keepLines/>
              <w:spacing w:before="60" w:after="60"/>
              <w:jc w:val="center"/>
              <w:rPr>
                <w:b/>
                <w:sz w:val="22"/>
              </w:rPr>
            </w:pPr>
            <w:r>
              <w:rPr>
                <w:b/>
                <w:sz w:val="22"/>
              </w:rPr>
              <w:t>Event</w:t>
            </w:r>
          </w:p>
        </w:tc>
        <w:tc>
          <w:tcPr>
            <w:tcW w:w="1417" w:type="dxa"/>
          </w:tcPr>
          <w:p w:rsidR="00652E30" w:rsidRDefault="00652E30">
            <w:pPr>
              <w:keepNext/>
              <w:keepLines/>
              <w:spacing w:before="60" w:after="60"/>
              <w:jc w:val="center"/>
              <w:rPr>
                <w:b/>
                <w:sz w:val="22"/>
              </w:rPr>
            </w:pPr>
            <w:r>
              <w:rPr>
                <w:b/>
                <w:sz w:val="22"/>
              </w:rPr>
              <w:t>INSPRA</w:t>
            </w:r>
            <w:r>
              <w:rPr>
                <w:b/>
                <w:sz w:val="22"/>
              </w:rPr>
              <w:br/>
              <w:t>n (%)</w:t>
            </w:r>
          </w:p>
        </w:tc>
        <w:tc>
          <w:tcPr>
            <w:tcW w:w="1309" w:type="dxa"/>
          </w:tcPr>
          <w:p w:rsidR="00652E30" w:rsidRDefault="00652E30">
            <w:pPr>
              <w:keepNext/>
              <w:keepLines/>
              <w:spacing w:before="60" w:after="60"/>
              <w:jc w:val="center"/>
              <w:rPr>
                <w:b/>
                <w:sz w:val="22"/>
              </w:rPr>
            </w:pPr>
            <w:r>
              <w:rPr>
                <w:b/>
                <w:sz w:val="22"/>
              </w:rPr>
              <w:t>Placebo</w:t>
            </w:r>
            <w:r>
              <w:rPr>
                <w:b/>
                <w:sz w:val="22"/>
              </w:rPr>
              <w:br/>
              <w:t>n (%)</w:t>
            </w:r>
          </w:p>
        </w:tc>
      </w:tr>
      <w:tr w:rsidR="00652E30">
        <w:tblPrEx>
          <w:tblCellMar>
            <w:top w:w="0" w:type="dxa"/>
            <w:bottom w:w="0" w:type="dxa"/>
          </w:tblCellMar>
        </w:tblPrEx>
        <w:tc>
          <w:tcPr>
            <w:tcW w:w="6063" w:type="dxa"/>
            <w:tcMar>
              <w:left w:w="115" w:type="dxa"/>
              <w:right w:w="144" w:type="dxa"/>
            </w:tcMar>
          </w:tcPr>
          <w:p w:rsidR="00652E30" w:rsidRDefault="00652E30">
            <w:pPr>
              <w:keepNext/>
              <w:keepLines/>
              <w:spacing w:before="60" w:after="60"/>
              <w:rPr>
                <w:sz w:val="22"/>
              </w:rPr>
            </w:pPr>
            <w:r>
              <w:rPr>
                <w:sz w:val="22"/>
              </w:rPr>
              <w:t>CV death or hospitalisation for progression of CHF, stroke, MI or ventricular arrhythmia</w:t>
            </w:r>
            <w:r>
              <w:rPr>
                <w:sz w:val="22"/>
                <w:vertAlign w:val="superscript"/>
              </w:rPr>
              <w:t>1</w:t>
            </w:r>
          </w:p>
          <w:p w:rsidR="00652E30" w:rsidRDefault="00652E30">
            <w:pPr>
              <w:pStyle w:val="Paragraph"/>
              <w:keepLines/>
              <w:spacing w:before="60" w:after="60"/>
              <w:rPr>
                <w:sz w:val="22"/>
                <w:szCs w:val="20"/>
                <w:lang w:val="en-AU"/>
              </w:rPr>
            </w:pPr>
            <w:r>
              <w:rPr>
                <w:sz w:val="22"/>
                <w:szCs w:val="20"/>
                <w:lang w:val="en-AU"/>
              </w:rPr>
              <w:t xml:space="preserve">  Death</w:t>
            </w:r>
          </w:p>
          <w:p w:rsidR="00652E30" w:rsidRDefault="00652E30">
            <w:pPr>
              <w:pStyle w:val="ParagraphSmall"/>
              <w:keepLines/>
              <w:spacing w:before="60" w:after="60"/>
              <w:rPr>
                <w:sz w:val="22"/>
                <w:szCs w:val="20"/>
                <w:lang w:val="en-AU"/>
              </w:rPr>
            </w:pPr>
            <w:r>
              <w:rPr>
                <w:sz w:val="22"/>
                <w:szCs w:val="20"/>
                <w:lang w:val="en-AU"/>
              </w:rPr>
              <w:t xml:space="preserve">  Hospitalisation</w:t>
            </w:r>
          </w:p>
        </w:tc>
        <w:tc>
          <w:tcPr>
            <w:tcW w:w="1417" w:type="dxa"/>
          </w:tcPr>
          <w:p w:rsidR="00652E30" w:rsidRDefault="00652E30">
            <w:pPr>
              <w:keepNext/>
              <w:keepLines/>
              <w:spacing w:before="60" w:after="60"/>
              <w:jc w:val="center"/>
              <w:rPr>
                <w:sz w:val="22"/>
              </w:rPr>
            </w:pPr>
            <w:r>
              <w:rPr>
                <w:sz w:val="22"/>
              </w:rPr>
              <w:t>885 (26.7)</w:t>
            </w:r>
            <w:r>
              <w:rPr>
                <w:sz w:val="22"/>
              </w:rPr>
              <w:br/>
            </w:r>
          </w:p>
          <w:p w:rsidR="00652E30" w:rsidRDefault="00652E30">
            <w:pPr>
              <w:keepNext/>
              <w:keepLines/>
              <w:spacing w:before="60" w:after="60"/>
              <w:jc w:val="center"/>
              <w:rPr>
                <w:sz w:val="22"/>
              </w:rPr>
            </w:pPr>
            <w:r>
              <w:rPr>
                <w:sz w:val="22"/>
              </w:rPr>
              <w:t>407 (12.3)</w:t>
            </w:r>
          </w:p>
          <w:p w:rsidR="00652E30" w:rsidRDefault="00652E30">
            <w:pPr>
              <w:keepNext/>
              <w:keepLines/>
              <w:spacing w:before="60" w:after="60"/>
              <w:jc w:val="center"/>
              <w:rPr>
                <w:sz w:val="22"/>
              </w:rPr>
            </w:pPr>
            <w:r>
              <w:rPr>
                <w:sz w:val="22"/>
              </w:rPr>
              <w:t>606 (18.3)</w:t>
            </w:r>
          </w:p>
        </w:tc>
        <w:tc>
          <w:tcPr>
            <w:tcW w:w="1309" w:type="dxa"/>
          </w:tcPr>
          <w:p w:rsidR="00652E30" w:rsidRDefault="00652E30">
            <w:pPr>
              <w:keepNext/>
              <w:keepLines/>
              <w:spacing w:before="60" w:after="60"/>
              <w:jc w:val="center"/>
              <w:rPr>
                <w:sz w:val="22"/>
              </w:rPr>
            </w:pPr>
            <w:r>
              <w:rPr>
                <w:sz w:val="22"/>
              </w:rPr>
              <w:t>993 (30.0)</w:t>
            </w:r>
            <w:r>
              <w:rPr>
                <w:sz w:val="22"/>
              </w:rPr>
              <w:br/>
            </w:r>
          </w:p>
          <w:p w:rsidR="00652E30" w:rsidRDefault="00652E30">
            <w:pPr>
              <w:keepNext/>
              <w:keepLines/>
              <w:spacing w:before="60" w:after="60"/>
              <w:jc w:val="center"/>
              <w:rPr>
                <w:sz w:val="22"/>
              </w:rPr>
            </w:pPr>
            <w:r>
              <w:rPr>
                <w:sz w:val="22"/>
              </w:rPr>
              <w:t>483 (14.6)</w:t>
            </w:r>
          </w:p>
          <w:p w:rsidR="00652E30" w:rsidRDefault="00652E30">
            <w:pPr>
              <w:keepNext/>
              <w:keepLines/>
              <w:spacing w:before="60" w:after="60"/>
              <w:jc w:val="center"/>
              <w:rPr>
                <w:sz w:val="22"/>
              </w:rPr>
            </w:pPr>
            <w:r>
              <w:rPr>
                <w:sz w:val="22"/>
              </w:rPr>
              <w:t>649 (19.6)</w:t>
            </w:r>
          </w:p>
        </w:tc>
      </w:tr>
      <w:tr w:rsidR="00652E30">
        <w:tblPrEx>
          <w:tblCellMar>
            <w:top w:w="0" w:type="dxa"/>
            <w:bottom w:w="0" w:type="dxa"/>
          </w:tblCellMar>
        </w:tblPrEx>
        <w:tc>
          <w:tcPr>
            <w:tcW w:w="6063" w:type="dxa"/>
            <w:tcBorders>
              <w:bottom w:val="single" w:sz="4" w:space="0" w:color="auto"/>
            </w:tcBorders>
            <w:tcMar>
              <w:left w:w="115" w:type="dxa"/>
              <w:right w:w="144" w:type="dxa"/>
            </w:tcMar>
          </w:tcPr>
          <w:p w:rsidR="00652E30" w:rsidRDefault="00652E30">
            <w:pPr>
              <w:keepNext/>
              <w:keepLines/>
              <w:spacing w:before="60" w:after="60"/>
              <w:rPr>
                <w:sz w:val="22"/>
              </w:rPr>
            </w:pPr>
            <w:r>
              <w:rPr>
                <w:sz w:val="22"/>
              </w:rPr>
              <w:t>CV death or hospitalisation for progression of CHF, stroke, MI, ventricular arrhythmia, atrial arrhythmia, angina, CV procedures, or other CV causes (PVD; hypotension)</w:t>
            </w:r>
          </w:p>
          <w:p w:rsidR="00652E30" w:rsidRDefault="00652E30">
            <w:pPr>
              <w:keepNext/>
              <w:keepLines/>
              <w:spacing w:before="60" w:after="60"/>
              <w:rPr>
                <w:sz w:val="22"/>
              </w:rPr>
            </w:pPr>
            <w:r>
              <w:rPr>
                <w:sz w:val="22"/>
              </w:rPr>
              <w:t xml:space="preserve">  Death</w:t>
            </w:r>
          </w:p>
          <w:p w:rsidR="00652E30" w:rsidRDefault="00652E30">
            <w:pPr>
              <w:keepNext/>
              <w:keepLines/>
              <w:spacing w:before="60" w:after="60"/>
              <w:rPr>
                <w:sz w:val="22"/>
              </w:rPr>
            </w:pPr>
            <w:r>
              <w:rPr>
                <w:sz w:val="22"/>
              </w:rPr>
              <w:t xml:space="preserve">  Hospitalisation</w:t>
            </w:r>
          </w:p>
        </w:tc>
        <w:tc>
          <w:tcPr>
            <w:tcW w:w="1417" w:type="dxa"/>
            <w:tcBorders>
              <w:bottom w:val="single" w:sz="4" w:space="0" w:color="auto"/>
            </w:tcBorders>
          </w:tcPr>
          <w:p w:rsidR="00652E30" w:rsidRDefault="00652E30">
            <w:pPr>
              <w:keepNext/>
              <w:keepLines/>
              <w:spacing w:before="60" w:after="60"/>
              <w:jc w:val="center"/>
              <w:rPr>
                <w:sz w:val="22"/>
              </w:rPr>
            </w:pPr>
            <w:r>
              <w:rPr>
                <w:sz w:val="22"/>
              </w:rPr>
              <w:t>1,516 (45.7)</w:t>
            </w:r>
            <w:r>
              <w:rPr>
                <w:sz w:val="22"/>
              </w:rPr>
              <w:br/>
            </w:r>
            <w:r>
              <w:rPr>
                <w:sz w:val="22"/>
              </w:rPr>
              <w:br/>
            </w:r>
          </w:p>
          <w:p w:rsidR="00652E30" w:rsidRDefault="00652E30">
            <w:pPr>
              <w:keepNext/>
              <w:keepLines/>
              <w:spacing w:before="60" w:after="60"/>
              <w:jc w:val="center"/>
              <w:rPr>
                <w:sz w:val="22"/>
              </w:rPr>
            </w:pPr>
            <w:r>
              <w:rPr>
                <w:sz w:val="22"/>
              </w:rPr>
              <w:t>407 (12.3)</w:t>
            </w:r>
          </w:p>
          <w:p w:rsidR="00652E30" w:rsidRDefault="00652E30">
            <w:pPr>
              <w:keepNext/>
              <w:keepLines/>
              <w:spacing w:before="60" w:after="60"/>
              <w:jc w:val="center"/>
              <w:rPr>
                <w:sz w:val="22"/>
              </w:rPr>
            </w:pPr>
            <w:r>
              <w:rPr>
                <w:sz w:val="22"/>
              </w:rPr>
              <w:t xml:space="preserve">1,281 (38.6) </w:t>
            </w:r>
          </w:p>
        </w:tc>
        <w:tc>
          <w:tcPr>
            <w:tcW w:w="1309" w:type="dxa"/>
            <w:tcBorders>
              <w:bottom w:val="single" w:sz="4" w:space="0" w:color="auto"/>
            </w:tcBorders>
          </w:tcPr>
          <w:p w:rsidR="00652E30" w:rsidRDefault="00652E30">
            <w:pPr>
              <w:keepNext/>
              <w:keepLines/>
              <w:spacing w:before="60" w:after="60"/>
              <w:jc w:val="center"/>
              <w:rPr>
                <w:sz w:val="22"/>
              </w:rPr>
            </w:pPr>
            <w:r>
              <w:rPr>
                <w:sz w:val="22"/>
              </w:rPr>
              <w:t>1,610 (48.6)</w:t>
            </w:r>
            <w:r>
              <w:rPr>
                <w:sz w:val="22"/>
              </w:rPr>
              <w:br/>
            </w:r>
            <w:r>
              <w:rPr>
                <w:sz w:val="22"/>
              </w:rPr>
              <w:br/>
            </w:r>
          </w:p>
          <w:p w:rsidR="00652E30" w:rsidRDefault="00652E30">
            <w:pPr>
              <w:keepNext/>
              <w:keepLines/>
              <w:spacing w:before="60" w:after="60"/>
              <w:jc w:val="center"/>
              <w:rPr>
                <w:sz w:val="22"/>
              </w:rPr>
            </w:pPr>
            <w:r>
              <w:rPr>
                <w:sz w:val="22"/>
              </w:rPr>
              <w:t xml:space="preserve">483 (14.6) </w:t>
            </w:r>
          </w:p>
          <w:p w:rsidR="00652E30" w:rsidRDefault="00652E30">
            <w:pPr>
              <w:keepNext/>
              <w:keepLines/>
              <w:spacing w:before="60" w:after="60"/>
              <w:jc w:val="center"/>
              <w:rPr>
                <w:sz w:val="22"/>
              </w:rPr>
            </w:pPr>
            <w:r>
              <w:rPr>
                <w:sz w:val="22"/>
              </w:rPr>
              <w:t>1,307 (39.5)</w:t>
            </w:r>
          </w:p>
        </w:tc>
      </w:tr>
      <w:tr w:rsidR="00652E30">
        <w:tblPrEx>
          <w:tblCellMar>
            <w:top w:w="0" w:type="dxa"/>
            <w:bottom w:w="0" w:type="dxa"/>
          </w:tblCellMar>
        </w:tblPrEx>
        <w:tc>
          <w:tcPr>
            <w:tcW w:w="6063" w:type="dxa"/>
            <w:tcBorders>
              <w:bottom w:val="single" w:sz="4" w:space="0" w:color="auto"/>
            </w:tcBorders>
          </w:tcPr>
          <w:p w:rsidR="00652E30" w:rsidRDefault="00652E30">
            <w:pPr>
              <w:keepNext/>
              <w:keepLines/>
              <w:spacing w:before="60" w:after="60"/>
              <w:rPr>
                <w:sz w:val="22"/>
              </w:rPr>
            </w:pPr>
            <w:r>
              <w:rPr>
                <w:sz w:val="22"/>
              </w:rPr>
              <w:t>All-cause death or hospitalisation</w:t>
            </w:r>
          </w:p>
          <w:p w:rsidR="00652E30" w:rsidRDefault="00652E30">
            <w:pPr>
              <w:keepNext/>
              <w:keepLines/>
              <w:spacing w:before="60" w:after="60"/>
              <w:rPr>
                <w:sz w:val="22"/>
              </w:rPr>
            </w:pPr>
            <w:r>
              <w:rPr>
                <w:sz w:val="22"/>
              </w:rPr>
              <w:t xml:space="preserve">  Death</w:t>
            </w:r>
            <w:r>
              <w:rPr>
                <w:sz w:val="22"/>
                <w:vertAlign w:val="superscript"/>
              </w:rPr>
              <w:t>1</w:t>
            </w:r>
          </w:p>
          <w:p w:rsidR="00652E30" w:rsidRDefault="00652E30">
            <w:pPr>
              <w:keepNext/>
              <w:keepLines/>
              <w:spacing w:before="60" w:after="60"/>
              <w:rPr>
                <w:sz w:val="22"/>
              </w:rPr>
            </w:pPr>
            <w:r>
              <w:rPr>
                <w:sz w:val="22"/>
              </w:rPr>
              <w:t xml:space="preserve">  Hospitalisation</w:t>
            </w:r>
          </w:p>
        </w:tc>
        <w:tc>
          <w:tcPr>
            <w:tcW w:w="1417" w:type="dxa"/>
            <w:tcBorders>
              <w:bottom w:val="single" w:sz="4" w:space="0" w:color="auto"/>
            </w:tcBorders>
          </w:tcPr>
          <w:p w:rsidR="00652E30" w:rsidRDefault="00652E30">
            <w:pPr>
              <w:keepNext/>
              <w:keepLines/>
              <w:spacing w:before="60" w:after="60"/>
              <w:jc w:val="center"/>
              <w:rPr>
                <w:sz w:val="22"/>
              </w:rPr>
            </w:pPr>
            <w:r>
              <w:rPr>
                <w:sz w:val="22"/>
              </w:rPr>
              <w:t>1,734 (52.2)</w:t>
            </w:r>
          </w:p>
          <w:p w:rsidR="00652E30" w:rsidRDefault="00652E30">
            <w:pPr>
              <w:keepNext/>
              <w:keepLines/>
              <w:spacing w:before="60" w:after="60"/>
              <w:jc w:val="center"/>
              <w:rPr>
                <w:sz w:val="22"/>
              </w:rPr>
            </w:pPr>
            <w:r>
              <w:rPr>
                <w:sz w:val="22"/>
              </w:rPr>
              <w:t>478 (14.4)</w:t>
            </w:r>
          </w:p>
          <w:p w:rsidR="00652E30" w:rsidRDefault="00652E30">
            <w:pPr>
              <w:keepNext/>
              <w:keepLines/>
              <w:spacing w:before="60" w:after="60"/>
              <w:jc w:val="center"/>
              <w:rPr>
                <w:sz w:val="22"/>
              </w:rPr>
            </w:pPr>
            <w:r>
              <w:rPr>
                <w:sz w:val="22"/>
              </w:rPr>
              <w:t>1,497 (45.1)</w:t>
            </w:r>
          </w:p>
        </w:tc>
        <w:tc>
          <w:tcPr>
            <w:tcW w:w="1309" w:type="dxa"/>
            <w:tcBorders>
              <w:bottom w:val="single" w:sz="4" w:space="0" w:color="auto"/>
            </w:tcBorders>
          </w:tcPr>
          <w:p w:rsidR="00652E30" w:rsidRDefault="00652E30">
            <w:pPr>
              <w:keepNext/>
              <w:keepLines/>
              <w:spacing w:before="60" w:after="60"/>
              <w:jc w:val="center"/>
              <w:rPr>
                <w:sz w:val="22"/>
              </w:rPr>
            </w:pPr>
            <w:r>
              <w:rPr>
                <w:sz w:val="22"/>
              </w:rPr>
              <w:t>1,833 (55.3)</w:t>
            </w:r>
          </w:p>
          <w:p w:rsidR="00652E30" w:rsidRDefault="00652E30">
            <w:pPr>
              <w:keepNext/>
              <w:keepLines/>
              <w:spacing w:before="60" w:after="60"/>
              <w:jc w:val="center"/>
              <w:rPr>
                <w:sz w:val="22"/>
              </w:rPr>
            </w:pPr>
            <w:r>
              <w:rPr>
                <w:sz w:val="22"/>
              </w:rPr>
              <w:t>554 (16.7)</w:t>
            </w:r>
          </w:p>
          <w:p w:rsidR="00652E30" w:rsidRDefault="00652E30">
            <w:pPr>
              <w:keepNext/>
              <w:keepLines/>
              <w:spacing w:before="60" w:after="60"/>
              <w:jc w:val="center"/>
              <w:rPr>
                <w:sz w:val="22"/>
              </w:rPr>
            </w:pPr>
            <w:r>
              <w:rPr>
                <w:sz w:val="22"/>
              </w:rPr>
              <w:t>1,530 (46.2)</w:t>
            </w:r>
          </w:p>
        </w:tc>
      </w:tr>
      <w:tr w:rsidR="00652E30">
        <w:tblPrEx>
          <w:tblCellMar>
            <w:top w:w="0" w:type="dxa"/>
            <w:bottom w:w="0" w:type="dxa"/>
          </w:tblCellMar>
        </w:tblPrEx>
        <w:tc>
          <w:tcPr>
            <w:tcW w:w="6063" w:type="dxa"/>
            <w:tcBorders>
              <w:top w:val="single" w:sz="4" w:space="0" w:color="auto"/>
              <w:left w:val="nil"/>
              <w:bottom w:val="nil"/>
              <w:right w:val="nil"/>
            </w:tcBorders>
          </w:tcPr>
          <w:p w:rsidR="00652E30" w:rsidRDefault="00652E30">
            <w:pPr>
              <w:keepNext/>
              <w:keepLines/>
              <w:spacing w:before="60" w:after="60"/>
            </w:pPr>
            <w:r>
              <w:rPr>
                <w:vertAlign w:val="superscript"/>
              </w:rPr>
              <w:t>1</w:t>
            </w:r>
            <w:r>
              <w:t>Co-primary endpoint.</w:t>
            </w:r>
          </w:p>
        </w:tc>
        <w:tc>
          <w:tcPr>
            <w:tcW w:w="1417" w:type="dxa"/>
            <w:tcBorders>
              <w:top w:val="single" w:sz="4" w:space="0" w:color="auto"/>
              <w:left w:val="nil"/>
              <w:bottom w:val="nil"/>
              <w:right w:val="nil"/>
            </w:tcBorders>
          </w:tcPr>
          <w:p w:rsidR="00652E30" w:rsidRDefault="00652E30">
            <w:pPr>
              <w:keepNext/>
              <w:keepLines/>
              <w:spacing w:before="60" w:after="60"/>
              <w:jc w:val="center"/>
              <w:rPr>
                <w:sz w:val="22"/>
              </w:rPr>
            </w:pPr>
          </w:p>
        </w:tc>
        <w:tc>
          <w:tcPr>
            <w:tcW w:w="1309" w:type="dxa"/>
            <w:tcBorders>
              <w:top w:val="single" w:sz="4" w:space="0" w:color="auto"/>
              <w:left w:val="nil"/>
              <w:bottom w:val="nil"/>
              <w:right w:val="nil"/>
            </w:tcBorders>
          </w:tcPr>
          <w:p w:rsidR="00652E30" w:rsidRDefault="00652E30">
            <w:pPr>
              <w:keepNext/>
              <w:keepLines/>
              <w:spacing w:before="60" w:after="60"/>
              <w:jc w:val="center"/>
              <w:rPr>
                <w:sz w:val="22"/>
              </w:rPr>
            </w:pPr>
          </w:p>
        </w:tc>
      </w:tr>
    </w:tbl>
    <w:p w:rsidR="00A157BB" w:rsidRDefault="00A157BB" w:rsidP="00A157BB"/>
    <w:p w:rsidR="00652E30" w:rsidRDefault="00652E30" w:rsidP="00A157BB">
      <w:r>
        <w:t>The reduction in mortality observed in patients treated with INSPRA compared to those who received placebo is mainly the result of a reduction in the rate of sudden death after myocardial infarction.</w:t>
      </w:r>
      <w:r w:rsidR="006E581A">
        <w:t xml:space="preserve"> </w:t>
      </w:r>
      <w:r>
        <w:t xml:space="preserve"> In the first 12 months of treatment the rate of all cause mortality was 11.68% among patients treated with INSPRA compared to 13.63% for patients treated with placebo. </w:t>
      </w:r>
      <w:r w:rsidR="006E581A">
        <w:t xml:space="preserve"> </w:t>
      </w:r>
      <w:r>
        <w:t>Among patients who remained alive after 12 months of therapy, the all cause mortality rates at month 27 in the eplerenone and placebo groups were 7.97% and 9.58%, respectively.</w:t>
      </w:r>
    </w:p>
    <w:p w:rsidR="001B29B9" w:rsidRDefault="00652E30" w:rsidP="00A157BB">
      <w:r>
        <w:t xml:space="preserve">Mortality hazard ratios varied for some subgroups as shown in </w:t>
      </w:r>
      <w:r w:rsidR="00911346">
        <w:fldChar w:fldCharType="begin"/>
      </w:r>
      <w:r w:rsidR="00911346">
        <w:instrText xml:space="preserve"> REF _Ref309295510 \h </w:instrText>
      </w:r>
      <w:r w:rsidR="00911346">
        <w:fldChar w:fldCharType="separate"/>
      </w:r>
      <w:r w:rsidR="00B82F77" w:rsidRPr="00911346">
        <w:t xml:space="preserve">Figure </w:t>
      </w:r>
      <w:r w:rsidR="00B82F77">
        <w:rPr>
          <w:noProof/>
        </w:rPr>
        <w:t>1</w:t>
      </w:r>
      <w:r w:rsidR="00911346">
        <w:fldChar w:fldCharType="end"/>
      </w:r>
      <w:r>
        <w:t xml:space="preserve">. </w:t>
      </w:r>
      <w:r w:rsidR="006E581A">
        <w:t xml:space="preserve"> </w:t>
      </w:r>
      <w:r>
        <w:t xml:space="preserve">Mortality hazard ratios appeared favourable for </w:t>
      </w:r>
      <w:r w:rsidR="00527983">
        <w:t>INSPRA</w:t>
      </w:r>
      <w:r>
        <w:t xml:space="preserve"> for both genders and for all races or ethnic groups, although the numbers of non-Caucasians were low (10%). </w:t>
      </w:r>
      <w:r w:rsidR="006E581A">
        <w:t xml:space="preserve"> </w:t>
      </w:r>
      <w:r>
        <w:t xml:space="preserve">Patients with diabetes without clinical evidence of CHF and patients greater than 75 years did not appear to benefit from the use of </w:t>
      </w:r>
      <w:r w:rsidR="00527983">
        <w:t>INSPRA</w:t>
      </w:r>
      <w:r>
        <w:t xml:space="preserve">. </w:t>
      </w:r>
      <w:r w:rsidR="006E581A">
        <w:t xml:space="preserve"> </w:t>
      </w:r>
      <w:r>
        <w:t>Such subgroup analyses must be interpreted cautiously.</w:t>
      </w:r>
    </w:p>
    <w:p w:rsidR="00677766" w:rsidRDefault="00677766" w:rsidP="00A157BB"/>
    <w:p w:rsidR="00D20BFC" w:rsidRPr="001B29B9" w:rsidRDefault="001B29B9" w:rsidP="001B29B9">
      <w:pPr>
        <w:rPr>
          <w:b/>
        </w:rPr>
      </w:pPr>
      <w:r w:rsidRPr="001B29B9">
        <w:rPr>
          <w:b/>
        </w:rPr>
        <w:t xml:space="preserve">Figure </w:t>
      </w:r>
      <w:r w:rsidRPr="001B29B9">
        <w:rPr>
          <w:b/>
        </w:rPr>
        <w:fldChar w:fldCharType="begin"/>
      </w:r>
      <w:r w:rsidRPr="001B29B9">
        <w:rPr>
          <w:b/>
        </w:rPr>
        <w:instrText xml:space="preserve"> SEQ Figure \* ARABIC </w:instrText>
      </w:r>
      <w:r w:rsidRPr="001B29B9">
        <w:rPr>
          <w:b/>
        </w:rPr>
        <w:fldChar w:fldCharType="separate"/>
      </w:r>
      <w:r w:rsidRPr="001B29B9">
        <w:rPr>
          <w:b/>
          <w:noProof/>
        </w:rPr>
        <w:t>1</w:t>
      </w:r>
      <w:r w:rsidRPr="001B29B9">
        <w:rPr>
          <w:b/>
        </w:rPr>
        <w:fldChar w:fldCharType="end"/>
      </w:r>
      <w:r w:rsidRPr="001B29B9">
        <w:rPr>
          <w:b/>
        </w:rPr>
        <w:t>: Hazard ratios of all-cause mortality by subgroups</w:t>
      </w:r>
    </w:p>
    <w:p w:rsidR="00652E30" w:rsidRDefault="00652E30">
      <w:pPr>
        <w:spacing w:before="120"/>
      </w:pPr>
      <w:r>
        <w:rPr>
          <w:noProof/>
          <w:lang w:val="en-US"/>
        </w:rPr>
        <w:pict>
          <v:rect id="_x0000_s1027" style="position:absolute;left:0;text-align:left;margin-left:-3.4pt;margin-top:3.3pt;width:440.55pt;height:325.35pt;z-index:251656192"/>
        </w:pict>
      </w:r>
      <w:r>
        <w:rPr>
          <w:noProof/>
          <w:lang w:val="en-US"/>
        </w:rPr>
        <w:pict>
          <v:shape id="_x0000_s1031" type="#_x0000_t75" style="position:absolute;left:0;text-align:left;margin-left:2.8pt;margin-top:5.6pt;width:3in;height:162pt;z-index:251660288;visibility:visible;mso-wrap-edited:f">
            <v:imagedata r:id="rId13" o:title=""/>
          </v:shape>
          <o:OLEObject Type="Embed" ProgID="Word.Picture.8" ShapeID="_x0000_s1031" DrawAspect="Content" ObjectID="_1444639588" r:id="rId14"/>
        </w:pict>
      </w:r>
      <w:r>
        <w:rPr>
          <w:noProof/>
          <w:lang w:val="en-US"/>
        </w:rPr>
        <w:pict>
          <v:shape id="_x0000_s1030" type="#_x0000_t75" style="position:absolute;left:0;text-align:left;margin-left:221.3pt;margin-top:5.6pt;width:3in;height:162pt;z-index:251659264;visibility:visible;mso-wrap-edited:f">
            <v:imagedata r:id="rId15" o:title=""/>
          </v:shape>
          <o:OLEObject Type="Embed" ProgID="Word.Picture.8" ShapeID="_x0000_s1030" DrawAspect="Content" ObjectID="_1444639589" r:id="rId16"/>
        </w:pict>
      </w:r>
    </w:p>
    <w:p w:rsidR="00652E30" w:rsidRDefault="00652E30">
      <w:pPr>
        <w:spacing w:before="120"/>
      </w:pPr>
    </w:p>
    <w:p w:rsidR="00652E30" w:rsidRDefault="00652E30">
      <w:pPr>
        <w:spacing w:before="120"/>
      </w:pPr>
    </w:p>
    <w:p w:rsidR="00652E30" w:rsidRDefault="00652E30">
      <w:pPr>
        <w:spacing w:before="120"/>
      </w:pPr>
    </w:p>
    <w:p w:rsidR="00652E30" w:rsidRDefault="00652E30">
      <w:pPr>
        <w:spacing w:before="120"/>
        <w:rPr>
          <w:b/>
          <w:bCs/>
        </w:rPr>
      </w:pPr>
    </w:p>
    <w:p w:rsidR="00652E30" w:rsidRDefault="00652E30">
      <w:pPr>
        <w:spacing w:before="120"/>
        <w:rPr>
          <w:b/>
          <w:bCs/>
        </w:rPr>
      </w:pPr>
    </w:p>
    <w:p w:rsidR="00652E30" w:rsidRDefault="00652E30">
      <w:pPr>
        <w:spacing w:before="120"/>
        <w:rPr>
          <w:b/>
          <w:bCs/>
        </w:rPr>
      </w:pPr>
      <w:r>
        <w:rPr>
          <w:b/>
          <w:bCs/>
          <w:noProof/>
          <w:lang w:val="en-US"/>
        </w:rPr>
        <w:pict>
          <v:shape id="_x0000_s1029" type="#_x0000_t75" style="position:absolute;left:0;text-align:left;margin-left:221.3pt;margin-top:5.85pt;width:3in;height:162pt;z-index:251658240;visibility:visible;mso-wrap-edited:f">
            <v:imagedata r:id="rId17" o:title=""/>
          </v:shape>
          <o:OLEObject Type="Embed" ProgID="Word.Picture.8" ShapeID="_x0000_s1029" DrawAspect="Content" ObjectID="_1444639590" r:id="rId18"/>
        </w:pict>
      </w:r>
      <w:r>
        <w:rPr>
          <w:b/>
          <w:bCs/>
          <w:noProof/>
          <w:lang w:val="en-US"/>
        </w:rPr>
        <w:pict>
          <v:shape id="_x0000_s1028" type="#_x0000_t75" style="position:absolute;left:0;text-align:left;margin-left:-1.55pt;margin-top:3.95pt;width:3in;height:162pt;z-index:251657216;visibility:visible;mso-wrap-edited:f">
            <v:imagedata r:id="rId19" o:title=""/>
          </v:shape>
          <o:OLEObject Type="Embed" ProgID="Word.Picture.8" ShapeID="_x0000_s1028" DrawAspect="Content" ObjectID="_1444639591" r:id="rId20"/>
        </w:pict>
      </w:r>
    </w:p>
    <w:p w:rsidR="00652E30" w:rsidRDefault="00652E30">
      <w:pPr>
        <w:spacing w:before="120"/>
        <w:rPr>
          <w:b/>
          <w:bCs/>
        </w:rPr>
      </w:pPr>
    </w:p>
    <w:p w:rsidR="00652E30" w:rsidRDefault="00652E30">
      <w:pPr>
        <w:spacing w:before="120"/>
        <w:rPr>
          <w:b/>
          <w:bCs/>
        </w:rPr>
      </w:pPr>
    </w:p>
    <w:p w:rsidR="00652E30" w:rsidRDefault="00652E30">
      <w:pPr>
        <w:spacing w:before="120"/>
        <w:rPr>
          <w:b/>
          <w:bCs/>
        </w:rPr>
      </w:pPr>
    </w:p>
    <w:p w:rsidR="00652E30" w:rsidRDefault="00652E30">
      <w:pPr>
        <w:spacing w:before="120"/>
        <w:rPr>
          <w:b/>
          <w:bCs/>
        </w:rPr>
      </w:pPr>
    </w:p>
    <w:p w:rsidR="00652E30" w:rsidRDefault="00652E30">
      <w:pPr>
        <w:spacing w:before="120"/>
        <w:rPr>
          <w:b/>
          <w:bCs/>
        </w:rPr>
      </w:pPr>
    </w:p>
    <w:p w:rsidR="00652E30" w:rsidRPr="00911346" w:rsidRDefault="00652E30" w:rsidP="00911346">
      <w:pPr>
        <w:pStyle w:val="Caption"/>
      </w:pPr>
      <w:r>
        <w:br/>
      </w:r>
    </w:p>
    <w:p w:rsidR="00652E30" w:rsidRDefault="00652E30" w:rsidP="00A5017F">
      <w:r>
        <w:t>Analyses conducted for a variety of CV biomarkers did not confirm a mechanism of action by which mortality was reduced.</w:t>
      </w:r>
    </w:p>
    <w:p w:rsidR="0008031D" w:rsidRDefault="001B29B9" w:rsidP="00677766">
      <w:pPr>
        <w:pStyle w:val="Caption"/>
        <w:keepNext/>
        <w:rPr>
          <w:b w:val="0"/>
          <w:bCs w:val="0"/>
        </w:rPr>
      </w:pPr>
      <w:r w:rsidRPr="00911346">
        <w:lastRenderedPageBreak/>
        <w:t xml:space="preserve">Figure </w:t>
      </w:r>
      <w:fldSimple w:instr=" SEQ Figure \* ARABIC ">
        <w:r>
          <w:rPr>
            <w:noProof/>
          </w:rPr>
          <w:t>2</w:t>
        </w:r>
      </w:fldSimple>
      <w:r w:rsidRPr="00911346">
        <w:t>: Cumulative incidence of all cause mortality (EPHESUS)</w:t>
      </w:r>
    </w:p>
    <w:p w:rsidR="00652E30" w:rsidRDefault="00947A15" w:rsidP="00677766">
      <w:pPr>
        <w:keepNext/>
        <w:spacing w:before="120"/>
      </w:pPr>
      <w:r>
        <w:rPr>
          <w:noProof/>
          <w:lang w:eastAsia="en-AU"/>
        </w:rPr>
        <w:drawing>
          <wp:inline distT="0" distB="0" distL="0" distR="0">
            <wp:extent cx="3657600" cy="2828925"/>
            <wp:effectExtent l="19050" t="0" r="0" b="0"/>
            <wp:docPr id="6" name="Picture 6" descr="kmplot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mplotc1"/>
                    <pic:cNvPicPr>
                      <a:picLocks noChangeAspect="1" noChangeArrowheads="1"/>
                    </pic:cNvPicPr>
                  </pic:nvPicPr>
                  <pic:blipFill>
                    <a:blip r:embed="rId21" cstate="print"/>
                    <a:srcRect/>
                    <a:stretch>
                      <a:fillRect/>
                    </a:stretch>
                  </pic:blipFill>
                  <pic:spPr bwMode="auto">
                    <a:xfrm>
                      <a:off x="0" y="0"/>
                      <a:ext cx="3657600" cy="2828925"/>
                    </a:xfrm>
                    <a:prstGeom prst="rect">
                      <a:avLst/>
                    </a:prstGeom>
                    <a:noFill/>
                    <a:ln w="9525">
                      <a:noFill/>
                      <a:miter lim="800000"/>
                      <a:headEnd/>
                      <a:tailEnd/>
                    </a:ln>
                  </pic:spPr>
                </pic:pic>
              </a:graphicData>
            </a:graphic>
          </wp:inline>
        </w:drawing>
      </w:r>
    </w:p>
    <w:p w:rsidR="00677766" w:rsidRDefault="00677766" w:rsidP="001B29B9">
      <w:pPr>
        <w:pStyle w:val="Caption"/>
      </w:pPr>
    </w:p>
    <w:p w:rsidR="00652E30" w:rsidRDefault="001B29B9" w:rsidP="001B29B9">
      <w:pPr>
        <w:pStyle w:val="Caption"/>
      </w:pPr>
      <w:r w:rsidRPr="00911346">
        <w:t xml:space="preserve">Figure </w:t>
      </w:r>
      <w:fldSimple w:instr=" SEQ Figure \* ARABIC ">
        <w:r>
          <w:rPr>
            <w:noProof/>
          </w:rPr>
          <w:t>3</w:t>
        </w:r>
      </w:fldSimple>
      <w:r w:rsidRPr="00911346">
        <w:t>: Cumulative incidence of CV mortality/hospitalisation (EPHESUS)</w:t>
      </w:r>
    </w:p>
    <w:p w:rsidR="00652E30" w:rsidRDefault="00947A15">
      <w:pPr>
        <w:spacing w:before="120"/>
      </w:pPr>
      <w:r>
        <w:rPr>
          <w:noProof/>
          <w:lang w:eastAsia="en-AU"/>
        </w:rPr>
        <w:drawing>
          <wp:inline distT="0" distB="0" distL="0" distR="0">
            <wp:extent cx="3657600" cy="2828925"/>
            <wp:effectExtent l="19050" t="0" r="0" b="0"/>
            <wp:docPr id="7" name="Picture 7" descr="kmplot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mplotc2"/>
                    <pic:cNvPicPr>
                      <a:picLocks noChangeAspect="1" noChangeArrowheads="1"/>
                    </pic:cNvPicPr>
                  </pic:nvPicPr>
                  <pic:blipFill>
                    <a:blip r:embed="rId22" cstate="print"/>
                    <a:srcRect/>
                    <a:stretch>
                      <a:fillRect/>
                    </a:stretch>
                  </pic:blipFill>
                  <pic:spPr bwMode="auto">
                    <a:xfrm>
                      <a:off x="0" y="0"/>
                      <a:ext cx="3657600" cy="2828925"/>
                    </a:xfrm>
                    <a:prstGeom prst="rect">
                      <a:avLst/>
                    </a:prstGeom>
                    <a:noFill/>
                    <a:ln w="9525">
                      <a:noFill/>
                      <a:miter lim="800000"/>
                      <a:headEnd/>
                      <a:tailEnd/>
                    </a:ln>
                  </pic:spPr>
                </pic:pic>
              </a:graphicData>
            </a:graphic>
          </wp:inline>
        </w:drawing>
      </w:r>
    </w:p>
    <w:p w:rsidR="00677766" w:rsidRDefault="00677766">
      <w:pPr>
        <w:spacing w:before="120"/>
      </w:pPr>
    </w:p>
    <w:p w:rsidR="00652E30" w:rsidRDefault="00652E30" w:rsidP="00A5017F">
      <w:r>
        <w:t xml:space="preserve">In dose-ranging studies of chronic heart failure (NYHA classification II–IV), the addition of eplerenone to standard therapy resulted in expected dose-dependent increases in aldosterone. </w:t>
      </w:r>
      <w:r w:rsidR="006E581A">
        <w:t xml:space="preserve"> </w:t>
      </w:r>
      <w:r>
        <w:t xml:space="preserve">Similarly, in a cardiorenal substudy of </w:t>
      </w:r>
      <w:smartTag w:uri="urn:schemas-microsoft-com:office:smarttags" w:element="place">
        <w:smartTag w:uri="urn:schemas-microsoft-com:office:smarttags" w:element="City">
          <w:r>
            <w:t>EPHESUS</w:t>
          </w:r>
        </w:smartTag>
      </w:smartTag>
      <w:r>
        <w:t xml:space="preserve">, therapy with eplerenone led to a significant increase in aldosterone. </w:t>
      </w:r>
      <w:r w:rsidR="006E581A">
        <w:t xml:space="preserve"> </w:t>
      </w:r>
      <w:r>
        <w:t>These results confirm the blockade of mineralocorticoid receptors in these populations.</w:t>
      </w:r>
    </w:p>
    <w:p w:rsidR="00652E30" w:rsidRDefault="00652E30" w:rsidP="00A5017F">
      <w:r>
        <w:lastRenderedPageBreak/>
        <w:t>No consistent effects of eplerenone on heart rate, QRS duration, or PR or QT interval were observed in 147 normal subjects evaluated for electrocardiographic changes during pharmacokinetic studies.</w:t>
      </w:r>
    </w:p>
    <w:p w:rsidR="001636C5" w:rsidRDefault="001636C5" w:rsidP="001B29B9">
      <w:pPr>
        <w:pStyle w:val="PIHeading2"/>
      </w:pPr>
      <w:r>
        <w:t>EMPHASIS-HF Trial</w:t>
      </w:r>
      <w:r w:rsidR="008C7B0C">
        <w:rPr>
          <w:vertAlign w:val="superscript"/>
        </w:rPr>
        <w:t>†</w:t>
      </w:r>
    </w:p>
    <w:p w:rsidR="001636C5" w:rsidRDefault="001636C5" w:rsidP="001636C5">
      <w:r>
        <w:t xml:space="preserve">In the </w:t>
      </w:r>
      <w:r w:rsidRPr="002D5601">
        <w:rPr>
          <w:b/>
        </w:rPr>
        <w:t>E</w:t>
      </w:r>
      <w:r>
        <w:t xml:space="preserve">plerenone in </w:t>
      </w:r>
      <w:r w:rsidRPr="002D5601">
        <w:rPr>
          <w:b/>
        </w:rPr>
        <w:t>M</w:t>
      </w:r>
      <w:r>
        <w:t xml:space="preserve">ild </w:t>
      </w:r>
      <w:r w:rsidRPr="002D5601">
        <w:rPr>
          <w:b/>
        </w:rPr>
        <w:t>P</w:t>
      </w:r>
      <w:r>
        <w:t xml:space="preserve">atients </w:t>
      </w:r>
      <w:r w:rsidRPr="002D5601">
        <w:rPr>
          <w:b/>
        </w:rPr>
        <w:t>H</w:t>
      </w:r>
      <w:r>
        <w:t xml:space="preserve">ospitalisation </w:t>
      </w:r>
      <w:r w:rsidR="009600FC">
        <w:rPr>
          <w:b/>
        </w:rPr>
        <w:t>A</w:t>
      </w:r>
      <w:r>
        <w:t xml:space="preserve">nd </w:t>
      </w:r>
      <w:r w:rsidRPr="002D5601">
        <w:rPr>
          <w:b/>
        </w:rPr>
        <w:t>S</w:t>
      </w:r>
      <w:r>
        <w:t>urv</w:t>
      </w:r>
      <w:r w:rsidR="009600FC">
        <w:rPr>
          <w:b/>
        </w:rPr>
        <w:t>I</w:t>
      </w:r>
      <w:r>
        <w:t xml:space="preserve">val </w:t>
      </w:r>
      <w:r w:rsidRPr="002D5601">
        <w:rPr>
          <w:b/>
        </w:rPr>
        <w:t>S</w:t>
      </w:r>
      <w:r>
        <w:t xml:space="preserve">tudy in </w:t>
      </w:r>
      <w:r w:rsidRPr="002D5601">
        <w:rPr>
          <w:b/>
        </w:rPr>
        <w:t>H</w:t>
      </w:r>
      <w:r>
        <w:t xml:space="preserve">eart </w:t>
      </w:r>
      <w:r w:rsidRPr="002D5601">
        <w:rPr>
          <w:b/>
        </w:rPr>
        <w:t>F</w:t>
      </w:r>
      <w:r w:rsidR="002D5601">
        <w:t>ailure trial,</w:t>
      </w:r>
      <w:r>
        <w:t xml:space="preserve"> the effect of eplerenone when added to standard therapy was investigated on clinical outcomes in patients with systolic heart failure and mild symptoms (NYHA functional class II). </w:t>
      </w:r>
    </w:p>
    <w:p w:rsidR="001636C5" w:rsidRDefault="001636C5" w:rsidP="001636C5">
      <w:r>
        <w:t xml:space="preserve">Patients were included if they were at least 55 years old, had a left ventricular ejection fraction (LVEF) </w:t>
      </w:r>
      <w:r w:rsidRPr="00A31E2E">
        <w:sym w:font="Symbol" w:char="F0A3"/>
      </w:r>
      <w:r>
        <w:t>30% or</w:t>
      </w:r>
      <w:r w:rsidR="00521F51">
        <w:t xml:space="preserve"> LVEF ≤</w:t>
      </w:r>
      <w:r>
        <w:t>35%</w:t>
      </w:r>
      <w:r w:rsidR="00521F51">
        <w:t xml:space="preserve"> in addition to</w:t>
      </w:r>
      <w:r>
        <w:t xml:space="preserve"> QRS duration of &gt;130msec and were either hospitalised for cardiovascular (CV) reasons 6 months prior to inclusion or had a plasma level of B-type natriureti</w:t>
      </w:r>
      <w:r w:rsidR="00C45AA0">
        <w:t>c peptide (BNP) of at least 250</w:t>
      </w:r>
      <w:r w:rsidR="00DE5C02">
        <w:t xml:space="preserve"> </w:t>
      </w:r>
      <w:r>
        <w:t>pg/m</w:t>
      </w:r>
      <w:r w:rsidR="00F05E74">
        <w:t>L</w:t>
      </w:r>
      <w:r>
        <w:t xml:space="preserve"> or a</w:t>
      </w:r>
      <w:r w:rsidR="00F05E74">
        <w:t xml:space="preserve"> plasma level of N-terminal pro</w:t>
      </w:r>
      <w:r w:rsidR="00F05E74">
        <w:noBreakHyphen/>
      </w:r>
      <w:r>
        <w:t>BNP of at least 500pg/m</w:t>
      </w:r>
      <w:r w:rsidR="00F05E74">
        <w:t>L</w:t>
      </w:r>
      <w:r>
        <w:t xml:space="preserve"> in men (</w:t>
      </w:r>
      <w:r w:rsidR="00C45AA0">
        <w:t>750</w:t>
      </w:r>
      <w:r>
        <w:t>pg/m</w:t>
      </w:r>
      <w:r w:rsidR="00F05E74">
        <w:t>L</w:t>
      </w:r>
      <w:r>
        <w:t xml:space="preserve"> in women).  </w:t>
      </w:r>
      <w:r w:rsidR="00995F4E">
        <w:t>S</w:t>
      </w:r>
      <w:r w:rsidR="00995F4E" w:rsidRPr="00C9474A">
        <w:rPr>
          <w:lang w:eastAsia="en-AU"/>
        </w:rPr>
        <w:t>ubjects were required to have a serum potassium level ≤ 5.0 mmoL/L and an eGFR ≥ 30mL/min/1.73m</w:t>
      </w:r>
      <w:r w:rsidR="00995F4E" w:rsidRPr="00C9474A">
        <w:rPr>
          <w:vertAlign w:val="superscript"/>
          <w:lang w:eastAsia="en-AU"/>
        </w:rPr>
        <w:t>2</w:t>
      </w:r>
      <w:r w:rsidR="00995F4E" w:rsidRPr="00C9474A">
        <w:rPr>
          <w:lang w:eastAsia="en-AU"/>
        </w:rPr>
        <w:t xml:space="preserve"> within 24 hours prior to randomisation.</w:t>
      </w:r>
      <w:r w:rsidR="00995F4E">
        <w:rPr>
          <w:lang w:eastAsia="en-AU"/>
        </w:rPr>
        <w:t xml:space="preserve">  </w:t>
      </w:r>
      <w:r>
        <w:t>Eplerenone was started at a dose of 25</w:t>
      </w:r>
      <w:r w:rsidR="002B70EF">
        <w:t xml:space="preserve"> </w:t>
      </w:r>
      <w:r>
        <w:t>mg once daily and was increased after 4 weeks to 50</w:t>
      </w:r>
      <w:r w:rsidR="002B70EF">
        <w:t xml:space="preserve"> </w:t>
      </w:r>
      <w:r>
        <w:t xml:space="preserve">mg once daily if the serum potassium level was &lt;5.0mmol/L. </w:t>
      </w:r>
      <w:r w:rsidR="00C45AA0">
        <w:t xml:space="preserve"> </w:t>
      </w:r>
      <w:r>
        <w:t xml:space="preserve">Alternatively, if </w:t>
      </w:r>
      <w:r w:rsidR="003D31B0">
        <w:t>the estimated GFR was 30</w:t>
      </w:r>
      <w:r w:rsidR="003D31B0">
        <w:noBreakHyphen/>
      </w:r>
      <w:r>
        <w:t>49m</w:t>
      </w:r>
      <w:r w:rsidR="00F05E74">
        <w:t>L</w:t>
      </w:r>
      <w:r>
        <w:t>/min/1.73m</w:t>
      </w:r>
      <w:r w:rsidRPr="00A31E2E">
        <w:rPr>
          <w:vertAlign w:val="superscript"/>
        </w:rPr>
        <w:t>2</w:t>
      </w:r>
      <w:r>
        <w:t>, eplerenone was started at 25</w:t>
      </w:r>
      <w:r w:rsidR="002B70EF">
        <w:t> </w:t>
      </w:r>
      <w:r>
        <w:t>mg on alternate days, and increased to 25</w:t>
      </w:r>
      <w:r w:rsidR="002B70EF">
        <w:t xml:space="preserve"> </w:t>
      </w:r>
      <w:r>
        <w:t xml:space="preserve">mg once daily. </w:t>
      </w:r>
    </w:p>
    <w:p w:rsidR="00521F51" w:rsidRDefault="001636C5" w:rsidP="00C45AA0">
      <w:r>
        <w:t>In total, 2</w:t>
      </w:r>
      <w:r w:rsidR="00C45AA0">
        <w:t>,737 patients were randomis</w:t>
      </w:r>
      <w:r>
        <w:t>ed (double-blind) to the treatment with eplerenone</w:t>
      </w:r>
      <w:r w:rsidR="009600FC">
        <w:t xml:space="preserve"> (1,364 patients)</w:t>
      </w:r>
      <w:r>
        <w:t xml:space="preserve"> or placebo</w:t>
      </w:r>
      <w:r w:rsidR="009600FC">
        <w:t xml:space="preserve"> (1,373 patients)</w:t>
      </w:r>
      <w:r>
        <w:t xml:space="preserve"> including baseline therapy of diuretics (85%), ACE inhibitors (78%), angiotensin II receptor blockers (19%), beta </w:t>
      </w:r>
      <w:r w:rsidRPr="00555686">
        <w:t>blockers (8</w:t>
      </w:r>
      <w:r>
        <w:t>7</w:t>
      </w:r>
      <w:r w:rsidRPr="00555686">
        <w:t xml:space="preserve">%), </w:t>
      </w:r>
      <w:r>
        <w:t xml:space="preserve">anti thrombotic drugs </w:t>
      </w:r>
      <w:r w:rsidRPr="00555686">
        <w:t>(</w:t>
      </w:r>
      <w:r>
        <w:t>88</w:t>
      </w:r>
      <w:r w:rsidRPr="00555686">
        <w:t xml:space="preserve">%), </w:t>
      </w:r>
      <w:r>
        <w:t>and lipid lowering agents (63%</w:t>
      </w:r>
      <w:r w:rsidR="00521F51">
        <w:t>).</w:t>
      </w:r>
    </w:p>
    <w:p w:rsidR="00624EBE" w:rsidRPr="001F3152" w:rsidRDefault="00624EBE" w:rsidP="00624EBE">
      <w:r w:rsidRPr="001F3152">
        <w:rPr>
          <w:lang w:eastAsia="en-AU"/>
        </w:rPr>
        <w:t xml:space="preserve">Out of the </w:t>
      </w:r>
      <w:r w:rsidR="00AA5B93" w:rsidRPr="001F3152">
        <w:rPr>
          <w:lang w:eastAsia="en-AU"/>
        </w:rPr>
        <w:t xml:space="preserve">randomised </w:t>
      </w:r>
      <w:r w:rsidR="003A1030" w:rsidRPr="001F3152">
        <w:rPr>
          <w:lang w:eastAsia="en-AU"/>
        </w:rPr>
        <w:t>patients</w:t>
      </w:r>
      <w:r w:rsidRPr="001F3152">
        <w:rPr>
          <w:lang w:eastAsia="en-AU"/>
        </w:rPr>
        <w:t xml:space="preserve"> (1,360 </w:t>
      </w:r>
      <w:r w:rsidR="00AA5B93" w:rsidRPr="001F3152">
        <w:rPr>
          <w:lang w:eastAsia="en-AU"/>
        </w:rPr>
        <w:t xml:space="preserve">treated </w:t>
      </w:r>
      <w:r w:rsidRPr="001F3152">
        <w:rPr>
          <w:lang w:eastAsia="en-AU"/>
        </w:rPr>
        <w:t xml:space="preserve">with eplerenone, 1,369 </w:t>
      </w:r>
      <w:r w:rsidR="00AA5B93" w:rsidRPr="001F3152">
        <w:rPr>
          <w:lang w:eastAsia="en-AU"/>
        </w:rPr>
        <w:t xml:space="preserve">treated </w:t>
      </w:r>
      <w:r w:rsidRPr="001F3152">
        <w:rPr>
          <w:lang w:eastAsia="en-AU"/>
        </w:rPr>
        <w:t>with placebo</w:t>
      </w:r>
      <w:r w:rsidR="009600FC" w:rsidRPr="001F3152">
        <w:rPr>
          <w:lang w:eastAsia="en-AU"/>
        </w:rPr>
        <w:t xml:space="preserve">; four </w:t>
      </w:r>
      <w:r w:rsidR="003A1030" w:rsidRPr="001F3152">
        <w:rPr>
          <w:lang w:eastAsia="en-AU"/>
        </w:rPr>
        <w:t>patients</w:t>
      </w:r>
      <w:r w:rsidR="009600FC" w:rsidRPr="001F3152">
        <w:rPr>
          <w:lang w:eastAsia="en-AU"/>
        </w:rPr>
        <w:t xml:space="preserve"> in each group were not treated</w:t>
      </w:r>
      <w:r w:rsidRPr="001F3152">
        <w:rPr>
          <w:lang w:eastAsia="en-AU"/>
        </w:rPr>
        <w:t xml:space="preserve">), the majority were white (1,141 subjects; 83.1% in the placebo group and 1,127 subjects; 82.6% in the eplerenone group).  Subjects were predominately male (78.1% and 77.3% in the placebo and eplerenone groups respectively).  The mean age was 68.6 years in the placebo group and 68.7 years in eplerenone group.  The two treatment groups were comparable with respect to the baseline characteristics and the use of various cardiac medications at </w:t>
      </w:r>
      <w:r w:rsidR="008F5B8E" w:rsidRPr="001F3152">
        <w:rPr>
          <w:lang w:eastAsia="en-AU"/>
        </w:rPr>
        <w:t>enrolment</w:t>
      </w:r>
      <w:r w:rsidRPr="001F3152">
        <w:rPr>
          <w:lang w:eastAsia="en-AU"/>
        </w:rPr>
        <w:t>.  The mean follow-up time was 21.1 months, the median was 20.6 months and the maximum follow-up time was 49.7 months.</w:t>
      </w:r>
    </w:p>
    <w:p w:rsidR="00F80DC2" w:rsidRDefault="00624EBE" w:rsidP="00F80DC2">
      <w:pPr>
        <w:rPr>
          <w:lang w:eastAsia="en-AU"/>
        </w:rPr>
      </w:pPr>
      <w:r w:rsidRPr="001F3152">
        <w:rPr>
          <w:lang w:eastAsia="en-AU"/>
        </w:rPr>
        <w:t>At the time of the protocol-specified second interim analysis, a total of 5</w:t>
      </w:r>
      <w:r w:rsidR="00AA5B93" w:rsidRPr="001F3152">
        <w:rPr>
          <w:lang w:eastAsia="en-AU"/>
        </w:rPr>
        <w:t>59</w:t>
      </w:r>
      <w:r w:rsidRPr="001F3152">
        <w:rPr>
          <w:lang w:eastAsia="en-AU"/>
        </w:rPr>
        <w:t xml:space="preserve"> adjudicated primary endpoint events were reviewed by the</w:t>
      </w:r>
      <w:r w:rsidR="00DE5C02" w:rsidRPr="001F3152">
        <w:rPr>
          <w:lang w:eastAsia="en-AU"/>
        </w:rPr>
        <w:t xml:space="preserve"> Data</w:t>
      </w:r>
      <w:r w:rsidRPr="001F3152">
        <w:rPr>
          <w:lang w:eastAsia="en-AU"/>
        </w:rPr>
        <w:t xml:space="preserve"> Safety Monitoring Committee (DSMC). </w:t>
      </w:r>
      <w:r w:rsidR="008B7B4F" w:rsidRPr="001F3152">
        <w:rPr>
          <w:lang w:eastAsia="en-AU"/>
        </w:rPr>
        <w:t xml:space="preserve"> </w:t>
      </w:r>
      <w:r w:rsidRPr="001F3152">
        <w:rPr>
          <w:lang w:eastAsia="en-AU"/>
        </w:rPr>
        <w:t xml:space="preserve">After the interim analysis, the DSMC and the Executive Steering Committee (ESC) recommended that the study be stopped, based on pre-specified stopping rules in the study </w:t>
      </w:r>
      <w:r w:rsidR="00DE5C02" w:rsidRPr="001F3152">
        <w:rPr>
          <w:lang w:eastAsia="en-AU"/>
        </w:rPr>
        <w:t>protocol</w:t>
      </w:r>
      <w:r w:rsidRPr="001F3152">
        <w:rPr>
          <w:lang w:eastAsia="en-AU"/>
        </w:rPr>
        <w:t xml:space="preserve"> regarding early attainment of positive efficacy results, and that all subjects be offered eplerenone. </w:t>
      </w:r>
      <w:r w:rsidR="008B7B4F" w:rsidRPr="001F3152">
        <w:rPr>
          <w:lang w:eastAsia="en-AU"/>
        </w:rPr>
        <w:t xml:space="preserve"> </w:t>
      </w:r>
      <w:r w:rsidRPr="001F3152">
        <w:rPr>
          <w:lang w:eastAsia="en-AU"/>
        </w:rPr>
        <w:t>Consequently, enrolment into the EMPHASIS-HF study was stopped based upon the recommendation from the ESC.</w:t>
      </w:r>
      <w:r w:rsidR="008B7B4F" w:rsidRPr="001F3152">
        <w:rPr>
          <w:lang w:eastAsia="en-AU"/>
        </w:rPr>
        <w:t xml:space="preserve"> </w:t>
      </w:r>
      <w:r w:rsidRPr="001F3152">
        <w:rPr>
          <w:lang w:eastAsia="en-AU"/>
        </w:rPr>
        <w:t xml:space="preserve"> A protocol amendment was submitted </w:t>
      </w:r>
      <w:r w:rsidR="008B7B4F" w:rsidRPr="001F3152">
        <w:rPr>
          <w:lang w:eastAsia="en-AU"/>
        </w:rPr>
        <w:t>to allow</w:t>
      </w:r>
      <w:r w:rsidRPr="001F3152">
        <w:rPr>
          <w:lang w:eastAsia="en-AU"/>
        </w:rPr>
        <w:t xml:space="preserve"> consenting subjects who were participating in the double blind phase of EMPHASIS-HF the opportunity to receive open label treatment.</w:t>
      </w:r>
      <w:r w:rsidR="008B7B4F" w:rsidRPr="001F3152">
        <w:rPr>
          <w:lang w:eastAsia="en-AU"/>
        </w:rPr>
        <w:t xml:space="preserve"> </w:t>
      </w:r>
      <w:r w:rsidRPr="001F3152">
        <w:rPr>
          <w:lang w:eastAsia="en-AU"/>
        </w:rPr>
        <w:t xml:space="preserve"> Although enrolment into the study was halted, the double blind phase of the study continued </w:t>
      </w:r>
      <w:r w:rsidR="00DE5C02" w:rsidRPr="001F3152">
        <w:rPr>
          <w:lang w:eastAsia="en-AU"/>
        </w:rPr>
        <w:t xml:space="preserve">until country-specific Regulatory approvals and site-specific Ethics Committee/Institutional Review Board approvals were obtained and </w:t>
      </w:r>
      <w:r w:rsidRPr="001F3152">
        <w:rPr>
          <w:lang w:eastAsia="en-AU"/>
        </w:rPr>
        <w:t xml:space="preserve">all </w:t>
      </w:r>
      <w:r w:rsidR="00DE5C02" w:rsidRPr="001F3152">
        <w:rPr>
          <w:lang w:eastAsia="en-AU"/>
        </w:rPr>
        <w:t xml:space="preserve">consenting </w:t>
      </w:r>
      <w:r w:rsidRPr="001F3152">
        <w:rPr>
          <w:lang w:eastAsia="en-AU"/>
        </w:rPr>
        <w:t xml:space="preserve">active patients were able to be transitioned into the open label extension (OLE) phase of the study. </w:t>
      </w:r>
      <w:r w:rsidR="008B7B4F" w:rsidRPr="001F3152">
        <w:rPr>
          <w:lang w:eastAsia="en-AU"/>
        </w:rPr>
        <w:t xml:space="preserve"> </w:t>
      </w:r>
      <w:r w:rsidRPr="001F3152">
        <w:rPr>
          <w:lang w:eastAsia="en-AU"/>
        </w:rPr>
        <w:t xml:space="preserve">A total of 1,155 subjects consented to participate in the OLE phase of this </w:t>
      </w:r>
      <w:r w:rsidR="00F80DC2" w:rsidRPr="001F3152">
        <w:rPr>
          <w:lang w:eastAsia="en-AU"/>
        </w:rPr>
        <w:t>study.</w:t>
      </w:r>
    </w:p>
    <w:p w:rsidR="00521F51" w:rsidRPr="001F3152" w:rsidRDefault="001636C5" w:rsidP="006763FE">
      <w:pPr>
        <w:rPr>
          <w:strike/>
        </w:rPr>
      </w:pPr>
      <w:r>
        <w:lastRenderedPageBreak/>
        <w:t>The primary endpoint, death from cardiovascular causes or hospitali</w:t>
      </w:r>
      <w:r w:rsidR="00C45AA0">
        <w:t>s</w:t>
      </w:r>
      <w:r>
        <w:t xml:space="preserve">ation for heart failure occurred in 249 patients (18.3%) in the eplerenone group and 356 patients (25.9%) in the </w:t>
      </w:r>
      <w:r w:rsidRPr="001F3152">
        <w:t xml:space="preserve">placebo group </w:t>
      </w:r>
      <w:r w:rsidR="00DE5C02" w:rsidRPr="001F3152">
        <w:t xml:space="preserve">resulting in a relative risk reduction of 37% </w:t>
      </w:r>
      <w:r w:rsidRPr="001F3152">
        <w:t>(</w:t>
      </w:r>
      <w:r w:rsidR="00DA5FFA" w:rsidRPr="001F3152">
        <w:t>hazard ratio</w:t>
      </w:r>
      <w:r w:rsidRPr="001F3152">
        <w:t xml:space="preserve"> 0.63, 95% CI, 0.54-0.74; p&lt;0.0</w:t>
      </w:r>
      <w:r w:rsidR="00892F11" w:rsidRPr="001F3152">
        <w:t>0</w:t>
      </w:r>
      <w:r w:rsidRPr="001F3152">
        <w:t>01).</w:t>
      </w:r>
      <w:r w:rsidR="00C45AA0" w:rsidRPr="001F3152">
        <w:t xml:space="preserve"> </w:t>
      </w:r>
      <w:r w:rsidRPr="001F3152">
        <w:t xml:space="preserve"> </w:t>
      </w:r>
    </w:p>
    <w:p w:rsidR="00F05E74" w:rsidRDefault="001636C5" w:rsidP="00C45AA0">
      <w:r w:rsidRPr="001F3152">
        <w:t xml:space="preserve">The secondary endpoint of all cause mortality was met by 171 patients (12.5%) in the eplerenone group and 213 patients (15.5%) in the placebo group </w:t>
      </w:r>
      <w:r w:rsidR="00DE5C02" w:rsidRPr="001F3152">
        <w:t xml:space="preserve">resulting in a relative risk reduction of 24% </w:t>
      </w:r>
      <w:r w:rsidRPr="001F3152">
        <w:t>(</w:t>
      </w:r>
      <w:r w:rsidR="00DA5FFA" w:rsidRPr="001F3152">
        <w:t>hazard ratio</w:t>
      </w:r>
      <w:r w:rsidRPr="001F3152">
        <w:t xml:space="preserve"> 0.76; 95% CI, 0.62</w:t>
      </w:r>
      <w:r w:rsidR="00C45AA0" w:rsidRPr="001F3152">
        <w:noBreakHyphen/>
        <w:t>0.93; p</w:t>
      </w:r>
      <w:r w:rsidRPr="001F3152">
        <w:t xml:space="preserve">=0.008). </w:t>
      </w:r>
      <w:r w:rsidR="00C45AA0" w:rsidRPr="001F3152">
        <w:t xml:space="preserve"> </w:t>
      </w:r>
      <w:r w:rsidRPr="001F3152">
        <w:t>Death from CV causes was reported in 147 (10.8%) patients in the eplerenone group and 185 (13.5%) patients in the placebo group</w:t>
      </w:r>
      <w:r w:rsidR="00DE5C02" w:rsidRPr="001F3152">
        <w:t xml:space="preserve"> resulting in a relative risk reduction of 24%</w:t>
      </w:r>
      <w:r w:rsidRPr="001F3152">
        <w:t xml:space="preserve"> (</w:t>
      </w:r>
      <w:r w:rsidR="00DA5FFA" w:rsidRPr="001F3152">
        <w:t>hazard ratio</w:t>
      </w:r>
      <w:r w:rsidRPr="001F3152">
        <w:t xml:space="preserve"> 0.76; 95% CI, 0.61-0.94; p=0.01).</w:t>
      </w:r>
      <w:r w:rsidR="006763FE">
        <w:t xml:space="preserve">  </w:t>
      </w:r>
    </w:p>
    <w:p w:rsidR="00982802" w:rsidRDefault="006B0D1E" w:rsidP="006B0D1E">
      <w:pPr>
        <w:pStyle w:val="Caption"/>
      </w:pPr>
      <w:r>
        <w:t xml:space="preserve">Table </w:t>
      </w:r>
      <w:fldSimple w:instr=" SEQ Table \* ARABIC ">
        <w:r>
          <w:rPr>
            <w:noProof/>
          </w:rPr>
          <w:t>3</w:t>
        </w:r>
      </w:fldSimple>
      <w:r w:rsidR="00982802">
        <w:t>: Survival analysis of heart failure hospitalisation or cardiovascular death (full analysis set)</w:t>
      </w:r>
    </w:p>
    <w:p w:rsidR="00982802" w:rsidRDefault="00947A15" w:rsidP="00C45AA0">
      <w:r>
        <w:rPr>
          <w:noProof/>
          <w:lang w:eastAsia="en-AU"/>
        </w:rPr>
        <w:drawing>
          <wp:inline distT="0" distB="0" distL="0" distR="0">
            <wp:extent cx="5762625" cy="1933575"/>
            <wp:effectExtent l="1905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cstate="print"/>
                    <a:srcRect/>
                    <a:stretch>
                      <a:fillRect/>
                    </a:stretch>
                  </pic:blipFill>
                  <pic:spPr bwMode="auto">
                    <a:xfrm>
                      <a:off x="0" y="0"/>
                      <a:ext cx="5762625" cy="1933575"/>
                    </a:xfrm>
                    <a:prstGeom prst="rect">
                      <a:avLst/>
                    </a:prstGeom>
                    <a:noFill/>
                    <a:ln w="9525">
                      <a:noFill/>
                      <a:miter lim="800000"/>
                      <a:headEnd/>
                      <a:tailEnd/>
                    </a:ln>
                  </pic:spPr>
                </pic:pic>
              </a:graphicData>
            </a:graphic>
          </wp:inline>
        </w:drawing>
      </w:r>
    </w:p>
    <w:p w:rsidR="00677766" w:rsidRDefault="00677766" w:rsidP="00982802">
      <w:pPr>
        <w:pStyle w:val="Caption"/>
      </w:pPr>
    </w:p>
    <w:p w:rsidR="00982802" w:rsidRDefault="00982802" w:rsidP="00982802">
      <w:pPr>
        <w:pStyle w:val="Caption"/>
      </w:pPr>
      <w:r>
        <w:t xml:space="preserve">Figure </w:t>
      </w:r>
      <w:fldSimple w:instr=" SEQ Figure \* ARABIC ">
        <w:r w:rsidR="00B82F77">
          <w:rPr>
            <w:noProof/>
          </w:rPr>
          <w:t>4</w:t>
        </w:r>
      </w:fldSimple>
      <w:r>
        <w:t>: Survival plot of time to first event of heart failure hospitalisation or cardiovascular death (full analysis set)</w:t>
      </w:r>
    </w:p>
    <w:p w:rsidR="00982802" w:rsidRDefault="00947A15" w:rsidP="00982802">
      <w:r>
        <w:rPr>
          <w:noProof/>
          <w:lang w:eastAsia="en-AU"/>
        </w:rPr>
        <w:lastRenderedPageBreak/>
        <w:drawing>
          <wp:inline distT="0" distB="0" distL="0" distR="0">
            <wp:extent cx="5753100" cy="359092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cstate="print"/>
                    <a:srcRect/>
                    <a:stretch>
                      <a:fillRect/>
                    </a:stretch>
                  </pic:blipFill>
                  <pic:spPr bwMode="auto">
                    <a:xfrm>
                      <a:off x="0" y="0"/>
                      <a:ext cx="5753100" cy="3590925"/>
                    </a:xfrm>
                    <a:prstGeom prst="rect">
                      <a:avLst/>
                    </a:prstGeom>
                    <a:noFill/>
                    <a:ln w="9525">
                      <a:noFill/>
                      <a:miter lim="800000"/>
                      <a:headEnd/>
                      <a:tailEnd/>
                    </a:ln>
                  </pic:spPr>
                </pic:pic>
              </a:graphicData>
            </a:graphic>
          </wp:inline>
        </w:drawing>
      </w:r>
    </w:p>
    <w:p w:rsidR="006D0327" w:rsidRDefault="006D0327" w:rsidP="00982802"/>
    <w:p w:rsidR="00AE0A7B" w:rsidRDefault="00AE0A7B" w:rsidP="00AE0A7B">
      <w:pPr>
        <w:pStyle w:val="Heading4"/>
      </w:pPr>
      <w:r>
        <w:t>Serum Potassium Levels</w:t>
      </w:r>
      <w:r w:rsidR="001D1AFB">
        <w:rPr>
          <w:vertAlign w:val="superscript"/>
        </w:rPr>
        <w:t>†</w:t>
      </w:r>
    </w:p>
    <w:p w:rsidR="002C6F58" w:rsidRDefault="00FE115F" w:rsidP="00071FB1">
      <w:pPr>
        <w:pStyle w:val="Paragraph"/>
        <w:jc w:val="both"/>
        <w:rPr>
          <w:color w:val="393B07"/>
          <w:sz w:val="23"/>
          <w:szCs w:val="23"/>
          <w:lang w:val="en-AU" w:eastAsia="en-AU"/>
        </w:rPr>
      </w:pPr>
      <w:r>
        <w:rPr>
          <w:lang w:val="en-AU" w:eastAsia="en-AU"/>
        </w:rPr>
        <w:t xml:space="preserve">Serum potassium levels were assessed periodically during the study and the dosage adjusted accordingly (see DOSAGE AND ADMINISTRATION).  </w:t>
      </w:r>
      <w:r w:rsidR="001636C5">
        <w:t xml:space="preserve">During the </w:t>
      </w:r>
      <w:r w:rsidR="00195AB9">
        <w:t xml:space="preserve">EMPHASIS-HF </w:t>
      </w:r>
      <w:r w:rsidR="001636C5">
        <w:t>study, hyperkalaemia (serum potassium level &gt;5.5mmol/L) was reported in 158</w:t>
      </w:r>
      <w:r w:rsidR="00C45AA0">
        <w:t> </w:t>
      </w:r>
      <w:r w:rsidR="001636C5">
        <w:t>patients (11.8%) in the eplerenone group and 96 patients</w:t>
      </w:r>
      <w:r w:rsidR="00C45AA0">
        <w:t xml:space="preserve"> (7.2%) in the placebo group (p </w:t>
      </w:r>
      <w:r w:rsidR="001636C5">
        <w:t xml:space="preserve">&lt;0.001). </w:t>
      </w:r>
      <w:r w:rsidR="00C45AA0">
        <w:t xml:space="preserve"> </w:t>
      </w:r>
      <w:r w:rsidR="00DA5FFA" w:rsidRPr="00860B3A">
        <w:t>Hypokalaemia, defined as serum potassium levels &lt;</w:t>
      </w:r>
      <w:r w:rsidR="00DA5FFA">
        <w:t>3.5</w:t>
      </w:r>
      <w:r w:rsidR="00DA5FFA" w:rsidRPr="00860B3A">
        <w:t xml:space="preserve">mmol/L, was statistically lower with eplerenone when compared to placebo </w:t>
      </w:r>
      <w:r w:rsidR="00DA5FFA" w:rsidRPr="00A31E2E">
        <w:rPr>
          <w:bCs/>
        </w:rPr>
        <w:t>(</w:t>
      </w:r>
      <w:r w:rsidR="00DA5FFA">
        <w:rPr>
          <w:bCs/>
        </w:rPr>
        <w:t>7.5</w:t>
      </w:r>
      <w:r w:rsidR="00DA5FFA" w:rsidRPr="00A31E2E">
        <w:rPr>
          <w:bCs/>
        </w:rPr>
        <w:t xml:space="preserve">% for eplerenone compared to </w:t>
      </w:r>
      <w:r w:rsidR="00DA5FFA">
        <w:rPr>
          <w:bCs/>
        </w:rPr>
        <w:t>11.0</w:t>
      </w:r>
      <w:r w:rsidR="00DA5FFA" w:rsidRPr="00A31E2E">
        <w:rPr>
          <w:bCs/>
        </w:rPr>
        <w:t>% for placebo, p&lt;0.00</w:t>
      </w:r>
      <w:r w:rsidR="00DA5FFA">
        <w:rPr>
          <w:bCs/>
        </w:rPr>
        <w:t>2</w:t>
      </w:r>
      <w:r w:rsidR="00DA5FFA" w:rsidRPr="002C6F58">
        <w:rPr>
          <w:bCs/>
        </w:rPr>
        <w:t>).</w:t>
      </w:r>
      <w:r w:rsidR="002C6F58" w:rsidRPr="002C6F58">
        <w:rPr>
          <w:bCs/>
        </w:rPr>
        <w:t xml:space="preserve">  </w:t>
      </w:r>
      <w:r w:rsidR="002C6F58" w:rsidRPr="002C6F58">
        <w:t xml:space="preserve">There is limited data available on the patient population </w:t>
      </w:r>
      <w:r w:rsidR="002C6F58" w:rsidRPr="002C6F58">
        <w:rPr>
          <w:color w:val="393B07"/>
          <w:sz w:val="23"/>
          <w:szCs w:val="23"/>
          <w:lang w:val="en-AU" w:eastAsia="en-AU"/>
        </w:rPr>
        <w:t>with baseline serum potassium levels between 5</w:t>
      </w:r>
      <w:r w:rsidR="002C6F58" w:rsidRPr="002C6F58">
        <w:rPr>
          <w:color w:val="545416"/>
          <w:sz w:val="23"/>
          <w:szCs w:val="23"/>
          <w:lang w:val="en-AU" w:eastAsia="en-AU"/>
        </w:rPr>
        <w:t>.</w:t>
      </w:r>
      <w:r w:rsidR="002C6F58" w:rsidRPr="002C6F58">
        <w:rPr>
          <w:color w:val="393B07"/>
          <w:sz w:val="23"/>
          <w:szCs w:val="23"/>
          <w:lang w:val="en-AU" w:eastAsia="en-AU"/>
        </w:rPr>
        <w:t>0 and 5.5 mmol/L</w:t>
      </w:r>
      <w:r w:rsidR="002B70EF">
        <w:rPr>
          <w:color w:val="393B07"/>
          <w:sz w:val="23"/>
          <w:szCs w:val="23"/>
          <w:lang w:val="en-AU" w:eastAsia="en-AU"/>
        </w:rPr>
        <w:t>.</w:t>
      </w:r>
    </w:p>
    <w:p w:rsidR="00D56031" w:rsidRDefault="00D56031" w:rsidP="00AE0A7B">
      <w:pPr>
        <w:pStyle w:val="Heading4"/>
      </w:pPr>
      <w:r>
        <w:t>Chronic Kidney Disease</w:t>
      </w:r>
      <w:r w:rsidR="00195AB9">
        <w:t xml:space="preserve"> (CKD)</w:t>
      </w:r>
      <w:r w:rsidR="001D1AFB" w:rsidRPr="001D1AFB">
        <w:rPr>
          <w:vertAlign w:val="superscript"/>
        </w:rPr>
        <w:t xml:space="preserve"> </w:t>
      </w:r>
      <w:r w:rsidR="001D1AFB">
        <w:rPr>
          <w:vertAlign w:val="superscript"/>
        </w:rPr>
        <w:t>†</w:t>
      </w:r>
    </w:p>
    <w:p w:rsidR="00174B67" w:rsidRPr="00195AB9" w:rsidRDefault="00D56031" w:rsidP="00071FB1">
      <w:pPr>
        <w:pStyle w:val="Paragraph"/>
        <w:jc w:val="both"/>
      </w:pPr>
      <w:r w:rsidRPr="00195AB9">
        <w:t xml:space="preserve">The </w:t>
      </w:r>
      <w:r w:rsidR="003D64E5" w:rsidRPr="00195AB9">
        <w:t>distribution of subjects enrolled in the EMPHASIS-HF study based on renal function stratificat</w:t>
      </w:r>
      <w:r w:rsidR="00195AB9">
        <w:t>ion is shown in the Table below.</w:t>
      </w:r>
    </w:p>
    <w:p w:rsidR="006B0D1E" w:rsidRDefault="00905EEE" w:rsidP="00174B67">
      <w:pPr>
        <w:pStyle w:val="Heading3"/>
      </w:pPr>
      <w:r>
        <w:br w:type="page"/>
      </w:r>
      <w:r w:rsidR="006B0D1E" w:rsidRPr="00195AB9">
        <w:lastRenderedPageBreak/>
        <w:t xml:space="preserve">Table </w:t>
      </w:r>
      <w:fldSimple w:instr=" SEQ Table \* ARABIC ">
        <w:r w:rsidR="0081697C" w:rsidRPr="00195AB9">
          <w:rPr>
            <w:noProof/>
          </w:rPr>
          <w:t>4</w:t>
        </w:r>
      </w:fldSimple>
      <w:r w:rsidR="0081697C" w:rsidRPr="00195AB9">
        <w:t xml:space="preserve">  </w:t>
      </w:r>
      <w:r w:rsidR="003D64E5" w:rsidRPr="00195AB9">
        <w:t xml:space="preserve">Distribution </w:t>
      </w:r>
      <w:r w:rsidR="0081697C" w:rsidRPr="00195AB9">
        <w:t>of Subjects Enrolled, Based on Renal Function Stratification</w:t>
      </w:r>
    </w:p>
    <w:tbl>
      <w:tblPr>
        <w:tblW w:w="9464" w:type="dxa"/>
        <w:jc w:val="center"/>
        <w:tblLayout w:type="fixed"/>
        <w:tblCellMar>
          <w:left w:w="0" w:type="dxa"/>
          <w:right w:w="0" w:type="dxa"/>
        </w:tblCellMar>
        <w:tblLook w:val="04A0"/>
      </w:tblPr>
      <w:tblGrid>
        <w:gridCol w:w="1352"/>
        <w:gridCol w:w="1970"/>
        <w:gridCol w:w="1494"/>
        <w:gridCol w:w="1529"/>
        <w:gridCol w:w="1134"/>
        <w:gridCol w:w="1985"/>
      </w:tblGrid>
      <w:tr w:rsidR="0081697C" w:rsidRPr="007B6EB1" w:rsidTr="006D0327">
        <w:trPr>
          <w:jc w:val="center"/>
        </w:trPr>
        <w:tc>
          <w:tcPr>
            <w:tcW w:w="13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b/>
                <w:color w:val="000000"/>
                <w:lang w:eastAsia="zh-CN"/>
              </w:rPr>
            </w:pPr>
            <w:r w:rsidRPr="00CE3842">
              <w:rPr>
                <w:b/>
                <w:color w:val="000000"/>
              </w:rPr>
              <w:t>Renal Function</w:t>
            </w:r>
          </w:p>
        </w:tc>
        <w:tc>
          <w:tcPr>
            <w:tcW w:w="19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1697C" w:rsidRDefault="0081697C" w:rsidP="006D0327">
            <w:pPr>
              <w:pStyle w:val="Paragraph"/>
              <w:spacing w:after="0"/>
              <w:jc w:val="center"/>
              <w:rPr>
                <w:b/>
                <w:color w:val="000000"/>
              </w:rPr>
            </w:pPr>
            <w:r>
              <w:rPr>
                <w:b/>
                <w:color w:val="000000"/>
              </w:rPr>
              <w:t>eGFR (mL</w:t>
            </w:r>
            <w:r w:rsidRPr="00CE3842">
              <w:rPr>
                <w:b/>
                <w:color w:val="000000"/>
              </w:rPr>
              <w:t>/min/1.73m</w:t>
            </w:r>
            <w:r w:rsidRPr="00CE3842">
              <w:rPr>
                <w:b/>
                <w:color w:val="000000"/>
                <w:vertAlign w:val="superscript"/>
              </w:rPr>
              <w:t>2</w:t>
            </w:r>
            <w:r w:rsidRPr="00CE3842">
              <w:rPr>
                <w:b/>
                <w:color w:val="000000"/>
              </w:rPr>
              <w:t>)</w:t>
            </w:r>
          </w:p>
          <w:p w:rsidR="0081697C" w:rsidRPr="00CE3842" w:rsidRDefault="0081697C" w:rsidP="006D0327">
            <w:pPr>
              <w:pStyle w:val="Paragraph"/>
              <w:spacing w:after="0"/>
              <w:jc w:val="center"/>
              <w:rPr>
                <w:rFonts w:eastAsia="SimSun"/>
                <w:b/>
                <w:color w:val="000000"/>
                <w:lang w:eastAsia="zh-CN"/>
              </w:rPr>
            </w:pPr>
            <w:r>
              <w:t>Analysis Group</w:t>
            </w:r>
          </w:p>
        </w:tc>
        <w:tc>
          <w:tcPr>
            <w:tcW w:w="149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b/>
                <w:color w:val="000000"/>
              </w:rPr>
            </w:pPr>
            <w:r w:rsidRPr="00CE3842">
              <w:rPr>
                <w:b/>
                <w:color w:val="000000"/>
              </w:rPr>
              <w:t>Inspra</w:t>
            </w:r>
          </w:p>
          <w:p w:rsidR="0081697C" w:rsidRPr="00CE3842" w:rsidRDefault="0081697C" w:rsidP="006D0327">
            <w:pPr>
              <w:pStyle w:val="Paragraph"/>
              <w:spacing w:after="0"/>
              <w:jc w:val="center"/>
              <w:rPr>
                <w:rFonts w:eastAsia="SimSun"/>
                <w:b/>
                <w:color w:val="000000"/>
                <w:lang w:eastAsia="zh-CN"/>
              </w:rPr>
            </w:pPr>
            <w:r w:rsidRPr="00CE3842">
              <w:rPr>
                <w:b/>
                <w:color w:val="000000"/>
              </w:rPr>
              <w:t>N (%)</w:t>
            </w:r>
          </w:p>
        </w:tc>
        <w:tc>
          <w:tcPr>
            <w:tcW w:w="1529" w:type="dxa"/>
            <w:tcBorders>
              <w:top w:val="single" w:sz="8" w:space="0" w:color="000000"/>
              <w:left w:val="nil"/>
              <w:bottom w:val="single" w:sz="8" w:space="0" w:color="000000"/>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b/>
                <w:color w:val="000000"/>
                <w:lang w:eastAsia="zh-CN"/>
              </w:rPr>
            </w:pPr>
            <w:r w:rsidRPr="00CE3842">
              <w:rPr>
                <w:b/>
                <w:color w:val="000000"/>
              </w:rPr>
              <w:t>Placebo</w:t>
            </w:r>
          </w:p>
          <w:p w:rsidR="0081697C" w:rsidRPr="00CE3842" w:rsidRDefault="0081697C" w:rsidP="006D0327">
            <w:pPr>
              <w:pStyle w:val="Paragraph"/>
              <w:spacing w:after="0"/>
              <w:jc w:val="center"/>
              <w:rPr>
                <w:rFonts w:eastAsia="SimSun"/>
                <w:b/>
                <w:color w:val="000000"/>
                <w:lang w:eastAsia="zh-CN"/>
              </w:rPr>
            </w:pPr>
            <w:r w:rsidRPr="00CE3842">
              <w:rPr>
                <w:b/>
                <w:color w:val="000000"/>
              </w:rPr>
              <w:t>N (%)</w:t>
            </w:r>
          </w:p>
        </w:tc>
        <w:tc>
          <w:tcPr>
            <w:tcW w:w="1134" w:type="dxa"/>
            <w:tcBorders>
              <w:top w:val="single" w:sz="8" w:space="0" w:color="000000"/>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b/>
                <w:color w:val="000000"/>
                <w:lang w:eastAsia="zh-CN"/>
              </w:rPr>
            </w:pPr>
            <w:r w:rsidRPr="00CE3842">
              <w:rPr>
                <w:b/>
                <w:color w:val="000000"/>
              </w:rPr>
              <w:t>Kidney function stage</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rsidR="0081697C" w:rsidRPr="007B6EB1" w:rsidRDefault="0081697C" w:rsidP="006D0327">
            <w:pPr>
              <w:pStyle w:val="Paragraph"/>
              <w:spacing w:after="0"/>
              <w:jc w:val="center"/>
              <w:rPr>
                <w:b/>
                <w:color w:val="000000"/>
                <w:lang w:val="sv-SE"/>
              </w:rPr>
            </w:pPr>
            <w:r>
              <w:rPr>
                <w:b/>
                <w:color w:val="000000"/>
                <w:lang w:val="sv-SE"/>
              </w:rPr>
              <w:t>eGFR (mL</w:t>
            </w:r>
            <w:r w:rsidRPr="007B6EB1">
              <w:rPr>
                <w:b/>
                <w:color w:val="000000"/>
                <w:lang w:val="sv-SE"/>
              </w:rPr>
              <w:t>/min/1.73m</w:t>
            </w:r>
            <w:r w:rsidRPr="007B6EB1">
              <w:rPr>
                <w:b/>
                <w:color w:val="000000"/>
                <w:vertAlign w:val="superscript"/>
                <w:lang w:val="sv-SE"/>
              </w:rPr>
              <w:t>2</w:t>
            </w:r>
            <w:r w:rsidRPr="007B6EB1">
              <w:rPr>
                <w:b/>
                <w:color w:val="000000"/>
                <w:lang w:val="sv-SE"/>
              </w:rPr>
              <w:t>)</w:t>
            </w:r>
          </w:p>
          <w:p w:rsidR="0081697C" w:rsidRPr="007B6EB1" w:rsidRDefault="0081697C" w:rsidP="006D0327">
            <w:pPr>
              <w:pStyle w:val="Paragraph"/>
              <w:spacing w:after="0"/>
              <w:jc w:val="center"/>
              <w:rPr>
                <w:rFonts w:eastAsia="SimSun"/>
                <w:b/>
                <w:color w:val="000000"/>
                <w:lang w:val="sv-SE" w:eastAsia="zh-CN"/>
              </w:rPr>
            </w:pPr>
            <w:r w:rsidRPr="007B6EB1">
              <w:rPr>
                <w:lang w:val="sv-SE"/>
              </w:rPr>
              <w:t>(KHA)</w:t>
            </w:r>
          </w:p>
        </w:tc>
      </w:tr>
      <w:tr w:rsidR="0081697C" w:rsidRPr="00CE3842" w:rsidTr="006D0327">
        <w:trPr>
          <w:jc w:val="center"/>
        </w:trPr>
        <w:tc>
          <w:tcPr>
            <w:tcW w:w="13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color w:val="000000"/>
                <w:lang w:eastAsia="zh-CN"/>
              </w:rPr>
            </w:pPr>
            <w:r w:rsidRPr="00CE3842">
              <w:rPr>
                <w:color w:val="000000"/>
              </w:rPr>
              <w:t>Normal</w:t>
            </w:r>
            <w:r>
              <w:rPr>
                <w:color w:val="000000"/>
              </w:rPr>
              <w:t xml:space="preserve"> function</w:t>
            </w:r>
          </w:p>
        </w:tc>
        <w:tc>
          <w:tcPr>
            <w:tcW w:w="1970"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≥90</w:t>
            </w:r>
          </w:p>
        </w:tc>
        <w:tc>
          <w:tcPr>
            <w:tcW w:w="1494"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235 (17.2%)</w:t>
            </w:r>
          </w:p>
        </w:tc>
        <w:tc>
          <w:tcPr>
            <w:tcW w:w="1529" w:type="dxa"/>
            <w:tcBorders>
              <w:top w:val="nil"/>
              <w:left w:val="nil"/>
              <w:bottom w:val="single" w:sz="8" w:space="0" w:color="000000"/>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240 (17.5%)</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1</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≥90</w:t>
            </w:r>
          </w:p>
        </w:tc>
      </w:tr>
      <w:tr w:rsidR="0081697C" w:rsidRPr="00CE3842" w:rsidTr="006D0327">
        <w:trPr>
          <w:jc w:val="center"/>
        </w:trPr>
        <w:tc>
          <w:tcPr>
            <w:tcW w:w="13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color w:val="000000"/>
                <w:lang w:eastAsia="zh-CN"/>
              </w:rPr>
            </w:pPr>
            <w:r w:rsidRPr="00CE3842">
              <w:rPr>
                <w:color w:val="000000"/>
              </w:rPr>
              <w:t>Mild Impairment</w:t>
            </w:r>
          </w:p>
        </w:tc>
        <w:tc>
          <w:tcPr>
            <w:tcW w:w="1970"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60</w:t>
            </w:r>
            <w:r w:rsidR="006D0327">
              <w:rPr>
                <w:color w:val="000000"/>
              </w:rPr>
              <w:t xml:space="preserve"> </w:t>
            </w:r>
            <w:r w:rsidRPr="00CE3842">
              <w:rPr>
                <w:color w:val="000000"/>
              </w:rPr>
              <w:t>-</w:t>
            </w:r>
            <w:r w:rsidR="006D0327">
              <w:rPr>
                <w:color w:val="000000"/>
              </w:rPr>
              <w:t xml:space="preserve"> </w:t>
            </w:r>
            <w:r w:rsidR="00390E77">
              <w:rPr>
                <w:color w:val="000000"/>
              </w:rPr>
              <w:t>89</w:t>
            </w:r>
          </w:p>
        </w:tc>
        <w:tc>
          <w:tcPr>
            <w:tcW w:w="1494"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691 (50.6%)</w:t>
            </w:r>
          </w:p>
        </w:tc>
        <w:tc>
          <w:tcPr>
            <w:tcW w:w="1529" w:type="dxa"/>
            <w:tcBorders>
              <w:top w:val="nil"/>
              <w:left w:val="nil"/>
              <w:bottom w:val="single" w:sz="8" w:space="0" w:color="000000"/>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660 (48.0%)</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2</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 xml:space="preserve">60 </w:t>
            </w:r>
            <w:r>
              <w:rPr>
                <w:color w:val="000000"/>
              </w:rPr>
              <w:t>–</w:t>
            </w:r>
            <w:r w:rsidRPr="00CE3842">
              <w:rPr>
                <w:color w:val="000000"/>
              </w:rPr>
              <w:t xml:space="preserve"> 89</w:t>
            </w:r>
          </w:p>
        </w:tc>
      </w:tr>
      <w:tr w:rsidR="0081697C" w:rsidRPr="00CE3842" w:rsidTr="006D0327">
        <w:trPr>
          <w:jc w:val="center"/>
        </w:trPr>
        <w:tc>
          <w:tcPr>
            <w:tcW w:w="13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color w:val="000000"/>
                <w:lang w:eastAsia="zh-CN"/>
              </w:rPr>
            </w:pPr>
            <w:r w:rsidRPr="00CE3842">
              <w:rPr>
                <w:color w:val="000000"/>
              </w:rPr>
              <w:t>Moderate impairment</w:t>
            </w:r>
          </w:p>
        </w:tc>
        <w:tc>
          <w:tcPr>
            <w:tcW w:w="1970"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30</w:t>
            </w:r>
            <w:r w:rsidR="006D0327">
              <w:rPr>
                <w:color w:val="000000"/>
              </w:rPr>
              <w:t xml:space="preserve"> </w:t>
            </w:r>
            <w:r w:rsidRPr="00CE3842">
              <w:rPr>
                <w:color w:val="000000"/>
              </w:rPr>
              <w:t>-</w:t>
            </w:r>
            <w:r w:rsidR="006D0327">
              <w:rPr>
                <w:color w:val="000000"/>
              </w:rPr>
              <w:t xml:space="preserve"> </w:t>
            </w:r>
            <w:r w:rsidR="00390E77">
              <w:rPr>
                <w:color w:val="000000"/>
              </w:rPr>
              <w:t>59</w:t>
            </w:r>
          </w:p>
        </w:tc>
        <w:tc>
          <w:tcPr>
            <w:tcW w:w="1494"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437 (32.0%)</w:t>
            </w:r>
          </w:p>
        </w:tc>
        <w:tc>
          <w:tcPr>
            <w:tcW w:w="1529" w:type="dxa"/>
            <w:tcBorders>
              <w:top w:val="nil"/>
              <w:left w:val="nil"/>
              <w:bottom w:val="single" w:sz="8" w:space="0" w:color="000000"/>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471 (34.3%)</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3</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 xml:space="preserve">30 </w:t>
            </w:r>
            <w:r>
              <w:rPr>
                <w:color w:val="000000"/>
              </w:rPr>
              <w:t>–</w:t>
            </w:r>
            <w:r w:rsidRPr="00CE3842">
              <w:rPr>
                <w:color w:val="000000"/>
              </w:rPr>
              <w:t xml:space="preserve"> 59</w:t>
            </w:r>
          </w:p>
        </w:tc>
      </w:tr>
      <w:tr w:rsidR="0081697C" w:rsidRPr="00CE3842" w:rsidTr="006D0327">
        <w:trPr>
          <w:trHeight w:val="459"/>
          <w:jc w:val="center"/>
        </w:trPr>
        <w:tc>
          <w:tcPr>
            <w:tcW w:w="1352"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color w:val="000000"/>
                <w:lang w:eastAsia="zh-CN"/>
              </w:rPr>
            </w:pPr>
            <w:r w:rsidRPr="00CE3842">
              <w:rPr>
                <w:color w:val="000000"/>
              </w:rPr>
              <w:t>Severe Impairment</w:t>
            </w:r>
          </w:p>
        </w:tc>
        <w:tc>
          <w:tcPr>
            <w:tcW w:w="1970" w:type="dxa"/>
            <w:vMerge w:val="restart"/>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&lt;30</w:t>
            </w:r>
          </w:p>
        </w:tc>
        <w:tc>
          <w:tcPr>
            <w:tcW w:w="1494" w:type="dxa"/>
            <w:tcBorders>
              <w:top w:val="nil"/>
              <w:left w:val="nil"/>
              <w:bottom w:val="single" w:sz="4" w:space="0" w:color="auto"/>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2 (0.1%)</w:t>
            </w:r>
          </w:p>
        </w:tc>
        <w:tc>
          <w:tcPr>
            <w:tcW w:w="1529" w:type="dxa"/>
            <w:tcBorders>
              <w:top w:val="nil"/>
              <w:left w:val="nil"/>
              <w:bottom w:val="single" w:sz="4" w:space="0" w:color="auto"/>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Pr>
                <w:color w:val="000000"/>
              </w:rPr>
              <w:t>3 (</w:t>
            </w:r>
            <w:r w:rsidRPr="00CE3842">
              <w:rPr>
                <w:color w:val="000000"/>
              </w:rPr>
              <w:t>0.2%)</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4</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 xml:space="preserve">15 </w:t>
            </w:r>
            <w:r>
              <w:rPr>
                <w:color w:val="000000"/>
              </w:rPr>
              <w:t>–</w:t>
            </w:r>
            <w:r w:rsidRPr="00CE3842">
              <w:rPr>
                <w:color w:val="000000"/>
              </w:rPr>
              <w:t xml:space="preserve"> 29</w:t>
            </w:r>
          </w:p>
        </w:tc>
      </w:tr>
      <w:tr w:rsidR="006D0327" w:rsidRPr="00CE3842" w:rsidTr="00DB715B">
        <w:trPr>
          <w:trHeight w:val="459"/>
          <w:jc w:val="center"/>
        </w:trPr>
        <w:tc>
          <w:tcPr>
            <w:tcW w:w="1352"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6D0327" w:rsidRPr="00CE3842" w:rsidRDefault="006D0327" w:rsidP="0081697C">
            <w:pPr>
              <w:pStyle w:val="Paragraph"/>
              <w:spacing w:after="0"/>
              <w:rPr>
                <w:color w:val="000000"/>
              </w:rPr>
            </w:pPr>
          </w:p>
        </w:tc>
        <w:tc>
          <w:tcPr>
            <w:tcW w:w="1970" w:type="dxa"/>
            <w:vMerge/>
            <w:tcBorders>
              <w:top w:val="nil"/>
              <w:left w:val="nil"/>
              <w:bottom w:val="single" w:sz="8" w:space="0" w:color="000000"/>
              <w:right w:val="single" w:sz="8" w:space="0" w:color="000000"/>
            </w:tcBorders>
            <w:tcMar>
              <w:top w:w="0" w:type="dxa"/>
              <w:left w:w="108" w:type="dxa"/>
              <w:bottom w:w="0" w:type="dxa"/>
              <w:right w:w="108" w:type="dxa"/>
            </w:tcMar>
          </w:tcPr>
          <w:p w:rsidR="006D0327" w:rsidRPr="00CE3842" w:rsidRDefault="006D0327" w:rsidP="006D0327">
            <w:pPr>
              <w:pStyle w:val="Paragraph"/>
              <w:spacing w:after="0"/>
              <w:jc w:val="center"/>
              <w:rPr>
                <w:color w:val="000000"/>
              </w:rPr>
            </w:pPr>
          </w:p>
        </w:tc>
        <w:tc>
          <w:tcPr>
            <w:tcW w:w="1494" w:type="dxa"/>
            <w:tcBorders>
              <w:top w:val="nil"/>
              <w:left w:val="nil"/>
              <w:bottom w:val="single" w:sz="4" w:space="0" w:color="auto"/>
              <w:right w:val="single" w:sz="8" w:space="0" w:color="000000"/>
            </w:tcBorders>
            <w:tcMar>
              <w:top w:w="0" w:type="dxa"/>
              <w:left w:w="108" w:type="dxa"/>
              <w:bottom w:w="0" w:type="dxa"/>
              <w:right w:w="108" w:type="dxa"/>
            </w:tcMar>
            <w:vAlign w:val="center"/>
          </w:tcPr>
          <w:p w:rsidR="006D0327" w:rsidRPr="00CE3842" w:rsidRDefault="006D0327" w:rsidP="006D0327">
            <w:pPr>
              <w:pStyle w:val="Paragraph"/>
              <w:spacing w:after="0"/>
              <w:jc w:val="center"/>
              <w:rPr>
                <w:color w:val="000000"/>
              </w:rPr>
            </w:pPr>
            <w:r>
              <w:rPr>
                <w:rFonts w:eastAsia="SimSun"/>
                <w:color w:val="000000"/>
                <w:lang w:eastAsia="zh-CN"/>
              </w:rPr>
              <w:t>0 (0.0%)</w:t>
            </w:r>
          </w:p>
        </w:tc>
        <w:tc>
          <w:tcPr>
            <w:tcW w:w="1529" w:type="dxa"/>
            <w:tcBorders>
              <w:top w:val="nil"/>
              <w:left w:val="nil"/>
              <w:bottom w:val="single" w:sz="4" w:space="0" w:color="auto"/>
              <w:right w:val="single" w:sz="18" w:space="0" w:color="auto"/>
            </w:tcBorders>
            <w:tcMar>
              <w:top w:w="0" w:type="dxa"/>
              <w:left w:w="108" w:type="dxa"/>
              <w:bottom w:w="0" w:type="dxa"/>
              <w:right w:w="108" w:type="dxa"/>
            </w:tcMar>
            <w:vAlign w:val="center"/>
          </w:tcPr>
          <w:p w:rsidR="006D0327" w:rsidRDefault="006D0327" w:rsidP="006D0327">
            <w:pPr>
              <w:pStyle w:val="Paragraph"/>
              <w:spacing w:after="0"/>
              <w:jc w:val="center"/>
              <w:rPr>
                <w:color w:val="000000"/>
              </w:rPr>
            </w:pPr>
            <w:r>
              <w:rPr>
                <w:rFonts w:eastAsia="SimSun"/>
                <w:color w:val="000000"/>
                <w:lang w:eastAsia="zh-CN"/>
              </w:rPr>
              <w:t>0 (0.0%)</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6D0327" w:rsidRPr="00CE3842" w:rsidRDefault="006D0327" w:rsidP="006D0327">
            <w:pPr>
              <w:pStyle w:val="Paragraph"/>
              <w:spacing w:after="0"/>
              <w:jc w:val="center"/>
              <w:rPr>
                <w:color w:val="000000"/>
              </w:rPr>
            </w:pPr>
            <w:r w:rsidRPr="00CE3842">
              <w:rPr>
                <w:color w:val="000000"/>
              </w:rPr>
              <w:t>5</w:t>
            </w: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6D0327" w:rsidRPr="00CE3842" w:rsidRDefault="006D0327" w:rsidP="006D0327">
            <w:pPr>
              <w:pStyle w:val="Paragraph"/>
              <w:spacing w:after="0"/>
              <w:jc w:val="center"/>
              <w:rPr>
                <w:color w:val="000000"/>
              </w:rPr>
            </w:pPr>
            <w:r w:rsidRPr="00CE3842">
              <w:rPr>
                <w:color w:val="000000"/>
              </w:rPr>
              <w:t>&lt;15 or on dialysis</w:t>
            </w:r>
          </w:p>
        </w:tc>
      </w:tr>
      <w:tr w:rsidR="0081697C" w:rsidRPr="00CE3842" w:rsidTr="006D0327">
        <w:trPr>
          <w:trHeight w:val="459"/>
          <w:jc w:val="center"/>
        </w:trPr>
        <w:tc>
          <w:tcPr>
            <w:tcW w:w="135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81697C" w:rsidRPr="00CE3842" w:rsidRDefault="0081697C" w:rsidP="0081697C">
            <w:pPr>
              <w:pStyle w:val="Paragraph"/>
              <w:spacing w:after="0"/>
              <w:rPr>
                <w:rFonts w:eastAsia="SimSun"/>
                <w:color w:val="000000"/>
                <w:lang w:eastAsia="zh-CN"/>
              </w:rPr>
            </w:pPr>
            <w:r w:rsidRPr="00CE3842">
              <w:rPr>
                <w:color w:val="000000"/>
              </w:rPr>
              <w:t xml:space="preserve">Total </w:t>
            </w:r>
          </w:p>
        </w:tc>
        <w:tc>
          <w:tcPr>
            <w:tcW w:w="1970"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color w:val="000000"/>
              </w:rPr>
            </w:pPr>
          </w:p>
        </w:tc>
        <w:tc>
          <w:tcPr>
            <w:tcW w:w="1494"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1365</w:t>
            </w:r>
          </w:p>
        </w:tc>
        <w:tc>
          <w:tcPr>
            <w:tcW w:w="1529" w:type="dxa"/>
            <w:tcBorders>
              <w:top w:val="nil"/>
              <w:left w:val="nil"/>
              <w:bottom w:val="single" w:sz="8" w:space="0" w:color="000000"/>
              <w:right w:val="single" w:sz="18" w:space="0" w:color="auto"/>
            </w:tcBorders>
            <w:tcMar>
              <w:top w:w="0" w:type="dxa"/>
              <w:left w:w="108" w:type="dxa"/>
              <w:bottom w:w="0" w:type="dxa"/>
              <w:right w:w="108" w:type="dxa"/>
            </w:tcMar>
          </w:tcPr>
          <w:p w:rsidR="0081697C" w:rsidRPr="00CE3842" w:rsidRDefault="0081697C" w:rsidP="006D0327">
            <w:pPr>
              <w:pStyle w:val="Paragraph"/>
              <w:spacing w:after="0"/>
              <w:jc w:val="center"/>
              <w:rPr>
                <w:rFonts w:eastAsia="SimSun"/>
                <w:color w:val="000000"/>
                <w:lang w:eastAsia="zh-CN"/>
              </w:rPr>
            </w:pPr>
            <w:r w:rsidRPr="00CE3842">
              <w:rPr>
                <w:color w:val="000000"/>
              </w:rPr>
              <w:t>1374</w:t>
            </w:r>
          </w:p>
        </w:tc>
        <w:tc>
          <w:tcPr>
            <w:tcW w:w="1134" w:type="dxa"/>
            <w:tcBorders>
              <w:top w:val="nil"/>
              <w:left w:val="single" w:sz="18" w:space="0" w:color="auto"/>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color w:val="000000"/>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rsidR="0081697C" w:rsidRPr="00CE3842" w:rsidRDefault="0081697C" w:rsidP="006D0327">
            <w:pPr>
              <w:pStyle w:val="Paragraph"/>
              <w:spacing w:after="0"/>
              <w:jc w:val="center"/>
              <w:rPr>
                <w:color w:val="000000"/>
              </w:rPr>
            </w:pPr>
          </w:p>
        </w:tc>
      </w:tr>
    </w:tbl>
    <w:p w:rsidR="0081697C" w:rsidRPr="0081697C" w:rsidRDefault="0081697C" w:rsidP="0081697C">
      <w:pPr>
        <w:pStyle w:val="Paragraph"/>
        <w:rPr>
          <w:sz w:val="20"/>
          <w:szCs w:val="20"/>
          <w:lang w:val="en-GB"/>
        </w:rPr>
      </w:pPr>
      <w:r w:rsidRPr="0081697C">
        <w:rPr>
          <w:sz w:val="20"/>
          <w:szCs w:val="20"/>
          <w:lang w:val="en-GB"/>
        </w:rPr>
        <w:t>Note the left hand side of this table refers to</w:t>
      </w:r>
      <w:r w:rsidR="00390E77">
        <w:rPr>
          <w:sz w:val="20"/>
          <w:szCs w:val="20"/>
          <w:lang w:val="en-GB"/>
        </w:rPr>
        <w:t xml:space="preserve"> the</w:t>
      </w:r>
      <w:r w:rsidRPr="0081697C">
        <w:rPr>
          <w:sz w:val="20"/>
          <w:szCs w:val="20"/>
          <w:lang w:val="en-GB"/>
        </w:rPr>
        <w:t xml:space="preserve"> </w:t>
      </w:r>
      <w:r w:rsidR="00390E77">
        <w:rPr>
          <w:sz w:val="20"/>
          <w:szCs w:val="20"/>
          <w:lang w:val="en-GB"/>
        </w:rPr>
        <w:t>EMPHASIS-HF</w:t>
      </w:r>
      <w:r w:rsidRPr="0081697C">
        <w:rPr>
          <w:sz w:val="20"/>
          <w:szCs w:val="20"/>
          <w:lang w:val="en-GB"/>
        </w:rPr>
        <w:t xml:space="preserve"> trial, and the right hand side relates to the Kidney Health Australia classification for Chronic Kidney Disease </w:t>
      </w:r>
    </w:p>
    <w:p w:rsidR="006377A8" w:rsidRPr="006377A8" w:rsidRDefault="006377A8" w:rsidP="00582286">
      <w:pPr>
        <w:pStyle w:val="Paragraph"/>
        <w:jc w:val="both"/>
        <w:rPr>
          <w:lang w:val="en-GB"/>
        </w:rPr>
      </w:pPr>
      <w:r w:rsidRPr="006377A8">
        <w:rPr>
          <w:lang w:val="en-GB"/>
        </w:rPr>
        <w:t>Patients with stage 1 and 2 CKD were started on eplerenone 25 mg or matching placebo daily.  They could be up-titrated to eplerenone 50 mg daily, or matching placebo, if serum potassium at 4 weeks was &lt;5.0 mmol/L.  Subsequently, patients received a maintenance dose that ensured that serum potassium did not exceed 5.0 mmol/L.  If serum potassium rose above 5.0 mmol/L, patients were down-titrated to a daily dose of 25 mg or matching placebo.  Similarly, patients taking 25 mg or matching placebo, daily, were down-titrated to 25 mg or matching placebo, every other day, if serum potassium was &gt;5.0 mmol/L,</w:t>
      </w:r>
    </w:p>
    <w:p w:rsidR="006377A8" w:rsidRPr="006377A8" w:rsidRDefault="004261DC" w:rsidP="00582286">
      <w:pPr>
        <w:pStyle w:val="Paragraph"/>
        <w:jc w:val="both"/>
        <w:rPr>
          <w:lang w:val="en-GB"/>
        </w:rPr>
      </w:pPr>
      <w:r>
        <w:rPr>
          <w:lang w:val="en-GB"/>
        </w:rPr>
        <w:t>Patients</w:t>
      </w:r>
      <w:r w:rsidR="006377A8" w:rsidRPr="006377A8">
        <w:rPr>
          <w:lang w:val="en-GB"/>
        </w:rPr>
        <w:t xml:space="preserve"> </w:t>
      </w:r>
      <w:r w:rsidR="00587B2A">
        <w:rPr>
          <w:lang w:val="en-GB"/>
        </w:rPr>
        <w:t>with</w:t>
      </w:r>
      <w:r w:rsidR="006377A8" w:rsidRPr="006377A8">
        <w:rPr>
          <w:lang w:val="en-GB"/>
        </w:rPr>
        <w:t xml:space="preserve"> stage 3 </w:t>
      </w:r>
      <w:r w:rsidR="00071FB1">
        <w:rPr>
          <w:lang w:val="en-GB"/>
        </w:rPr>
        <w:t>CKD</w:t>
      </w:r>
      <w:r w:rsidR="006377A8" w:rsidRPr="006377A8">
        <w:rPr>
          <w:lang w:val="en-GB"/>
        </w:rPr>
        <w:t xml:space="preserve"> </w:t>
      </w:r>
      <w:r w:rsidR="00587B2A">
        <w:rPr>
          <w:lang w:val="en-GB"/>
        </w:rPr>
        <w:t>and</w:t>
      </w:r>
      <w:r w:rsidR="006377A8" w:rsidRPr="006377A8">
        <w:rPr>
          <w:lang w:val="en-GB"/>
        </w:rPr>
        <w:t xml:space="preserve"> eGFR 50-59 ml/min/1.73 m</w:t>
      </w:r>
      <w:r w:rsidR="006377A8" w:rsidRPr="006377A8">
        <w:rPr>
          <w:vertAlign w:val="superscript"/>
          <w:lang w:val="en-GB"/>
        </w:rPr>
        <w:t>2</w:t>
      </w:r>
      <w:r w:rsidR="006377A8" w:rsidRPr="006377A8">
        <w:rPr>
          <w:lang w:val="en-GB"/>
        </w:rPr>
        <w:t xml:space="preserve"> were started on a dose of eplerenone 25 mg, or matching placebo, daily.  At the end of 4 weeks, they were up-titrated to 50 mg or matching placebo, daily, if serum potassium was &lt;5.0 mmol/L.  However, if serum potassium was &gt;5.0 mmol/L, patients were down-titrated to a dose of 25 mg or matching placebo, every other day.</w:t>
      </w:r>
    </w:p>
    <w:p w:rsidR="006377A8" w:rsidRDefault="004261DC" w:rsidP="00582286">
      <w:pPr>
        <w:pStyle w:val="Paragraph"/>
        <w:jc w:val="both"/>
        <w:rPr>
          <w:lang w:val="en-GB"/>
        </w:rPr>
      </w:pPr>
      <w:r>
        <w:rPr>
          <w:lang w:val="en-GB"/>
        </w:rPr>
        <w:t>Patients</w:t>
      </w:r>
      <w:r w:rsidR="00587B2A">
        <w:rPr>
          <w:lang w:val="en-GB"/>
        </w:rPr>
        <w:t xml:space="preserve"> with</w:t>
      </w:r>
      <w:r w:rsidR="006377A8" w:rsidRPr="006377A8">
        <w:rPr>
          <w:lang w:val="en-GB"/>
        </w:rPr>
        <w:t xml:space="preserve"> stage 3 </w:t>
      </w:r>
      <w:r w:rsidR="00587B2A">
        <w:rPr>
          <w:lang w:val="en-GB"/>
        </w:rPr>
        <w:t>CKD and eGFR 30-49 mL</w:t>
      </w:r>
      <w:r w:rsidR="006377A8" w:rsidRPr="006377A8">
        <w:rPr>
          <w:lang w:val="en-GB"/>
        </w:rPr>
        <w:t>/min/1.73 m</w:t>
      </w:r>
      <w:r w:rsidR="006377A8" w:rsidRPr="006377A8">
        <w:rPr>
          <w:vertAlign w:val="superscript"/>
          <w:lang w:val="en-GB"/>
        </w:rPr>
        <w:t>2</w:t>
      </w:r>
      <w:r w:rsidR="006377A8" w:rsidRPr="006377A8">
        <w:rPr>
          <w:lang w:val="en-GB"/>
        </w:rPr>
        <w:t xml:space="preserve"> were </w:t>
      </w:r>
      <w:r w:rsidR="00587B2A">
        <w:rPr>
          <w:lang w:val="en-GB"/>
        </w:rPr>
        <w:t>started on eplerenone 25 </w:t>
      </w:r>
      <w:r w:rsidR="006377A8" w:rsidRPr="006377A8">
        <w:rPr>
          <w:lang w:val="en-GB"/>
        </w:rPr>
        <w:t xml:space="preserve">mg, or matching placebo, every other day.  They were up-titrated to 25 mg or matching placebo daily, if serum potassium was &lt;5.0 mmol/L at the end of 4 weeks.  However, if serum potassium was &gt;5.0 mmol.L, dosing was </w:t>
      </w:r>
      <w:r w:rsidR="00D74EF0" w:rsidRPr="00D74EF0">
        <w:rPr>
          <w:lang w:val="en-GB"/>
        </w:rPr>
        <w:t>temporarily withheld a</w:t>
      </w:r>
      <w:r w:rsidR="006377A8" w:rsidRPr="00D74EF0">
        <w:rPr>
          <w:lang w:val="en-GB"/>
        </w:rPr>
        <w:t>nd</w:t>
      </w:r>
      <w:r w:rsidR="006377A8" w:rsidRPr="006377A8">
        <w:rPr>
          <w:lang w:val="en-GB"/>
        </w:rPr>
        <w:t xml:space="preserve"> serum potassium repeated after 72 hours.  If </w:t>
      </w:r>
      <w:r w:rsidR="00071FB1">
        <w:rPr>
          <w:lang w:val="en-GB"/>
        </w:rPr>
        <w:t>the repeated value of</w:t>
      </w:r>
      <w:r w:rsidR="006377A8" w:rsidRPr="006377A8">
        <w:rPr>
          <w:lang w:val="en-GB"/>
        </w:rPr>
        <w:t xml:space="preserve"> serum potassium was &lt;5.0 mmol/L, eplerenone was re-introduced at 25 mg every other day, or </w:t>
      </w:r>
      <w:r w:rsidR="00071FB1">
        <w:rPr>
          <w:lang w:val="en-GB"/>
        </w:rPr>
        <w:t xml:space="preserve">if serum potassium increased again, eplerenone was </w:t>
      </w:r>
      <w:r w:rsidR="006377A8" w:rsidRPr="006377A8">
        <w:rPr>
          <w:lang w:val="en-GB"/>
        </w:rPr>
        <w:t>discontinued,</w:t>
      </w:r>
    </w:p>
    <w:p w:rsidR="006377A8" w:rsidRPr="006377A8" w:rsidRDefault="006377A8" w:rsidP="00582286">
      <w:pPr>
        <w:pStyle w:val="Paragraph"/>
        <w:jc w:val="both"/>
        <w:rPr>
          <w:lang w:val="en-GB"/>
        </w:rPr>
      </w:pPr>
      <w:r w:rsidRPr="006377A8">
        <w:rPr>
          <w:lang w:val="en-GB"/>
        </w:rPr>
        <w:t xml:space="preserve">While stratification to a dosing group at baseline was based on renal function, dose adjustments were always </w:t>
      </w:r>
      <w:r w:rsidR="00071FB1">
        <w:rPr>
          <w:lang w:val="en-GB"/>
        </w:rPr>
        <w:t xml:space="preserve">and solely </w:t>
      </w:r>
      <w:r w:rsidRPr="006377A8">
        <w:rPr>
          <w:lang w:val="en-GB"/>
        </w:rPr>
        <w:t>based on serum potassium, a value of serum potassium &gt;5.0 mmol/L always necessitating a downward dose adjustment.</w:t>
      </w:r>
      <w:r w:rsidR="00071FB1">
        <w:rPr>
          <w:lang w:val="en-GB"/>
        </w:rPr>
        <w:t xml:space="preserve"> </w:t>
      </w:r>
    </w:p>
    <w:p w:rsidR="006377A8" w:rsidRDefault="006377A8" w:rsidP="00C45AA0">
      <w:r>
        <w:t>E</w:t>
      </w:r>
      <w:r>
        <w:rPr>
          <w:lang w:eastAsia="en-AU"/>
        </w:rPr>
        <w:t>plerenone has not been evaluated in subjects with severe (Stage 4 and 5) CKD (eGFR less than 30 mL/min/l.73 m</w:t>
      </w:r>
      <w:r w:rsidRPr="004C08F0">
        <w:rPr>
          <w:vertAlign w:val="superscript"/>
          <w:lang w:eastAsia="en-AU"/>
        </w:rPr>
        <w:t>2</w:t>
      </w:r>
      <w:r w:rsidRPr="004C08F0">
        <w:rPr>
          <w:lang w:eastAsia="en-AU"/>
        </w:rPr>
        <w:t>)</w:t>
      </w:r>
      <w:r>
        <w:rPr>
          <w:color w:val="545416"/>
          <w:sz w:val="15"/>
          <w:szCs w:val="15"/>
          <w:lang w:eastAsia="en-AU"/>
        </w:rPr>
        <w:t>.</w:t>
      </w:r>
    </w:p>
    <w:p w:rsidR="00652E30" w:rsidRDefault="00652E30" w:rsidP="00CB73DB">
      <w:pPr>
        <w:pStyle w:val="PIHeading1"/>
      </w:pPr>
      <w:r>
        <w:lastRenderedPageBreak/>
        <w:t>INDICATIONS</w:t>
      </w:r>
    </w:p>
    <w:p w:rsidR="007C5653" w:rsidRDefault="00527983" w:rsidP="00A5017F">
      <w:pPr>
        <w:rPr>
          <w:lang w:val="en-US"/>
        </w:rPr>
      </w:pPr>
      <w:r>
        <w:rPr>
          <w:lang w:val="en-US"/>
        </w:rPr>
        <w:t>INSPRA</w:t>
      </w:r>
      <w:r w:rsidR="00652E30">
        <w:rPr>
          <w:lang w:val="en-US"/>
        </w:rPr>
        <w:t xml:space="preserve"> is indicated</w:t>
      </w:r>
      <w:r w:rsidR="007C5653">
        <w:rPr>
          <w:lang w:val="en-US"/>
        </w:rPr>
        <w:t>:</w:t>
      </w:r>
    </w:p>
    <w:p w:rsidR="00652E30" w:rsidRPr="007C5653" w:rsidRDefault="00652E30" w:rsidP="007C5653">
      <w:pPr>
        <w:numPr>
          <w:ilvl w:val="0"/>
          <w:numId w:val="1"/>
        </w:numPr>
      </w:pPr>
      <w:r>
        <w:rPr>
          <w:lang w:val="en-US"/>
        </w:rPr>
        <w:t>to reduce the risk of cardiovascular death in combination with standard therapy in patients who have evidence of heart failure and left ventricular impairment within 3</w:t>
      </w:r>
      <w:r w:rsidR="002D5601">
        <w:rPr>
          <w:lang w:val="en-US"/>
        </w:rPr>
        <w:noBreakHyphen/>
      </w:r>
      <w:r>
        <w:rPr>
          <w:lang w:val="en-US"/>
        </w:rPr>
        <w:t>14 days of an acute myocardial infarction (see CLINICAL TRIALS and DOSAGE AND ADMINISTRATION).</w:t>
      </w:r>
    </w:p>
    <w:p w:rsidR="007C5653" w:rsidRDefault="007C5653" w:rsidP="007C5653">
      <w:pPr>
        <w:numPr>
          <w:ilvl w:val="0"/>
          <w:numId w:val="1"/>
        </w:numPr>
      </w:pPr>
      <w:r w:rsidRPr="005F49B4">
        <w:t xml:space="preserve">to reduce the risk of </w:t>
      </w:r>
      <w:r w:rsidR="00F05E74">
        <w:t xml:space="preserve">cardiovascular </w:t>
      </w:r>
      <w:r w:rsidRPr="005F49B4">
        <w:t xml:space="preserve">mortality and morbidity in </w:t>
      </w:r>
      <w:r w:rsidR="00DE5C02">
        <w:t>adult</w:t>
      </w:r>
      <w:r w:rsidR="00F05E74">
        <w:t xml:space="preserve"> </w:t>
      </w:r>
      <w:r w:rsidR="007C6A0C">
        <w:t>patients with NYHA C</w:t>
      </w:r>
      <w:r w:rsidRPr="005F49B4">
        <w:t>lass II (chronic) heart failure and left ventricular systolic dysfunction (</w:t>
      </w:r>
      <w:r>
        <w:t>LV</w:t>
      </w:r>
      <w:r w:rsidRPr="005F49B4">
        <w:t xml:space="preserve">EF </w:t>
      </w:r>
      <w:r w:rsidR="002B70EF">
        <w:t>≤30%</w:t>
      </w:r>
      <w:r w:rsidR="00302189" w:rsidRPr="00A41D8B">
        <w:t xml:space="preserve"> or </w:t>
      </w:r>
      <w:r w:rsidR="00302189" w:rsidRPr="00A41D8B">
        <w:rPr>
          <w:color w:val="484912"/>
          <w:lang w:eastAsia="en-AU"/>
        </w:rPr>
        <w:t>L</w:t>
      </w:r>
      <w:r w:rsidR="00302189" w:rsidRPr="00A41D8B">
        <w:rPr>
          <w:lang w:eastAsia="en-AU"/>
        </w:rPr>
        <w:t>VEF ≤35% in addition to QRS duration of &gt; 130 msec</w:t>
      </w:r>
      <w:r w:rsidR="00F912B7">
        <w:rPr>
          <w:lang w:eastAsia="en-AU"/>
        </w:rPr>
        <w:t>)</w:t>
      </w:r>
      <w:r w:rsidR="00302189" w:rsidRPr="00A41D8B">
        <w:rPr>
          <w:color w:val="5E5F22"/>
          <w:lang w:eastAsia="en-AU"/>
        </w:rPr>
        <w:t>,</w:t>
      </w:r>
      <w:r w:rsidRPr="005F49B4">
        <w:t xml:space="preserve"> in addition to standard optimal therapy (see </w:t>
      </w:r>
      <w:r>
        <w:t>CLINICAL TRIALS</w:t>
      </w:r>
      <w:r w:rsidRPr="005F49B4">
        <w:t>).</w:t>
      </w:r>
      <w:r w:rsidR="008C7B0C">
        <w:rPr>
          <w:vertAlign w:val="superscript"/>
        </w:rPr>
        <w:t>†</w:t>
      </w:r>
    </w:p>
    <w:p w:rsidR="00652E30" w:rsidRDefault="00652E30" w:rsidP="00CB73DB">
      <w:pPr>
        <w:pStyle w:val="PIHeading1"/>
      </w:pPr>
      <w:r>
        <w:t>CONTRAINDICATIONS</w:t>
      </w:r>
    </w:p>
    <w:p w:rsidR="00652E30" w:rsidRDefault="00652E30" w:rsidP="00A5017F">
      <w:r>
        <w:t>Hypersensitivity to eplerenone or any of the excipients.</w:t>
      </w:r>
    </w:p>
    <w:p w:rsidR="00652E30" w:rsidRDefault="00527983" w:rsidP="00A5017F">
      <w:r>
        <w:t>INSPRA</w:t>
      </w:r>
      <w:r w:rsidR="00652E30">
        <w:t xml:space="preserve"> should not be administered to patients with clinically significant hyperkalaemia (serum potassium </w:t>
      </w:r>
      <w:r w:rsidR="00652E30" w:rsidRPr="00E25A53">
        <w:t>&gt;5.</w:t>
      </w:r>
      <w:r w:rsidR="00B32A89">
        <w:t xml:space="preserve">0 </w:t>
      </w:r>
      <w:r w:rsidR="00652E30" w:rsidRPr="00E25A53">
        <w:t>mmol</w:t>
      </w:r>
      <w:r w:rsidR="00652E30">
        <w:t>/L at initiation)</w:t>
      </w:r>
      <w:r w:rsidR="00A5058B">
        <w:t xml:space="preserve"> (see CLINICAL TRIALS)</w:t>
      </w:r>
      <w:r w:rsidR="00652E30">
        <w:t>.</w:t>
      </w:r>
      <w:r w:rsidR="00685334" w:rsidRPr="00685334">
        <w:rPr>
          <w:vertAlign w:val="superscript"/>
        </w:rPr>
        <w:t xml:space="preserve"> </w:t>
      </w:r>
      <w:r w:rsidR="00685334" w:rsidRPr="006C28A4">
        <w:rPr>
          <w:vertAlign w:val="superscript"/>
        </w:rPr>
        <w:t>†</w:t>
      </w:r>
    </w:p>
    <w:p w:rsidR="00652E30" w:rsidRDefault="00527983" w:rsidP="00A5017F">
      <w:r>
        <w:t>INSPRA</w:t>
      </w:r>
      <w:r w:rsidR="00652E30">
        <w:t xml:space="preserve"> should not be administered to patients with severe renal insufficiency (</w:t>
      </w:r>
      <w:r w:rsidR="0073156C">
        <w:t>eGFR &lt;30mL per minute per 1.73m</w:t>
      </w:r>
      <w:r w:rsidR="0073156C" w:rsidRPr="0073156C">
        <w:rPr>
          <w:vertAlign w:val="superscript"/>
        </w:rPr>
        <w:t>2</w:t>
      </w:r>
      <w:r w:rsidR="00CE7C27">
        <w:t xml:space="preserve">, </w:t>
      </w:r>
      <w:r w:rsidR="00465E70">
        <w:t xml:space="preserve">CKD </w:t>
      </w:r>
      <w:r w:rsidR="00CE7C27">
        <w:t>stages 4 and 5</w:t>
      </w:r>
      <w:r w:rsidR="00652E30">
        <w:t xml:space="preserve">) (see </w:t>
      </w:r>
      <w:r w:rsidR="00CE7C27">
        <w:t xml:space="preserve">CLINICAL TRIALS, </w:t>
      </w:r>
      <w:r w:rsidR="00652E30">
        <w:t>DOSAGE AND ADMINISTRATION).</w:t>
      </w:r>
    </w:p>
    <w:p w:rsidR="00652E30" w:rsidRDefault="00527983" w:rsidP="00A5017F">
      <w:r>
        <w:t>INSPRA</w:t>
      </w:r>
      <w:r w:rsidR="00652E30">
        <w:t xml:space="preserve"> should not be administered to patients with severe hepatic insufficiency (see</w:t>
      </w:r>
      <w:r w:rsidR="005F4BFB">
        <w:t> </w:t>
      </w:r>
      <w:r w:rsidR="00652E30">
        <w:t>DOSAGE AND ADMINISTRATION).</w:t>
      </w:r>
    </w:p>
    <w:p w:rsidR="00652E30" w:rsidRPr="008E48CF" w:rsidRDefault="00527983" w:rsidP="00A5017F">
      <w:pPr>
        <w:rPr>
          <w:szCs w:val="24"/>
        </w:rPr>
      </w:pPr>
      <w:r>
        <w:t>INSPRA</w:t>
      </w:r>
      <w:r w:rsidR="00652E30">
        <w:t xml:space="preserve"> should not be co-administered to patients receiving potassium-sparing diuretics or strong inhibitors of CYP3A4 </w:t>
      </w:r>
      <w:r w:rsidR="00C65877" w:rsidRPr="008E48CF">
        <w:rPr>
          <w:szCs w:val="24"/>
        </w:rPr>
        <w:t>e</w:t>
      </w:r>
      <w:r w:rsidR="00C65877" w:rsidRPr="00302189">
        <w:rPr>
          <w:szCs w:val="24"/>
        </w:rPr>
        <w:t xml:space="preserve">.g. </w:t>
      </w:r>
      <w:r w:rsidR="00C65877" w:rsidRPr="00302189">
        <w:rPr>
          <w:rStyle w:val="TableText12"/>
          <w:szCs w:val="24"/>
        </w:rPr>
        <w:t>itraconazole, ketoconazole, ritonavir</w:t>
      </w:r>
      <w:r w:rsidR="00E25A53" w:rsidRPr="00302189">
        <w:rPr>
          <w:rStyle w:val="TableText12"/>
          <w:szCs w:val="24"/>
        </w:rPr>
        <w:t xml:space="preserve"> and</w:t>
      </w:r>
      <w:r w:rsidR="00C65877" w:rsidRPr="00302189">
        <w:rPr>
          <w:rStyle w:val="TableText12"/>
          <w:szCs w:val="24"/>
        </w:rPr>
        <w:t xml:space="preserve"> clarithromycin</w:t>
      </w:r>
      <w:r w:rsidR="00E25A53" w:rsidRPr="00302189">
        <w:rPr>
          <w:rStyle w:val="TableText12"/>
          <w:szCs w:val="24"/>
        </w:rPr>
        <w:t>.</w:t>
      </w:r>
      <w:r w:rsidR="00C65877" w:rsidRPr="00302189">
        <w:rPr>
          <w:szCs w:val="24"/>
          <w:vertAlign w:val="superscript"/>
        </w:rPr>
        <w:t>†</w:t>
      </w:r>
      <w:r w:rsidR="00C65877" w:rsidRPr="008E48CF">
        <w:rPr>
          <w:szCs w:val="24"/>
        </w:rPr>
        <w:t xml:space="preserve"> </w:t>
      </w:r>
      <w:r w:rsidR="00652E30" w:rsidRPr="008E48CF">
        <w:rPr>
          <w:szCs w:val="24"/>
        </w:rPr>
        <w:t>(see INTERACTIONS WITH OTHER MEDICINES).</w:t>
      </w:r>
    </w:p>
    <w:p w:rsidR="00652E30" w:rsidRDefault="00652E30" w:rsidP="00CB73DB">
      <w:pPr>
        <w:pStyle w:val="PIHeading1"/>
      </w:pPr>
      <w:r>
        <w:t>PRECAUTIONS</w:t>
      </w:r>
    </w:p>
    <w:p w:rsidR="00652E30" w:rsidRDefault="00652E30" w:rsidP="00A5017F">
      <w:pPr>
        <w:pStyle w:val="Heading3"/>
      </w:pPr>
      <w:r>
        <w:t>Hyperkalaemia</w:t>
      </w:r>
    </w:p>
    <w:p w:rsidR="00CE6B90" w:rsidRDefault="00652E30" w:rsidP="00A5017F">
      <w:r>
        <w:t xml:space="preserve">The principal risk of </w:t>
      </w:r>
      <w:r w:rsidR="00527983">
        <w:t>INSPRA</w:t>
      </w:r>
      <w:r>
        <w:t xml:space="preserve"> is hyperkalaemia. </w:t>
      </w:r>
      <w:r w:rsidR="006E581A">
        <w:t xml:space="preserve"> </w:t>
      </w:r>
      <w:r>
        <w:t xml:space="preserve">Hyperkalaemia can cause serious, sometimes fatal, arrhythmias. </w:t>
      </w:r>
      <w:r w:rsidR="006E581A">
        <w:t xml:space="preserve"> </w:t>
      </w:r>
      <w:r>
        <w:t xml:space="preserve">Patients who develop hyperkalaemia (&gt;5.5mmol/L) may still benefit from </w:t>
      </w:r>
      <w:r w:rsidR="00527983">
        <w:t>INSPRA</w:t>
      </w:r>
      <w:r>
        <w:t xml:space="preserve"> with proper dose adjustment. </w:t>
      </w:r>
      <w:r w:rsidR="006E581A">
        <w:t xml:space="preserve"> </w:t>
      </w:r>
    </w:p>
    <w:p w:rsidR="00F80DC2" w:rsidRPr="00CE6B90" w:rsidRDefault="008557ED" w:rsidP="00F80DC2">
      <w:pPr>
        <w:rPr>
          <w:szCs w:val="24"/>
        </w:rPr>
      </w:pPr>
      <w:r w:rsidRPr="00E63BA6">
        <w:t xml:space="preserve">Serum potassium should be measured before initiating INSPRA therapy, and </w:t>
      </w:r>
      <w:r w:rsidR="00F80DC2" w:rsidRPr="00E63BA6">
        <w:rPr>
          <w:lang w:eastAsia="en-AU"/>
        </w:rPr>
        <w:t xml:space="preserve">measured periodically thereafter, as clinically </w:t>
      </w:r>
      <w:r w:rsidR="00F80DC2" w:rsidRPr="00E63BA6">
        <w:rPr>
          <w:szCs w:val="24"/>
          <w:lang w:eastAsia="en-AU"/>
        </w:rPr>
        <w:t>warranted (see DOSAGE AND ADMINISTRATION).</w:t>
      </w:r>
      <w:r w:rsidR="00F80DC2" w:rsidRPr="00E63BA6">
        <w:rPr>
          <w:vertAlign w:val="superscript"/>
        </w:rPr>
        <w:t>†</w:t>
      </w:r>
    </w:p>
    <w:p w:rsidR="00652E30" w:rsidRDefault="00652E30" w:rsidP="00A5017F">
      <w:r>
        <w:t xml:space="preserve">Hyperkalaemia can be minimized by patient selection, avoidance of certain concomitant treatments, and periodic monitoring until the effect of </w:t>
      </w:r>
      <w:r w:rsidR="00527983">
        <w:t>INSPRA</w:t>
      </w:r>
      <w:r>
        <w:t xml:space="preserve"> has been established. </w:t>
      </w:r>
      <w:r w:rsidR="006E581A">
        <w:t xml:space="preserve"> </w:t>
      </w:r>
      <w:r>
        <w:t xml:space="preserve">For patient selection and avoidance of certain concomitant medications, see CONTRAINDICATIONS, INTERACTIONS WITH OTHER MEDICINES, and ADVERSE EFFECTS, Clinical </w:t>
      </w:r>
      <w:r w:rsidR="007521B8">
        <w:t>L</w:t>
      </w:r>
      <w:r>
        <w:t xml:space="preserve">aboratory </w:t>
      </w:r>
      <w:r w:rsidR="007521B8">
        <w:t>T</w:t>
      </w:r>
      <w:r>
        <w:t xml:space="preserve">est </w:t>
      </w:r>
      <w:r w:rsidR="007521B8">
        <w:t>F</w:t>
      </w:r>
      <w:r>
        <w:t xml:space="preserve">indings, Potassium. </w:t>
      </w:r>
      <w:r w:rsidR="006E581A">
        <w:t xml:space="preserve"> </w:t>
      </w:r>
      <w:r>
        <w:t xml:space="preserve">Dose reduction of </w:t>
      </w:r>
      <w:r w:rsidR="00527983">
        <w:t>INSPRA</w:t>
      </w:r>
      <w:r>
        <w:t xml:space="preserve"> has been shown to decrease potassium levels (see DOSAGE AND ADMINISTRATION).</w:t>
      </w:r>
    </w:p>
    <w:p w:rsidR="00652E30" w:rsidRDefault="00652E30" w:rsidP="00A5017F">
      <w:r>
        <w:t xml:space="preserve">Diabetic patients with CHF post-MI, including those with proteinuria, should also be treated with caution. </w:t>
      </w:r>
      <w:r w:rsidR="006E581A">
        <w:t xml:space="preserve"> </w:t>
      </w:r>
      <w:r>
        <w:t xml:space="preserve">The subset of patients in </w:t>
      </w:r>
      <w:smartTag w:uri="urn:schemas-microsoft-com:office:smarttags" w:element="City">
        <w:smartTag w:uri="urn:schemas-microsoft-com:office:smarttags" w:element="place">
          <w:r>
            <w:t>EPHESUS</w:t>
          </w:r>
        </w:smartTag>
      </w:smartTag>
      <w:r>
        <w:t xml:space="preserve"> with both diabetes and proteinuria on the </w:t>
      </w:r>
      <w:r>
        <w:lastRenderedPageBreak/>
        <w:t xml:space="preserve">baseline urinalysis had increased rates of hyperkalaemia (see ADVERSE </w:t>
      </w:r>
      <w:r w:rsidR="002D5601">
        <w:t>EFFECTS</w:t>
      </w:r>
      <w:r>
        <w:t xml:space="preserve">, Clinical </w:t>
      </w:r>
      <w:r w:rsidR="002D5601">
        <w:t>L</w:t>
      </w:r>
      <w:r>
        <w:t xml:space="preserve">aboratory </w:t>
      </w:r>
      <w:r w:rsidR="002D5601">
        <w:t>T</w:t>
      </w:r>
      <w:r>
        <w:t xml:space="preserve">est </w:t>
      </w:r>
      <w:r w:rsidR="002D5601">
        <w:t>F</w:t>
      </w:r>
      <w:r>
        <w:t>indings, Potassium).</w:t>
      </w:r>
    </w:p>
    <w:p w:rsidR="007521B8" w:rsidRDefault="007521B8" w:rsidP="007521B8">
      <w:pPr>
        <w:rPr>
          <w:vertAlign w:val="superscript"/>
        </w:rPr>
      </w:pPr>
      <w:r w:rsidRPr="00B472A7">
        <w:rPr>
          <w:lang w:eastAsia="en-GB"/>
        </w:rPr>
        <w:t xml:space="preserve">The risk of hyperkalaemia may increase when </w:t>
      </w:r>
      <w:r>
        <w:rPr>
          <w:lang w:eastAsia="en-GB"/>
        </w:rPr>
        <w:t>eplerenone is used in</w:t>
      </w:r>
      <w:r w:rsidRPr="00B472A7">
        <w:rPr>
          <w:lang w:eastAsia="en-GB"/>
        </w:rPr>
        <w:t xml:space="preserve"> combination </w:t>
      </w:r>
      <w:r>
        <w:rPr>
          <w:lang w:eastAsia="en-GB"/>
        </w:rPr>
        <w:t xml:space="preserve">with </w:t>
      </w:r>
      <w:r w:rsidRPr="00B472A7">
        <w:rPr>
          <w:lang w:eastAsia="en-GB"/>
        </w:rPr>
        <w:t xml:space="preserve">an </w:t>
      </w:r>
      <w:r>
        <w:rPr>
          <w:lang w:eastAsia="en-GB"/>
        </w:rPr>
        <w:t>angiotensin converting enzyme</w:t>
      </w:r>
      <w:r w:rsidRPr="00B472A7">
        <w:rPr>
          <w:lang w:eastAsia="en-GB"/>
        </w:rPr>
        <w:t xml:space="preserve"> </w:t>
      </w:r>
      <w:r>
        <w:rPr>
          <w:lang w:eastAsia="en-GB"/>
        </w:rPr>
        <w:t xml:space="preserve">(ACE) </w:t>
      </w:r>
      <w:r w:rsidRPr="00B472A7">
        <w:rPr>
          <w:lang w:eastAsia="en-GB"/>
        </w:rPr>
        <w:t>inhibitor</w:t>
      </w:r>
      <w:r>
        <w:rPr>
          <w:lang w:eastAsia="en-GB"/>
        </w:rPr>
        <w:t xml:space="preserve"> and</w:t>
      </w:r>
      <w:r w:rsidRPr="00B472A7">
        <w:rPr>
          <w:lang w:eastAsia="en-GB"/>
        </w:rPr>
        <w:t xml:space="preserve"> an angiotensin receptor blocker </w:t>
      </w:r>
      <w:r>
        <w:rPr>
          <w:lang w:eastAsia="en-GB"/>
        </w:rPr>
        <w:t xml:space="preserve">(ARB) </w:t>
      </w:r>
      <w:r w:rsidRPr="00B472A7">
        <w:rPr>
          <w:lang w:eastAsia="en-GB"/>
        </w:rPr>
        <w:t xml:space="preserve">and therefore this combination </w:t>
      </w:r>
      <w:r w:rsidR="009F6C1E">
        <w:rPr>
          <w:lang w:eastAsia="en-GB"/>
        </w:rPr>
        <w:t>is not recommended.</w:t>
      </w:r>
      <w:r w:rsidR="008C7B0C">
        <w:rPr>
          <w:vertAlign w:val="superscript"/>
        </w:rPr>
        <w:t>†</w:t>
      </w:r>
    </w:p>
    <w:p w:rsidR="00E63BA6" w:rsidRDefault="00E63BA6" w:rsidP="00E63BA6">
      <w:pPr>
        <w:pStyle w:val="Heading3"/>
      </w:pPr>
      <w:r>
        <w:t>Chronic Kidney Disease</w:t>
      </w:r>
      <w:r w:rsidR="00685334" w:rsidRPr="006C28A4">
        <w:rPr>
          <w:vertAlign w:val="superscript"/>
        </w:rPr>
        <w:t>†</w:t>
      </w:r>
    </w:p>
    <w:p w:rsidR="00E63BA6" w:rsidRDefault="00E63BA6" w:rsidP="00E63BA6">
      <w:r>
        <w:t xml:space="preserve">INSPRA should not be administered to patients with </w:t>
      </w:r>
      <w:r w:rsidR="00A41D8B">
        <w:t>severe renal insufficiency (</w:t>
      </w:r>
      <w:r>
        <w:t>CKD stages 4 and 5</w:t>
      </w:r>
      <w:r w:rsidR="00071FB1">
        <w:t xml:space="preserve">, eGFR </w:t>
      </w:r>
      <w:r w:rsidR="00F7551C">
        <w:t>&lt;30 mL/min/1.73 m</w:t>
      </w:r>
      <w:r w:rsidR="00F7551C" w:rsidRPr="0073156C">
        <w:rPr>
          <w:vertAlign w:val="superscript"/>
        </w:rPr>
        <w:t>2</w:t>
      </w:r>
      <w:r w:rsidR="00A41D8B">
        <w:t>)</w:t>
      </w:r>
      <w:r w:rsidR="00C21859">
        <w:t xml:space="preserve">, the risk of hyperkalaemia increases with declining renal function.  Eplerenone </w:t>
      </w:r>
      <w:r w:rsidR="00A41D8B" w:rsidRPr="00A41D8B">
        <w:t>cannot be removed by haemodialysis</w:t>
      </w:r>
      <w:r w:rsidR="00C21859" w:rsidRPr="00A41D8B">
        <w:t>.</w:t>
      </w:r>
      <w:r w:rsidR="00C21859">
        <w:t xml:space="preserve">  (</w:t>
      </w:r>
      <w:r>
        <w:t>See CLINICAL TRIALS, CONTRAINDICATIONS</w:t>
      </w:r>
      <w:r w:rsidR="00306278">
        <w:t>,</w:t>
      </w:r>
      <w:r>
        <w:t xml:space="preserve"> </w:t>
      </w:r>
      <w:r w:rsidR="00306278">
        <w:t>and DOSAGE AND ADMINISTRATION</w:t>
      </w:r>
      <w:r>
        <w:t>.</w:t>
      </w:r>
      <w:r w:rsidR="00C21859">
        <w:t>)</w:t>
      </w:r>
    </w:p>
    <w:p w:rsidR="00652E30" w:rsidRDefault="00652E30" w:rsidP="00A5017F">
      <w:pPr>
        <w:pStyle w:val="Heading3"/>
      </w:pPr>
      <w:r>
        <w:t xml:space="preserve">Impaired </w:t>
      </w:r>
      <w:r w:rsidR="004B3596">
        <w:t>H</w:t>
      </w:r>
      <w:r>
        <w:t xml:space="preserve">epatic </w:t>
      </w:r>
      <w:r w:rsidR="004B3596">
        <w:t>F</w:t>
      </w:r>
      <w:r>
        <w:t>unction</w:t>
      </w:r>
    </w:p>
    <w:p w:rsidR="00652E30" w:rsidRDefault="00652E30" w:rsidP="00A5017F">
      <w:r>
        <w:t xml:space="preserve">In 16 subjects with mild-to-moderate hepatic impairment who received 400mg of eplerenone no elevations of serum potassium above 5.5mmol/L were observed. </w:t>
      </w:r>
      <w:r w:rsidR="006E581A">
        <w:t xml:space="preserve"> </w:t>
      </w:r>
      <w:r>
        <w:t xml:space="preserve">The mean increase in serum potassium was 0.12mmol/L in patients with hepatic impairment and 0.13mEq/L in normal controls. </w:t>
      </w:r>
      <w:r w:rsidR="006E581A">
        <w:t xml:space="preserve"> </w:t>
      </w:r>
      <w:r>
        <w:t xml:space="preserve">The use of </w:t>
      </w:r>
      <w:r w:rsidR="00527983">
        <w:t>INSPRA</w:t>
      </w:r>
      <w:r>
        <w:t xml:space="preserve"> in patients with severe hepatic impairment has not been evaluated (see PHARMACOLOGY, Special </w:t>
      </w:r>
      <w:r w:rsidR="002D5601">
        <w:t>P</w:t>
      </w:r>
      <w:r>
        <w:t>opulations and DOSAGE AND ADMINISTRATION).</w:t>
      </w:r>
    </w:p>
    <w:p w:rsidR="00652E30" w:rsidRDefault="00652E30" w:rsidP="00A5017F">
      <w:pPr>
        <w:pStyle w:val="Heading3"/>
      </w:pPr>
      <w:r>
        <w:t xml:space="preserve">Effects on </w:t>
      </w:r>
      <w:r w:rsidR="004B3596">
        <w:t>F</w:t>
      </w:r>
      <w:r>
        <w:t>ertility</w:t>
      </w:r>
    </w:p>
    <w:p w:rsidR="00652E30" w:rsidRDefault="00652E30" w:rsidP="00A5017F">
      <w:r>
        <w:t>Male rats treated with eplerenone at 1,000mg/kg/day for 10</w:t>
      </w:r>
      <w:r>
        <w:rPr>
          <w:b/>
          <w:bCs/>
        </w:rPr>
        <w:t> </w:t>
      </w:r>
      <w:r>
        <w:t>weeks (AUC 24 times that at the clinical dose of 50</w:t>
      </w:r>
      <w:r w:rsidR="00A02600">
        <w:t xml:space="preserve"> </w:t>
      </w:r>
      <w:r>
        <w:t>mg/day) had decreased weights of seminal vesicles and epididymides and slightly decreased fertility; the no effect dose was 300mg/kg/day (10</w:t>
      </w:r>
      <w:r>
        <w:rPr>
          <w:b/>
          <w:bCs/>
        </w:rPr>
        <w:t> </w:t>
      </w:r>
      <w:r>
        <w:t>times clinical AUC at 50</w:t>
      </w:r>
      <w:r w:rsidR="00A02600">
        <w:t> </w:t>
      </w:r>
      <w:r>
        <w:t>mg/day).</w:t>
      </w:r>
      <w:r w:rsidR="006E581A">
        <w:t xml:space="preserve"> </w:t>
      </w:r>
      <w:r>
        <w:rPr>
          <w:b/>
        </w:rPr>
        <w:t xml:space="preserve"> </w:t>
      </w:r>
      <w:r>
        <w:t>Dogs administered eplerenone at dosages of 15mg/kg/day and higher (AUC six</w:t>
      </w:r>
      <w:r>
        <w:rPr>
          <w:b/>
          <w:bCs/>
        </w:rPr>
        <w:t> </w:t>
      </w:r>
      <w:r>
        <w:t>times that at the clinical dose of 50</w:t>
      </w:r>
      <w:r w:rsidR="00A02600">
        <w:t xml:space="preserve"> </w:t>
      </w:r>
      <w:r>
        <w:t>mg/day) had dose-related prostate atrophy, and the NOEL (5mg/kg/day) for prostate atrophy in dogs resulted in plasma AUC approximately three times the clinical value at 50</w:t>
      </w:r>
      <w:r w:rsidR="00A02600">
        <w:t xml:space="preserve"> </w:t>
      </w:r>
      <w:r>
        <w:t xml:space="preserve">mg/day. </w:t>
      </w:r>
      <w:r w:rsidR="006E581A">
        <w:t xml:space="preserve"> </w:t>
      </w:r>
      <w:r>
        <w:t xml:space="preserve">Androgen receptor binding was identified as a possible cause of prostate atrophy. </w:t>
      </w:r>
      <w:r w:rsidR="006E581A">
        <w:t xml:space="preserve"> </w:t>
      </w:r>
      <w:r>
        <w:t xml:space="preserve">The effect was reversible following drug withdrawal. </w:t>
      </w:r>
      <w:r w:rsidR="006E581A">
        <w:t xml:space="preserve"> </w:t>
      </w:r>
      <w:r>
        <w:t xml:space="preserve">Dogs with prostate atrophy showed no decline in libido, sexual performance, or semen quality. </w:t>
      </w:r>
      <w:r w:rsidR="006E581A">
        <w:t xml:space="preserve"> </w:t>
      </w:r>
      <w:r>
        <w:t>Testicular weight and histology were not affected by eplerenone in mouse, rat or dog studies.</w:t>
      </w:r>
    </w:p>
    <w:p w:rsidR="00652E30" w:rsidRDefault="00652E30" w:rsidP="00A5017F">
      <w:pPr>
        <w:pStyle w:val="Heading3"/>
      </w:pPr>
      <w:r>
        <w:t xml:space="preserve">Use in </w:t>
      </w:r>
      <w:r w:rsidR="004B3596">
        <w:t>P</w:t>
      </w:r>
      <w:r>
        <w:t>regnancy (Category B3)</w:t>
      </w:r>
    </w:p>
    <w:p w:rsidR="00652E30" w:rsidRDefault="00652E30" w:rsidP="00A5017F">
      <w:r>
        <w:t>There are no adequate data on the use of eplerenone in pregnant women.</w:t>
      </w:r>
      <w:r w:rsidR="006E581A">
        <w:t xml:space="preserve"> </w:t>
      </w:r>
      <w:r>
        <w:t xml:space="preserve"> Studies in rats and rabbits showed no teratogenic effects, although decreased maternal and foetal weights in rats and decreased maternal body weights and post-implantation loss in rabbits were observed at the highest administered dose of 1,000</w:t>
      </w:r>
      <w:r w:rsidR="00A02600">
        <w:t xml:space="preserve"> </w:t>
      </w:r>
      <w:r>
        <w:t>mg/kg/day in rats and 300</w:t>
      </w:r>
      <w:r w:rsidR="00A02600">
        <w:t xml:space="preserve"> </w:t>
      </w:r>
      <w:r>
        <w:t>mg/kg/day in rabbits (for both species approximately 40</w:t>
      </w:r>
      <w:r>
        <w:rPr>
          <w:b/>
          <w:bCs/>
        </w:rPr>
        <w:t> </w:t>
      </w:r>
      <w:r>
        <w:t xml:space="preserve">times the clinical exposure based on AUC). </w:t>
      </w:r>
      <w:r w:rsidR="006E581A">
        <w:t xml:space="preserve"> </w:t>
      </w:r>
      <w:r>
        <w:t xml:space="preserve">The potential risk for humans is unknown. </w:t>
      </w:r>
      <w:r w:rsidR="006E581A">
        <w:t xml:space="preserve"> </w:t>
      </w:r>
      <w:r w:rsidR="00527983">
        <w:t>INSPRA</w:t>
      </w:r>
      <w:r>
        <w:t xml:space="preserve"> should be used during pregnancy only if the potential benefit justifies the potential risk to the foetus.</w:t>
      </w:r>
    </w:p>
    <w:p w:rsidR="00652E30" w:rsidRDefault="00652E30" w:rsidP="00A5017F">
      <w:pPr>
        <w:pStyle w:val="Heading3"/>
      </w:pPr>
      <w:r>
        <w:t xml:space="preserve">Use in </w:t>
      </w:r>
      <w:r w:rsidR="004B3596">
        <w:t>L</w:t>
      </w:r>
      <w:r>
        <w:t>actation</w:t>
      </w:r>
    </w:p>
    <w:p w:rsidR="00652E30" w:rsidRDefault="00652E30" w:rsidP="00A5017F">
      <w:r>
        <w:t xml:space="preserve">It is unknown if eplerenone is excreted in human breast milk after oral administration. </w:t>
      </w:r>
      <w:r w:rsidR="006E581A">
        <w:t xml:space="preserve"> </w:t>
      </w:r>
      <w:r>
        <w:t xml:space="preserve">Preclinical data show that eplerenone and/or metabolites are present in rat breast milk and that rat pups exposed by this route had decreased body weight gain at a maternal dose of 1,000mg/kg/day (maternal exposure 43 times the clinical AUC). </w:t>
      </w:r>
      <w:r w:rsidR="006E581A">
        <w:t xml:space="preserve"> </w:t>
      </w:r>
      <w:r>
        <w:t xml:space="preserve">Because many drugs are excreted in human milk and because of the unknown potential for adverse effects on the </w:t>
      </w:r>
      <w:r>
        <w:lastRenderedPageBreak/>
        <w:t>nursing infant, a decision should be made whether to discontinue nursing or discontinue the drug, taking into account the importance of the drug to the mother.</w:t>
      </w:r>
    </w:p>
    <w:p w:rsidR="00652E30" w:rsidRDefault="00652E30" w:rsidP="00284709">
      <w:pPr>
        <w:pStyle w:val="Heading3"/>
      </w:pPr>
      <w:r>
        <w:t xml:space="preserve">Paediatric </w:t>
      </w:r>
      <w:r w:rsidR="004B3596">
        <w:t>U</w:t>
      </w:r>
      <w:r>
        <w:t>se</w:t>
      </w:r>
    </w:p>
    <w:p w:rsidR="00652E30" w:rsidRDefault="00652E30" w:rsidP="00284709">
      <w:r>
        <w:t xml:space="preserve">The safety and effectiveness of </w:t>
      </w:r>
      <w:r w:rsidR="00527983">
        <w:t>INSPRA</w:t>
      </w:r>
      <w:r>
        <w:t xml:space="preserve"> has not been established in paediatric patients.</w:t>
      </w:r>
    </w:p>
    <w:p w:rsidR="00652E30" w:rsidRDefault="00652E30" w:rsidP="00284709">
      <w:pPr>
        <w:pStyle w:val="Heading3"/>
      </w:pPr>
      <w:r>
        <w:t xml:space="preserve">Use in the </w:t>
      </w:r>
      <w:r w:rsidR="004B3596">
        <w:t>E</w:t>
      </w:r>
      <w:r>
        <w:t>lderly</w:t>
      </w:r>
    </w:p>
    <w:p w:rsidR="00652E30" w:rsidRDefault="00652E30" w:rsidP="00284709">
      <w:r>
        <w:t xml:space="preserve">Of the total number of patients in </w:t>
      </w:r>
      <w:smartTag w:uri="urn:schemas-microsoft-com:office:smarttags" w:element="City">
        <w:smartTag w:uri="urn:schemas-microsoft-com:office:smarttags" w:element="place">
          <w:r>
            <w:t>EPHESUS</w:t>
          </w:r>
        </w:smartTag>
      </w:smartTag>
      <w:r>
        <w:t>, 3,340 (50%) were 65 and over, while 1,326</w:t>
      </w:r>
      <w:r w:rsidR="005F4BFB">
        <w:t> </w:t>
      </w:r>
      <w:r>
        <w:t xml:space="preserve">(20%) were 75 and over. </w:t>
      </w:r>
      <w:r w:rsidR="006E581A">
        <w:t xml:space="preserve"> </w:t>
      </w:r>
      <w:r>
        <w:t xml:space="preserve">Patients greater than 75 years did not appear to benefit from the use of </w:t>
      </w:r>
      <w:r w:rsidR="00527983">
        <w:t>INSPRA</w:t>
      </w:r>
      <w:r>
        <w:t xml:space="preserve"> (see CLINICAL TRIALS).</w:t>
      </w:r>
      <w:r w:rsidR="006E581A">
        <w:t xml:space="preserve"> </w:t>
      </w:r>
      <w:r>
        <w:t xml:space="preserve"> No differences in overall incidence of adverse events were observed between elderly and younger patients. </w:t>
      </w:r>
      <w:r w:rsidR="006E581A">
        <w:t xml:space="preserve"> </w:t>
      </w:r>
      <w:r>
        <w:t>However, due to age-related decreases in creatinine clearance, the incidence of laboratory-documented hyperkalaemia was increased in patients 65 and older (see PRECAUTIONS, Hyperkalaemia).</w:t>
      </w:r>
    </w:p>
    <w:p w:rsidR="006C28A4" w:rsidRDefault="006763FE" w:rsidP="00685334">
      <w:pPr>
        <w:pStyle w:val="Paragraph"/>
        <w:jc w:val="both"/>
      </w:pPr>
      <w:r w:rsidRPr="006C28A4">
        <w:t xml:space="preserve">Post-hoc analyses in the EMPHASIS-HF study </w:t>
      </w:r>
      <w:r w:rsidR="006C28A4" w:rsidRPr="006C28A4">
        <w:t xml:space="preserve">to explore potential age-related blood pressure (BP) changes </w:t>
      </w:r>
      <w:r w:rsidRPr="006C28A4">
        <w:t>suggest</w:t>
      </w:r>
      <w:r w:rsidR="001A1504">
        <w:t xml:space="preserve"> that</w:t>
      </w:r>
      <w:r w:rsidRPr="006C28A4">
        <w:t xml:space="preserve"> there may be a greater sensitivity to </w:t>
      </w:r>
      <w:r w:rsidR="00D6748F" w:rsidRPr="006C28A4">
        <w:t xml:space="preserve">treatment </w:t>
      </w:r>
      <w:r w:rsidRPr="006C28A4">
        <w:t>in older individuals and thus potentially greater reductions in blood pressure with the use of eplerenone, compared to younger patients</w:t>
      </w:r>
      <w:r w:rsidR="00A15791" w:rsidRPr="006C28A4">
        <w:t>.</w:t>
      </w:r>
      <w:r w:rsidR="006C28A4">
        <w:t xml:space="preserve">  In patients aged below 75 years, 28.3% treated with eplerenone recorded (maximum drop, at any time during study) systolic BP reductions from baseline of greater than 20 mmHg, while patients with placebo had a 23.9% incidence of these reductions.  Of those aged at or over 75, the respective observations were 37.9% for eplerenone and 24.4% for placebo.</w:t>
      </w:r>
      <w:r w:rsidR="001D1AFB" w:rsidRPr="001D1AFB">
        <w:rPr>
          <w:vertAlign w:val="superscript"/>
        </w:rPr>
        <w:t xml:space="preserve"> </w:t>
      </w:r>
      <w:r w:rsidR="001D1AFB">
        <w:rPr>
          <w:vertAlign w:val="superscript"/>
        </w:rPr>
        <w:t>†</w:t>
      </w:r>
    </w:p>
    <w:p w:rsidR="00A15791" w:rsidRDefault="006C28A4" w:rsidP="00685334">
      <w:pPr>
        <w:pStyle w:val="Paragraph"/>
        <w:jc w:val="both"/>
      </w:pPr>
      <w:r w:rsidRPr="002E11E3">
        <w:t>The</w:t>
      </w:r>
      <w:r>
        <w:t>se</w:t>
      </w:r>
      <w:r w:rsidRPr="002E11E3">
        <w:t xml:space="preserve"> blood pressure reductions </w:t>
      </w:r>
      <w:r>
        <w:t>noted in the EMPHASIS-HF study</w:t>
      </w:r>
      <w:r w:rsidRPr="002E11E3">
        <w:t xml:space="preserve"> </w:t>
      </w:r>
      <w:r>
        <w:t>we</w:t>
      </w:r>
      <w:r w:rsidRPr="002E11E3">
        <w:t xml:space="preserve">re independent of any reports of </w:t>
      </w:r>
      <w:r w:rsidR="00F27E93">
        <w:t>adverse e</w:t>
      </w:r>
      <w:r w:rsidRPr="002E11E3">
        <w:t>vents</w:t>
      </w:r>
      <w:r>
        <w:t xml:space="preserve"> reported in the EMPHASIS-HF study</w:t>
      </w:r>
      <w:r w:rsidRPr="002E11E3">
        <w:t xml:space="preserve"> </w:t>
      </w:r>
      <w:r>
        <w:t>(see ADVERSE EFFECTS).</w:t>
      </w:r>
      <w:r w:rsidR="00C65877" w:rsidRPr="006C28A4">
        <w:rPr>
          <w:vertAlign w:val="superscript"/>
        </w:rPr>
        <w:t>†</w:t>
      </w:r>
      <w:r w:rsidR="00A7343F">
        <w:rPr>
          <w:vertAlign w:val="superscript"/>
        </w:rPr>
        <w:t xml:space="preserve">  </w:t>
      </w:r>
    </w:p>
    <w:p w:rsidR="00C27460" w:rsidRDefault="00C27460" w:rsidP="00C27460">
      <w:pPr>
        <w:pStyle w:val="Heading3"/>
      </w:pPr>
      <w:r>
        <w:t>Genotoxicity</w:t>
      </w:r>
    </w:p>
    <w:p w:rsidR="00C27460" w:rsidRDefault="00C27460" w:rsidP="00C27460">
      <w:r>
        <w:t xml:space="preserve">Eplerenone was non-genotoxic in a battery of assays including </w:t>
      </w:r>
      <w:r>
        <w:rPr>
          <w:i/>
          <w:iCs/>
        </w:rPr>
        <w:t>in vitro</w:t>
      </w:r>
      <w:r>
        <w:t xml:space="preserve"> bacterial gene mutation (</w:t>
      </w:r>
      <w:r>
        <w:rPr>
          <w:i/>
        </w:rPr>
        <w:t>Salmonella typhimurium</w:t>
      </w:r>
      <w:r>
        <w:t xml:space="preserve"> and </w:t>
      </w:r>
      <w:r>
        <w:rPr>
          <w:i/>
        </w:rPr>
        <w:t>E. coli</w:t>
      </w:r>
      <w:r>
        <w:t xml:space="preserve">), </w:t>
      </w:r>
      <w:r>
        <w:rPr>
          <w:i/>
          <w:iCs/>
        </w:rPr>
        <w:t>in vitro</w:t>
      </w:r>
      <w:r>
        <w:t xml:space="preserve"> mammalian cell gene mutation (mouse lymphoma cells), </w:t>
      </w:r>
      <w:r>
        <w:rPr>
          <w:i/>
          <w:iCs/>
        </w:rPr>
        <w:t>in vitro</w:t>
      </w:r>
      <w:r>
        <w:t xml:space="preserve"> chromosomal aberration (Chinese hamster ovary cells), </w:t>
      </w:r>
      <w:r>
        <w:rPr>
          <w:i/>
          <w:iCs/>
        </w:rPr>
        <w:t>in vivo</w:t>
      </w:r>
      <w:r>
        <w:t xml:space="preserve"> rat bone marrow micronucleus formation, and </w:t>
      </w:r>
      <w:r>
        <w:rPr>
          <w:i/>
          <w:iCs/>
        </w:rPr>
        <w:t>in vivo/ex vivo</w:t>
      </w:r>
      <w:r>
        <w:t xml:space="preserve"> unscheduled DNA synthesis in rat hepatocytes.</w:t>
      </w:r>
    </w:p>
    <w:p w:rsidR="00C27460" w:rsidRDefault="00C27460" w:rsidP="00C27460">
      <w:pPr>
        <w:pStyle w:val="Heading3"/>
      </w:pPr>
      <w:r>
        <w:t>Carcinogenicity</w:t>
      </w:r>
    </w:p>
    <w:p w:rsidR="00C27460" w:rsidRDefault="00C27460" w:rsidP="00C27460">
      <w:r>
        <w:t>There was no drug-related tumour response in heterozygous P53 deficient mice when tested for 6</w:t>
      </w:r>
      <w:r>
        <w:rPr>
          <w:b/>
          <w:bCs/>
        </w:rPr>
        <w:t> </w:t>
      </w:r>
      <w:r>
        <w:t>months at oral dosages up to 1,000</w:t>
      </w:r>
      <w:r w:rsidR="00A02600">
        <w:t xml:space="preserve"> </w:t>
      </w:r>
      <w:r>
        <w:t>mg/kg/day (systemic AUC exposures up to 10</w:t>
      </w:r>
      <w:r>
        <w:noBreakHyphen/>
        <w:t>15 times the exposure in humans receiving the 50</w:t>
      </w:r>
      <w:r w:rsidR="00A02600">
        <w:t xml:space="preserve"> </w:t>
      </w:r>
      <w:r>
        <w:t>mg/day therapeutic dose, based on unbound AUC).  Statistically significant increases in benign thyroid tumours were observed after 2 years in both male and female rats when administered eplerenone 250</w:t>
      </w:r>
      <w:r w:rsidR="00A02600">
        <w:t xml:space="preserve"> </w:t>
      </w:r>
      <w:r>
        <w:t>mg/kg/day (highest dose tested) and in male rats only at 75</w:t>
      </w:r>
      <w:r w:rsidR="00A02600">
        <w:t xml:space="preserve"> </w:t>
      </w:r>
      <w:r>
        <w:t>mg/kg/day.  The incidence of renal tubular adenomas was increased in females at 250</w:t>
      </w:r>
      <w:r w:rsidR="00A02600">
        <w:t xml:space="preserve"> </w:t>
      </w:r>
      <w:r>
        <w:t>mg/kg/day.  These dosages provided systemic AUC exposures three to 16</w:t>
      </w:r>
      <w:r>
        <w:rPr>
          <w:b/>
          <w:bCs/>
        </w:rPr>
        <w:t> </w:t>
      </w:r>
      <w:r>
        <w:t>times the average human therapeutic exposure at 50</w:t>
      </w:r>
      <w:r w:rsidR="00A02600">
        <w:t xml:space="preserve"> </w:t>
      </w:r>
      <w:r>
        <w:t xml:space="preserve">mg/day.  The thyroid tumours were associated with thyroid hypertrophy resulting from increases in the hepatic enzyme responsible for conjugation and clearance of thyroxine, which results in increased levels of TSH by a compensatory mechanism.  The benign renal tumours were associated with chronic progressive nephropathy, which commonly occur in ageing rats and which is exacerbated by some human therapeutic agents.  Drugs that have produced thyroid </w:t>
      </w:r>
      <w:r>
        <w:lastRenderedPageBreak/>
        <w:t>tumours and renal tubular adenomas by these rodent-specific mechanisms have not shown a similar effect in humans.</w:t>
      </w:r>
    </w:p>
    <w:p w:rsidR="001C4460" w:rsidRDefault="001C4460" w:rsidP="001C4460">
      <w:pPr>
        <w:pStyle w:val="PIHeading2"/>
      </w:pPr>
      <w:r>
        <w:t>Effects on Ability to Drive and Use of Machines</w:t>
      </w:r>
      <w:r w:rsidR="00685334" w:rsidRPr="006C28A4">
        <w:rPr>
          <w:vertAlign w:val="superscript"/>
        </w:rPr>
        <w:t>†</w:t>
      </w:r>
    </w:p>
    <w:p w:rsidR="001C4460" w:rsidRDefault="001C4460" w:rsidP="001C4460">
      <w:pPr>
        <w:pStyle w:val="Paragraph"/>
      </w:pPr>
      <w:r>
        <w:rPr>
          <w:color w:val="1F497D"/>
        </w:rPr>
        <w:t>D</w:t>
      </w:r>
      <w:r>
        <w:t>izziness and syncope have been reported to occur in some patients.  Caution is advised when driving or operating machinery until the response to initial treatment has been determined.</w:t>
      </w:r>
    </w:p>
    <w:p w:rsidR="00652E30" w:rsidRDefault="006E581A" w:rsidP="00CB73DB">
      <w:pPr>
        <w:pStyle w:val="PIHeading1"/>
      </w:pPr>
      <w:r>
        <w:t>INTERACTIONS WITH OTHER MEDICINES</w:t>
      </w:r>
    </w:p>
    <w:p w:rsidR="006E581A" w:rsidRPr="006E581A" w:rsidRDefault="00652E30" w:rsidP="00284709">
      <w:pPr>
        <w:pStyle w:val="Heading3"/>
      </w:pPr>
      <w:r w:rsidRPr="006E581A">
        <w:t>Inhibitors of CYP3A4</w:t>
      </w:r>
    </w:p>
    <w:p w:rsidR="00652E30" w:rsidRDefault="00652E30" w:rsidP="00284709">
      <w:r>
        <w:t xml:space="preserve">Eplerenone metabolism is predominantly mediated via CYP3A4. </w:t>
      </w:r>
      <w:r w:rsidR="006E581A">
        <w:t xml:space="preserve"> </w:t>
      </w:r>
      <w:r>
        <w:t>A</w:t>
      </w:r>
      <w:r w:rsidR="005F4BFB">
        <w:t> </w:t>
      </w:r>
      <w:r>
        <w:t xml:space="preserve">pharmacokinetic study evaluating the administration of a single dose of </w:t>
      </w:r>
      <w:r w:rsidR="00527983">
        <w:t>INSPRA</w:t>
      </w:r>
      <w:r>
        <w:t xml:space="preserve"> 100mg with ketoconazole 200mg twice daily, a potent inhibitor of the CYP3A4 pathway, showed a 1.7-fold increase in C</w:t>
      </w:r>
      <w:r>
        <w:rPr>
          <w:vertAlign w:val="subscript"/>
        </w:rPr>
        <w:t>max</w:t>
      </w:r>
      <w:r>
        <w:t xml:space="preserve"> of eplerenone and a 5.4-fold increase in AUC of eplerenone. </w:t>
      </w:r>
      <w:r w:rsidR="006E581A">
        <w:t xml:space="preserve"> </w:t>
      </w:r>
      <w:r w:rsidR="00527983">
        <w:t>INSPRA</w:t>
      </w:r>
      <w:r>
        <w:t xml:space="preserve"> should not be used with drugs described as strong inhibitors of CYP3A4 in their labelling (see</w:t>
      </w:r>
      <w:r w:rsidR="002D5601">
        <w:t> </w:t>
      </w:r>
      <w:r>
        <w:t>CONTRAINDICATIONS).</w:t>
      </w:r>
      <w:r w:rsidR="002D5601">
        <w:t xml:space="preserve">  </w:t>
      </w:r>
      <w:r>
        <w:t>Administration of eplerenone with other CYP3A4 inhibitors (e.g. erythromycin 500mg twice daily, verapamil 240mg once daily, saquinavir 1,200mg three times daily, fluconazole 200mg once daily) resulted in increases in C</w:t>
      </w:r>
      <w:r>
        <w:rPr>
          <w:vertAlign w:val="subscript"/>
        </w:rPr>
        <w:t>max</w:t>
      </w:r>
      <w:r>
        <w:t xml:space="preserve"> of eplerenone ranging from 1.4- to 1.6-fold and AUC from 2.0- to 2.9-fold.</w:t>
      </w:r>
    </w:p>
    <w:p w:rsidR="006E581A" w:rsidRPr="006E581A" w:rsidRDefault="0074453A" w:rsidP="00284709">
      <w:pPr>
        <w:pStyle w:val="Heading3"/>
      </w:pPr>
      <w:r w:rsidRPr="006E581A">
        <w:t>Inducers of CYP3A4</w:t>
      </w:r>
    </w:p>
    <w:p w:rsidR="0074453A" w:rsidRPr="0074453A" w:rsidRDefault="0074453A" w:rsidP="00284709">
      <w:pPr>
        <w:rPr>
          <w:i/>
        </w:rPr>
      </w:pPr>
      <w:r w:rsidRPr="0074453A">
        <w:t xml:space="preserve">Co-administration of </w:t>
      </w:r>
      <w:smartTag w:uri="urn:schemas-microsoft-com:office:smarttags" w:element="City">
        <w:smartTag w:uri="urn:schemas-microsoft-com:office:smarttags" w:element="place">
          <w:r w:rsidRPr="0074453A">
            <w:t>St John’s</w:t>
          </w:r>
        </w:smartTag>
      </w:smartTag>
      <w:r w:rsidRPr="0074453A">
        <w:t xml:space="preserve"> Wort (a potent CYP3A4 inducer) with eplerenone caused a decrease in eplerenone AUC. </w:t>
      </w:r>
      <w:r w:rsidR="006E581A">
        <w:t xml:space="preserve"> </w:t>
      </w:r>
      <w:r w:rsidRPr="0074453A">
        <w:t xml:space="preserve">A more pronounced decrease in eplerenone AUC may occur with more potent CYP3A4 inducers and the concomitant use of potent CYP3A4 inducers </w:t>
      </w:r>
      <w:r w:rsidR="00C65877" w:rsidRPr="00E9372E">
        <w:t>(</w:t>
      </w:r>
      <w:r w:rsidR="00C65877" w:rsidRPr="00E9372E">
        <w:rPr>
          <w:vertAlign w:val="superscript"/>
        </w:rPr>
        <w:t>†</w:t>
      </w:r>
      <w:r w:rsidR="00C65877" w:rsidRPr="00E9372E">
        <w:t>rifampicin, carbamazepine, phenytoin, phenobarbito</w:t>
      </w:r>
      <w:r w:rsidR="00D54C1A" w:rsidRPr="00E9372E">
        <w:t>ne</w:t>
      </w:r>
      <w:r w:rsidR="00C65877" w:rsidRPr="00E9372E">
        <w:t xml:space="preserve">, St John’s Wort) </w:t>
      </w:r>
      <w:r w:rsidRPr="00E9372E">
        <w:t>with eplerenone is</w:t>
      </w:r>
      <w:r w:rsidRPr="0074453A">
        <w:t xml:space="preserve"> not recommended</w:t>
      </w:r>
      <w:r>
        <w:t>.</w:t>
      </w:r>
    </w:p>
    <w:p w:rsidR="006E581A" w:rsidRPr="006E581A" w:rsidRDefault="00652E30" w:rsidP="00284709">
      <w:pPr>
        <w:pStyle w:val="Heading3"/>
        <w:rPr>
          <w:iCs/>
        </w:rPr>
      </w:pPr>
      <w:r w:rsidRPr="006E581A">
        <w:t xml:space="preserve">ACE </w:t>
      </w:r>
      <w:r w:rsidR="004B3596">
        <w:t>I</w:t>
      </w:r>
      <w:r w:rsidRPr="006E581A">
        <w:t xml:space="preserve">nhibitors and </w:t>
      </w:r>
      <w:r w:rsidR="004B3596">
        <w:t>A</w:t>
      </w:r>
      <w:r w:rsidRPr="006E581A">
        <w:t xml:space="preserve">ngiotensin II </w:t>
      </w:r>
      <w:r w:rsidR="004B3596">
        <w:t>R</w:t>
      </w:r>
      <w:r w:rsidRPr="006E581A">
        <w:t xml:space="preserve">eceptor </w:t>
      </w:r>
      <w:r w:rsidR="004B3596">
        <w:t>A</w:t>
      </w:r>
      <w:r w:rsidRPr="006E581A">
        <w:t>ntagonists</w:t>
      </w:r>
    </w:p>
    <w:p w:rsidR="00652E30" w:rsidRDefault="00652E30" w:rsidP="00284709">
      <w:r>
        <w:t xml:space="preserve">In EPHESUS, 3,020 (91%) patients receiving </w:t>
      </w:r>
      <w:r w:rsidR="00527983">
        <w:t>INSPRA</w:t>
      </w:r>
      <w:r>
        <w:t xml:space="preserve"> 25 to 50</w:t>
      </w:r>
      <w:r w:rsidR="00A02600">
        <w:t xml:space="preserve"> </w:t>
      </w:r>
      <w:r>
        <w:t xml:space="preserve">mg also received ACE inhibitors or angiotensin II receptor antagonists (ACEI/ARB). </w:t>
      </w:r>
      <w:r w:rsidR="006E581A">
        <w:t xml:space="preserve"> </w:t>
      </w:r>
      <w:r>
        <w:t>Rates of patients with maximum potassium levels &gt;5.5</w:t>
      </w:r>
      <w:r w:rsidR="00A02600">
        <w:t xml:space="preserve"> </w:t>
      </w:r>
      <w:r>
        <w:t>mmol/L were similar regardless of the use of ACEI/ARB.</w:t>
      </w:r>
    </w:p>
    <w:p w:rsidR="009F1142" w:rsidRDefault="009F1142" w:rsidP="00284709">
      <w:r w:rsidRPr="001D29A0">
        <w:rPr>
          <w:szCs w:val="22"/>
          <w:lang w:val="en-GB" w:eastAsia="en-GB"/>
        </w:rPr>
        <w:t xml:space="preserve">The risk of hyperkalaemia may increase when eplerenone is used in combination with an angiotensin converting enzyme (ACE) inhibitor and/or an angiotensin receptor blocker (ARB). </w:t>
      </w:r>
      <w:r>
        <w:rPr>
          <w:szCs w:val="22"/>
          <w:lang w:val="en-GB" w:eastAsia="en-GB"/>
        </w:rPr>
        <w:t xml:space="preserve"> </w:t>
      </w:r>
      <w:r w:rsidRPr="001D29A0">
        <w:rPr>
          <w:szCs w:val="22"/>
          <w:lang w:val="en-GB" w:eastAsia="en-GB"/>
        </w:rPr>
        <w:t>A close monitoring of serum potassium and renal function is recommended, especially in patients at risk for impaired re</w:t>
      </w:r>
      <w:r>
        <w:rPr>
          <w:szCs w:val="22"/>
          <w:lang w:val="en-GB" w:eastAsia="en-GB"/>
        </w:rPr>
        <w:t>nal function, e.g., the elderly (see PRECAUTIONS and DOSAGE AND ADMINISTRATION.)</w:t>
      </w:r>
      <w:r w:rsidR="00685334" w:rsidRPr="00685334">
        <w:rPr>
          <w:vertAlign w:val="superscript"/>
        </w:rPr>
        <w:t xml:space="preserve"> </w:t>
      </w:r>
      <w:r w:rsidR="00685334" w:rsidRPr="006C28A4">
        <w:rPr>
          <w:vertAlign w:val="superscript"/>
        </w:rPr>
        <w:t>†</w:t>
      </w:r>
    </w:p>
    <w:p w:rsidR="006E581A" w:rsidRPr="006E581A" w:rsidRDefault="00652E30" w:rsidP="00284709">
      <w:pPr>
        <w:pStyle w:val="Heading3"/>
      </w:pPr>
      <w:r w:rsidRPr="006E581A">
        <w:t>Lithium</w:t>
      </w:r>
    </w:p>
    <w:p w:rsidR="00652E30" w:rsidRPr="00E9372E" w:rsidRDefault="00652E30" w:rsidP="00284709">
      <w:r>
        <w:t>A drug interaction study of eplerenone with lithium has not been conducted.</w:t>
      </w:r>
      <w:r w:rsidR="006E581A">
        <w:t xml:space="preserve"> </w:t>
      </w:r>
      <w:r>
        <w:t xml:space="preserve"> Lithium toxicity has been reported in patients receiving lithium concomitantly with diuretics and ACE </w:t>
      </w:r>
      <w:r w:rsidRPr="00E9372E">
        <w:t xml:space="preserve">inhibitors. </w:t>
      </w:r>
      <w:r w:rsidR="006E581A" w:rsidRPr="00E9372E">
        <w:t xml:space="preserve"> </w:t>
      </w:r>
      <w:r w:rsidR="00CE6B90" w:rsidRPr="00E9372E">
        <w:t>Co-administration of INSPRA and lithium should be avoided.  If this combination appears necessary</w:t>
      </w:r>
      <w:r w:rsidR="00C65877" w:rsidRPr="00E9372E">
        <w:rPr>
          <w:vertAlign w:val="superscript"/>
        </w:rPr>
        <w:t xml:space="preserve"> †</w:t>
      </w:r>
      <w:r w:rsidR="00CE6B90" w:rsidRPr="00E9372E">
        <w:t>, s</w:t>
      </w:r>
      <w:r w:rsidRPr="00E9372E">
        <w:t>erum lithium levels should be monitored frequently.</w:t>
      </w:r>
      <w:r w:rsidR="00CE6B90" w:rsidRPr="00E9372E">
        <w:t xml:space="preserve">  </w:t>
      </w:r>
    </w:p>
    <w:p w:rsidR="00DA52C6" w:rsidRPr="00E9372E" w:rsidRDefault="00DA52C6" w:rsidP="00DA52C6">
      <w:pPr>
        <w:pStyle w:val="Heading3"/>
      </w:pPr>
      <w:r w:rsidRPr="00E9372E">
        <w:lastRenderedPageBreak/>
        <w:t>Cyclosporin and Tacrolimus</w:t>
      </w:r>
      <w:r w:rsidR="00C65877" w:rsidRPr="00E9372E">
        <w:rPr>
          <w:vertAlign w:val="superscript"/>
        </w:rPr>
        <w:t>†</w:t>
      </w:r>
    </w:p>
    <w:p w:rsidR="00DA52C6" w:rsidRPr="00E9372E" w:rsidRDefault="00DA52C6" w:rsidP="00DA52C6">
      <w:r w:rsidRPr="00E9372E">
        <w:t xml:space="preserve">Cyclosporin and tacrolimus may lead to impaired renal function and increase the risk of hyperkalaemia.  The concomitant use of INSPRA and cyclosporin or tacrolimus should be avoided. </w:t>
      </w:r>
      <w:r w:rsidR="0076749C" w:rsidRPr="00E9372E">
        <w:t xml:space="preserve"> </w:t>
      </w:r>
      <w:r w:rsidRPr="00E9372E">
        <w:t>If needed, close monitoring of serum potassium and renal function are recommended when cyclosporine and tacrolimus are to be administered during treatment with eplerenone.</w:t>
      </w:r>
    </w:p>
    <w:p w:rsidR="00DA52C6" w:rsidRPr="00E9372E" w:rsidRDefault="00DA52C6" w:rsidP="00DA52C6">
      <w:pPr>
        <w:pStyle w:val="Heading3"/>
      </w:pPr>
      <w:r w:rsidRPr="00E9372E">
        <w:t>Trimethoprim</w:t>
      </w:r>
      <w:r w:rsidR="00C65877" w:rsidRPr="00E9372E">
        <w:rPr>
          <w:vertAlign w:val="superscript"/>
        </w:rPr>
        <w:t>†</w:t>
      </w:r>
    </w:p>
    <w:p w:rsidR="00DA52C6" w:rsidRPr="0046151B" w:rsidRDefault="00DA52C6" w:rsidP="00DA52C6">
      <w:r w:rsidRPr="00E9372E">
        <w:t>The concomitant administration of trimethoprim with INSPRA increases the risk of hyperkalaemia.  Monitoring of serum potassium and renal function should be made, particularly in patients with renal impairment and in the elderly.</w:t>
      </w:r>
    </w:p>
    <w:p w:rsidR="00DA52C6" w:rsidRPr="00E9372E" w:rsidRDefault="00DA52C6" w:rsidP="00DA52C6">
      <w:pPr>
        <w:pStyle w:val="Heading3"/>
      </w:pPr>
      <w:r w:rsidRPr="00E9372E">
        <w:t>Alpha-1-blockers</w:t>
      </w:r>
      <w:r w:rsidR="00C65877" w:rsidRPr="00E9372E">
        <w:rPr>
          <w:vertAlign w:val="superscript"/>
        </w:rPr>
        <w:t>†</w:t>
      </w:r>
    </w:p>
    <w:p w:rsidR="00DA52C6" w:rsidRPr="00E9372E" w:rsidRDefault="00DA52C6" w:rsidP="00DA52C6">
      <w:r w:rsidRPr="00E9372E">
        <w:t xml:space="preserve">When alpha-1-blockers (e.g. prazosin, alfuzosin) are combined with INSPRA, there is the potential for increased hypotensive effect and/or postural hypotension.  Clinical monitoring for postural hypotension is recommended during alpha-1-blocker co-administration. </w:t>
      </w:r>
    </w:p>
    <w:p w:rsidR="00DA52C6" w:rsidRPr="00E9372E" w:rsidRDefault="00DA52C6" w:rsidP="00DA52C6">
      <w:pPr>
        <w:pStyle w:val="Heading3"/>
      </w:pPr>
      <w:r w:rsidRPr="00E9372E">
        <w:t>Tricyclic Anti-depressants, Neuroleptics, Amifostine and Baclofen</w:t>
      </w:r>
      <w:r w:rsidR="00C65877" w:rsidRPr="00E9372E">
        <w:rPr>
          <w:vertAlign w:val="superscript"/>
        </w:rPr>
        <w:t>†</w:t>
      </w:r>
    </w:p>
    <w:p w:rsidR="00DA52C6" w:rsidRPr="0046151B" w:rsidRDefault="00DA52C6" w:rsidP="00DA52C6">
      <w:r w:rsidRPr="00E9372E">
        <w:t>Co-administration of these drugs with INSPRA may potentially increase antihypertensive effects and risk of postural hypotension.</w:t>
      </w:r>
    </w:p>
    <w:p w:rsidR="006E581A" w:rsidRPr="006E581A" w:rsidRDefault="00652E30" w:rsidP="00284709">
      <w:pPr>
        <w:pStyle w:val="Heading3"/>
      </w:pPr>
      <w:r w:rsidRPr="006E581A">
        <w:t>Non</w:t>
      </w:r>
      <w:r w:rsidR="004B3596">
        <w:noBreakHyphen/>
      </w:r>
      <w:r w:rsidRPr="006E581A">
        <w:t xml:space="preserve">steroidal </w:t>
      </w:r>
      <w:r w:rsidR="004B3596">
        <w:t>A</w:t>
      </w:r>
      <w:r w:rsidRPr="006E581A">
        <w:t xml:space="preserve">nti-inflammatory </w:t>
      </w:r>
      <w:r w:rsidR="004B3596">
        <w:t>D</w:t>
      </w:r>
      <w:r w:rsidRPr="006E581A">
        <w:t>rugs (NSAIDs)</w:t>
      </w:r>
    </w:p>
    <w:p w:rsidR="00652E30" w:rsidRDefault="00652E30" w:rsidP="00284709">
      <w:r>
        <w:t>A drug interaction study of eplerenone with an NSAID has not been conducted.</w:t>
      </w:r>
      <w:r w:rsidR="006E581A">
        <w:t xml:space="preserve"> </w:t>
      </w:r>
      <w:r>
        <w:t xml:space="preserve"> The administration of other potassium-sparing antihypertensives with NSAIDs has been shown to reduce the antihypertensive effect in some patients and result in severe hyperkalemia in patients with impaired renal function. </w:t>
      </w:r>
      <w:r w:rsidR="006E581A">
        <w:t xml:space="preserve"> </w:t>
      </w:r>
      <w:r>
        <w:t xml:space="preserve">Therefore, when </w:t>
      </w:r>
      <w:r w:rsidR="00527983">
        <w:t>INSPRA</w:t>
      </w:r>
      <w:r>
        <w:t xml:space="preserve"> and NSAIDs are used concomitantly, patients should be observed to determine whether the desired effect on blood pressure is obtained.</w:t>
      </w:r>
    </w:p>
    <w:p w:rsidR="00652E30" w:rsidRDefault="00652E30" w:rsidP="00CB73DB">
      <w:pPr>
        <w:pStyle w:val="PIHeading1"/>
      </w:pPr>
      <w:r>
        <w:t>ADVERSE EFFECTS</w:t>
      </w:r>
    </w:p>
    <w:p w:rsidR="00E51FB9" w:rsidRDefault="00527983" w:rsidP="00284709">
      <w:r w:rsidRPr="00A92440">
        <w:t>INSPRA</w:t>
      </w:r>
      <w:r w:rsidR="00652E30" w:rsidRPr="00A92440">
        <w:t xml:space="preserve"> has been evaluated for safety in </w:t>
      </w:r>
      <w:r w:rsidR="00A92440" w:rsidRPr="00A92440">
        <w:t xml:space="preserve">1,360 patients with heart failure and </w:t>
      </w:r>
      <w:r w:rsidR="00652E30" w:rsidRPr="00A92440">
        <w:t>3,307 patients treated for heart failure post</w:t>
      </w:r>
      <w:r w:rsidR="005F4BFB" w:rsidRPr="00A92440">
        <w:noBreakHyphen/>
      </w:r>
      <w:r w:rsidR="00652E30" w:rsidRPr="00A92440">
        <w:t>myocardial infarction</w:t>
      </w:r>
      <w:r w:rsidR="00712D0A" w:rsidRPr="00A92440">
        <w:t xml:space="preserve"> </w:t>
      </w:r>
      <w:r w:rsidR="00652E30" w:rsidRPr="00A92440">
        <w:t>(see CLINICAL TRIALS).</w:t>
      </w:r>
    </w:p>
    <w:p w:rsidR="00652E30" w:rsidRDefault="00652E30" w:rsidP="00284709">
      <w:pPr>
        <w:rPr>
          <w:rStyle w:val="empitalic"/>
          <w:i w:val="0"/>
          <w:lang w:val="en-GB"/>
        </w:rPr>
      </w:pPr>
      <w:r>
        <w:t xml:space="preserve">In the </w:t>
      </w:r>
      <w:smartTag w:uri="urn:schemas-microsoft-com:office:smarttags" w:element="place">
        <w:smartTag w:uri="urn:schemas-microsoft-com:office:smarttags" w:element="City">
          <w:r>
            <w:t>EPHESUS</w:t>
          </w:r>
        </w:smartTag>
      </w:smartTag>
      <w:r>
        <w:t xml:space="preserve"> study, the overall incidence of adverse events reported with </w:t>
      </w:r>
      <w:r w:rsidR="00527983">
        <w:t>INSPRA</w:t>
      </w:r>
      <w:r>
        <w:t xml:space="preserve"> (78.9%) was similar to placebo (79.5%).</w:t>
      </w:r>
      <w:r w:rsidR="00E51FB9">
        <w:rPr>
          <w:rStyle w:val="empitalic"/>
          <w:i w:val="0"/>
          <w:lang w:val="en-GB"/>
        </w:rPr>
        <w:t xml:space="preserve">  </w:t>
      </w:r>
      <w:r>
        <w:rPr>
          <w:rStyle w:val="empitalic"/>
          <w:i w:val="0"/>
          <w:lang w:val="en-GB"/>
        </w:rPr>
        <w:t xml:space="preserve">The discontinuation rate due to adverse events in </w:t>
      </w:r>
      <w:r w:rsidR="00E51FB9">
        <w:rPr>
          <w:rStyle w:val="empitalic"/>
          <w:i w:val="0"/>
          <w:lang w:val="en-GB"/>
        </w:rPr>
        <w:t xml:space="preserve">this </w:t>
      </w:r>
      <w:r>
        <w:rPr>
          <w:rStyle w:val="empitalic"/>
          <w:i w:val="0"/>
          <w:lang w:val="en-GB"/>
        </w:rPr>
        <w:t>stud</w:t>
      </w:r>
      <w:r w:rsidR="00E51FB9">
        <w:rPr>
          <w:rStyle w:val="empitalic"/>
          <w:i w:val="0"/>
          <w:lang w:val="en-GB"/>
        </w:rPr>
        <w:t>y</w:t>
      </w:r>
      <w:r>
        <w:rPr>
          <w:rStyle w:val="empitalic"/>
          <w:i w:val="0"/>
          <w:lang w:val="en-GB"/>
        </w:rPr>
        <w:t xml:space="preserve"> was 4.4% for patients receiving </w:t>
      </w:r>
      <w:r w:rsidR="00527983">
        <w:rPr>
          <w:rStyle w:val="empitalic"/>
          <w:i w:val="0"/>
          <w:lang w:val="en-GB"/>
        </w:rPr>
        <w:t>INSPRA</w:t>
      </w:r>
      <w:r>
        <w:rPr>
          <w:rStyle w:val="empitalic"/>
          <w:i w:val="0"/>
          <w:lang w:val="en-GB"/>
        </w:rPr>
        <w:t xml:space="preserve"> and 4.3% </w:t>
      </w:r>
      <w:r w:rsidR="00E51FB9">
        <w:rPr>
          <w:rStyle w:val="empitalic"/>
          <w:i w:val="0"/>
          <w:lang w:val="en-GB"/>
        </w:rPr>
        <w:t xml:space="preserve">for </w:t>
      </w:r>
      <w:r>
        <w:rPr>
          <w:rStyle w:val="empitalic"/>
          <w:i w:val="0"/>
          <w:lang w:val="en-GB"/>
        </w:rPr>
        <w:t>patients receiving placebo.</w:t>
      </w:r>
    </w:p>
    <w:p w:rsidR="0073156C" w:rsidRDefault="0073156C" w:rsidP="00284709">
      <w:r>
        <w:rPr>
          <w:rStyle w:val="empitalic"/>
          <w:i w:val="0"/>
          <w:lang w:val="en-GB"/>
        </w:rPr>
        <w:t xml:space="preserve">In the EMPHASIS-HF study, </w:t>
      </w:r>
      <w:r>
        <w:t>the overall incidence of adverse events (% subjects) reported with INSPRA (72%) was similar to placebo (73.6%).</w:t>
      </w:r>
      <w:r>
        <w:rPr>
          <w:rStyle w:val="empitalic"/>
          <w:i w:val="0"/>
          <w:lang w:val="en-GB"/>
        </w:rPr>
        <w:t xml:space="preserve">  The discontinuation rate due to adverse events in this study was 13.8% for patients receiving INSPRA and 16.2% for patients receiving placebo</w:t>
      </w:r>
    </w:p>
    <w:p w:rsidR="00652E30" w:rsidRDefault="00652E30" w:rsidP="00284709">
      <w:r>
        <w:rPr>
          <w:rStyle w:val="empitalic"/>
          <w:i w:val="0"/>
          <w:lang w:val="en-GB"/>
        </w:rPr>
        <w:t>Adverse events reported are those with suspected relationship to treatment and in excess of placebo</w:t>
      </w:r>
      <w:r w:rsidR="00FC6ADD">
        <w:rPr>
          <w:rStyle w:val="empitalic"/>
          <w:i w:val="0"/>
          <w:lang w:val="en-GB"/>
        </w:rPr>
        <w:t>,</w:t>
      </w:r>
      <w:r w:rsidR="00E51FB9">
        <w:rPr>
          <w:rStyle w:val="empitalic"/>
          <w:i w:val="0"/>
          <w:lang w:val="en-GB"/>
        </w:rPr>
        <w:t xml:space="preserve"> or are serious and significantly in excess of placebo, or have been observed during post marketing surveillance</w:t>
      </w:r>
      <w:r>
        <w:rPr>
          <w:rStyle w:val="empitalic"/>
          <w:i w:val="0"/>
          <w:lang w:val="en-GB"/>
        </w:rPr>
        <w:t xml:space="preserve">. </w:t>
      </w:r>
      <w:r w:rsidR="006E581A">
        <w:rPr>
          <w:rStyle w:val="empitalic"/>
          <w:i w:val="0"/>
          <w:lang w:val="en-GB"/>
        </w:rPr>
        <w:t xml:space="preserve"> </w:t>
      </w:r>
      <w:r>
        <w:rPr>
          <w:rStyle w:val="empitalic"/>
          <w:i w:val="0"/>
          <w:lang w:val="en-GB"/>
        </w:rPr>
        <w:t xml:space="preserve">Adverse events are listed by body system and absolute frequency. </w:t>
      </w:r>
      <w:r w:rsidR="006E581A">
        <w:rPr>
          <w:rStyle w:val="empitalic"/>
          <w:i w:val="0"/>
          <w:lang w:val="en-GB"/>
        </w:rPr>
        <w:t xml:space="preserve"> </w:t>
      </w:r>
      <w:r>
        <w:rPr>
          <w:rStyle w:val="empitalic"/>
          <w:i w:val="0"/>
          <w:lang w:val="en-GB"/>
        </w:rPr>
        <w:t xml:space="preserve">Frequencies are defined as common (&gt;1% to </w:t>
      </w:r>
      <w:r>
        <w:rPr>
          <w:rStyle w:val="empitalic"/>
          <w:i w:val="0"/>
          <w:lang w:val="en-GB"/>
        </w:rPr>
        <w:sym w:font="Symbol" w:char="F0A3"/>
      </w:r>
      <w:r>
        <w:rPr>
          <w:rStyle w:val="empitalic"/>
          <w:i w:val="0"/>
          <w:lang w:val="en-GB"/>
        </w:rPr>
        <w:t xml:space="preserve">10%) or uncommon (&gt;0.1% to </w:t>
      </w:r>
      <w:r>
        <w:rPr>
          <w:rStyle w:val="empitalic"/>
          <w:i w:val="0"/>
          <w:lang w:val="en-GB"/>
        </w:rPr>
        <w:sym w:font="Symbol" w:char="F0A3"/>
      </w:r>
      <w:r>
        <w:rPr>
          <w:rStyle w:val="empitalic"/>
          <w:i w:val="0"/>
          <w:lang w:val="en-GB"/>
        </w:rPr>
        <w:t>1%).</w:t>
      </w:r>
    </w:p>
    <w:p w:rsidR="00DF16BC" w:rsidRDefault="00DF16BC" w:rsidP="00DF16BC">
      <w:pPr>
        <w:pStyle w:val="Heading3"/>
      </w:pPr>
      <w:r>
        <w:rPr>
          <w:rStyle w:val="empitalic"/>
          <w:b w:val="0"/>
          <w:bCs/>
          <w:i w:val="0"/>
          <w:lang w:val="en-GB"/>
        </w:rPr>
        <w:t>Blood and Lymphatic System Disorders</w:t>
      </w:r>
    </w:p>
    <w:p w:rsidR="00DF16BC" w:rsidRDefault="00DF16BC" w:rsidP="00DF16BC">
      <w:r>
        <w:rPr>
          <w:rStyle w:val="empitalic"/>
          <w:i w:val="0"/>
          <w:lang w:val="en-GB"/>
        </w:rPr>
        <w:t>Uncommon:</w:t>
      </w:r>
      <w:r>
        <w:rPr>
          <w:rStyle w:val="empitalic"/>
          <w:i w:val="0"/>
          <w:lang w:val="en-GB"/>
        </w:rPr>
        <w:tab/>
        <w:t>eosinophilia</w:t>
      </w:r>
    </w:p>
    <w:p w:rsidR="00652E30" w:rsidRDefault="00652E30" w:rsidP="00284709">
      <w:pPr>
        <w:pStyle w:val="Heading3"/>
      </w:pPr>
      <w:r>
        <w:rPr>
          <w:rStyle w:val="empitalic"/>
          <w:b w:val="0"/>
          <w:bCs/>
          <w:i w:val="0"/>
          <w:lang w:val="en-GB"/>
        </w:rPr>
        <w:lastRenderedPageBreak/>
        <w:t>Cardi</w:t>
      </w:r>
      <w:r w:rsidR="00DF16BC">
        <w:rPr>
          <w:rStyle w:val="empitalic"/>
          <w:b w:val="0"/>
          <w:bCs/>
          <w:i w:val="0"/>
          <w:lang w:val="en-GB"/>
        </w:rPr>
        <w:t>ac Disorders</w:t>
      </w:r>
    </w:p>
    <w:p w:rsidR="00652E30" w:rsidRDefault="00DF16BC" w:rsidP="00DF16BC">
      <w:pPr>
        <w:jc w:val="left"/>
        <w:rPr>
          <w:rStyle w:val="empitalic"/>
          <w:i w:val="0"/>
          <w:lang w:val="en-GB"/>
        </w:rPr>
      </w:pPr>
      <w:r>
        <w:rPr>
          <w:rStyle w:val="empitalic"/>
          <w:i w:val="0"/>
          <w:lang w:val="en-GB"/>
        </w:rPr>
        <w:t>Common:</w:t>
      </w:r>
      <w:r>
        <w:rPr>
          <w:rStyle w:val="empitalic"/>
          <w:i w:val="0"/>
          <w:lang w:val="en-GB"/>
        </w:rPr>
        <w:tab/>
        <w:t>myocardial infarction</w:t>
      </w:r>
      <w:r>
        <w:rPr>
          <w:rStyle w:val="empitalic"/>
          <w:i w:val="0"/>
          <w:lang w:val="en-GB"/>
        </w:rPr>
        <w:br/>
      </w:r>
      <w:r w:rsidR="00652E30">
        <w:rPr>
          <w:rStyle w:val="empitalic"/>
          <w:i w:val="0"/>
          <w:lang w:val="en-GB"/>
        </w:rPr>
        <w:t>Uncommon:</w:t>
      </w:r>
      <w:r w:rsidR="00652E30">
        <w:rPr>
          <w:rStyle w:val="empitalic"/>
          <w:i w:val="0"/>
          <w:lang w:val="en-GB"/>
        </w:rPr>
        <w:tab/>
        <w:t xml:space="preserve">left </w:t>
      </w:r>
      <w:r>
        <w:rPr>
          <w:rStyle w:val="empitalic"/>
          <w:i w:val="0"/>
          <w:lang w:val="en-GB"/>
        </w:rPr>
        <w:t>ventricular</w:t>
      </w:r>
      <w:r w:rsidR="00652E30">
        <w:rPr>
          <w:rStyle w:val="empitalic"/>
          <w:i w:val="0"/>
          <w:lang w:val="en-GB"/>
        </w:rPr>
        <w:t xml:space="preserve"> failure</w:t>
      </w:r>
      <w:r>
        <w:rPr>
          <w:rStyle w:val="empitalic"/>
          <w:i w:val="0"/>
          <w:lang w:val="en-GB"/>
        </w:rPr>
        <w:t>, atrial fibrillation, tachycardia</w:t>
      </w:r>
      <w:r w:rsidR="00FD05BC">
        <w:rPr>
          <w:vertAlign w:val="superscript"/>
        </w:rPr>
        <w:t>†</w:t>
      </w:r>
    </w:p>
    <w:p w:rsidR="00EF16EB" w:rsidRDefault="00EF16EB" w:rsidP="00EF16EB">
      <w:pPr>
        <w:pStyle w:val="Heading3"/>
      </w:pPr>
      <w:r>
        <w:rPr>
          <w:rStyle w:val="empitalic"/>
          <w:b w:val="0"/>
          <w:bCs/>
          <w:i w:val="0"/>
          <w:lang w:val="en-GB"/>
        </w:rPr>
        <w:t>Endocrine Disorders</w:t>
      </w:r>
    </w:p>
    <w:p w:rsidR="00EF16EB" w:rsidRDefault="00EF16EB" w:rsidP="00EF16EB">
      <w:pPr>
        <w:jc w:val="left"/>
      </w:pPr>
      <w:r>
        <w:rPr>
          <w:rStyle w:val="empitalic"/>
          <w:i w:val="0"/>
          <w:lang w:val="en-GB"/>
        </w:rPr>
        <w:t>Uncommon:</w:t>
      </w:r>
      <w:r>
        <w:rPr>
          <w:rStyle w:val="empitalic"/>
          <w:i w:val="0"/>
          <w:lang w:val="en-GB"/>
        </w:rPr>
        <w:tab/>
        <w:t>hypothyroidism</w:t>
      </w:r>
      <w:r w:rsidR="00FD05BC">
        <w:rPr>
          <w:vertAlign w:val="superscript"/>
        </w:rPr>
        <w:t>†</w:t>
      </w:r>
    </w:p>
    <w:p w:rsidR="00652E30" w:rsidRDefault="00652E30" w:rsidP="00284709">
      <w:pPr>
        <w:pStyle w:val="Heading3"/>
      </w:pPr>
      <w:r>
        <w:rPr>
          <w:rStyle w:val="empitalic"/>
          <w:b w:val="0"/>
          <w:bCs/>
          <w:i w:val="0"/>
          <w:lang w:val="en-GB"/>
        </w:rPr>
        <w:t xml:space="preserve">Gastrointestinal </w:t>
      </w:r>
      <w:r w:rsidR="00DF16BC">
        <w:rPr>
          <w:rStyle w:val="empitalic"/>
          <w:b w:val="0"/>
          <w:bCs/>
          <w:i w:val="0"/>
          <w:lang w:val="en-GB"/>
        </w:rPr>
        <w:t>Disorders</w:t>
      </w:r>
    </w:p>
    <w:p w:rsidR="00652E30" w:rsidRDefault="00652E30" w:rsidP="00DF16BC">
      <w:pPr>
        <w:jc w:val="left"/>
      </w:pPr>
      <w:r>
        <w:rPr>
          <w:rStyle w:val="empitalic"/>
          <w:i w:val="0"/>
          <w:lang w:val="en-GB"/>
        </w:rPr>
        <w:t>Common:</w:t>
      </w:r>
      <w:r>
        <w:rPr>
          <w:rStyle w:val="empitalic"/>
          <w:i w:val="0"/>
          <w:lang w:val="en-GB"/>
        </w:rPr>
        <w:tab/>
        <w:t>diarrhoea, nausea</w:t>
      </w:r>
      <w:r w:rsidR="00DF16BC">
        <w:rPr>
          <w:rStyle w:val="empitalic"/>
          <w:i w:val="0"/>
          <w:lang w:val="en-GB"/>
        </w:rPr>
        <w:t>, constipation</w:t>
      </w:r>
      <w:r w:rsidR="00FD05BC">
        <w:rPr>
          <w:vertAlign w:val="superscript"/>
        </w:rPr>
        <w:t>†</w:t>
      </w:r>
      <w:r>
        <w:rPr>
          <w:rStyle w:val="empitalic"/>
          <w:i w:val="0"/>
          <w:lang w:val="en-GB"/>
        </w:rPr>
        <w:br/>
        <w:t>Uncommon:</w:t>
      </w:r>
      <w:r>
        <w:rPr>
          <w:rStyle w:val="empitalic"/>
          <w:i w:val="0"/>
          <w:lang w:val="en-GB"/>
        </w:rPr>
        <w:tab/>
        <w:t>flatulence, vomiting</w:t>
      </w:r>
    </w:p>
    <w:p w:rsidR="00332DF5" w:rsidRPr="00A31E2E" w:rsidRDefault="00332DF5" w:rsidP="00332DF5">
      <w:pPr>
        <w:pStyle w:val="Heading3"/>
      </w:pPr>
      <w:r w:rsidRPr="00A31E2E">
        <w:t xml:space="preserve">General </w:t>
      </w:r>
      <w:r>
        <w:t>D</w:t>
      </w:r>
      <w:r w:rsidRPr="00A31E2E">
        <w:t xml:space="preserve">isorders and </w:t>
      </w:r>
      <w:r>
        <w:t>A</w:t>
      </w:r>
      <w:r w:rsidRPr="00A31E2E">
        <w:t xml:space="preserve">dministration </w:t>
      </w:r>
      <w:r>
        <w:t>S</w:t>
      </w:r>
      <w:r w:rsidRPr="00A31E2E">
        <w:t xml:space="preserve">ite </w:t>
      </w:r>
      <w:r>
        <w:t>C</w:t>
      </w:r>
      <w:r w:rsidRPr="00A31E2E">
        <w:t>onditions</w:t>
      </w:r>
    </w:p>
    <w:p w:rsidR="00332DF5" w:rsidRPr="002E50B1" w:rsidRDefault="00332DF5" w:rsidP="00332DF5">
      <w:r w:rsidRPr="00332DF5">
        <w:rPr>
          <w:iCs/>
        </w:rPr>
        <w:t>Uncommon</w:t>
      </w:r>
      <w:r w:rsidRPr="002E50B1">
        <w:t>:</w:t>
      </w:r>
      <w:r>
        <w:tab/>
      </w:r>
      <w:r w:rsidRPr="002E50B1">
        <w:t>asthenia, malaise</w:t>
      </w:r>
    </w:p>
    <w:p w:rsidR="00332DF5" w:rsidRPr="00A31E2E" w:rsidRDefault="00332DF5" w:rsidP="00332DF5">
      <w:pPr>
        <w:pStyle w:val="Heading3"/>
      </w:pPr>
      <w:r w:rsidRPr="00A31E2E">
        <w:t>Hepato</w:t>
      </w:r>
      <w:r>
        <w:t>biliary D</w:t>
      </w:r>
      <w:r w:rsidRPr="00A31E2E">
        <w:t>isorders</w:t>
      </w:r>
    </w:p>
    <w:p w:rsidR="00332DF5" w:rsidRPr="002E50B1" w:rsidRDefault="00332DF5" w:rsidP="00332DF5">
      <w:r w:rsidRPr="00332DF5">
        <w:t>Uncommon</w:t>
      </w:r>
      <w:r w:rsidRPr="002E50B1">
        <w:t>:</w:t>
      </w:r>
      <w:r>
        <w:rPr>
          <w:i/>
        </w:rPr>
        <w:tab/>
      </w:r>
      <w:r w:rsidRPr="002E50B1">
        <w:t>cholecystitis</w:t>
      </w:r>
      <w:r w:rsidR="00FD05BC">
        <w:rPr>
          <w:vertAlign w:val="superscript"/>
        </w:rPr>
        <w:t>†</w:t>
      </w:r>
    </w:p>
    <w:p w:rsidR="00E51FB9" w:rsidRPr="00A31E2E" w:rsidRDefault="00E51FB9" w:rsidP="00E51FB9">
      <w:pPr>
        <w:pStyle w:val="Heading3"/>
      </w:pPr>
      <w:r>
        <w:t>Infections and I</w:t>
      </w:r>
      <w:r w:rsidRPr="00A31E2E">
        <w:t>nfestations</w:t>
      </w:r>
    </w:p>
    <w:p w:rsidR="00E51FB9" w:rsidRPr="002E50B1" w:rsidRDefault="00E51FB9" w:rsidP="00E51FB9">
      <w:pPr>
        <w:jc w:val="left"/>
      </w:pPr>
      <w:r w:rsidRPr="00E51FB9">
        <w:t>Common</w:t>
      </w:r>
      <w:r w:rsidRPr="002E50B1">
        <w:t>:</w:t>
      </w:r>
      <w:r>
        <w:rPr>
          <w:i/>
        </w:rPr>
        <w:tab/>
      </w:r>
      <w:r w:rsidRPr="002E50B1">
        <w:t>infection</w:t>
      </w:r>
      <w:r w:rsidR="00FD05BC">
        <w:rPr>
          <w:vertAlign w:val="superscript"/>
        </w:rPr>
        <w:t>†</w:t>
      </w:r>
      <w:r>
        <w:br/>
      </w:r>
      <w:r w:rsidRPr="00E51FB9">
        <w:t>Uncommon</w:t>
      </w:r>
      <w:r w:rsidRPr="002E50B1">
        <w:t>:</w:t>
      </w:r>
      <w:r w:rsidRPr="00A31E2E">
        <w:rPr>
          <w:i/>
        </w:rPr>
        <w:t xml:space="preserve"> </w:t>
      </w:r>
      <w:r>
        <w:rPr>
          <w:i/>
        </w:rPr>
        <w:tab/>
      </w:r>
      <w:r w:rsidR="00FC6ADD">
        <w:t>pyelonephritis</w:t>
      </w:r>
      <w:r w:rsidR="00706D8F">
        <w:t>, pharyngitis</w:t>
      </w:r>
    </w:p>
    <w:p w:rsidR="00332DF5" w:rsidRPr="00A31E2E" w:rsidRDefault="00332DF5" w:rsidP="00332DF5">
      <w:pPr>
        <w:pStyle w:val="Heading3"/>
      </w:pPr>
      <w:r w:rsidRPr="00A31E2E">
        <w:t>Investigations</w:t>
      </w:r>
    </w:p>
    <w:p w:rsidR="00332DF5" w:rsidRPr="00A31E2E" w:rsidRDefault="00332DF5" w:rsidP="00332DF5">
      <w:pPr>
        <w:jc w:val="left"/>
      </w:pPr>
      <w:r w:rsidRPr="00332DF5">
        <w:t>Common</w:t>
      </w:r>
      <w:r w:rsidRPr="00A31E2E">
        <w:t>:</w:t>
      </w:r>
      <w:r>
        <w:rPr>
          <w:i/>
        </w:rPr>
        <w:tab/>
      </w:r>
      <w:r w:rsidR="00EF16EB">
        <w:t>blood urea</w:t>
      </w:r>
      <w:r w:rsidRPr="00A31E2E">
        <w:t xml:space="preserve"> increased</w:t>
      </w:r>
      <w:r>
        <w:br/>
      </w:r>
      <w:r w:rsidRPr="00332DF5">
        <w:t>Uncommon</w:t>
      </w:r>
      <w:r w:rsidRPr="002E50B1">
        <w:t>:</w:t>
      </w:r>
      <w:r>
        <w:tab/>
      </w:r>
      <w:r w:rsidR="00EF16EB">
        <w:t xml:space="preserve">blood </w:t>
      </w:r>
      <w:r w:rsidRPr="002E50B1">
        <w:t>creatinine increase</w:t>
      </w:r>
      <w:r w:rsidR="00EF16EB">
        <w:t>d</w:t>
      </w:r>
      <w:r w:rsidRPr="002E50B1">
        <w:t>, epidermal growth factor receptor decreased</w:t>
      </w:r>
      <w:r w:rsidR="00EF16EB">
        <w:t>, blood glucose increased</w:t>
      </w:r>
      <w:r w:rsidR="00FD05BC">
        <w:rPr>
          <w:vertAlign w:val="superscript"/>
        </w:rPr>
        <w:t>†</w:t>
      </w:r>
      <w:r>
        <w:t xml:space="preserve"> </w:t>
      </w:r>
    </w:p>
    <w:p w:rsidR="00652E30" w:rsidRDefault="00652E30" w:rsidP="00284709">
      <w:pPr>
        <w:pStyle w:val="Heading3"/>
      </w:pPr>
      <w:r>
        <w:rPr>
          <w:rStyle w:val="empitalic"/>
          <w:b w:val="0"/>
          <w:bCs/>
          <w:i w:val="0"/>
          <w:lang w:val="en-GB"/>
        </w:rPr>
        <w:t xml:space="preserve">Metabolic and </w:t>
      </w:r>
      <w:r w:rsidR="004B3596">
        <w:rPr>
          <w:rStyle w:val="empitalic"/>
          <w:b w:val="0"/>
          <w:bCs/>
          <w:i w:val="0"/>
          <w:lang w:val="en-GB"/>
        </w:rPr>
        <w:t>N</w:t>
      </w:r>
      <w:r>
        <w:rPr>
          <w:rStyle w:val="empitalic"/>
          <w:b w:val="0"/>
          <w:bCs/>
          <w:i w:val="0"/>
          <w:lang w:val="en-GB"/>
        </w:rPr>
        <w:t>utrition</w:t>
      </w:r>
      <w:r w:rsidR="00DF16BC">
        <w:rPr>
          <w:rStyle w:val="empitalic"/>
          <w:b w:val="0"/>
          <w:bCs/>
          <w:i w:val="0"/>
          <w:lang w:val="en-GB"/>
        </w:rPr>
        <w:t xml:space="preserve"> Disorders</w:t>
      </w:r>
    </w:p>
    <w:p w:rsidR="00652E30" w:rsidRDefault="00652E30" w:rsidP="00BD176F">
      <w:pPr>
        <w:jc w:val="left"/>
      </w:pPr>
      <w:r>
        <w:rPr>
          <w:rStyle w:val="empitalic"/>
          <w:i w:val="0"/>
          <w:lang w:val="en-GB"/>
        </w:rPr>
        <w:t>Common:</w:t>
      </w:r>
      <w:r>
        <w:rPr>
          <w:rStyle w:val="empitalic"/>
          <w:i w:val="0"/>
          <w:lang w:val="en-GB"/>
        </w:rPr>
        <w:tab/>
        <w:t>hyperkalaemia</w:t>
      </w:r>
      <w:r w:rsidR="00BD176F">
        <w:rPr>
          <w:rStyle w:val="empitalic"/>
          <w:i w:val="0"/>
          <w:lang w:val="en-GB"/>
        </w:rPr>
        <w:t>, dehydration</w:t>
      </w:r>
      <w:r>
        <w:rPr>
          <w:rStyle w:val="empitalic"/>
          <w:i w:val="0"/>
          <w:lang w:val="en-GB"/>
        </w:rPr>
        <w:br/>
        <w:t xml:space="preserve">Uncommon: </w:t>
      </w:r>
      <w:r>
        <w:rPr>
          <w:rStyle w:val="empitalic"/>
          <w:i w:val="0"/>
          <w:lang w:val="en-GB"/>
        </w:rPr>
        <w:tab/>
        <w:t>hypercholesterolaemia, hypertriglyceridaemia, hyponatr</w:t>
      </w:r>
      <w:r w:rsidR="00596E6B">
        <w:rPr>
          <w:rStyle w:val="empitalic"/>
          <w:i w:val="0"/>
          <w:lang w:val="en-GB"/>
        </w:rPr>
        <w:t>a</w:t>
      </w:r>
      <w:r>
        <w:rPr>
          <w:rStyle w:val="empitalic"/>
          <w:i w:val="0"/>
          <w:lang w:val="en-GB"/>
        </w:rPr>
        <w:t>emia</w:t>
      </w:r>
    </w:p>
    <w:p w:rsidR="00DF16BC" w:rsidRPr="00A31E2E" w:rsidRDefault="00DF16BC" w:rsidP="00DF16BC">
      <w:pPr>
        <w:pStyle w:val="Heading3"/>
      </w:pPr>
      <w:r>
        <w:t>Musculoskeletal and C</w:t>
      </w:r>
      <w:r w:rsidRPr="00A31E2E">
        <w:t xml:space="preserve">onnective </w:t>
      </w:r>
      <w:r>
        <w:t>Tissue D</w:t>
      </w:r>
      <w:r w:rsidRPr="00A31E2E">
        <w:t>isorders</w:t>
      </w:r>
    </w:p>
    <w:p w:rsidR="00DF16BC" w:rsidRPr="002E50B1" w:rsidRDefault="00DF16BC" w:rsidP="00DF16BC">
      <w:pPr>
        <w:jc w:val="left"/>
      </w:pPr>
      <w:r w:rsidRPr="00DF16BC">
        <w:rPr>
          <w:iCs/>
        </w:rPr>
        <w:t>Common</w:t>
      </w:r>
      <w:r w:rsidRPr="00A31E2E">
        <w:rPr>
          <w:iCs/>
        </w:rPr>
        <w:t>:</w:t>
      </w:r>
      <w:r w:rsidR="00332DF5">
        <w:tab/>
      </w:r>
      <w:r w:rsidRPr="002E50B1">
        <w:t>muscle spasms, musculoskeletal pain</w:t>
      </w:r>
      <w:r>
        <w:br/>
      </w:r>
      <w:r w:rsidRPr="00DF16BC">
        <w:rPr>
          <w:iCs/>
        </w:rPr>
        <w:t>Uncommon</w:t>
      </w:r>
      <w:r w:rsidR="00332DF5">
        <w:t>:</w:t>
      </w:r>
      <w:r w:rsidR="00332DF5">
        <w:tab/>
      </w:r>
      <w:r w:rsidRPr="002E50B1">
        <w:t>back pain</w:t>
      </w:r>
      <w:r w:rsidR="004158F4">
        <w:rPr>
          <w:vertAlign w:val="superscript"/>
        </w:rPr>
        <w:t>†</w:t>
      </w:r>
    </w:p>
    <w:p w:rsidR="00DF16BC" w:rsidRPr="00A31E2E" w:rsidRDefault="00DF16BC" w:rsidP="00DF16BC">
      <w:pPr>
        <w:pStyle w:val="Heading3"/>
      </w:pPr>
      <w:r>
        <w:t>Nervous S</w:t>
      </w:r>
      <w:r w:rsidRPr="00A31E2E">
        <w:t xml:space="preserve">ystem </w:t>
      </w:r>
      <w:r>
        <w:t>D</w:t>
      </w:r>
      <w:r w:rsidRPr="00A31E2E">
        <w:t>isorders</w:t>
      </w:r>
    </w:p>
    <w:p w:rsidR="00DF16BC" w:rsidRPr="002E50B1" w:rsidRDefault="00DF16BC" w:rsidP="00DF16BC">
      <w:pPr>
        <w:jc w:val="left"/>
      </w:pPr>
      <w:r w:rsidRPr="00DF16BC">
        <w:t>Common</w:t>
      </w:r>
      <w:r w:rsidR="00332DF5">
        <w:t>:</w:t>
      </w:r>
      <w:r w:rsidR="00332DF5">
        <w:tab/>
      </w:r>
      <w:r w:rsidRPr="002E50B1">
        <w:t>dizziness, syncope</w:t>
      </w:r>
      <w:r w:rsidR="004158F4">
        <w:rPr>
          <w:vertAlign w:val="superscript"/>
        </w:rPr>
        <w:t>†</w:t>
      </w:r>
      <w:r>
        <w:br/>
      </w:r>
      <w:r w:rsidRPr="00DF16BC">
        <w:rPr>
          <w:iCs/>
        </w:rPr>
        <w:t>Uncommon</w:t>
      </w:r>
      <w:r w:rsidR="00332DF5">
        <w:t>:</w:t>
      </w:r>
      <w:r w:rsidR="00332DF5">
        <w:tab/>
      </w:r>
      <w:r w:rsidRPr="002E50B1">
        <w:t>headache, hypoaesthesia</w:t>
      </w:r>
      <w:r w:rsidR="004158F4">
        <w:rPr>
          <w:vertAlign w:val="superscript"/>
        </w:rPr>
        <w:t>†</w:t>
      </w:r>
    </w:p>
    <w:p w:rsidR="00652E30" w:rsidRDefault="00652E30" w:rsidP="00284709">
      <w:pPr>
        <w:pStyle w:val="Heading3"/>
      </w:pPr>
      <w:r>
        <w:rPr>
          <w:rStyle w:val="empitalic"/>
          <w:b w:val="0"/>
          <w:bCs/>
          <w:i w:val="0"/>
          <w:lang w:val="en-GB"/>
        </w:rPr>
        <w:t>Psychiatric</w:t>
      </w:r>
      <w:r w:rsidR="00DF16BC">
        <w:rPr>
          <w:rStyle w:val="empitalic"/>
          <w:b w:val="0"/>
          <w:bCs/>
          <w:i w:val="0"/>
          <w:lang w:val="en-GB"/>
        </w:rPr>
        <w:t xml:space="preserve"> Disorders</w:t>
      </w:r>
    </w:p>
    <w:p w:rsidR="00652E30" w:rsidRDefault="00652E30" w:rsidP="00284709">
      <w:r>
        <w:rPr>
          <w:rStyle w:val="empitalic"/>
          <w:i w:val="0"/>
          <w:lang w:val="en-GB"/>
        </w:rPr>
        <w:t>Uncommon:</w:t>
      </w:r>
      <w:r>
        <w:rPr>
          <w:rStyle w:val="empitalic"/>
          <w:i w:val="0"/>
          <w:lang w:val="en-GB"/>
        </w:rPr>
        <w:tab/>
        <w:t>insomnia</w:t>
      </w:r>
    </w:p>
    <w:p w:rsidR="00332DF5" w:rsidRDefault="00332DF5" w:rsidP="00332DF5">
      <w:pPr>
        <w:pStyle w:val="Heading3"/>
      </w:pPr>
      <w:r>
        <w:rPr>
          <w:rStyle w:val="empitalic"/>
          <w:b w:val="0"/>
          <w:bCs/>
          <w:i w:val="0"/>
          <w:lang w:val="en-GB"/>
        </w:rPr>
        <w:t>Renal and Urinary Disorders</w:t>
      </w:r>
    </w:p>
    <w:p w:rsidR="00E00478" w:rsidRDefault="00332DF5" w:rsidP="00E00478">
      <w:pPr>
        <w:rPr>
          <w:rStyle w:val="empitalic"/>
          <w:i w:val="0"/>
          <w:lang w:val="en-GB"/>
        </w:rPr>
      </w:pPr>
      <w:r>
        <w:rPr>
          <w:rStyle w:val="empitalic"/>
          <w:i w:val="0"/>
          <w:lang w:val="en-GB"/>
        </w:rPr>
        <w:t>Common:</w:t>
      </w:r>
      <w:r>
        <w:rPr>
          <w:rStyle w:val="empitalic"/>
          <w:i w:val="0"/>
          <w:lang w:val="en-GB"/>
        </w:rPr>
        <w:tab/>
        <w:t xml:space="preserve">renal </w:t>
      </w:r>
      <w:r w:rsidR="00413D8D">
        <w:rPr>
          <w:rStyle w:val="empitalic"/>
          <w:i w:val="0"/>
          <w:lang w:val="en-GB"/>
        </w:rPr>
        <w:t>impairment</w:t>
      </w:r>
    </w:p>
    <w:p w:rsidR="00332DF5" w:rsidRPr="00A31E2E" w:rsidRDefault="00332DF5" w:rsidP="00E00478">
      <w:pPr>
        <w:pStyle w:val="Heading3"/>
        <w:rPr>
          <w:lang w:eastAsia="en-GB"/>
        </w:rPr>
      </w:pPr>
      <w:r>
        <w:rPr>
          <w:lang w:eastAsia="en-GB"/>
        </w:rPr>
        <w:t>Reproductive System and Breast D</w:t>
      </w:r>
      <w:r w:rsidRPr="00A31E2E">
        <w:rPr>
          <w:lang w:eastAsia="en-GB"/>
        </w:rPr>
        <w:t>isorders</w:t>
      </w:r>
    </w:p>
    <w:p w:rsidR="00332DF5" w:rsidRDefault="00332DF5" w:rsidP="00332DF5">
      <w:pPr>
        <w:rPr>
          <w:rStyle w:val="TableText12"/>
          <w:b/>
          <w:bCs/>
          <w:i/>
          <w:lang w:val="en-GB"/>
        </w:rPr>
      </w:pPr>
      <w:r w:rsidRPr="00332DF5">
        <w:t>Uncommon</w:t>
      </w:r>
      <w:r w:rsidRPr="002E50B1">
        <w:t>:</w:t>
      </w:r>
      <w:r w:rsidRPr="00A31E2E">
        <w:rPr>
          <w:i/>
        </w:rPr>
        <w:t xml:space="preserve"> </w:t>
      </w:r>
      <w:r w:rsidRPr="002E50B1">
        <w:t>gynaecomastia</w:t>
      </w:r>
      <w:r w:rsidR="004158F4">
        <w:rPr>
          <w:vertAlign w:val="superscript"/>
        </w:rPr>
        <w:t>†</w:t>
      </w:r>
      <w:r w:rsidDel="00DF16BC">
        <w:rPr>
          <w:rStyle w:val="TableText12"/>
          <w:b/>
          <w:bCs/>
          <w:i/>
          <w:lang w:val="en-GB"/>
        </w:rPr>
        <w:t xml:space="preserve"> </w:t>
      </w:r>
    </w:p>
    <w:p w:rsidR="00DF16BC" w:rsidRPr="00A31E2E" w:rsidRDefault="00DF16BC" w:rsidP="00DF16BC">
      <w:pPr>
        <w:pStyle w:val="Heading3"/>
      </w:pPr>
      <w:r>
        <w:t>Respiratory, Thoracic and M</w:t>
      </w:r>
      <w:r w:rsidRPr="00A31E2E">
        <w:t xml:space="preserve">ediastinal </w:t>
      </w:r>
      <w:r>
        <w:t>D</w:t>
      </w:r>
      <w:r w:rsidRPr="00A31E2E">
        <w:t>isorders</w:t>
      </w:r>
    </w:p>
    <w:p w:rsidR="00FC6ADD" w:rsidRPr="002E50B1" w:rsidRDefault="00DF16BC" w:rsidP="00FC6ADD">
      <w:pPr>
        <w:jc w:val="left"/>
      </w:pPr>
      <w:r w:rsidRPr="00A31E2E">
        <w:t>Common:</w:t>
      </w:r>
      <w:r w:rsidR="00332DF5">
        <w:tab/>
      </w:r>
      <w:r w:rsidRPr="00A31E2E">
        <w:t>cough</w:t>
      </w:r>
      <w:r w:rsidR="004158F4">
        <w:rPr>
          <w:vertAlign w:val="superscript"/>
        </w:rPr>
        <w:t>†</w:t>
      </w:r>
    </w:p>
    <w:p w:rsidR="00DF16BC" w:rsidRPr="00A31E2E" w:rsidRDefault="00652E30" w:rsidP="00DF16BC">
      <w:pPr>
        <w:pStyle w:val="Heading3"/>
      </w:pPr>
      <w:r>
        <w:rPr>
          <w:rStyle w:val="empitalic"/>
          <w:b w:val="0"/>
          <w:bCs/>
          <w:i w:val="0"/>
          <w:lang w:val="en-GB"/>
        </w:rPr>
        <w:lastRenderedPageBreak/>
        <w:t xml:space="preserve">Skin </w:t>
      </w:r>
      <w:r w:rsidR="00DF16BC" w:rsidRPr="00A31E2E">
        <w:t xml:space="preserve">and </w:t>
      </w:r>
      <w:r w:rsidR="00DF16BC">
        <w:t>S</w:t>
      </w:r>
      <w:r w:rsidR="00DF16BC" w:rsidRPr="00A31E2E">
        <w:t xml:space="preserve">ubcutaneous </w:t>
      </w:r>
      <w:r w:rsidR="00DF16BC">
        <w:t>Tissue D</w:t>
      </w:r>
      <w:r w:rsidR="00DF16BC" w:rsidRPr="00A31E2E">
        <w:t>isorders</w:t>
      </w:r>
    </w:p>
    <w:p w:rsidR="00DF16BC" w:rsidRPr="002E50B1" w:rsidRDefault="00DF16BC" w:rsidP="00DF16BC">
      <w:pPr>
        <w:jc w:val="left"/>
        <w:rPr>
          <w:lang w:eastAsia="en-GB"/>
        </w:rPr>
      </w:pPr>
      <w:r w:rsidRPr="00332DF5">
        <w:t>Common</w:t>
      </w:r>
      <w:r w:rsidRPr="002E50B1">
        <w:t xml:space="preserve">: </w:t>
      </w:r>
      <w:r w:rsidR="00332DF5">
        <w:tab/>
      </w:r>
      <w:r w:rsidRPr="002E50B1">
        <w:t xml:space="preserve"> pruritus</w:t>
      </w:r>
      <w:r>
        <w:br/>
      </w:r>
      <w:r w:rsidRPr="00332DF5">
        <w:t>Uncommon</w:t>
      </w:r>
      <w:r w:rsidRPr="002E50B1">
        <w:t xml:space="preserve">: </w:t>
      </w:r>
      <w:r w:rsidR="00332DF5">
        <w:tab/>
      </w:r>
      <w:r w:rsidRPr="002E50B1">
        <w:t>hyperhidrosis</w:t>
      </w:r>
    </w:p>
    <w:p w:rsidR="00DF16BC" w:rsidRDefault="00DF16BC" w:rsidP="00DF16BC">
      <w:pPr>
        <w:pStyle w:val="Heading3"/>
      </w:pPr>
      <w:r>
        <w:rPr>
          <w:rStyle w:val="empitalic"/>
          <w:b w:val="0"/>
          <w:bCs/>
          <w:i w:val="0"/>
          <w:lang w:val="en-GB"/>
        </w:rPr>
        <w:t>Vascular Disorders</w:t>
      </w:r>
    </w:p>
    <w:p w:rsidR="00DF16BC" w:rsidRDefault="00DF16BC" w:rsidP="00DF16BC">
      <w:r>
        <w:rPr>
          <w:rStyle w:val="empitalic"/>
          <w:i w:val="0"/>
          <w:lang w:val="en-GB"/>
        </w:rPr>
        <w:t>Common:</w:t>
      </w:r>
      <w:r>
        <w:rPr>
          <w:rStyle w:val="empitalic"/>
          <w:i w:val="0"/>
          <w:lang w:val="en-GB"/>
        </w:rPr>
        <w:tab/>
        <w:t>hypotension</w:t>
      </w:r>
      <w:r>
        <w:rPr>
          <w:rStyle w:val="empitalic"/>
          <w:i w:val="0"/>
          <w:lang w:val="en-GB"/>
        </w:rPr>
        <w:br/>
        <w:t>Uncommon:</w:t>
      </w:r>
      <w:r>
        <w:rPr>
          <w:rStyle w:val="empitalic"/>
          <w:i w:val="0"/>
          <w:lang w:val="en-GB"/>
        </w:rPr>
        <w:tab/>
      </w:r>
      <w:r w:rsidR="00FC6ADD" w:rsidRPr="002E50B1">
        <w:t xml:space="preserve">arterial </w:t>
      </w:r>
      <w:r w:rsidR="00EF16EB">
        <w:t xml:space="preserve">thrombosis </w:t>
      </w:r>
      <w:r w:rsidR="00FC6ADD">
        <w:t>l</w:t>
      </w:r>
      <w:r w:rsidR="00EF16EB">
        <w:t>imb</w:t>
      </w:r>
      <w:r w:rsidRPr="002E50B1">
        <w:t xml:space="preserve">, </w:t>
      </w:r>
      <w:r w:rsidR="00EF16EB">
        <w:t xml:space="preserve">orthostatic </w:t>
      </w:r>
      <w:r w:rsidRPr="002E50B1">
        <w:t>hypotension</w:t>
      </w:r>
    </w:p>
    <w:p w:rsidR="00652E30" w:rsidRDefault="00652E30" w:rsidP="00284709">
      <w:r>
        <w:t xml:space="preserve">The rates of sex hormone related events are shown in </w:t>
      </w:r>
      <w:r w:rsidR="00911346">
        <w:fldChar w:fldCharType="begin"/>
      </w:r>
      <w:r w:rsidR="00911346">
        <w:instrText xml:space="preserve"> REF _Ref309295456 \h </w:instrText>
      </w:r>
      <w:r w:rsidR="00911346">
        <w:fldChar w:fldCharType="separate"/>
      </w:r>
      <w:r w:rsidR="00B82F77" w:rsidRPr="00911346">
        <w:t xml:space="preserve">Table </w:t>
      </w:r>
      <w:r w:rsidR="00911346">
        <w:fldChar w:fldCharType="end"/>
      </w:r>
      <w:r w:rsidR="00942A1B">
        <w:t>5</w:t>
      </w:r>
      <w:r>
        <w:t>.</w:t>
      </w:r>
    </w:p>
    <w:p w:rsidR="00652E30" w:rsidRPr="00911346" w:rsidRDefault="00905EEE" w:rsidP="00911346">
      <w:pPr>
        <w:pStyle w:val="Caption"/>
      </w:pPr>
      <w:bookmarkStart w:id="1" w:name="_Ref309295456"/>
      <w:r>
        <w:br w:type="page"/>
      </w:r>
      <w:r w:rsidR="00911346" w:rsidRPr="00911346">
        <w:lastRenderedPageBreak/>
        <w:t xml:space="preserve">Table </w:t>
      </w:r>
      <w:fldSimple w:instr=" SEQ Table \* ARABIC ">
        <w:r w:rsidR="006B0D1E">
          <w:rPr>
            <w:noProof/>
          </w:rPr>
          <w:t>5</w:t>
        </w:r>
      </w:fldSimple>
      <w:bookmarkEnd w:id="1"/>
      <w:r w:rsidR="00911346" w:rsidRPr="00911346">
        <w:t xml:space="preserve">: </w:t>
      </w:r>
      <w:r w:rsidR="00652E30" w:rsidRPr="00911346">
        <w:t xml:space="preserve">Rates of sex hormone related adverse events in </w:t>
      </w:r>
      <w:smartTag w:uri="urn:schemas-microsoft-com:office:smarttags" w:element="City">
        <w:smartTag w:uri="urn:schemas-microsoft-com:office:smarttags" w:element="place">
          <w:r w:rsidR="00652E30" w:rsidRPr="00911346">
            <w:t>EPHESUS</w:t>
          </w:r>
        </w:smartTag>
      </w:smartTag>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70"/>
        <w:gridCol w:w="1666"/>
        <w:gridCol w:w="1445"/>
        <w:gridCol w:w="929"/>
        <w:gridCol w:w="2895"/>
      </w:tblGrid>
      <w:tr w:rsidR="00652E30">
        <w:tblPrEx>
          <w:tblCellMar>
            <w:top w:w="0" w:type="dxa"/>
            <w:bottom w:w="0" w:type="dxa"/>
          </w:tblCellMar>
        </w:tblPrEx>
        <w:trPr>
          <w:cantSplit/>
        </w:trPr>
        <w:tc>
          <w:tcPr>
            <w:tcW w:w="1370" w:type="dxa"/>
            <w:vMerge w:val="restart"/>
          </w:tcPr>
          <w:p w:rsidR="00652E30" w:rsidRDefault="00652E30">
            <w:pPr>
              <w:tabs>
                <w:tab w:val="left" w:pos="1418"/>
              </w:tabs>
              <w:spacing w:before="60" w:after="60"/>
              <w:rPr>
                <w:b/>
                <w:bCs/>
                <w:sz w:val="22"/>
              </w:rPr>
            </w:pPr>
          </w:p>
        </w:tc>
        <w:tc>
          <w:tcPr>
            <w:tcW w:w="4040" w:type="dxa"/>
            <w:gridSpan w:val="3"/>
          </w:tcPr>
          <w:p w:rsidR="00652E30" w:rsidRDefault="00652E30">
            <w:pPr>
              <w:tabs>
                <w:tab w:val="left" w:pos="1418"/>
              </w:tabs>
              <w:spacing w:before="60" w:after="60"/>
              <w:jc w:val="center"/>
              <w:rPr>
                <w:b/>
                <w:bCs/>
                <w:sz w:val="22"/>
              </w:rPr>
            </w:pPr>
            <w:r>
              <w:rPr>
                <w:b/>
                <w:bCs/>
                <w:sz w:val="22"/>
              </w:rPr>
              <w:t>Rates in males (%)</w:t>
            </w:r>
          </w:p>
        </w:tc>
        <w:tc>
          <w:tcPr>
            <w:tcW w:w="2895" w:type="dxa"/>
          </w:tcPr>
          <w:p w:rsidR="00652E30" w:rsidRDefault="00652E30">
            <w:pPr>
              <w:tabs>
                <w:tab w:val="left" w:pos="1418"/>
              </w:tabs>
              <w:spacing w:before="60" w:after="60"/>
              <w:rPr>
                <w:b/>
                <w:bCs/>
                <w:sz w:val="22"/>
              </w:rPr>
            </w:pPr>
            <w:r>
              <w:rPr>
                <w:b/>
                <w:bCs/>
                <w:sz w:val="22"/>
              </w:rPr>
              <w:t>Rates in females (%)</w:t>
            </w:r>
          </w:p>
        </w:tc>
      </w:tr>
      <w:tr w:rsidR="00652E30">
        <w:tblPrEx>
          <w:tblCellMar>
            <w:top w:w="0" w:type="dxa"/>
            <w:bottom w:w="0" w:type="dxa"/>
          </w:tblCellMar>
        </w:tblPrEx>
        <w:trPr>
          <w:cantSplit/>
        </w:trPr>
        <w:tc>
          <w:tcPr>
            <w:tcW w:w="1370" w:type="dxa"/>
            <w:vMerge/>
          </w:tcPr>
          <w:p w:rsidR="00652E30" w:rsidRDefault="00652E30">
            <w:pPr>
              <w:tabs>
                <w:tab w:val="left" w:pos="1418"/>
              </w:tabs>
              <w:spacing w:before="60" w:after="60"/>
              <w:rPr>
                <w:b/>
                <w:bCs/>
                <w:sz w:val="22"/>
              </w:rPr>
            </w:pPr>
          </w:p>
        </w:tc>
        <w:tc>
          <w:tcPr>
            <w:tcW w:w="1666" w:type="dxa"/>
          </w:tcPr>
          <w:p w:rsidR="00652E30" w:rsidRDefault="00652E30">
            <w:pPr>
              <w:tabs>
                <w:tab w:val="left" w:pos="1418"/>
              </w:tabs>
              <w:spacing w:before="60" w:after="60"/>
              <w:rPr>
                <w:b/>
                <w:bCs/>
                <w:sz w:val="22"/>
              </w:rPr>
            </w:pPr>
            <w:r>
              <w:rPr>
                <w:b/>
                <w:bCs/>
                <w:sz w:val="22"/>
              </w:rPr>
              <w:t>Gyn</w:t>
            </w:r>
            <w:r w:rsidR="00BA2CC3">
              <w:rPr>
                <w:b/>
                <w:bCs/>
                <w:sz w:val="22"/>
              </w:rPr>
              <w:t>a</w:t>
            </w:r>
            <w:r>
              <w:rPr>
                <w:b/>
                <w:bCs/>
                <w:sz w:val="22"/>
              </w:rPr>
              <w:t>ecomastia</w:t>
            </w:r>
          </w:p>
        </w:tc>
        <w:tc>
          <w:tcPr>
            <w:tcW w:w="1445" w:type="dxa"/>
          </w:tcPr>
          <w:p w:rsidR="00652E30" w:rsidRDefault="00652E30">
            <w:pPr>
              <w:pStyle w:val="Heading5"/>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jc w:val="left"/>
              <w:rPr>
                <w:rFonts w:ascii="Times New Roman" w:hAnsi="Times New Roman"/>
                <w:bCs/>
              </w:rPr>
            </w:pPr>
            <w:r>
              <w:rPr>
                <w:rFonts w:ascii="Times New Roman" w:hAnsi="Times New Roman"/>
                <w:bCs/>
              </w:rPr>
              <w:t>Mastodynia</w:t>
            </w:r>
          </w:p>
        </w:tc>
        <w:tc>
          <w:tcPr>
            <w:tcW w:w="929" w:type="dxa"/>
          </w:tcPr>
          <w:p w:rsidR="00652E30" w:rsidRDefault="00652E30">
            <w:pPr>
              <w:pStyle w:val="Heading3"/>
              <w:tabs>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60" w:after="60"/>
              <w:rPr>
                <w:bCs/>
                <w:sz w:val="22"/>
              </w:rPr>
            </w:pPr>
            <w:r>
              <w:rPr>
                <w:bCs/>
                <w:sz w:val="22"/>
              </w:rPr>
              <w:t>Either</w:t>
            </w:r>
          </w:p>
        </w:tc>
        <w:tc>
          <w:tcPr>
            <w:tcW w:w="2895" w:type="dxa"/>
          </w:tcPr>
          <w:p w:rsidR="00652E30" w:rsidRDefault="00652E30">
            <w:pPr>
              <w:tabs>
                <w:tab w:val="left" w:pos="1418"/>
              </w:tabs>
              <w:spacing w:before="60" w:after="60"/>
              <w:rPr>
                <w:b/>
                <w:bCs/>
                <w:sz w:val="22"/>
              </w:rPr>
            </w:pPr>
            <w:r>
              <w:rPr>
                <w:b/>
                <w:bCs/>
                <w:sz w:val="22"/>
              </w:rPr>
              <w:t>Abnormal vaginal bleeding</w:t>
            </w:r>
          </w:p>
        </w:tc>
      </w:tr>
      <w:tr w:rsidR="00652E30">
        <w:tblPrEx>
          <w:tblCellMar>
            <w:top w:w="0" w:type="dxa"/>
            <w:bottom w:w="0" w:type="dxa"/>
          </w:tblCellMar>
        </w:tblPrEx>
        <w:tc>
          <w:tcPr>
            <w:tcW w:w="1370" w:type="dxa"/>
          </w:tcPr>
          <w:p w:rsidR="00652E30" w:rsidRDefault="00527983">
            <w:pPr>
              <w:tabs>
                <w:tab w:val="left" w:pos="1418"/>
              </w:tabs>
              <w:spacing w:before="60" w:after="60"/>
              <w:rPr>
                <w:b/>
                <w:bCs/>
                <w:sz w:val="22"/>
              </w:rPr>
            </w:pPr>
            <w:r>
              <w:rPr>
                <w:b/>
                <w:bCs/>
                <w:sz w:val="22"/>
              </w:rPr>
              <w:t>INSPRA</w:t>
            </w:r>
          </w:p>
        </w:tc>
        <w:tc>
          <w:tcPr>
            <w:tcW w:w="1666" w:type="dxa"/>
          </w:tcPr>
          <w:p w:rsidR="00652E30" w:rsidRDefault="00652E30">
            <w:pPr>
              <w:tabs>
                <w:tab w:val="left" w:pos="1418"/>
              </w:tabs>
              <w:spacing w:before="60" w:after="60"/>
              <w:rPr>
                <w:sz w:val="22"/>
              </w:rPr>
            </w:pPr>
            <w:r>
              <w:rPr>
                <w:sz w:val="22"/>
              </w:rPr>
              <w:t>0.4</w:t>
            </w:r>
          </w:p>
        </w:tc>
        <w:tc>
          <w:tcPr>
            <w:tcW w:w="1445" w:type="dxa"/>
          </w:tcPr>
          <w:p w:rsidR="00652E30" w:rsidRDefault="00652E30">
            <w:pPr>
              <w:tabs>
                <w:tab w:val="left" w:pos="1418"/>
              </w:tabs>
              <w:spacing w:before="60" w:after="60"/>
              <w:rPr>
                <w:sz w:val="22"/>
              </w:rPr>
            </w:pPr>
            <w:r>
              <w:rPr>
                <w:sz w:val="22"/>
              </w:rPr>
              <w:t>0.1</w:t>
            </w:r>
          </w:p>
        </w:tc>
        <w:tc>
          <w:tcPr>
            <w:tcW w:w="929" w:type="dxa"/>
          </w:tcPr>
          <w:p w:rsidR="00652E30" w:rsidRDefault="00652E30">
            <w:pPr>
              <w:tabs>
                <w:tab w:val="left" w:pos="1418"/>
              </w:tabs>
              <w:spacing w:before="60" w:after="60"/>
              <w:rPr>
                <w:sz w:val="22"/>
              </w:rPr>
            </w:pPr>
            <w:r>
              <w:rPr>
                <w:sz w:val="22"/>
              </w:rPr>
              <w:t>0.5</w:t>
            </w:r>
          </w:p>
        </w:tc>
        <w:tc>
          <w:tcPr>
            <w:tcW w:w="2895" w:type="dxa"/>
          </w:tcPr>
          <w:p w:rsidR="00652E30" w:rsidRDefault="00652E30">
            <w:pPr>
              <w:tabs>
                <w:tab w:val="left" w:pos="1418"/>
              </w:tabs>
              <w:spacing w:before="60" w:after="60"/>
              <w:rPr>
                <w:sz w:val="22"/>
              </w:rPr>
            </w:pPr>
            <w:r>
              <w:rPr>
                <w:sz w:val="22"/>
              </w:rPr>
              <w:t>0.4</w:t>
            </w:r>
          </w:p>
        </w:tc>
      </w:tr>
      <w:tr w:rsidR="00652E30">
        <w:tblPrEx>
          <w:tblCellMar>
            <w:top w:w="0" w:type="dxa"/>
            <w:bottom w:w="0" w:type="dxa"/>
          </w:tblCellMar>
        </w:tblPrEx>
        <w:tc>
          <w:tcPr>
            <w:tcW w:w="1370" w:type="dxa"/>
          </w:tcPr>
          <w:p w:rsidR="00652E30" w:rsidRDefault="00652E30">
            <w:pPr>
              <w:tabs>
                <w:tab w:val="left" w:pos="1418"/>
              </w:tabs>
              <w:spacing w:before="60" w:after="60"/>
              <w:rPr>
                <w:b/>
                <w:bCs/>
                <w:sz w:val="22"/>
              </w:rPr>
            </w:pPr>
            <w:r>
              <w:rPr>
                <w:b/>
                <w:bCs/>
                <w:sz w:val="22"/>
              </w:rPr>
              <w:t>Placebo</w:t>
            </w:r>
          </w:p>
        </w:tc>
        <w:tc>
          <w:tcPr>
            <w:tcW w:w="1666" w:type="dxa"/>
          </w:tcPr>
          <w:p w:rsidR="00652E30" w:rsidRDefault="00652E30">
            <w:pPr>
              <w:tabs>
                <w:tab w:val="left" w:pos="1418"/>
              </w:tabs>
              <w:spacing w:before="60" w:after="60"/>
              <w:rPr>
                <w:sz w:val="22"/>
              </w:rPr>
            </w:pPr>
            <w:r>
              <w:rPr>
                <w:sz w:val="22"/>
              </w:rPr>
              <w:t>0.5</w:t>
            </w:r>
          </w:p>
        </w:tc>
        <w:tc>
          <w:tcPr>
            <w:tcW w:w="1445" w:type="dxa"/>
          </w:tcPr>
          <w:p w:rsidR="00652E30" w:rsidRDefault="00652E30">
            <w:pPr>
              <w:tabs>
                <w:tab w:val="left" w:pos="1418"/>
              </w:tabs>
              <w:spacing w:before="60" w:after="60"/>
              <w:rPr>
                <w:sz w:val="22"/>
              </w:rPr>
            </w:pPr>
            <w:r>
              <w:rPr>
                <w:sz w:val="22"/>
              </w:rPr>
              <w:t>0.1</w:t>
            </w:r>
          </w:p>
        </w:tc>
        <w:tc>
          <w:tcPr>
            <w:tcW w:w="929" w:type="dxa"/>
          </w:tcPr>
          <w:p w:rsidR="00652E30" w:rsidRDefault="00652E30">
            <w:pPr>
              <w:tabs>
                <w:tab w:val="left" w:pos="1418"/>
              </w:tabs>
              <w:spacing w:before="60" w:after="60"/>
              <w:rPr>
                <w:sz w:val="22"/>
              </w:rPr>
            </w:pPr>
            <w:r>
              <w:rPr>
                <w:sz w:val="22"/>
              </w:rPr>
              <w:t>0.6</w:t>
            </w:r>
          </w:p>
        </w:tc>
        <w:tc>
          <w:tcPr>
            <w:tcW w:w="2895" w:type="dxa"/>
          </w:tcPr>
          <w:p w:rsidR="00652E30" w:rsidRDefault="00652E30">
            <w:pPr>
              <w:tabs>
                <w:tab w:val="left" w:pos="1418"/>
              </w:tabs>
              <w:spacing w:before="60" w:after="60"/>
              <w:rPr>
                <w:sz w:val="22"/>
              </w:rPr>
            </w:pPr>
            <w:r>
              <w:rPr>
                <w:sz w:val="22"/>
              </w:rPr>
              <w:t>0.4</w:t>
            </w:r>
          </w:p>
        </w:tc>
      </w:tr>
    </w:tbl>
    <w:p w:rsidR="00685334" w:rsidRDefault="00685334" w:rsidP="00911346">
      <w:pPr>
        <w:pStyle w:val="Caption"/>
      </w:pPr>
    </w:p>
    <w:p w:rsidR="00652E30" w:rsidRPr="00277655" w:rsidRDefault="00911346" w:rsidP="00911346">
      <w:pPr>
        <w:pStyle w:val="Caption"/>
      </w:pPr>
      <w:r>
        <w:t xml:space="preserve">Table </w:t>
      </w:r>
      <w:fldSimple w:instr=" SEQ Table \* ARABIC ">
        <w:r w:rsidR="006B0D1E">
          <w:rPr>
            <w:noProof/>
          </w:rPr>
          <w:t>6</w:t>
        </w:r>
      </w:fldSimple>
      <w:r>
        <w:t xml:space="preserve">: </w:t>
      </w:r>
      <w:r w:rsidR="00652E30" w:rsidRPr="00277655">
        <w:t>Rates (%) of adverse events reported in EPHESUS with greater than 2% incidence on active treatment including the placebo arm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0"/>
        <w:gridCol w:w="1843"/>
        <w:gridCol w:w="1842"/>
      </w:tblGrid>
      <w:tr w:rsidR="00652E30" w:rsidTr="005F4BFB">
        <w:tblPrEx>
          <w:tblCellMar>
            <w:top w:w="0" w:type="dxa"/>
            <w:bottom w:w="0" w:type="dxa"/>
          </w:tblCellMar>
        </w:tblPrEx>
        <w:trPr>
          <w:tblHeader/>
        </w:trPr>
        <w:tc>
          <w:tcPr>
            <w:tcW w:w="4150" w:type="dxa"/>
            <w:tcBorders>
              <w:top w:val="single" w:sz="4" w:space="0" w:color="auto"/>
            </w:tcBorders>
          </w:tcPr>
          <w:p w:rsidR="00652E30" w:rsidRDefault="00652E30" w:rsidP="00911346">
            <w:pPr>
              <w:pStyle w:val="Caption"/>
              <w:jc w:val="left"/>
            </w:pPr>
            <w:r>
              <w:t>Body system</w:t>
            </w:r>
            <w:r>
              <w:br/>
              <w:t xml:space="preserve">  Adverse event</w:t>
            </w:r>
          </w:p>
        </w:tc>
        <w:tc>
          <w:tcPr>
            <w:tcW w:w="1843" w:type="dxa"/>
            <w:tcBorders>
              <w:top w:val="single" w:sz="4" w:space="0" w:color="auto"/>
            </w:tcBorders>
          </w:tcPr>
          <w:p w:rsidR="00284709" w:rsidRPr="00284709" w:rsidRDefault="00652E30" w:rsidP="00284709">
            <w:pPr>
              <w:pStyle w:val="ParagraphSmall"/>
              <w:tabs>
                <w:tab w:val="left" w:pos="1418"/>
              </w:tabs>
              <w:spacing w:before="20" w:after="20"/>
              <w:jc w:val="center"/>
              <w:rPr>
                <w:b/>
                <w:bCs/>
                <w:sz w:val="24"/>
              </w:rPr>
            </w:pPr>
            <w:r w:rsidRPr="00284709">
              <w:rPr>
                <w:b/>
                <w:bCs/>
                <w:sz w:val="24"/>
                <w:lang w:val="en-AU"/>
              </w:rPr>
              <w:t>Placebo</w:t>
            </w:r>
            <w:r w:rsidRPr="00284709">
              <w:rPr>
                <w:b/>
                <w:bCs/>
                <w:sz w:val="24"/>
                <w:lang w:val="en-AU"/>
              </w:rPr>
              <w:br/>
            </w:r>
          </w:p>
          <w:p w:rsidR="00652E30" w:rsidRDefault="00652E30" w:rsidP="00284709">
            <w:pPr>
              <w:pStyle w:val="ParagraphSmall"/>
              <w:tabs>
                <w:tab w:val="left" w:pos="1418"/>
              </w:tabs>
              <w:spacing w:before="20" w:after="20"/>
              <w:jc w:val="center"/>
              <w:rPr>
                <w:b/>
                <w:bCs/>
              </w:rPr>
            </w:pPr>
            <w:r w:rsidRPr="00284709">
              <w:rPr>
                <w:b/>
                <w:bCs/>
                <w:sz w:val="24"/>
              </w:rPr>
              <w:t>n=3,301</w:t>
            </w:r>
          </w:p>
        </w:tc>
        <w:tc>
          <w:tcPr>
            <w:tcW w:w="1842" w:type="dxa"/>
            <w:tcBorders>
              <w:top w:val="single" w:sz="4" w:space="0" w:color="auto"/>
            </w:tcBorders>
          </w:tcPr>
          <w:p w:rsidR="00652E30" w:rsidRDefault="00652E30">
            <w:pPr>
              <w:tabs>
                <w:tab w:val="left" w:pos="1418"/>
              </w:tabs>
              <w:spacing w:before="20" w:after="20"/>
              <w:jc w:val="center"/>
              <w:rPr>
                <w:b/>
                <w:bCs/>
              </w:rPr>
            </w:pPr>
            <w:r>
              <w:rPr>
                <w:b/>
                <w:bCs/>
              </w:rPr>
              <w:t>Eplerenone</w:t>
            </w:r>
            <w:r>
              <w:rPr>
                <w:b/>
                <w:bCs/>
              </w:rPr>
              <w:br/>
              <w:t>25-50</w:t>
            </w:r>
            <w:r w:rsidR="00F516B7">
              <w:rPr>
                <w:b/>
                <w:bCs/>
              </w:rPr>
              <w:t xml:space="preserve"> </w:t>
            </w:r>
            <w:r>
              <w:rPr>
                <w:b/>
                <w:bCs/>
              </w:rPr>
              <w:t>mg QD</w:t>
            </w:r>
          </w:p>
          <w:p w:rsidR="00652E30" w:rsidRDefault="00652E30">
            <w:pPr>
              <w:tabs>
                <w:tab w:val="left" w:pos="1418"/>
              </w:tabs>
              <w:spacing w:before="20" w:after="20"/>
              <w:jc w:val="center"/>
              <w:rPr>
                <w:b/>
                <w:bCs/>
              </w:rPr>
            </w:pPr>
            <w:r>
              <w:rPr>
                <w:b/>
                <w:bCs/>
              </w:rPr>
              <w:t>n=3,307</w:t>
            </w:r>
          </w:p>
        </w:tc>
      </w:tr>
      <w:tr w:rsidR="00652E30">
        <w:tblPrEx>
          <w:tblCellMar>
            <w:top w:w="0" w:type="dxa"/>
            <w:bottom w:w="0" w:type="dxa"/>
          </w:tblCellMar>
        </w:tblPrEx>
        <w:tc>
          <w:tcPr>
            <w:tcW w:w="4150" w:type="dxa"/>
          </w:tcPr>
          <w:p w:rsidR="00652E30" w:rsidRDefault="00652E30">
            <w:pPr>
              <w:tabs>
                <w:tab w:val="left" w:pos="1418"/>
              </w:tabs>
              <w:spacing w:before="20" w:after="20"/>
            </w:pPr>
            <w:r>
              <w:t>Autonomic nervous system disorders</w:t>
            </w:r>
          </w:p>
          <w:p w:rsidR="00652E30" w:rsidRDefault="00652E30">
            <w:pPr>
              <w:tabs>
                <w:tab w:val="left" w:pos="1418"/>
              </w:tabs>
              <w:spacing w:before="20" w:after="20"/>
            </w:pPr>
            <w:r>
              <w:t xml:space="preserve">  Hypotension</w:t>
            </w:r>
          </w:p>
          <w:p w:rsidR="00652E30" w:rsidRDefault="00652E30">
            <w:pPr>
              <w:tabs>
                <w:tab w:val="left" w:pos="1418"/>
              </w:tabs>
              <w:spacing w:before="20" w:after="20"/>
            </w:pPr>
            <w:r>
              <w:t xml:space="preserve">  Syncope</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109 (3.3%)</w:t>
            </w:r>
          </w:p>
          <w:p w:rsidR="00652E30" w:rsidRDefault="00652E30">
            <w:pPr>
              <w:tabs>
                <w:tab w:val="left" w:pos="1418"/>
              </w:tabs>
              <w:spacing w:before="20" w:after="20"/>
              <w:jc w:val="center"/>
            </w:pPr>
            <w:r>
              <w:t>58 (1.8%)</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119 (3.6%)</w:t>
            </w:r>
          </w:p>
          <w:p w:rsidR="00652E30" w:rsidRDefault="00652E30">
            <w:pPr>
              <w:tabs>
                <w:tab w:val="left" w:pos="1418"/>
              </w:tabs>
              <w:spacing w:before="20" w:after="20"/>
              <w:jc w:val="center"/>
            </w:pPr>
            <w:r>
              <w:t>71 (2.1%)</w:t>
            </w:r>
          </w:p>
        </w:tc>
      </w:tr>
      <w:tr w:rsidR="00652E30">
        <w:tblPrEx>
          <w:tblCellMar>
            <w:top w:w="0" w:type="dxa"/>
            <w:bottom w:w="0" w:type="dxa"/>
          </w:tblCellMar>
        </w:tblPrEx>
        <w:tc>
          <w:tcPr>
            <w:tcW w:w="4150" w:type="dxa"/>
          </w:tcPr>
          <w:p w:rsidR="00652E30" w:rsidRDefault="00652E30" w:rsidP="00284709">
            <w:pPr>
              <w:tabs>
                <w:tab w:val="left" w:pos="1418"/>
              </w:tabs>
              <w:spacing w:before="20" w:after="20"/>
              <w:jc w:val="left"/>
            </w:pPr>
            <w:r>
              <w:t>Body as a whole – general disorders</w:t>
            </w:r>
          </w:p>
          <w:p w:rsidR="00652E30" w:rsidRDefault="00652E30" w:rsidP="00284709">
            <w:pPr>
              <w:pStyle w:val="Header"/>
              <w:tabs>
                <w:tab w:val="clear" w:pos="4153"/>
                <w:tab w:val="clear" w:pos="8306"/>
                <w:tab w:val="left" w:pos="1418"/>
              </w:tabs>
              <w:spacing w:before="20" w:after="20"/>
              <w:jc w:val="left"/>
            </w:pPr>
            <w:r>
              <w:t xml:space="preserve">  Asthenia</w:t>
            </w:r>
            <w:r>
              <w:br/>
              <w:t xml:space="preserve">  Back pain</w:t>
            </w:r>
            <w:r>
              <w:br/>
              <w:t xml:space="preserve">  Chest pain non-cardiac</w:t>
            </w:r>
            <w:r>
              <w:br/>
              <w:t xml:space="preserve">  Oedema peripheral</w:t>
            </w:r>
            <w:r>
              <w:br/>
              <w:t xml:space="preserve">  Fatigue</w:t>
            </w:r>
            <w:r>
              <w:br/>
              <w:t xml:space="preserve">  Fever</w:t>
            </w:r>
            <w:r>
              <w:br/>
              <w:t xml:space="preserve">  Injury – accidental</w:t>
            </w:r>
            <w:r>
              <w:br/>
              <w:t xml:space="preserve">  Peripheral pain</w:t>
            </w:r>
            <w:r>
              <w:br/>
              <w:t xml:space="preserve">  Sudden death</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68 (2.1%)</w:t>
            </w:r>
            <w:r>
              <w:br/>
              <w:t>95 (2.9%)</w:t>
            </w:r>
            <w:r>
              <w:br/>
              <w:t>206 (6.2%)</w:t>
            </w:r>
            <w:r>
              <w:br/>
              <w:t>110 (3.3%)</w:t>
            </w:r>
            <w:r>
              <w:br/>
              <w:t>91 (2.8%)</w:t>
            </w:r>
            <w:r>
              <w:br/>
              <w:t>65 (2.0%)</w:t>
            </w:r>
            <w:r>
              <w:br/>
              <w:t>69 (2.1%)</w:t>
            </w:r>
            <w:r>
              <w:br/>
              <w:t>68 (2.1%)</w:t>
            </w:r>
            <w:r>
              <w:br/>
              <w:t>177 (5.4%)</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89 (2.7%)</w:t>
            </w:r>
            <w:r>
              <w:br/>
              <w:t>91 (2.7%)</w:t>
            </w:r>
            <w:r>
              <w:br/>
              <w:t>213 (6.4%)</w:t>
            </w:r>
            <w:r>
              <w:br/>
              <w:t>87 (2.6%)</w:t>
            </w:r>
            <w:r>
              <w:br/>
              <w:t>95 (2.9%)</w:t>
            </w:r>
            <w:r>
              <w:br/>
              <w:t>67 (2.0%)</w:t>
            </w:r>
            <w:r>
              <w:br/>
              <w:t>50 (1.5%)</w:t>
            </w:r>
            <w:r>
              <w:br/>
              <w:t>62 (1.9%)</w:t>
            </w:r>
            <w:r>
              <w:br/>
              <w:t>116 (3.5%)</w:t>
            </w:r>
          </w:p>
        </w:tc>
      </w:tr>
      <w:tr w:rsidR="00652E30">
        <w:tblPrEx>
          <w:tblCellMar>
            <w:top w:w="0" w:type="dxa"/>
            <w:bottom w:w="0" w:type="dxa"/>
          </w:tblCellMar>
        </w:tblPrEx>
        <w:tc>
          <w:tcPr>
            <w:tcW w:w="4150" w:type="dxa"/>
          </w:tcPr>
          <w:p w:rsidR="00652E30" w:rsidRDefault="00652E30">
            <w:pPr>
              <w:tabs>
                <w:tab w:val="left" w:pos="1418"/>
              </w:tabs>
              <w:spacing w:before="20" w:after="20"/>
            </w:pPr>
            <w:r>
              <w:t>Cardiovascular disorders, general</w:t>
            </w:r>
          </w:p>
          <w:p w:rsidR="00652E30" w:rsidRDefault="00652E30" w:rsidP="00284709">
            <w:pPr>
              <w:tabs>
                <w:tab w:val="left" w:pos="1418"/>
              </w:tabs>
              <w:spacing w:before="20" w:after="20"/>
              <w:jc w:val="left"/>
            </w:pPr>
            <w:r>
              <w:t xml:space="preserve">  Cardiac failure</w:t>
            </w:r>
            <w:r>
              <w:br/>
              <w:t xml:space="preserve">  Cardiac failure left</w:t>
            </w:r>
            <w:r>
              <w:br/>
              <w:t xml:space="preserve">  Unstable angina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460 (13.9%)</w:t>
            </w:r>
            <w:r>
              <w:br/>
              <w:t>194 (5.9%)</w:t>
            </w:r>
            <w:r>
              <w:br/>
              <w:t>315 (9.5%)</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376 (11.4%)</w:t>
            </w:r>
            <w:r>
              <w:br/>
              <w:t>153 (4.6%)</w:t>
            </w:r>
            <w:r>
              <w:br/>
              <w:t>305 (9.2%)</w:t>
            </w:r>
          </w:p>
        </w:tc>
      </w:tr>
      <w:tr w:rsidR="00652E30">
        <w:tblPrEx>
          <w:tblCellMar>
            <w:top w:w="0" w:type="dxa"/>
            <w:bottom w:w="0" w:type="dxa"/>
          </w:tblCellMar>
        </w:tblPrEx>
        <w:tc>
          <w:tcPr>
            <w:tcW w:w="4150" w:type="dxa"/>
          </w:tcPr>
          <w:p w:rsidR="00652E30" w:rsidRDefault="00652E30">
            <w:pPr>
              <w:tabs>
                <w:tab w:val="left" w:pos="1418"/>
              </w:tabs>
              <w:spacing w:before="20" w:after="20"/>
            </w:pPr>
            <w:r>
              <w:t>Central and peripheral nervous system disorders</w:t>
            </w:r>
          </w:p>
          <w:p w:rsidR="00652E30" w:rsidRDefault="00652E30">
            <w:pPr>
              <w:tabs>
                <w:tab w:val="left" w:pos="1418"/>
              </w:tabs>
              <w:spacing w:before="20" w:after="20"/>
            </w:pPr>
            <w:r>
              <w:t xml:space="preserve">  Dizziness</w:t>
            </w:r>
            <w:r>
              <w:br/>
              <w:t xml:space="preserve">  Headache</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197 (6.0%)</w:t>
            </w:r>
            <w:r>
              <w:br/>
              <w:t>119 (3.6%)</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214 (6.5%)</w:t>
            </w:r>
            <w:r>
              <w:br/>
              <w:t>126 (3.8%)</w:t>
            </w:r>
          </w:p>
        </w:tc>
      </w:tr>
      <w:tr w:rsidR="00652E30">
        <w:tblPrEx>
          <w:tblCellMar>
            <w:top w:w="0" w:type="dxa"/>
            <w:bottom w:w="0" w:type="dxa"/>
          </w:tblCellMar>
        </w:tblPrEx>
        <w:tc>
          <w:tcPr>
            <w:tcW w:w="4150" w:type="dxa"/>
          </w:tcPr>
          <w:p w:rsidR="00652E30" w:rsidRDefault="00652E30">
            <w:pPr>
              <w:tabs>
                <w:tab w:val="left" w:pos="1418"/>
              </w:tabs>
              <w:spacing w:before="20" w:after="20"/>
            </w:pPr>
            <w:r>
              <w:t>Gastrointestinal systems disorders</w:t>
            </w:r>
          </w:p>
          <w:p w:rsidR="00652E30" w:rsidRDefault="00652E30" w:rsidP="00277655">
            <w:pPr>
              <w:tabs>
                <w:tab w:val="left" w:pos="1418"/>
              </w:tabs>
              <w:spacing w:before="20" w:after="20"/>
              <w:jc w:val="left"/>
            </w:pPr>
            <w:r>
              <w:t xml:space="preserve">  Abdominal pain</w:t>
            </w:r>
            <w:r>
              <w:br/>
              <w:t xml:space="preserve">  Constipation</w:t>
            </w:r>
            <w:r>
              <w:br/>
              <w:t xml:space="preserve">  Diarrhoea</w:t>
            </w:r>
            <w:r>
              <w:br/>
              <w:t xml:space="preserve">  Dyspepsia</w:t>
            </w:r>
            <w:r>
              <w:br/>
              <w:t xml:space="preserve">  Nausea</w:t>
            </w:r>
            <w:r>
              <w:br/>
              <w:t xml:space="preserve">  Vomiting</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103 (3.1%)</w:t>
            </w:r>
            <w:r>
              <w:br/>
              <w:t>92 (2.8%)</w:t>
            </w:r>
            <w:r>
              <w:br/>
              <w:t>113 (3.4%)</w:t>
            </w:r>
            <w:r>
              <w:br/>
              <w:t>120 (3.6%)</w:t>
            </w:r>
            <w:r>
              <w:br/>
              <w:t>133 (4.0%)</w:t>
            </w:r>
            <w:r>
              <w:br/>
              <w:t>59 (1.8%)</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97 (2.9%)</w:t>
            </w:r>
            <w:r>
              <w:br/>
              <w:t>98 (3.0%)</w:t>
            </w:r>
            <w:r>
              <w:br/>
              <w:t>115 (3.5%)</w:t>
            </w:r>
            <w:r>
              <w:br/>
              <w:t>129 (3.9%)</w:t>
            </w:r>
            <w:r>
              <w:br/>
              <w:t>139 (4.2%)</w:t>
            </w:r>
            <w:r>
              <w:br/>
              <w:t>76 (2.3%)</w:t>
            </w:r>
          </w:p>
        </w:tc>
      </w:tr>
      <w:tr w:rsidR="00652E30">
        <w:tblPrEx>
          <w:tblCellMar>
            <w:top w:w="0" w:type="dxa"/>
            <w:bottom w:w="0" w:type="dxa"/>
          </w:tblCellMar>
        </w:tblPrEx>
        <w:tc>
          <w:tcPr>
            <w:tcW w:w="4150" w:type="dxa"/>
          </w:tcPr>
          <w:p w:rsidR="00652E30" w:rsidRDefault="00652E30">
            <w:pPr>
              <w:tabs>
                <w:tab w:val="left" w:pos="1418"/>
              </w:tabs>
              <w:spacing w:before="20" w:after="20"/>
            </w:pPr>
            <w:r>
              <w:t>Heart rate and rhythm disorders</w:t>
            </w:r>
          </w:p>
          <w:p w:rsidR="00652E30" w:rsidRDefault="00652E30" w:rsidP="002937E6">
            <w:pPr>
              <w:tabs>
                <w:tab w:val="left" w:pos="1418"/>
              </w:tabs>
              <w:spacing w:before="20" w:after="20"/>
              <w:jc w:val="left"/>
            </w:pPr>
            <w:r>
              <w:t xml:space="preserve">  </w:t>
            </w:r>
            <w:r w:rsidR="002937E6">
              <w:t>Ventricular a</w:t>
            </w:r>
            <w:r>
              <w:t>rrhythmia</w:t>
            </w:r>
            <w:r>
              <w:br/>
            </w:r>
            <w:r>
              <w:lastRenderedPageBreak/>
              <w:t xml:space="preserve">  </w:t>
            </w:r>
            <w:r w:rsidR="002937E6">
              <w:t>Atrial f</w:t>
            </w:r>
            <w:r>
              <w:t>ibrillation</w:t>
            </w:r>
            <w:r>
              <w:br/>
              <w:t xml:space="preserve">  </w:t>
            </w:r>
            <w:r w:rsidR="002937E6">
              <w:t>Ventricular t</w:t>
            </w:r>
            <w:r>
              <w:t>achycardia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73 (2.2%)</w:t>
            </w:r>
            <w:r>
              <w:br/>
            </w:r>
            <w:r>
              <w:lastRenderedPageBreak/>
              <w:t>161 (4.9%)</w:t>
            </w:r>
            <w:r>
              <w:br/>
              <w:t>63 (1.9%)</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73 (2.2%)</w:t>
            </w:r>
            <w:r>
              <w:br/>
            </w:r>
            <w:r>
              <w:lastRenderedPageBreak/>
              <w:t>150 (4.5%)</w:t>
            </w:r>
            <w:r>
              <w:br/>
              <w:t>70 (2.1%)</w:t>
            </w:r>
          </w:p>
        </w:tc>
      </w:tr>
      <w:tr w:rsidR="00652E30">
        <w:tblPrEx>
          <w:tblCellMar>
            <w:top w:w="0" w:type="dxa"/>
            <w:bottom w:w="0" w:type="dxa"/>
          </w:tblCellMar>
        </w:tblPrEx>
        <w:tc>
          <w:tcPr>
            <w:tcW w:w="4150" w:type="dxa"/>
          </w:tcPr>
          <w:p w:rsidR="00652E30" w:rsidRDefault="00652E30">
            <w:pPr>
              <w:pStyle w:val="ParagraphSmall"/>
              <w:tabs>
                <w:tab w:val="left" w:pos="1418"/>
              </w:tabs>
              <w:spacing w:before="20" w:after="20"/>
              <w:rPr>
                <w:szCs w:val="20"/>
                <w:lang w:val="en-AU"/>
              </w:rPr>
            </w:pPr>
            <w:r>
              <w:rPr>
                <w:szCs w:val="20"/>
                <w:lang w:val="en-AU"/>
              </w:rPr>
              <w:lastRenderedPageBreak/>
              <w:t>Metabolic and nutritional disorders</w:t>
            </w:r>
          </w:p>
          <w:p w:rsidR="00652E30" w:rsidRDefault="00652E30">
            <w:pPr>
              <w:tabs>
                <w:tab w:val="left" w:pos="1418"/>
              </w:tabs>
              <w:spacing w:before="20" w:after="20"/>
            </w:pPr>
            <w:r>
              <w:t xml:space="preserve">  Hypercholesterolaemia</w:t>
            </w:r>
            <w:r>
              <w:br/>
              <w:t xml:space="preserve">  Hyperglycaemia</w:t>
            </w:r>
            <w:r>
              <w:br/>
              <w:t xml:space="preserve">  Hyperkalaemia</w:t>
            </w:r>
            <w:r>
              <w:br/>
              <w:t xml:space="preserve">  Hyperuricemia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119 (3.6%)</w:t>
            </w:r>
            <w:r>
              <w:br/>
              <w:t>79 (2.4%)</w:t>
            </w:r>
            <w:r>
              <w:br/>
              <w:t>66 (2.0%)</w:t>
            </w:r>
            <w:r>
              <w:br/>
              <w:t>111 (3.4%)</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102 (3.1%)</w:t>
            </w:r>
            <w:r>
              <w:br/>
              <w:t>67 (2.0%)</w:t>
            </w:r>
            <w:r>
              <w:br/>
              <w:t>113 (3.4%)</w:t>
            </w:r>
            <w:r>
              <w:br/>
              <w:t>87 (2.6%)</w:t>
            </w:r>
          </w:p>
        </w:tc>
      </w:tr>
      <w:tr w:rsidR="00652E30">
        <w:tblPrEx>
          <w:tblCellMar>
            <w:top w:w="0" w:type="dxa"/>
            <w:bottom w:w="0" w:type="dxa"/>
          </w:tblCellMar>
        </w:tblPrEx>
        <w:tc>
          <w:tcPr>
            <w:tcW w:w="4150" w:type="dxa"/>
          </w:tcPr>
          <w:p w:rsidR="00652E30" w:rsidRDefault="00652E30" w:rsidP="00284709">
            <w:pPr>
              <w:tabs>
                <w:tab w:val="left" w:pos="1418"/>
              </w:tabs>
              <w:spacing w:before="20" w:after="20"/>
              <w:jc w:val="left"/>
            </w:pPr>
            <w:r>
              <w:t>Musculoskeletal system disorders</w:t>
            </w:r>
          </w:p>
          <w:p w:rsidR="00652E30" w:rsidRDefault="00652E30">
            <w:pPr>
              <w:tabs>
                <w:tab w:val="left" w:pos="1418"/>
              </w:tabs>
              <w:spacing w:before="20" w:after="20"/>
            </w:pPr>
            <w:r>
              <w:t xml:space="preserve">  Arthralgia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89 (2.7%)</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71 (2.1%)</w:t>
            </w:r>
          </w:p>
        </w:tc>
      </w:tr>
      <w:tr w:rsidR="00652E30">
        <w:tblPrEx>
          <w:tblCellMar>
            <w:top w:w="0" w:type="dxa"/>
            <w:bottom w:w="0" w:type="dxa"/>
          </w:tblCellMar>
        </w:tblPrEx>
        <w:tc>
          <w:tcPr>
            <w:tcW w:w="4150" w:type="dxa"/>
          </w:tcPr>
          <w:p w:rsidR="00652E30" w:rsidRDefault="00652E30" w:rsidP="00284709">
            <w:pPr>
              <w:tabs>
                <w:tab w:val="left" w:pos="1418"/>
              </w:tabs>
              <w:spacing w:before="20" w:after="20"/>
              <w:jc w:val="left"/>
            </w:pPr>
            <w:r>
              <w:t>Myo endo pericardial and valve disorders</w:t>
            </w:r>
          </w:p>
          <w:p w:rsidR="00652E30" w:rsidRDefault="00652E30" w:rsidP="00284709">
            <w:pPr>
              <w:tabs>
                <w:tab w:val="left" w:pos="1418"/>
              </w:tabs>
              <w:spacing w:before="20" w:after="20"/>
              <w:jc w:val="left"/>
            </w:pPr>
            <w:r>
              <w:t xml:space="preserve">  Angina pectoris</w:t>
            </w:r>
            <w:r>
              <w:br/>
              <w:t xml:space="preserve">  Coronary artery disorder</w:t>
            </w:r>
            <w:r>
              <w:br/>
              <w:t xml:space="preserve">  Myocardial infarction</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415 (12.6%)</w:t>
            </w:r>
            <w:r>
              <w:br/>
              <w:t>91 (2.8%)</w:t>
            </w:r>
            <w:r>
              <w:br/>
              <w:t>270 (8.2%)</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459 (13.9%)</w:t>
            </w:r>
            <w:r>
              <w:br/>
              <w:t>100 (3.0%)</w:t>
            </w:r>
            <w:r>
              <w:br/>
              <w:t>267 (8.1%)</w:t>
            </w:r>
          </w:p>
        </w:tc>
      </w:tr>
      <w:tr w:rsidR="00652E30">
        <w:tblPrEx>
          <w:tblCellMar>
            <w:top w:w="0" w:type="dxa"/>
            <w:bottom w:w="0" w:type="dxa"/>
          </w:tblCellMar>
        </w:tblPrEx>
        <w:tc>
          <w:tcPr>
            <w:tcW w:w="4150" w:type="dxa"/>
          </w:tcPr>
          <w:p w:rsidR="00652E30" w:rsidRDefault="00652E30">
            <w:pPr>
              <w:tabs>
                <w:tab w:val="left" w:pos="1418"/>
              </w:tabs>
              <w:spacing w:before="20" w:after="20"/>
            </w:pPr>
            <w:r>
              <w:t>Psychiatric disorders</w:t>
            </w:r>
          </w:p>
          <w:p w:rsidR="00652E30" w:rsidRDefault="00652E30">
            <w:pPr>
              <w:tabs>
                <w:tab w:val="left" w:pos="1418"/>
              </w:tabs>
              <w:spacing w:before="20" w:after="20"/>
            </w:pPr>
            <w:r>
              <w:t xml:space="preserve">  Depression</w:t>
            </w:r>
            <w:r>
              <w:br/>
              <w:t xml:space="preserve">  Insomnia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66 (2.0%)</w:t>
            </w:r>
            <w:r>
              <w:br/>
              <w:t>105 (3.2%)</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48 (1.5%)</w:t>
            </w:r>
            <w:r>
              <w:br/>
              <w:t>88 (2.7%)</w:t>
            </w:r>
          </w:p>
        </w:tc>
      </w:tr>
      <w:tr w:rsidR="00652E30">
        <w:tblPrEx>
          <w:tblCellMar>
            <w:top w:w="0" w:type="dxa"/>
            <w:bottom w:w="0" w:type="dxa"/>
          </w:tblCellMar>
        </w:tblPrEx>
        <w:tc>
          <w:tcPr>
            <w:tcW w:w="4150" w:type="dxa"/>
          </w:tcPr>
          <w:p w:rsidR="00652E30" w:rsidRDefault="00652E30">
            <w:pPr>
              <w:tabs>
                <w:tab w:val="left" w:pos="1418"/>
              </w:tabs>
              <w:spacing w:before="20" w:after="20"/>
            </w:pPr>
            <w:r>
              <w:t>Red blood cell disorders</w:t>
            </w:r>
          </w:p>
          <w:p w:rsidR="00652E30" w:rsidRDefault="00652E30">
            <w:pPr>
              <w:pStyle w:val="Header"/>
              <w:tabs>
                <w:tab w:val="clear" w:pos="4153"/>
                <w:tab w:val="clear" w:pos="8306"/>
                <w:tab w:val="left" w:pos="1418"/>
              </w:tabs>
              <w:spacing w:before="20" w:after="20"/>
            </w:pPr>
            <w:r>
              <w:t xml:space="preserve">  Anaemia</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98 (3.0%)</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115 (3.5%)</w:t>
            </w:r>
          </w:p>
        </w:tc>
      </w:tr>
      <w:tr w:rsidR="00652E30">
        <w:tblPrEx>
          <w:tblCellMar>
            <w:top w:w="0" w:type="dxa"/>
            <w:bottom w:w="0" w:type="dxa"/>
          </w:tblCellMar>
        </w:tblPrEx>
        <w:tc>
          <w:tcPr>
            <w:tcW w:w="4150" w:type="dxa"/>
          </w:tcPr>
          <w:p w:rsidR="00652E30" w:rsidRDefault="00652E30">
            <w:pPr>
              <w:tabs>
                <w:tab w:val="left" w:pos="1418"/>
              </w:tabs>
              <w:spacing w:before="20" w:after="20"/>
            </w:pPr>
            <w:r>
              <w:t>Respiratory system disorders</w:t>
            </w:r>
          </w:p>
          <w:p w:rsidR="00652E30" w:rsidRDefault="00652E30" w:rsidP="006B6EA3">
            <w:pPr>
              <w:pStyle w:val="Header"/>
              <w:tabs>
                <w:tab w:val="clear" w:pos="4153"/>
                <w:tab w:val="clear" w:pos="8306"/>
                <w:tab w:val="left" w:pos="1418"/>
              </w:tabs>
              <w:spacing w:before="20" w:after="20"/>
            </w:pPr>
            <w:r>
              <w:t xml:space="preserve">  Bronchitis</w:t>
            </w:r>
            <w:r>
              <w:br/>
              <w:t xml:space="preserve">  Coughing</w:t>
            </w:r>
            <w:r>
              <w:br/>
              <w:t xml:space="preserve">  Dyspn</w:t>
            </w:r>
            <w:r w:rsidR="00A96D87">
              <w:t>o</w:t>
            </w:r>
            <w:r>
              <w:t>ea</w:t>
            </w:r>
            <w:r>
              <w:br/>
              <w:t xml:space="preserve">  Pneumonia</w:t>
            </w:r>
            <w:r>
              <w:br/>
              <w:t xml:space="preserve">  Upper respiratory tract infection</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137 (4.2%)</w:t>
            </w:r>
            <w:r>
              <w:br/>
              <w:t>207 (6.3%)</w:t>
            </w:r>
            <w:r>
              <w:br/>
              <w:t>307 (9.3%)</w:t>
            </w:r>
            <w:r>
              <w:br/>
              <w:t>123 (3.7%)</w:t>
            </w:r>
            <w:r>
              <w:br/>
              <w:t>171 (5.2%)</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111 (3.4%)</w:t>
            </w:r>
            <w:r>
              <w:br/>
              <w:t>167 (5.0%)</w:t>
            </w:r>
            <w:r>
              <w:br/>
              <w:t>243 (7.3%)</w:t>
            </w:r>
            <w:r>
              <w:br/>
              <w:t>92 (2.8%)</w:t>
            </w:r>
            <w:r>
              <w:br/>
              <w:t>156 (4.7%)</w:t>
            </w:r>
          </w:p>
        </w:tc>
      </w:tr>
      <w:tr w:rsidR="00652E30">
        <w:tblPrEx>
          <w:tblCellMar>
            <w:top w:w="0" w:type="dxa"/>
            <w:bottom w:w="0" w:type="dxa"/>
          </w:tblCellMar>
        </w:tblPrEx>
        <w:tc>
          <w:tcPr>
            <w:tcW w:w="4150" w:type="dxa"/>
          </w:tcPr>
          <w:p w:rsidR="00652E30" w:rsidRDefault="00652E30">
            <w:pPr>
              <w:tabs>
                <w:tab w:val="left" w:pos="1418"/>
              </w:tabs>
              <w:spacing w:before="20" w:after="20"/>
            </w:pPr>
            <w:r>
              <w:t>Urinary system disorders</w:t>
            </w:r>
          </w:p>
          <w:p w:rsidR="00652E30" w:rsidRDefault="00652E30" w:rsidP="00284709">
            <w:pPr>
              <w:tabs>
                <w:tab w:val="left" w:pos="1418"/>
              </w:tabs>
              <w:spacing w:before="20" w:after="20"/>
              <w:jc w:val="left"/>
            </w:pPr>
            <w:r>
              <w:t xml:space="preserve">  Creatinine increase</w:t>
            </w:r>
            <w:r>
              <w:br/>
              <w:t xml:space="preserve">  H</w:t>
            </w:r>
            <w:r w:rsidR="00346AB5">
              <w:t>a</w:t>
            </w:r>
            <w:r>
              <w:t>ematuria</w:t>
            </w:r>
            <w:r>
              <w:br/>
              <w:t xml:space="preserve">  Renal function abnormal</w:t>
            </w:r>
            <w:r>
              <w:br/>
              <w:t xml:space="preserve">  Urinary tract infection</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51 (1.5%)</w:t>
            </w:r>
            <w:r>
              <w:br/>
              <w:t>55 (1.7%)</w:t>
            </w:r>
            <w:r>
              <w:br/>
              <w:t>79 (2.4%)</w:t>
            </w:r>
            <w:r>
              <w:br/>
              <w:t>113 (3.4%)</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81 (2.4%)</w:t>
            </w:r>
            <w:r>
              <w:br/>
              <w:t>70 (2.1%)</w:t>
            </w:r>
            <w:r>
              <w:br/>
              <w:t>96 (2.9%)</w:t>
            </w:r>
            <w:r>
              <w:br/>
              <w:t>111 (3.4%)</w:t>
            </w:r>
          </w:p>
        </w:tc>
      </w:tr>
      <w:tr w:rsidR="00652E30">
        <w:tblPrEx>
          <w:tblCellMar>
            <w:top w:w="0" w:type="dxa"/>
            <w:bottom w:w="0" w:type="dxa"/>
          </w:tblCellMar>
        </w:tblPrEx>
        <w:tc>
          <w:tcPr>
            <w:tcW w:w="4150" w:type="dxa"/>
          </w:tcPr>
          <w:p w:rsidR="00652E30" w:rsidRDefault="00652E30">
            <w:pPr>
              <w:tabs>
                <w:tab w:val="left" w:pos="1418"/>
              </w:tabs>
              <w:spacing w:before="20" w:after="20"/>
            </w:pPr>
            <w:r>
              <w:t>Vascular disorders</w:t>
            </w:r>
          </w:p>
          <w:p w:rsidR="00652E30" w:rsidRDefault="00652E30">
            <w:pPr>
              <w:tabs>
                <w:tab w:val="left" w:pos="1418"/>
              </w:tabs>
              <w:spacing w:before="20" w:after="20"/>
            </w:pPr>
            <w:r>
              <w:t xml:space="preserve">  Cerebrovascular disorder</w:t>
            </w:r>
          </w:p>
        </w:tc>
        <w:tc>
          <w:tcPr>
            <w:tcW w:w="1843"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101 (3.1%)</w:t>
            </w:r>
          </w:p>
        </w:tc>
        <w:tc>
          <w:tcPr>
            <w:tcW w:w="1842" w:type="dxa"/>
          </w:tcPr>
          <w:p w:rsidR="00652E30" w:rsidRDefault="00652E30">
            <w:pPr>
              <w:tabs>
                <w:tab w:val="left" w:pos="1418"/>
              </w:tabs>
              <w:spacing w:before="20" w:after="20"/>
              <w:jc w:val="center"/>
            </w:pPr>
          </w:p>
          <w:p w:rsidR="00652E30" w:rsidRDefault="00652E30">
            <w:pPr>
              <w:tabs>
                <w:tab w:val="left" w:pos="1418"/>
              </w:tabs>
              <w:spacing w:before="20" w:after="20"/>
              <w:jc w:val="center"/>
            </w:pPr>
            <w:r>
              <w:t>103 (3.1%)</w:t>
            </w:r>
          </w:p>
        </w:tc>
      </w:tr>
    </w:tbl>
    <w:p w:rsidR="00F516B7" w:rsidRDefault="00F516B7" w:rsidP="00911346">
      <w:pPr>
        <w:pStyle w:val="Caption"/>
      </w:pPr>
    </w:p>
    <w:p w:rsidR="00AB402A" w:rsidRPr="00911346" w:rsidRDefault="00905EEE" w:rsidP="00911346">
      <w:pPr>
        <w:pStyle w:val="Caption"/>
      </w:pPr>
      <w:r>
        <w:br w:type="page"/>
      </w:r>
      <w:r w:rsidR="00911346" w:rsidRPr="00911346">
        <w:lastRenderedPageBreak/>
        <w:t xml:space="preserve">Table </w:t>
      </w:r>
      <w:fldSimple w:instr=" SEQ Table \* ARABIC ">
        <w:r w:rsidR="006B0D1E">
          <w:rPr>
            <w:noProof/>
          </w:rPr>
          <w:t>7</w:t>
        </w:r>
      </w:fldSimple>
      <w:r w:rsidR="00911346" w:rsidRPr="00911346">
        <w:t xml:space="preserve">: </w:t>
      </w:r>
      <w:r w:rsidR="00277655" w:rsidRPr="00911346">
        <w:t>Treatment-emergent serious adverse events occurring in &gt;2% of subjects in either treatment group</w:t>
      </w:r>
      <w:r w:rsidR="000158A7" w:rsidRPr="00911346">
        <w:t xml:space="preserve"> in EMPHASIS-HF</w:t>
      </w:r>
      <w:r w:rsidR="00277655" w:rsidRPr="00911346">
        <w:t>, all causality</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5"/>
        <w:gridCol w:w="1984"/>
        <w:gridCol w:w="2410"/>
      </w:tblGrid>
      <w:tr w:rsidR="00AB402A" w:rsidRPr="00AB402A" w:rsidTr="00876CEF">
        <w:tblPrEx>
          <w:tblCellMar>
            <w:top w:w="0" w:type="dxa"/>
            <w:bottom w:w="0" w:type="dxa"/>
          </w:tblCellMar>
        </w:tblPrEx>
        <w:trPr>
          <w:tblHeader/>
        </w:trPr>
        <w:tc>
          <w:tcPr>
            <w:tcW w:w="5245" w:type="dxa"/>
            <w:tcBorders>
              <w:top w:val="single" w:sz="4" w:space="0" w:color="auto"/>
            </w:tcBorders>
          </w:tcPr>
          <w:p w:rsidR="00AB402A" w:rsidRPr="00277655" w:rsidRDefault="00277655" w:rsidP="007A30A4">
            <w:pPr>
              <w:tabs>
                <w:tab w:val="left" w:pos="1418"/>
              </w:tabs>
              <w:spacing w:before="20" w:after="20"/>
              <w:jc w:val="left"/>
              <w:rPr>
                <w:b/>
                <w:bCs/>
              </w:rPr>
            </w:pPr>
            <w:r w:rsidRPr="00277655">
              <w:rPr>
                <w:b/>
                <w:bCs/>
              </w:rPr>
              <w:t>SOC/MedDRA</w:t>
            </w:r>
          </w:p>
          <w:p w:rsidR="00277655" w:rsidRPr="00277655" w:rsidRDefault="00277655" w:rsidP="007A30A4">
            <w:pPr>
              <w:tabs>
                <w:tab w:val="left" w:pos="1418"/>
              </w:tabs>
              <w:spacing w:before="20" w:after="20"/>
              <w:jc w:val="left"/>
              <w:rPr>
                <w:b/>
                <w:bCs/>
              </w:rPr>
            </w:pPr>
            <w:r w:rsidRPr="00277655">
              <w:rPr>
                <w:b/>
                <w:bCs/>
              </w:rPr>
              <w:t>Preferred Term</w:t>
            </w:r>
          </w:p>
        </w:tc>
        <w:tc>
          <w:tcPr>
            <w:tcW w:w="1984" w:type="dxa"/>
            <w:tcBorders>
              <w:top w:val="single" w:sz="4" w:space="0" w:color="auto"/>
            </w:tcBorders>
          </w:tcPr>
          <w:p w:rsidR="00AB402A" w:rsidRPr="00277655" w:rsidRDefault="00AB402A" w:rsidP="00277655">
            <w:pPr>
              <w:pStyle w:val="ParagraphSmall"/>
              <w:tabs>
                <w:tab w:val="left" w:pos="1418"/>
              </w:tabs>
              <w:spacing w:before="20" w:after="20"/>
              <w:jc w:val="center"/>
              <w:rPr>
                <w:b/>
                <w:bCs/>
                <w:sz w:val="24"/>
              </w:rPr>
            </w:pPr>
            <w:r w:rsidRPr="00277655">
              <w:rPr>
                <w:b/>
                <w:bCs/>
                <w:sz w:val="24"/>
                <w:lang w:val="en-AU"/>
              </w:rPr>
              <w:t>Placebo</w:t>
            </w:r>
            <w:r w:rsidR="00277655" w:rsidRPr="00277655">
              <w:rPr>
                <w:b/>
                <w:bCs/>
                <w:sz w:val="24"/>
                <w:lang w:val="en-AU"/>
              </w:rPr>
              <w:t xml:space="preserve"> </w:t>
            </w:r>
            <w:r w:rsidR="00277655" w:rsidRPr="00277655">
              <w:rPr>
                <w:b/>
                <w:bCs/>
                <w:sz w:val="24"/>
              </w:rPr>
              <w:t>N</w:t>
            </w:r>
            <w:r w:rsidRPr="00277655">
              <w:rPr>
                <w:b/>
                <w:bCs/>
                <w:sz w:val="24"/>
              </w:rPr>
              <w:t>=</w:t>
            </w:r>
            <w:r w:rsidR="00277655" w:rsidRPr="00277655">
              <w:rPr>
                <w:b/>
                <w:bCs/>
                <w:sz w:val="24"/>
              </w:rPr>
              <w:t>1,369</w:t>
            </w:r>
          </w:p>
          <w:p w:rsidR="00277655" w:rsidRPr="00277655" w:rsidRDefault="00277655" w:rsidP="00277655">
            <w:pPr>
              <w:pStyle w:val="ParagraphSmall"/>
              <w:tabs>
                <w:tab w:val="left" w:pos="1418"/>
              </w:tabs>
              <w:spacing w:before="20" w:after="20"/>
              <w:jc w:val="center"/>
              <w:rPr>
                <w:b/>
                <w:bCs/>
              </w:rPr>
            </w:pPr>
            <w:r w:rsidRPr="00277655">
              <w:rPr>
                <w:b/>
                <w:bCs/>
                <w:sz w:val="24"/>
              </w:rPr>
              <w:t>n (%)</w:t>
            </w:r>
          </w:p>
        </w:tc>
        <w:tc>
          <w:tcPr>
            <w:tcW w:w="2410" w:type="dxa"/>
            <w:tcBorders>
              <w:top w:val="single" w:sz="4" w:space="0" w:color="auto"/>
            </w:tcBorders>
          </w:tcPr>
          <w:p w:rsidR="00AB402A" w:rsidRPr="00277655" w:rsidRDefault="00277655" w:rsidP="00277655">
            <w:pPr>
              <w:tabs>
                <w:tab w:val="left" w:pos="1418"/>
              </w:tabs>
              <w:spacing w:before="20" w:after="20"/>
              <w:jc w:val="center"/>
              <w:rPr>
                <w:b/>
                <w:bCs/>
              </w:rPr>
            </w:pPr>
            <w:r w:rsidRPr="00277655">
              <w:rPr>
                <w:b/>
                <w:bCs/>
              </w:rPr>
              <w:t>Eplerenone N=1,360</w:t>
            </w:r>
          </w:p>
          <w:p w:rsidR="00277655" w:rsidRPr="00277655" w:rsidRDefault="00277655" w:rsidP="00277655">
            <w:pPr>
              <w:tabs>
                <w:tab w:val="left" w:pos="1418"/>
              </w:tabs>
              <w:spacing w:before="20" w:after="20"/>
              <w:jc w:val="center"/>
              <w:rPr>
                <w:b/>
                <w:bCs/>
              </w:rPr>
            </w:pPr>
            <w:r w:rsidRPr="00277655">
              <w:rPr>
                <w:b/>
                <w:bCs/>
              </w:rPr>
              <w:t>n (%)</w:t>
            </w:r>
          </w:p>
        </w:tc>
      </w:tr>
      <w:tr w:rsidR="00AB402A" w:rsidRPr="00AB402A" w:rsidTr="00876CEF">
        <w:tblPrEx>
          <w:tblCellMar>
            <w:top w:w="0" w:type="dxa"/>
            <w:bottom w:w="0" w:type="dxa"/>
          </w:tblCellMar>
        </w:tblPrEx>
        <w:tc>
          <w:tcPr>
            <w:tcW w:w="5245" w:type="dxa"/>
          </w:tcPr>
          <w:p w:rsidR="00AB402A" w:rsidRPr="00277655" w:rsidRDefault="00277655" w:rsidP="007A30A4">
            <w:pPr>
              <w:tabs>
                <w:tab w:val="left" w:pos="1418"/>
              </w:tabs>
              <w:spacing w:before="20" w:after="20"/>
            </w:pPr>
            <w:r w:rsidRPr="00277655">
              <w:t>Cardiac disorders</w:t>
            </w:r>
          </w:p>
          <w:p w:rsidR="00AB402A" w:rsidRPr="00277655" w:rsidRDefault="00277655" w:rsidP="007A30A4">
            <w:pPr>
              <w:tabs>
                <w:tab w:val="left" w:pos="1418"/>
              </w:tabs>
              <w:spacing w:before="20" w:after="20"/>
            </w:pPr>
            <w:r w:rsidRPr="00277655">
              <w:t xml:space="preserve">  Atrial fibrillation</w:t>
            </w:r>
          </w:p>
          <w:p w:rsidR="00AB402A" w:rsidRPr="00277655" w:rsidRDefault="00277655" w:rsidP="007A30A4">
            <w:pPr>
              <w:tabs>
                <w:tab w:val="left" w:pos="1418"/>
              </w:tabs>
              <w:spacing w:before="20" w:after="20"/>
            </w:pPr>
            <w:r w:rsidRPr="00277655">
              <w:t xml:space="preserve">  Cardiac failure</w:t>
            </w:r>
          </w:p>
          <w:p w:rsidR="00277655" w:rsidRPr="00277655" w:rsidRDefault="00277655" w:rsidP="007A30A4">
            <w:pPr>
              <w:tabs>
                <w:tab w:val="left" w:pos="1418"/>
              </w:tabs>
              <w:spacing w:before="20" w:after="20"/>
            </w:pPr>
            <w:r w:rsidRPr="00277655">
              <w:t xml:space="preserve">  Myocardial infarction</w:t>
            </w:r>
          </w:p>
          <w:p w:rsidR="00277655" w:rsidRPr="00277655" w:rsidRDefault="00277655" w:rsidP="00876CEF">
            <w:pPr>
              <w:tabs>
                <w:tab w:val="left" w:pos="1418"/>
              </w:tabs>
              <w:spacing w:before="20" w:after="20"/>
            </w:pPr>
            <w:r w:rsidRPr="00277655">
              <w:t xml:space="preserve">  Ventricul</w:t>
            </w:r>
            <w:r w:rsidR="00876CEF">
              <w:t>a</w:t>
            </w:r>
            <w:r w:rsidRPr="00277655">
              <w:t>r tachycardia</w:t>
            </w:r>
          </w:p>
        </w:tc>
        <w:tc>
          <w:tcPr>
            <w:tcW w:w="1984" w:type="dxa"/>
          </w:tcPr>
          <w:p w:rsidR="00AB402A" w:rsidRDefault="00876CEF" w:rsidP="007A30A4">
            <w:pPr>
              <w:tabs>
                <w:tab w:val="left" w:pos="1418"/>
              </w:tabs>
              <w:spacing w:before="20" w:after="20"/>
              <w:jc w:val="center"/>
            </w:pPr>
            <w:r>
              <w:t>393 (28.7)</w:t>
            </w:r>
          </w:p>
          <w:p w:rsidR="00876CEF" w:rsidRDefault="00876CEF" w:rsidP="007A30A4">
            <w:pPr>
              <w:tabs>
                <w:tab w:val="left" w:pos="1418"/>
              </w:tabs>
              <w:spacing w:before="20" w:after="20"/>
              <w:jc w:val="center"/>
            </w:pPr>
            <w:r>
              <w:t>30 (2.2)</w:t>
            </w:r>
          </w:p>
          <w:p w:rsidR="00876CEF" w:rsidRDefault="00876CEF" w:rsidP="007A30A4">
            <w:pPr>
              <w:tabs>
                <w:tab w:val="left" w:pos="1418"/>
              </w:tabs>
              <w:spacing w:before="20" w:after="20"/>
              <w:jc w:val="center"/>
            </w:pPr>
            <w:r>
              <w:t>243 (17.8)</w:t>
            </w:r>
          </w:p>
          <w:p w:rsidR="00876CEF" w:rsidRDefault="00876CEF" w:rsidP="007A30A4">
            <w:pPr>
              <w:tabs>
                <w:tab w:val="left" w:pos="1418"/>
              </w:tabs>
              <w:spacing w:before="20" w:after="20"/>
              <w:jc w:val="center"/>
            </w:pPr>
            <w:r>
              <w:t>29 (2.1)</w:t>
            </w:r>
          </w:p>
          <w:p w:rsidR="00876CEF" w:rsidRPr="00277655" w:rsidRDefault="00876CEF" w:rsidP="007A30A4">
            <w:pPr>
              <w:tabs>
                <w:tab w:val="left" w:pos="1418"/>
              </w:tabs>
              <w:spacing w:before="20" w:after="20"/>
              <w:jc w:val="center"/>
            </w:pPr>
            <w:r>
              <w:t>27 (2.0)</w:t>
            </w:r>
          </w:p>
        </w:tc>
        <w:tc>
          <w:tcPr>
            <w:tcW w:w="2410" w:type="dxa"/>
          </w:tcPr>
          <w:p w:rsidR="00AB402A" w:rsidRDefault="00BC17D5" w:rsidP="007A30A4">
            <w:pPr>
              <w:tabs>
                <w:tab w:val="left" w:pos="1418"/>
              </w:tabs>
              <w:spacing w:before="20" w:after="20"/>
              <w:jc w:val="center"/>
            </w:pPr>
            <w:r>
              <w:t>306 (22.5)</w:t>
            </w:r>
          </w:p>
          <w:p w:rsidR="00BC17D5" w:rsidRDefault="00BC17D5" w:rsidP="007A30A4">
            <w:pPr>
              <w:tabs>
                <w:tab w:val="left" w:pos="1418"/>
              </w:tabs>
              <w:spacing w:before="20" w:after="20"/>
              <w:jc w:val="center"/>
            </w:pPr>
            <w:r>
              <w:t>22 (1.6)</w:t>
            </w:r>
          </w:p>
          <w:p w:rsidR="00BC17D5" w:rsidRDefault="00BC17D5" w:rsidP="007A30A4">
            <w:pPr>
              <w:tabs>
                <w:tab w:val="left" w:pos="1418"/>
              </w:tabs>
              <w:spacing w:before="20" w:after="20"/>
              <w:jc w:val="center"/>
            </w:pPr>
            <w:r>
              <w:t>187 (13.8)</w:t>
            </w:r>
          </w:p>
          <w:p w:rsidR="00BC17D5" w:rsidRDefault="00BC17D5" w:rsidP="007A30A4">
            <w:pPr>
              <w:tabs>
                <w:tab w:val="left" w:pos="1418"/>
              </w:tabs>
              <w:spacing w:before="20" w:after="20"/>
              <w:jc w:val="center"/>
            </w:pPr>
            <w:r>
              <w:t>29 (2.1)</w:t>
            </w:r>
          </w:p>
          <w:p w:rsidR="00BC17D5" w:rsidRPr="00277655" w:rsidRDefault="00BC17D5" w:rsidP="007A30A4">
            <w:pPr>
              <w:tabs>
                <w:tab w:val="left" w:pos="1418"/>
              </w:tabs>
              <w:spacing w:before="20" w:after="20"/>
              <w:jc w:val="center"/>
            </w:pPr>
            <w:r>
              <w:t>17 (1.3)</w:t>
            </w:r>
          </w:p>
        </w:tc>
      </w:tr>
      <w:tr w:rsidR="00AB402A" w:rsidTr="00876CEF">
        <w:tblPrEx>
          <w:tblCellMar>
            <w:top w:w="0" w:type="dxa"/>
            <w:bottom w:w="0" w:type="dxa"/>
          </w:tblCellMar>
        </w:tblPrEx>
        <w:tc>
          <w:tcPr>
            <w:tcW w:w="5245" w:type="dxa"/>
          </w:tcPr>
          <w:p w:rsidR="00AB402A" w:rsidRPr="00277655" w:rsidRDefault="00277655" w:rsidP="007A30A4">
            <w:pPr>
              <w:tabs>
                <w:tab w:val="left" w:pos="1418"/>
              </w:tabs>
              <w:spacing w:before="20" w:after="20"/>
              <w:jc w:val="left"/>
            </w:pPr>
            <w:r w:rsidRPr="00277655">
              <w:t>General disorders and administrat</w:t>
            </w:r>
            <w:r w:rsidR="00876CEF">
              <w:t>io</w:t>
            </w:r>
            <w:r w:rsidRPr="00277655">
              <w:t>n</w:t>
            </w:r>
            <w:r>
              <w:t xml:space="preserve"> </w:t>
            </w:r>
            <w:r w:rsidRPr="00277655">
              <w:t>site conditions</w:t>
            </w:r>
          </w:p>
          <w:p w:rsidR="00277655" w:rsidRPr="00277655" w:rsidRDefault="00AB402A" w:rsidP="00277655">
            <w:pPr>
              <w:pStyle w:val="Header"/>
              <w:tabs>
                <w:tab w:val="clear" w:pos="4153"/>
                <w:tab w:val="clear" w:pos="8306"/>
                <w:tab w:val="left" w:pos="1418"/>
              </w:tabs>
              <w:spacing w:before="20" w:after="20"/>
              <w:jc w:val="left"/>
            </w:pPr>
            <w:r w:rsidRPr="00277655">
              <w:t xml:space="preserve">  </w:t>
            </w:r>
            <w:r w:rsidR="00277655" w:rsidRPr="00277655">
              <w:t>Chest pain</w:t>
            </w:r>
          </w:p>
          <w:p w:rsidR="00AB402A" w:rsidRPr="00277655" w:rsidRDefault="00277655" w:rsidP="00277655">
            <w:pPr>
              <w:pStyle w:val="Header"/>
              <w:tabs>
                <w:tab w:val="clear" w:pos="4153"/>
                <w:tab w:val="clear" w:pos="8306"/>
                <w:tab w:val="left" w:pos="1418"/>
              </w:tabs>
              <w:spacing w:before="20" w:after="20"/>
              <w:jc w:val="left"/>
            </w:pPr>
            <w:r w:rsidRPr="00277655">
              <w:t xml:space="preserve">  Death</w:t>
            </w:r>
          </w:p>
        </w:tc>
        <w:tc>
          <w:tcPr>
            <w:tcW w:w="1984" w:type="dxa"/>
          </w:tcPr>
          <w:p w:rsidR="00AB402A" w:rsidRDefault="00876CEF" w:rsidP="007A30A4">
            <w:pPr>
              <w:tabs>
                <w:tab w:val="left" w:pos="1418"/>
              </w:tabs>
              <w:spacing w:before="20" w:after="20"/>
              <w:jc w:val="center"/>
            </w:pPr>
            <w:r>
              <w:t>119 (8.7)</w:t>
            </w:r>
          </w:p>
          <w:p w:rsidR="00876CEF" w:rsidRDefault="00876CEF" w:rsidP="007A30A4">
            <w:pPr>
              <w:tabs>
                <w:tab w:val="left" w:pos="1418"/>
              </w:tabs>
              <w:spacing w:before="20" w:after="20"/>
              <w:jc w:val="center"/>
            </w:pPr>
            <w:r>
              <w:t>28 (2.0)</w:t>
            </w:r>
          </w:p>
          <w:p w:rsidR="00876CEF" w:rsidRPr="00277655" w:rsidRDefault="00BC17D5" w:rsidP="007A30A4">
            <w:pPr>
              <w:tabs>
                <w:tab w:val="left" w:pos="1418"/>
              </w:tabs>
              <w:spacing w:before="20" w:after="20"/>
              <w:jc w:val="center"/>
            </w:pPr>
            <w:r>
              <w:t>34</w:t>
            </w:r>
            <w:r w:rsidR="00876CEF">
              <w:t xml:space="preserve"> (2.5)</w:t>
            </w:r>
          </w:p>
        </w:tc>
        <w:tc>
          <w:tcPr>
            <w:tcW w:w="2410" w:type="dxa"/>
          </w:tcPr>
          <w:p w:rsidR="00AB402A" w:rsidRDefault="00BC17D5" w:rsidP="007A30A4">
            <w:pPr>
              <w:tabs>
                <w:tab w:val="left" w:pos="1418"/>
              </w:tabs>
              <w:spacing w:before="20" w:after="20"/>
              <w:jc w:val="center"/>
            </w:pPr>
            <w:r>
              <w:t>82 (6.0)</w:t>
            </w:r>
          </w:p>
          <w:p w:rsidR="00BC17D5" w:rsidRDefault="00BC17D5" w:rsidP="007A30A4">
            <w:pPr>
              <w:tabs>
                <w:tab w:val="left" w:pos="1418"/>
              </w:tabs>
              <w:spacing w:before="20" w:after="20"/>
              <w:jc w:val="center"/>
            </w:pPr>
            <w:r>
              <w:t>21 (1.5)</w:t>
            </w:r>
          </w:p>
          <w:p w:rsidR="00BC17D5" w:rsidRPr="00277655" w:rsidRDefault="00BC17D5" w:rsidP="007A30A4">
            <w:pPr>
              <w:tabs>
                <w:tab w:val="left" w:pos="1418"/>
              </w:tabs>
              <w:spacing w:before="20" w:after="20"/>
              <w:jc w:val="center"/>
            </w:pPr>
            <w:r>
              <w:t>26 (1.9)</w:t>
            </w:r>
          </w:p>
        </w:tc>
      </w:tr>
      <w:tr w:rsidR="00AB402A" w:rsidTr="00876CEF">
        <w:tblPrEx>
          <w:tblCellMar>
            <w:top w:w="0" w:type="dxa"/>
            <w:bottom w:w="0" w:type="dxa"/>
          </w:tblCellMar>
        </w:tblPrEx>
        <w:tc>
          <w:tcPr>
            <w:tcW w:w="5245" w:type="dxa"/>
          </w:tcPr>
          <w:p w:rsidR="00AB402A" w:rsidRDefault="00277655" w:rsidP="007A30A4">
            <w:pPr>
              <w:tabs>
                <w:tab w:val="left" w:pos="1418"/>
              </w:tabs>
              <w:spacing w:before="20" w:after="20"/>
            </w:pPr>
            <w:r>
              <w:t>Infections and infestation</w:t>
            </w:r>
            <w:r w:rsidR="00876CEF">
              <w:t>s</w:t>
            </w:r>
          </w:p>
          <w:p w:rsidR="00277655" w:rsidRDefault="00AB402A" w:rsidP="00277655">
            <w:pPr>
              <w:tabs>
                <w:tab w:val="left" w:pos="1418"/>
              </w:tabs>
              <w:spacing w:before="20" w:after="20"/>
              <w:jc w:val="left"/>
            </w:pPr>
            <w:r>
              <w:t xml:space="preserve">  </w:t>
            </w:r>
            <w:r w:rsidR="00277655">
              <w:t>Pneumonia</w:t>
            </w:r>
          </w:p>
        </w:tc>
        <w:tc>
          <w:tcPr>
            <w:tcW w:w="1984" w:type="dxa"/>
          </w:tcPr>
          <w:p w:rsidR="00AB402A" w:rsidRDefault="00876CEF" w:rsidP="007A30A4">
            <w:pPr>
              <w:tabs>
                <w:tab w:val="left" w:pos="1418"/>
              </w:tabs>
              <w:spacing w:before="20" w:after="20"/>
              <w:jc w:val="center"/>
            </w:pPr>
            <w:r>
              <w:t>105 (7.7)</w:t>
            </w:r>
          </w:p>
          <w:p w:rsidR="00876CEF" w:rsidRDefault="00876CEF" w:rsidP="007A30A4">
            <w:pPr>
              <w:tabs>
                <w:tab w:val="left" w:pos="1418"/>
              </w:tabs>
              <w:spacing w:before="20" w:after="20"/>
              <w:jc w:val="center"/>
            </w:pPr>
            <w:r>
              <w:t>29 (2.1)</w:t>
            </w:r>
          </w:p>
        </w:tc>
        <w:tc>
          <w:tcPr>
            <w:tcW w:w="2410" w:type="dxa"/>
          </w:tcPr>
          <w:p w:rsidR="00AB402A" w:rsidRDefault="00BC17D5" w:rsidP="007A30A4">
            <w:pPr>
              <w:tabs>
                <w:tab w:val="left" w:pos="1418"/>
              </w:tabs>
              <w:spacing w:before="20" w:after="20"/>
              <w:jc w:val="center"/>
            </w:pPr>
            <w:r>
              <w:t>79 (5.8)</w:t>
            </w:r>
          </w:p>
          <w:p w:rsidR="00BC17D5" w:rsidRDefault="00BC17D5" w:rsidP="007A30A4">
            <w:pPr>
              <w:tabs>
                <w:tab w:val="left" w:pos="1418"/>
              </w:tabs>
              <w:spacing w:before="20" w:after="20"/>
              <w:jc w:val="center"/>
            </w:pPr>
            <w:r>
              <w:t>22 (1.6)</w:t>
            </w:r>
          </w:p>
        </w:tc>
      </w:tr>
      <w:tr w:rsidR="00AB402A" w:rsidTr="00876CEF">
        <w:tblPrEx>
          <w:tblCellMar>
            <w:top w:w="0" w:type="dxa"/>
            <w:bottom w:w="0" w:type="dxa"/>
          </w:tblCellMar>
        </w:tblPrEx>
        <w:tc>
          <w:tcPr>
            <w:tcW w:w="5245" w:type="dxa"/>
          </w:tcPr>
          <w:p w:rsidR="00AB402A" w:rsidRDefault="00277655" w:rsidP="007A30A4">
            <w:pPr>
              <w:tabs>
                <w:tab w:val="left" w:pos="1418"/>
              </w:tabs>
              <w:spacing w:before="20" w:after="20"/>
            </w:pPr>
            <w:r>
              <w:t>Respiratory, thoracic and mediastinal disorders</w:t>
            </w:r>
          </w:p>
          <w:p w:rsidR="00AB402A" w:rsidRDefault="00AB402A" w:rsidP="00277655">
            <w:pPr>
              <w:tabs>
                <w:tab w:val="left" w:pos="1418"/>
              </w:tabs>
              <w:spacing w:before="20" w:after="20"/>
            </w:pPr>
            <w:r>
              <w:t xml:space="preserve">  </w:t>
            </w:r>
            <w:r w:rsidR="00277655">
              <w:t>Dyspnoea</w:t>
            </w:r>
          </w:p>
        </w:tc>
        <w:tc>
          <w:tcPr>
            <w:tcW w:w="1984" w:type="dxa"/>
          </w:tcPr>
          <w:p w:rsidR="00AB402A" w:rsidRDefault="00876CEF" w:rsidP="007A30A4">
            <w:pPr>
              <w:tabs>
                <w:tab w:val="left" w:pos="1418"/>
              </w:tabs>
              <w:spacing w:before="20" w:after="20"/>
              <w:jc w:val="center"/>
            </w:pPr>
            <w:r>
              <w:t>77 (5.6)</w:t>
            </w:r>
          </w:p>
          <w:p w:rsidR="00876CEF" w:rsidRDefault="00876CEF" w:rsidP="00876CEF">
            <w:pPr>
              <w:tabs>
                <w:tab w:val="left" w:pos="1418"/>
              </w:tabs>
              <w:spacing w:before="20" w:after="20"/>
              <w:jc w:val="center"/>
            </w:pPr>
            <w:r>
              <w:t>28 (2.0)</w:t>
            </w:r>
          </w:p>
        </w:tc>
        <w:tc>
          <w:tcPr>
            <w:tcW w:w="2410" w:type="dxa"/>
          </w:tcPr>
          <w:p w:rsidR="00AB402A" w:rsidRDefault="00BC17D5" w:rsidP="007A30A4">
            <w:pPr>
              <w:tabs>
                <w:tab w:val="left" w:pos="1418"/>
              </w:tabs>
              <w:spacing w:before="20" w:after="20"/>
              <w:jc w:val="center"/>
            </w:pPr>
            <w:r>
              <w:t>57 (4.2)</w:t>
            </w:r>
          </w:p>
          <w:p w:rsidR="00BC17D5" w:rsidRDefault="00BC17D5" w:rsidP="007A30A4">
            <w:pPr>
              <w:tabs>
                <w:tab w:val="left" w:pos="1418"/>
              </w:tabs>
              <w:spacing w:before="20" w:after="20"/>
              <w:jc w:val="center"/>
            </w:pPr>
            <w:r>
              <w:t>14 (1.0)</w:t>
            </w:r>
          </w:p>
        </w:tc>
      </w:tr>
    </w:tbl>
    <w:p w:rsidR="00AB402A" w:rsidRDefault="00AB402A" w:rsidP="00284709">
      <w:pPr>
        <w:rPr>
          <w:highlight w:val="yellow"/>
        </w:rPr>
      </w:pPr>
    </w:p>
    <w:p w:rsidR="00652E30" w:rsidRDefault="00652E30" w:rsidP="00284709">
      <w:r w:rsidRPr="00A92440">
        <w:t>A total of 3,353 patients</w:t>
      </w:r>
      <w:r>
        <w:t xml:space="preserve"> have been treated with </w:t>
      </w:r>
      <w:r w:rsidR="00527983">
        <w:t>INSPRA</w:t>
      </w:r>
      <w:r>
        <w:t xml:space="preserve"> in clinical studies of hypertension. </w:t>
      </w:r>
      <w:r w:rsidR="006E581A">
        <w:t xml:space="preserve"> </w:t>
      </w:r>
      <w:r>
        <w:t xml:space="preserve">The overall rates of adverse events in placebo-controlled studies were similar between </w:t>
      </w:r>
      <w:r w:rsidR="00527983">
        <w:t>INSPRA</w:t>
      </w:r>
      <w:r>
        <w:t xml:space="preserve"> (49%) and placebo (48%). </w:t>
      </w:r>
      <w:r w:rsidR="006E581A">
        <w:t xml:space="preserve"> </w:t>
      </w:r>
      <w:r>
        <w:t xml:space="preserve">Adverse events with suspected relationship to treatment and in excess of placebo from the monotherapy arms of five placebo-controlled studies for patients who received </w:t>
      </w:r>
      <w:r w:rsidR="00527983">
        <w:t>INSPRA</w:t>
      </w:r>
      <w:r>
        <w:t xml:space="preserve"> 25 to 400mg are listed below by absolute frequency. </w:t>
      </w:r>
      <w:r w:rsidR="006E581A">
        <w:t xml:space="preserve"> </w:t>
      </w:r>
      <w:r>
        <w:rPr>
          <w:rStyle w:val="empitalic"/>
          <w:i w:val="0"/>
          <w:lang w:val="en-GB"/>
        </w:rPr>
        <w:t xml:space="preserve">Frequencies are defined as common (&gt;1% to </w:t>
      </w:r>
      <w:r>
        <w:rPr>
          <w:rStyle w:val="empitalic"/>
          <w:i w:val="0"/>
          <w:lang w:val="en-GB"/>
        </w:rPr>
        <w:sym w:font="Symbol" w:char="F0A3"/>
      </w:r>
      <w:r>
        <w:rPr>
          <w:rStyle w:val="empitalic"/>
          <w:i w:val="0"/>
          <w:lang w:val="en-GB"/>
        </w:rPr>
        <w:t xml:space="preserve">10%) or uncommon (&gt;0.1% to </w:t>
      </w:r>
      <w:r>
        <w:rPr>
          <w:rStyle w:val="empitalic"/>
          <w:i w:val="0"/>
          <w:lang w:val="en-GB"/>
        </w:rPr>
        <w:sym w:font="Symbol" w:char="F0A3"/>
      </w:r>
      <w:r>
        <w:rPr>
          <w:rStyle w:val="empitalic"/>
          <w:i w:val="0"/>
          <w:lang w:val="en-GB"/>
        </w:rPr>
        <w:t>1%).</w:t>
      </w:r>
    </w:p>
    <w:p w:rsidR="00652E30" w:rsidRDefault="00652E30" w:rsidP="00284709">
      <w:r>
        <w:t>Common:</w:t>
      </w:r>
      <w:r>
        <w:tab/>
        <w:t>ALT increased, GGT increased</w:t>
      </w:r>
    </w:p>
    <w:p w:rsidR="00652E30" w:rsidRDefault="00652E30" w:rsidP="00284709">
      <w:pPr>
        <w:ind w:left="1418" w:hanging="1418"/>
      </w:pPr>
      <w:r>
        <w:t>Uncommon:</w:t>
      </w:r>
      <w:r>
        <w:tab/>
        <w:t>Anaemia, angina pectoris, arthralgia, AST increased, bilirubinaemia, coughing, creatine phosphokinase increased, dyspepsia, dyspnoea, ECG abnormal, flushing, gastroesophageal reflux, h</w:t>
      </w:r>
      <w:r w:rsidR="00A96D87">
        <w:t>a</w:t>
      </w:r>
      <w:r>
        <w:t>ematuria, hyperuricaemia, libido decreased, menstrual disorder, myalgia, prothrombin decreased, tinnitus, urine abnormal, URT infection.</w:t>
      </w:r>
    </w:p>
    <w:p w:rsidR="008A6141" w:rsidRPr="008A6141" w:rsidRDefault="008A6141" w:rsidP="00284709">
      <w:pPr>
        <w:pStyle w:val="Heading3"/>
      </w:pPr>
      <w:r w:rsidRPr="008A6141">
        <w:t xml:space="preserve">Post-marketing </w:t>
      </w:r>
      <w:r w:rsidR="004B3596">
        <w:t>E</w:t>
      </w:r>
      <w:r w:rsidRPr="008A6141">
        <w:t>xperience</w:t>
      </w:r>
    </w:p>
    <w:p w:rsidR="008A6141" w:rsidRDefault="008A6141" w:rsidP="00284709">
      <w:r>
        <w:t>In post-marketing experience, the following additional undesirable effects have been reported:</w:t>
      </w:r>
    </w:p>
    <w:p w:rsidR="006308C3" w:rsidRDefault="008A6141" w:rsidP="006308C3">
      <w:pPr>
        <w:pStyle w:val="Heading4"/>
      </w:pPr>
      <w:r w:rsidRPr="008A6141">
        <w:t xml:space="preserve">Skin and </w:t>
      </w:r>
      <w:r w:rsidR="006308C3">
        <w:t>S</w:t>
      </w:r>
      <w:r w:rsidRPr="008A6141">
        <w:t>ubcutaneous</w:t>
      </w:r>
      <w:r w:rsidR="006308C3">
        <w:t xml:space="preserve"> T</w:t>
      </w:r>
      <w:r w:rsidRPr="008A6141">
        <w:t xml:space="preserve">issues </w:t>
      </w:r>
      <w:r w:rsidR="006308C3">
        <w:t>D</w:t>
      </w:r>
      <w:r w:rsidRPr="008A6141">
        <w:t>isorders</w:t>
      </w:r>
    </w:p>
    <w:p w:rsidR="008A6141" w:rsidRDefault="00BA2CC3" w:rsidP="002D5601">
      <w:r>
        <w:t xml:space="preserve">Angioedema, </w:t>
      </w:r>
      <w:r w:rsidR="008A6141">
        <w:t>rash.</w:t>
      </w:r>
    </w:p>
    <w:p w:rsidR="00652E30" w:rsidRDefault="00652E30" w:rsidP="006308C3">
      <w:pPr>
        <w:pStyle w:val="Heading3"/>
      </w:pPr>
      <w:r>
        <w:t xml:space="preserve">Clinical </w:t>
      </w:r>
      <w:r w:rsidR="004B3596">
        <w:t>L</w:t>
      </w:r>
      <w:r>
        <w:t xml:space="preserve">aboratory </w:t>
      </w:r>
      <w:r w:rsidR="004B3596">
        <w:t>T</w:t>
      </w:r>
      <w:r>
        <w:t xml:space="preserve">est </w:t>
      </w:r>
      <w:r w:rsidR="004B3596">
        <w:t>F</w:t>
      </w:r>
      <w:r>
        <w:t>indings</w:t>
      </w:r>
    </w:p>
    <w:p w:rsidR="006308C3" w:rsidRDefault="00652E30" w:rsidP="006308C3">
      <w:pPr>
        <w:pStyle w:val="Heading4"/>
      </w:pPr>
      <w:r>
        <w:t>Creatinine</w:t>
      </w:r>
    </w:p>
    <w:p w:rsidR="00652E30" w:rsidRDefault="00652E30" w:rsidP="006308C3">
      <w:r>
        <w:t>Increases of more than 44.2</w:t>
      </w:r>
      <w:r w:rsidR="00A96D87">
        <w:t xml:space="preserve"> </w:t>
      </w:r>
      <w:r>
        <w:rPr>
          <w:rFonts w:ascii="Symbol" w:hAnsi="Symbol"/>
        </w:rPr>
        <w:t></w:t>
      </w:r>
      <w:r>
        <w:t xml:space="preserve">mol/d were reported for 6.5% of patients administered </w:t>
      </w:r>
      <w:r w:rsidR="00527983">
        <w:t>INSPRA</w:t>
      </w:r>
      <w:r>
        <w:t xml:space="preserve"> and for 4.9% of placebo-treated patients.</w:t>
      </w:r>
    </w:p>
    <w:p w:rsidR="006308C3" w:rsidRDefault="00652E30" w:rsidP="006308C3">
      <w:pPr>
        <w:pStyle w:val="Heading4"/>
      </w:pPr>
      <w:r>
        <w:lastRenderedPageBreak/>
        <w:t>Potassium</w:t>
      </w:r>
    </w:p>
    <w:p w:rsidR="006308C3" w:rsidRDefault="00652E30" w:rsidP="006308C3">
      <w:r>
        <w:t xml:space="preserve">In EPHESUS, the frequency of patients with changes in potassium (&lt;3.5mmol/L or &gt;5.5mmol/L or ≥6.0mmol/L) receiving </w:t>
      </w:r>
      <w:r w:rsidR="00527983">
        <w:t>INSPRA</w:t>
      </w:r>
      <w:r>
        <w:t xml:space="preserve"> compared with placebo are displayed in</w:t>
      </w:r>
      <w:r w:rsidR="002A3B22">
        <w:t xml:space="preserve"> Table 8</w:t>
      </w:r>
      <w:r>
        <w:t>.</w:t>
      </w:r>
    </w:p>
    <w:p w:rsidR="00652E30" w:rsidRPr="00911346" w:rsidRDefault="00911346" w:rsidP="00911346">
      <w:pPr>
        <w:pStyle w:val="Caption"/>
      </w:pPr>
      <w:bookmarkStart w:id="2" w:name="_Ref309295346"/>
      <w:r w:rsidRPr="00911346">
        <w:t xml:space="preserve">Table </w:t>
      </w:r>
      <w:fldSimple w:instr=" SEQ Table \* ARABIC ">
        <w:r w:rsidR="006B0D1E">
          <w:rPr>
            <w:noProof/>
          </w:rPr>
          <w:t>8</w:t>
        </w:r>
      </w:fldSimple>
      <w:bookmarkEnd w:id="2"/>
      <w:r w:rsidRPr="00911346">
        <w:t xml:space="preserve">: </w:t>
      </w:r>
      <w:r w:rsidR="00652E30" w:rsidRPr="00911346">
        <w:t xml:space="preserve">Hypokalaemia (&lt;3.5mmol/L) or hyperkalaemia (&gt;5.5mmol/L or ≥6.0mmol/L) in </w:t>
      </w:r>
      <w:smartTag w:uri="urn:schemas-microsoft-com:office:smarttags" w:element="City">
        <w:smartTag w:uri="urn:schemas-microsoft-com:office:smarttags" w:element="place">
          <w:r w:rsidR="00652E30" w:rsidRPr="00911346">
            <w:t>EPHESUS</w:t>
          </w:r>
        </w:smartTag>
      </w:smartTag>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5"/>
        <w:gridCol w:w="2463"/>
        <w:gridCol w:w="2464"/>
      </w:tblGrid>
      <w:tr w:rsidR="00652E30">
        <w:tblPrEx>
          <w:tblCellMar>
            <w:top w:w="0" w:type="dxa"/>
            <w:bottom w:w="0" w:type="dxa"/>
          </w:tblCellMar>
        </w:tblPrEx>
        <w:trPr>
          <w:cantSplit/>
        </w:trPr>
        <w:tc>
          <w:tcPr>
            <w:tcW w:w="2355" w:type="dxa"/>
            <w:vMerge w:val="restart"/>
          </w:tcPr>
          <w:p w:rsidR="00652E30" w:rsidRDefault="00652E30">
            <w:pPr>
              <w:spacing w:before="60" w:after="60"/>
              <w:rPr>
                <w:b/>
                <w:bCs/>
                <w:sz w:val="22"/>
              </w:rPr>
            </w:pPr>
            <w:r>
              <w:rPr>
                <w:b/>
                <w:bCs/>
                <w:sz w:val="22"/>
              </w:rPr>
              <w:t>Potassium (mmol/L)</w:t>
            </w:r>
          </w:p>
        </w:tc>
        <w:tc>
          <w:tcPr>
            <w:tcW w:w="4927" w:type="dxa"/>
            <w:gridSpan w:val="2"/>
          </w:tcPr>
          <w:p w:rsidR="00652E30" w:rsidRDefault="00652E30">
            <w:pPr>
              <w:spacing w:before="60" w:after="60"/>
              <w:jc w:val="center"/>
              <w:rPr>
                <w:b/>
                <w:bCs/>
                <w:sz w:val="22"/>
              </w:rPr>
            </w:pPr>
            <w:r>
              <w:rPr>
                <w:b/>
                <w:bCs/>
                <w:sz w:val="22"/>
              </w:rPr>
              <w:t>Number of patients (%)</w:t>
            </w:r>
          </w:p>
        </w:tc>
      </w:tr>
      <w:tr w:rsidR="00652E30">
        <w:tblPrEx>
          <w:tblCellMar>
            <w:top w:w="0" w:type="dxa"/>
            <w:bottom w:w="0" w:type="dxa"/>
          </w:tblCellMar>
        </w:tblPrEx>
        <w:trPr>
          <w:cantSplit/>
        </w:trPr>
        <w:tc>
          <w:tcPr>
            <w:tcW w:w="2355" w:type="dxa"/>
            <w:vMerge/>
          </w:tcPr>
          <w:p w:rsidR="00652E30" w:rsidRDefault="00652E30">
            <w:pPr>
              <w:spacing w:before="60" w:after="60"/>
              <w:rPr>
                <w:b/>
                <w:bCs/>
                <w:sz w:val="22"/>
              </w:rPr>
            </w:pPr>
          </w:p>
        </w:tc>
        <w:tc>
          <w:tcPr>
            <w:tcW w:w="2463" w:type="dxa"/>
          </w:tcPr>
          <w:p w:rsidR="00652E30" w:rsidRDefault="00652E30">
            <w:pPr>
              <w:spacing w:before="60" w:after="60"/>
              <w:jc w:val="center"/>
              <w:rPr>
                <w:b/>
                <w:bCs/>
                <w:sz w:val="22"/>
              </w:rPr>
            </w:pPr>
            <w:r>
              <w:rPr>
                <w:b/>
                <w:bCs/>
                <w:sz w:val="22"/>
              </w:rPr>
              <w:t>INSPRA</w:t>
            </w:r>
            <w:r>
              <w:rPr>
                <w:b/>
                <w:bCs/>
                <w:sz w:val="22"/>
              </w:rPr>
              <w:br/>
              <w:t>(n=3,251)</w:t>
            </w:r>
          </w:p>
        </w:tc>
        <w:tc>
          <w:tcPr>
            <w:tcW w:w="2464" w:type="dxa"/>
          </w:tcPr>
          <w:p w:rsidR="00652E30" w:rsidRDefault="00652E30">
            <w:pPr>
              <w:spacing w:before="60" w:after="60"/>
              <w:jc w:val="center"/>
              <w:rPr>
                <w:b/>
                <w:bCs/>
                <w:sz w:val="22"/>
              </w:rPr>
            </w:pPr>
            <w:r>
              <w:rPr>
                <w:b/>
                <w:bCs/>
                <w:sz w:val="22"/>
              </w:rPr>
              <w:t>Placebo</w:t>
            </w:r>
            <w:r>
              <w:rPr>
                <w:b/>
                <w:bCs/>
                <w:sz w:val="22"/>
              </w:rPr>
              <w:br/>
              <w:t>(n=3,237)</w:t>
            </w:r>
          </w:p>
        </w:tc>
      </w:tr>
      <w:tr w:rsidR="00652E30">
        <w:tblPrEx>
          <w:tblCellMar>
            <w:top w:w="0" w:type="dxa"/>
            <w:bottom w:w="0" w:type="dxa"/>
          </w:tblCellMar>
        </w:tblPrEx>
        <w:tc>
          <w:tcPr>
            <w:tcW w:w="2355" w:type="dxa"/>
          </w:tcPr>
          <w:p w:rsidR="00652E30" w:rsidRDefault="00652E30">
            <w:pPr>
              <w:spacing w:before="60" w:after="60"/>
              <w:rPr>
                <w:b/>
                <w:bCs/>
                <w:sz w:val="22"/>
              </w:rPr>
            </w:pPr>
            <w:r>
              <w:rPr>
                <w:b/>
                <w:bCs/>
                <w:sz w:val="22"/>
              </w:rPr>
              <w:t>&lt;3.5</w:t>
            </w:r>
          </w:p>
        </w:tc>
        <w:tc>
          <w:tcPr>
            <w:tcW w:w="2463" w:type="dxa"/>
          </w:tcPr>
          <w:p w:rsidR="00652E30" w:rsidRDefault="00652E30">
            <w:pPr>
              <w:pStyle w:val="NormalWeb"/>
              <w:spacing w:before="60" w:beforeAutospacing="0" w:after="60" w:afterAutospacing="0"/>
              <w:jc w:val="center"/>
              <w:rPr>
                <w:rFonts w:ascii="Times New Roman" w:eastAsia="Times New Roman" w:hAnsi="Times New Roman" w:cs="Times New Roman"/>
                <w:sz w:val="22"/>
                <w:szCs w:val="20"/>
              </w:rPr>
            </w:pPr>
            <w:r>
              <w:rPr>
                <w:rFonts w:ascii="Times New Roman" w:eastAsia="Times New Roman" w:hAnsi="Times New Roman" w:cs="Times New Roman"/>
                <w:sz w:val="22"/>
                <w:szCs w:val="20"/>
              </w:rPr>
              <w:t>273 (8.4)</w:t>
            </w:r>
          </w:p>
        </w:tc>
        <w:tc>
          <w:tcPr>
            <w:tcW w:w="2464" w:type="dxa"/>
          </w:tcPr>
          <w:p w:rsidR="00652E30" w:rsidRDefault="00652E30">
            <w:pPr>
              <w:spacing w:before="60" w:after="60"/>
              <w:jc w:val="center"/>
              <w:rPr>
                <w:sz w:val="22"/>
              </w:rPr>
            </w:pPr>
            <w:r>
              <w:rPr>
                <w:sz w:val="22"/>
              </w:rPr>
              <w:t>424 (13.1)</w:t>
            </w:r>
          </w:p>
        </w:tc>
      </w:tr>
      <w:tr w:rsidR="00652E30">
        <w:tblPrEx>
          <w:tblCellMar>
            <w:top w:w="0" w:type="dxa"/>
            <w:bottom w:w="0" w:type="dxa"/>
          </w:tblCellMar>
        </w:tblPrEx>
        <w:tc>
          <w:tcPr>
            <w:tcW w:w="2355" w:type="dxa"/>
          </w:tcPr>
          <w:p w:rsidR="00652E30" w:rsidRDefault="00652E30">
            <w:pPr>
              <w:spacing w:before="60" w:after="60"/>
              <w:rPr>
                <w:b/>
                <w:bCs/>
                <w:sz w:val="22"/>
              </w:rPr>
            </w:pPr>
            <w:r>
              <w:rPr>
                <w:b/>
                <w:bCs/>
                <w:sz w:val="22"/>
              </w:rPr>
              <w:t>&gt;5.5</w:t>
            </w:r>
          </w:p>
        </w:tc>
        <w:tc>
          <w:tcPr>
            <w:tcW w:w="2463" w:type="dxa"/>
          </w:tcPr>
          <w:p w:rsidR="00652E30" w:rsidRDefault="00652E30">
            <w:pPr>
              <w:spacing w:before="60" w:after="60"/>
              <w:jc w:val="center"/>
              <w:rPr>
                <w:sz w:val="22"/>
              </w:rPr>
            </w:pPr>
            <w:r>
              <w:rPr>
                <w:sz w:val="22"/>
              </w:rPr>
              <w:t>508 (15.6)</w:t>
            </w:r>
          </w:p>
        </w:tc>
        <w:tc>
          <w:tcPr>
            <w:tcW w:w="2464" w:type="dxa"/>
          </w:tcPr>
          <w:p w:rsidR="00652E30" w:rsidRDefault="00652E30">
            <w:pPr>
              <w:spacing w:before="60" w:after="60"/>
              <w:jc w:val="center"/>
              <w:rPr>
                <w:sz w:val="22"/>
              </w:rPr>
            </w:pPr>
            <w:r>
              <w:rPr>
                <w:sz w:val="22"/>
              </w:rPr>
              <w:t>363 (11.2)</w:t>
            </w:r>
          </w:p>
        </w:tc>
      </w:tr>
      <w:tr w:rsidR="00652E30">
        <w:tblPrEx>
          <w:tblCellMar>
            <w:top w:w="0" w:type="dxa"/>
            <w:bottom w:w="0" w:type="dxa"/>
          </w:tblCellMar>
        </w:tblPrEx>
        <w:tc>
          <w:tcPr>
            <w:tcW w:w="2355" w:type="dxa"/>
          </w:tcPr>
          <w:p w:rsidR="00652E30" w:rsidRDefault="00652E30">
            <w:pPr>
              <w:spacing w:before="60" w:after="60"/>
              <w:rPr>
                <w:b/>
                <w:bCs/>
                <w:sz w:val="22"/>
              </w:rPr>
            </w:pPr>
            <w:r>
              <w:rPr>
                <w:b/>
                <w:bCs/>
                <w:sz w:val="22"/>
              </w:rPr>
              <w:t>≥6.0</w:t>
            </w:r>
          </w:p>
        </w:tc>
        <w:tc>
          <w:tcPr>
            <w:tcW w:w="2463" w:type="dxa"/>
          </w:tcPr>
          <w:p w:rsidR="00652E30" w:rsidRDefault="00652E30">
            <w:pPr>
              <w:spacing w:before="60" w:after="60"/>
              <w:jc w:val="center"/>
              <w:rPr>
                <w:sz w:val="22"/>
              </w:rPr>
            </w:pPr>
            <w:r>
              <w:rPr>
                <w:sz w:val="22"/>
              </w:rPr>
              <w:t>180 (5.5)</w:t>
            </w:r>
          </w:p>
        </w:tc>
        <w:tc>
          <w:tcPr>
            <w:tcW w:w="2464" w:type="dxa"/>
          </w:tcPr>
          <w:p w:rsidR="00652E30" w:rsidRDefault="00652E30">
            <w:pPr>
              <w:spacing w:before="60" w:after="60"/>
              <w:jc w:val="center"/>
              <w:rPr>
                <w:sz w:val="22"/>
              </w:rPr>
            </w:pPr>
            <w:r>
              <w:rPr>
                <w:sz w:val="22"/>
              </w:rPr>
              <w:t>126 (3.9)</w:t>
            </w:r>
          </w:p>
        </w:tc>
      </w:tr>
    </w:tbl>
    <w:p w:rsidR="006308C3" w:rsidRDefault="006308C3" w:rsidP="006308C3"/>
    <w:p w:rsidR="00652E30" w:rsidRDefault="00942A1B" w:rsidP="006308C3">
      <w:r>
        <w:t xml:space="preserve">Table 9 </w:t>
      </w:r>
      <w:r w:rsidR="00652E30">
        <w:t>shows the rates of hyperkalaemia in EPHESUS as assessed by baseline renal function (creatinine clearance).</w:t>
      </w:r>
    </w:p>
    <w:p w:rsidR="00652E30" w:rsidRPr="00911346" w:rsidRDefault="00911346" w:rsidP="00911346">
      <w:pPr>
        <w:pStyle w:val="Caption"/>
      </w:pPr>
      <w:bookmarkStart w:id="3" w:name="_Ref309295392"/>
      <w:r w:rsidRPr="00911346">
        <w:t xml:space="preserve">Table </w:t>
      </w:r>
      <w:fldSimple w:instr=" SEQ Table \* ARABIC ">
        <w:r w:rsidR="006B0D1E">
          <w:rPr>
            <w:noProof/>
          </w:rPr>
          <w:t>9</w:t>
        </w:r>
      </w:fldSimple>
      <w:bookmarkEnd w:id="3"/>
      <w:r w:rsidRPr="00911346">
        <w:t xml:space="preserve">: </w:t>
      </w:r>
      <w:r w:rsidR="00652E30" w:rsidRPr="00911346">
        <w:t>Rates of hyperkalaemia (&gt;5.5mmol/L) in EPHESUS by baseline creatinine clearance*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98"/>
        <w:gridCol w:w="1642"/>
        <w:gridCol w:w="1642"/>
      </w:tblGrid>
      <w:tr w:rsidR="00652E30" w:rsidTr="006308C3">
        <w:tblPrEx>
          <w:tblCellMar>
            <w:top w:w="0" w:type="dxa"/>
            <w:bottom w:w="0" w:type="dxa"/>
          </w:tblCellMar>
        </w:tblPrEx>
        <w:trPr>
          <w:tblHeader/>
        </w:trPr>
        <w:tc>
          <w:tcPr>
            <w:tcW w:w="3998" w:type="dxa"/>
          </w:tcPr>
          <w:p w:rsidR="00652E30" w:rsidRDefault="00652E30">
            <w:pPr>
              <w:spacing w:before="60" w:after="60"/>
              <w:rPr>
                <w:b/>
                <w:bCs/>
                <w:sz w:val="22"/>
              </w:rPr>
            </w:pPr>
            <w:r>
              <w:rPr>
                <w:b/>
                <w:bCs/>
                <w:sz w:val="22"/>
              </w:rPr>
              <w:t>Baseline creatine clearance (mL/min)</w:t>
            </w:r>
          </w:p>
        </w:tc>
        <w:tc>
          <w:tcPr>
            <w:tcW w:w="1642" w:type="dxa"/>
          </w:tcPr>
          <w:p w:rsidR="00652E30" w:rsidRDefault="00527983">
            <w:pPr>
              <w:pStyle w:val="Paragraph"/>
              <w:spacing w:before="60" w:after="60"/>
              <w:jc w:val="center"/>
              <w:rPr>
                <w:b/>
                <w:bCs/>
                <w:sz w:val="22"/>
                <w:szCs w:val="20"/>
                <w:lang w:val="en-AU"/>
              </w:rPr>
            </w:pPr>
            <w:r>
              <w:rPr>
                <w:b/>
                <w:bCs/>
                <w:sz w:val="22"/>
                <w:szCs w:val="20"/>
                <w:lang w:val="en-AU"/>
              </w:rPr>
              <w:t>INSPRA</w:t>
            </w:r>
            <w:r w:rsidR="00652E30">
              <w:rPr>
                <w:b/>
                <w:bCs/>
                <w:sz w:val="22"/>
                <w:szCs w:val="20"/>
                <w:lang w:val="en-AU"/>
              </w:rPr>
              <w:t xml:space="preserve"> (%)</w:t>
            </w:r>
          </w:p>
        </w:tc>
        <w:tc>
          <w:tcPr>
            <w:tcW w:w="1642" w:type="dxa"/>
          </w:tcPr>
          <w:p w:rsidR="00652E30" w:rsidRDefault="00652E30">
            <w:pPr>
              <w:spacing w:before="60" w:after="60"/>
              <w:jc w:val="center"/>
              <w:rPr>
                <w:b/>
                <w:bCs/>
                <w:sz w:val="22"/>
              </w:rPr>
            </w:pPr>
            <w:r>
              <w:rPr>
                <w:b/>
                <w:bCs/>
                <w:sz w:val="22"/>
              </w:rPr>
              <w:t>Placebo (%)</w:t>
            </w:r>
          </w:p>
        </w:tc>
      </w:tr>
      <w:tr w:rsidR="00652E30">
        <w:tblPrEx>
          <w:tblCellMar>
            <w:top w:w="0" w:type="dxa"/>
            <w:bottom w:w="0" w:type="dxa"/>
          </w:tblCellMar>
        </w:tblPrEx>
        <w:tc>
          <w:tcPr>
            <w:tcW w:w="3998" w:type="dxa"/>
          </w:tcPr>
          <w:p w:rsidR="00652E30" w:rsidRDefault="00652E30">
            <w:pPr>
              <w:spacing w:before="60" w:after="60"/>
              <w:rPr>
                <w:sz w:val="22"/>
              </w:rPr>
            </w:pPr>
            <w:r>
              <w:rPr>
                <w:sz w:val="22"/>
              </w:rPr>
              <w:t>≤30</w:t>
            </w:r>
          </w:p>
        </w:tc>
        <w:tc>
          <w:tcPr>
            <w:tcW w:w="1642" w:type="dxa"/>
          </w:tcPr>
          <w:p w:rsidR="00652E30" w:rsidRDefault="00652E30">
            <w:pPr>
              <w:spacing w:before="60" w:after="60"/>
              <w:jc w:val="center"/>
              <w:rPr>
                <w:sz w:val="22"/>
              </w:rPr>
            </w:pPr>
            <w:r>
              <w:rPr>
                <w:sz w:val="22"/>
              </w:rPr>
              <w:t>31.5</w:t>
            </w:r>
          </w:p>
        </w:tc>
        <w:tc>
          <w:tcPr>
            <w:tcW w:w="1642" w:type="dxa"/>
          </w:tcPr>
          <w:p w:rsidR="00652E30" w:rsidRDefault="00652E30">
            <w:pPr>
              <w:spacing w:before="60" w:after="60"/>
              <w:jc w:val="center"/>
              <w:rPr>
                <w:sz w:val="22"/>
              </w:rPr>
            </w:pPr>
            <w:r>
              <w:rPr>
                <w:sz w:val="22"/>
              </w:rPr>
              <w:t>22.6</w:t>
            </w:r>
          </w:p>
        </w:tc>
      </w:tr>
      <w:tr w:rsidR="00652E30">
        <w:tblPrEx>
          <w:tblCellMar>
            <w:top w:w="0" w:type="dxa"/>
            <w:bottom w:w="0" w:type="dxa"/>
          </w:tblCellMar>
        </w:tblPrEx>
        <w:tc>
          <w:tcPr>
            <w:tcW w:w="3998" w:type="dxa"/>
          </w:tcPr>
          <w:p w:rsidR="00652E30" w:rsidRDefault="00652E30">
            <w:pPr>
              <w:spacing w:before="60" w:after="60"/>
              <w:rPr>
                <w:sz w:val="22"/>
              </w:rPr>
            </w:pPr>
            <w:r>
              <w:rPr>
                <w:sz w:val="22"/>
              </w:rPr>
              <w:t>31–50</w:t>
            </w:r>
          </w:p>
        </w:tc>
        <w:tc>
          <w:tcPr>
            <w:tcW w:w="1642" w:type="dxa"/>
          </w:tcPr>
          <w:p w:rsidR="00652E30" w:rsidRDefault="00652E30">
            <w:pPr>
              <w:spacing w:before="60" w:after="60"/>
              <w:jc w:val="center"/>
              <w:rPr>
                <w:sz w:val="22"/>
              </w:rPr>
            </w:pPr>
            <w:r>
              <w:rPr>
                <w:sz w:val="22"/>
              </w:rPr>
              <w:t>24.1</w:t>
            </w:r>
          </w:p>
        </w:tc>
        <w:tc>
          <w:tcPr>
            <w:tcW w:w="1642" w:type="dxa"/>
          </w:tcPr>
          <w:p w:rsidR="00652E30" w:rsidRDefault="00652E30">
            <w:pPr>
              <w:spacing w:before="60" w:after="60"/>
              <w:jc w:val="center"/>
              <w:rPr>
                <w:sz w:val="22"/>
              </w:rPr>
            </w:pPr>
            <w:r>
              <w:rPr>
                <w:sz w:val="22"/>
              </w:rPr>
              <w:t>12.7</w:t>
            </w:r>
          </w:p>
        </w:tc>
      </w:tr>
      <w:tr w:rsidR="00652E30">
        <w:tblPrEx>
          <w:tblCellMar>
            <w:top w:w="0" w:type="dxa"/>
            <w:bottom w:w="0" w:type="dxa"/>
          </w:tblCellMar>
        </w:tblPrEx>
        <w:tc>
          <w:tcPr>
            <w:tcW w:w="3998" w:type="dxa"/>
            <w:tcBorders>
              <w:bottom w:val="single" w:sz="4" w:space="0" w:color="auto"/>
            </w:tcBorders>
          </w:tcPr>
          <w:p w:rsidR="00652E30" w:rsidRDefault="00652E30">
            <w:pPr>
              <w:spacing w:before="60" w:after="60"/>
              <w:rPr>
                <w:sz w:val="22"/>
              </w:rPr>
            </w:pPr>
            <w:r>
              <w:rPr>
                <w:sz w:val="22"/>
              </w:rPr>
              <w:t>51–70</w:t>
            </w:r>
          </w:p>
        </w:tc>
        <w:tc>
          <w:tcPr>
            <w:tcW w:w="1642" w:type="dxa"/>
            <w:tcBorders>
              <w:bottom w:val="single" w:sz="4" w:space="0" w:color="auto"/>
            </w:tcBorders>
          </w:tcPr>
          <w:p w:rsidR="00652E30" w:rsidRDefault="00652E30">
            <w:pPr>
              <w:spacing w:before="60" w:after="60"/>
              <w:jc w:val="center"/>
              <w:rPr>
                <w:sz w:val="22"/>
              </w:rPr>
            </w:pPr>
            <w:r>
              <w:rPr>
                <w:sz w:val="22"/>
              </w:rPr>
              <w:t>16.9</w:t>
            </w:r>
          </w:p>
        </w:tc>
        <w:tc>
          <w:tcPr>
            <w:tcW w:w="1642" w:type="dxa"/>
            <w:tcBorders>
              <w:bottom w:val="single" w:sz="4" w:space="0" w:color="auto"/>
            </w:tcBorders>
          </w:tcPr>
          <w:p w:rsidR="00652E30" w:rsidRDefault="00652E30">
            <w:pPr>
              <w:spacing w:before="60" w:after="60"/>
              <w:jc w:val="center"/>
              <w:rPr>
                <w:sz w:val="22"/>
              </w:rPr>
            </w:pPr>
            <w:r>
              <w:rPr>
                <w:sz w:val="22"/>
              </w:rPr>
              <w:t>13.1</w:t>
            </w:r>
          </w:p>
        </w:tc>
      </w:tr>
      <w:tr w:rsidR="00652E30">
        <w:tblPrEx>
          <w:tblCellMar>
            <w:top w:w="0" w:type="dxa"/>
            <w:bottom w:w="0" w:type="dxa"/>
          </w:tblCellMar>
        </w:tblPrEx>
        <w:tc>
          <w:tcPr>
            <w:tcW w:w="3998" w:type="dxa"/>
            <w:tcBorders>
              <w:bottom w:val="single" w:sz="4" w:space="0" w:color="auto"/>
            </w:tcBorders>
          </w:tcPr>
          <w:p w:rsidR="00652E30" w:rsidRDefault="00652E30">
            <w:pPr>
              <w:spacing w:before="60" w:after="60"/>
              <w:rPr>
                <w:sz w:val="22"/>
              </w:rPr>
            </w:pPr>
            <w:r>
              <w:rPr>
                <w:sz w:val="22"/>
              </w:rPr>
              <w:t>&gt;70</w:t>
            </w:r>
          </w:p>
        </w:tc>
        <w:tc>
          <w:tcPr>
            <w:tcW w:w="1642" w:type="dxa"/>
            <w:tcBorders>
              <w:bottom w:val="single" w:sz="4" w:space="0" w:color="auto"/>
            </w:tcBorders>
          </w:tcPr>
          <w:p w:rsidR="00652E30" w:rsidRDefault="00652E30">
            <w:pPr>
              <w:spacing w:before="60" w:after="60"/>
              <w:jc w:val="center"/>
              <w:rPr>
                <w:sz w:val="22"/>
              </w:rPr>
            </w:pPr>
            <w:r>
              <w:rPr>
                <w:sz w:val="22"/>
              </w:rPr>
              <w:t>10.8</w:t>
            </w:r>
          </w:p>
        </w:tc>
        <w:tc>
          <w:tcPr>
            <w:tcW w:w="1642" w:type="dxa"/>
            <w:tcBorders>
              <w:bottom w:val="single" w:sz="4" w:space="0" w:color="auto"/>
            </w:tcBorders>
          </w:tcPr>
          <w:p w:rsidR="00652E30" w:rsidRDefault="00652E30">
            <w:pPr>
              <w:spacing w:before="60" w:after="60"/>
              <w:jc w:val="center"/>
              <w:rPr>
                <w:sz w:val="22"/>
              </w:rPr>
            </w:pPr>
            <w:r>
              <w:rPr>
                <w:sz w:val="22"/>
              </w:rPr>
              <w:t>8.7</w:t>
            </w:r>
          </w:p>
        </w:tc>
      </w:tr>
      <w:tr w:rsidR="00652E30">
        <w:tblPrEx>
          <w:tblCellMar>
            <w:top w:w="0" w:type="dxa"/>
            <w:bottom w:w="0" w:type="dxa"/>
          </w:tblCellMar>
        </w:tblPrEx>
        <w:trPr>
          <w:cantSplit/>
        </w:trPr>
        <w:tc>
          <w:tcPr>
            <w:tcW w:w="7282" w:type="dxa"/>
            <w:gridSpan w:val="3"/>
            <w:tcBorders>
              <w:top w:val="single" w:sz="4" w:space="0" w:color="auto"/>
              <w:left w:val="nil"/>
              <w:bottom w:val="nil"/>
              <w:right w:val="nil"/>
            </w:tcBorders>
          </w:tcPr>
          <w:p w:rsidR="00652E30" w:rsidRDefault="00652E30">
            <w:pPr>
              <w:spacing w:before="60" w:after="60"/>
              <w:rPr>
                <w:sz w:val="18"/>
              </w:rPr>
            </w:pPr>
            <w:r>
              <w:rPr>
                <w:sz w:val="18"/>
              </w:rPr>
              <w:t>*Estimated using Cockroft-Gault formula</w:t>
            </w:r>
          </w:p>
        </w:tc>
      </w:tr>
    </w:tbl>
    <w:p w:rsidR="00DF04F0" w:rsidRDefault="00DF04F0" w:rsidP="006308C3"/>
    <w:p w:rsidR="00652E30" w:rsidRDefault="002A3B22" w:rsidP="006308C3">
      <w:r>
        <w:t xml:space="preserve">Table 10 </w:t>
      </w:r>
      <w:r w:rsidR="00652E30">
        <w:t>shows the rates of hyperkalaemia in EPHESUS as assessed by two baseline characteristics: presence/absence of proteinuria from baseline urinalysis and presence/absence of diabetes (see PRECAUTIONS, Hyperkalaemia).</w:t>
      </w:r>
    </w:p>
    <w:p w:rsidR="00652E30" w:rsidRPr="00911346" w:rsidRDefault="00911346" w:rsidP="00911346">
      <w:pPr>
        <w:pStyle w:val="Caption"/>
      </w:pPr>
      <w:bookmarkStart w:id="4" w:name="_Ref309295417"/>
      <w:r w:rsidRPr="00911346">
        <w:t xml:space="preserve">Table </w:t>
      </w:r>
      <w:fldSimple w:instr=" SEQ Table \* ARABIC ">
        <w:r w:rsidR="006B0D1E">
          <w:rPr>
            <w:noProof/>
          </w:rPr>
          <w:t>10</w:t>
        </w:r>
      </w:fldSimple>
      <w:bookmarkEnd w:id="4"/>
      <w:r w:rsidRPr="00911346">
        <w:t>: R</w:t>
      </w:r>
      <w:r w:rsidR="00652E30" w:rsidRPr="00911346">
        <w:t xml:space="preserve">ates of hyperkalaemia (&gt;5.5mmol/L) in </w:t>
      </w:r>
      <w:smartTag w:uri="urn:schemas-microsoft-com:office:smarttags" w:element="City">
        <w:smartTag w:uri="urn:schemas-microsoft-com:office:smarttags" w:element="place">
          <w:r w:rsidR="00652E30" w:rsidRPr="00911346">
            <w:t>EPHESUS</w:t>
          </w:r>
        </w:smartTag>
      </w:smartTag>
      <w:r w:rsidR="00652E30" w:rsidRPr="00911346">
        <w:t xml:space="preserve"> by proteinuria and history of diabetes*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1"/>
        <w:gridCol w:w="2350"/>
        <w:gridCol w:w="2351"/>
      </w:tblGrid>
      <w:tr w:rsidR="00652E30" w:rsidTr="007A4DF5">
        <w:tblPrEx>
          <w:tblCellMar>
            <w:top w:w="0" w:type="dxa"/>
            <w:bottom w:w="0" w:type="dxa"/>
          </w:tblCellMar>
        </w:tblPrEx>
        <w:trPr>
          <w:tblHeader/>
        </w:trPr>
        <w:tc>
          <w:tcPr>
            <w:tcW w:w="2581" w:type="dxa"/>
          </w:tcPr>
          <w:p w:rsidR="00652E30" w:rsidRDefault="00652E30">
            <w:pPr>
              <w:spacing w:before="60" w:after="60"/>
              <w:rPr>
                <w:b/>
                <w:bCs/>
                <w:sz w:val="22"/>
              </w:rPr>
            </w:pPr>
          </w:p>
        </w:tc>
        <w:tc>
          <w:tcPr>
            <w:tcW w:w="2350" w:type="dxa"/>
          </w:tcPr>
          <w:p w:rsidR="00652E30" w:rsidRDefault="00527983">
            <w:pPr>
              <w:spacing w:before="60" w:after="60"/>
              <w:jc w:val="center"/>
              <w:rPr>
                <w:b/>
                <w:bCs/>
                <w:sz w:val="22"/>
              </w:rPr>
            </w:pPr>
            <w:r>
              <w:rPr>
                <w:b/>
                <w:bCs/>
                <w:sz w:val="22"/>
              </w:rPr>
              <w:t>INSPRA</w:t>
            </w:r>
            <w:r w:rsidR="00652E30">
              <w:rPr>
                <w:b/>
                <w:bCs/>
                <w:sz w:val="22"/>
              </w:rPr>
              <w:t xml:space="preserve"> (%)</w:t>
            </w:r>
          </w:p>
        </w:tc>
        <w:tc>
          <w:tcPr>
            <w:tcW w:w="2351" w:type="dxa"/>
          </w:tcPr>
          <w:p w:rsidR="00652E30" w:rsidRDefault="00652E30">
            <w:pPr>
              <w:spacing w:before="60" w:after="60"/>
              <w:jc w:val="center"/>
              <w:rPr>
                <w:b/>
                <w:bCs/>
                <w:sz w:val="22"/>
              </w:rPr>
            </w:pPr>
            <w:r>
              <w:rPr>
                <w:b/>
                <w:bCs/>
                <w:sz w:val="22"/>
              </w:rPr>
              <w:t>Placebo (%)</w:t>
            </w:r>
          </w:p>
        </w:tc>
      </w:tr>
      <w:tr w:rsidR="00652E30">
        <w:tblPrEx>
          <w:tblCellMar>
            <w:top w:w="0" w:type="dxa"/>
            <w:bottom w:w="0" w:type="dxa"/>
          </w:tblCellMar>
        </w:tblPrEx>
        <w:tc>
          <w:tcPr>
            <w:tcW w:w="2581" w:type="dxa"/>
          </w:tcPr>
          <w:p w:rsidR="00652E30" w:rsidRDefault="00652E30">
            <w:pPr>
              <w:spacing w:before="60" w:after="60"/>
              <w:rPr>
                <w:sz w:val="22"/>
              </w:rPr>
            </w:pPr>
            <w:r>
              <w:rPr>
                <w:sz w:val="22"/>
              </w:rPr>
              <w:t>Proteinuria</w:t>
            </w:r>
          </w:p>
        </w:tc>
        <w:tc>
          <w:tcPr>
            <w:tcW w:w="2350" w:type="dxa"/>
          </w:tcPr>
          <w:p w:rsidR="00652E30" w:rsidRDefault="00652E30">
            <w:pPr>
              <w:spacing w:before="60" w:after="60"/>
              <w:jc w:val="center"/>
              <w:rPr>
                <w:sz w:val="22"/>
              </w:rPr>
            </w:pPr>
            <w:r>
              <w:rPr>
                <w:sz w:val="22"/>
              </w:rPr>
              <w:t>16</w:t>
            </w:r>
          </w:p>
        </w:tc>
        <w:tc>
          <w:tcPr>
            <w:tcW w:w="2351" w:type="dxa"/>
          </w:tcPr>
          <w:p w:rsidR="00652E30" w:rsidRDefault="00652E30">
            <w:pPr>
              <w:spacing w:before="60" w:after="60"/>
              <w:jc w:val="center"/>
              <w:rPr>
                <w:sz w:val="22"/>
              </w:rPr>
            </w:pPr>
            <w:r>
              <w:rPr>
                <w:sz w:val="22"/>
              </w:rPr>
              <w:t>11</w:t>
            </w:r>
          </w:p>
        </w:tc>
      </w:tr>
      <w:tr w:rsidR="00652E30">
        <w:tblPrEx>
          <w:tblCellMar>
            <w:top w:w="0" w:type="dxa"/>
            <w:bottom w:w="0" w:type="dxa"/>
          </w:tblCellMar>
        </w:tblPrEx>
        <w:tc>
          <w:tcPr>
            <w:tcW w:w="2581" w:type="dxa"/>
            <w:tcBorders>
              <w:bottom w:val="single" w:sz="4" w:space="0" w:color="auto"/>
            </w:tcBorders>
          </w:tcPr>
          <w:p w:rsidR="00652E30" w:rsidRDefault="00652E30">
            <w:pPr>
              <w:spacing w:before="60" w:after="60"/>
              <w:rPr>
                <w:sz w:val="22"/>
              </w:rPr>
            </w:pPr>
            <w:r>
              <w:rPr>
                <w:sz w:val="22"/>
              </w:rPr>
              <w:t>Diabetes, no proteinuria</w:t>
            </w:r>
          </w:p>
        </w:tc>
        <w:tc>
          <w:tcPr>
            <w:tcW w:w="2350" w:type="dxa"/>
            <w:tcBorders>
              <w:bottom w:val="single" w:sz="4" w:space="0" w:color="auto"/>
            </w:tcBorders>
          </w:tcPr>
          <w:p w:rsidR="00652E30" w:rsidRDefault="00652E30">
            <w:pPr>
              <w:spacing w:before="60" w:after="60"/>
              <w:jc w:val="center"/>
              <w:rPr>
                <w:sz w:val="22"/>
              </w:rPr>
            </w:pPr>
            <w:r>
              <w:rPr>
                <w:sz w:val="22"/>
              </w:rPr>
              <w:t>18</w:t>
            </w:r>
          </w:p>
        </w:tc>
        <w:tc>
          <w:tcPr>
            <w:tcW w:w="2351" w:type="dxa"/>
            <w:tcBorders>
              <w:bottom w:val="single" w:sz="4" w:space="0" w:color="auto"/>
            </w:tcBorders>
          </w:tcPr>
          <w:p w:rsidR="00652E30" w:rsidRDefault="00652E30">
            <w:pPr>
              <w:spacing w:before="60" w:after="60"/>
              <w:jc w:val="center"/>
              <w:rPr>
                <w:sz w:val="22"/>
              </w:rPr>
            </w:pPr>
            <w:r>
              <w:rPr>
                <w:sz w:val="22"/>
              </w:rPr>
              <w:t>13</w:t>
            </w:r>
          </w:p>
        </w:tc>
      </w:tr>
      <w:tr w:rsidR="00652E30">
        <w:tblPrEx>
          <w:tblCellMar>
            <w:top w:w="0" w:type="dxa"/>
            <w:bottom w:w="0" w:type="dxa"/>
          </w:tblCellMar>
        </w:tblPrEx>
        <w:tc>
          <w:tcPr>
            <w:tcW w:w="2581" w:type="dxa"/>
            <w:tcBorders>
              <w:bottom w:val="single" w:sz="4" w:space="0" w:color="auto"/>
            </w:tcBorders>
          </w:tcPr>
          <w:p w:rsidR="00652E30" w:rsidRDefault="00652E30">
            <w:pPr>
              <w:spacing w:before="60" w:after="60"/>
              <w:rPr>
                <w:sz w:val="22"/>
              </w:rPr>
            </w:pPr>
            <w:r>
              <w:rPr>
                <w:sz w:val="22"/>
              </w:rPr>
              <w:t>Proteinuria and diabetes</w:t>
            </w:r>
          </w:p>
        </w:tc>
        <w:tc>
          <w:tcPr>
            <w:tcW w:w="2350" w:type="dxa"/>
            <w:tcBorders>
              <w:bottom w:val="single" w:sz="4" w:space="0" w:color="auto"/>
            </w:tcBorders>
          </w:tcPr>
          <w:p w:rsidR="00652E30" w:rsidRDefault="00652E30">
            <w:pPr>
              <w:spacing w:before="60" w:after="60"/>
              <w:jc w:val="center"/>
              <w:rPr>
                <w:sz w:val="22"/>
              </w:rPr>
            </w:pPr>
            <w:r>
              <w:rPr>
                <w:sz w:val="22"/>
              </w:rPr>
              <w:t>26</w:t>
            </w:r>
          </w:p>
        </w:tc>
        <w:tc>
          <w:tcPr>
            <w:tcW w:w="2351" w:type="dxa"/>
            <w:tcBorders>
              <w:bottom w:val="single" w:sz="4" w:space="0" w:color="auto"/>
            </w:tcBorders>
          </w:tcPr>
          <w:p w:rsidR="00652E30" w:rsidRDefault="00652E30">
            <w:pPr>
              <w:spacing w:before="60" w:after="60"/>
              <w:jc w:val="center"/>
              <w:rPr>
                <w:sz w:val="22"/>
              </w:rPr>
            </w:pPr>
            <w:r>
              <w:rPr>
                <w:sz w:val="22"/>
              </w:rPr>
              <w:t>16</w:t>
            </w:r>
          </w:p>
        </w:tc>
      </w:tr>
      <w:tr w:rsidR="00652E30">
        <w:tblPrEx>
          <w:tblCellMar>
            <w:top w:w="0" w:type="dxa"/>
            <w:bottom w:w="0" w:type="dxa"/>
          </w:tblCellMar>
        </w:tblPrEx>
        <w:trPr>
          <w:cantSplit/>
        </w:trPr>
        <w:tc>
          <w:tcPr>
            <w:tcW w:w="7282" w:type="dxa"/>
            <w:gridSpan w:val="3"/>
            <w:tcBorders>
              <w:top w:val="single" w:sz="4" w:space="0" w:color="auto"/>
              <w:left w:val="nil"/>
              <w:bottom w:val="nil"/>
              <w:right w:val="nil"/>
            </w:tcBorders>
          </w:tcPr>
          <w:p w:rsidR="00652E30" w:rsidRDefault="00652E30">
            <w:pPr>
              <w:pStyle w:val="Header"/>
              <w:tabs>
                <w:tab w:val="clear" w:pos="4153"/>
                <w:tab w:val="clear" w:pos="8306"/>
              </w:tabs>
              <w:spacing w:before="60" w:after="60"/>
              <w:rPr>
                <w:sz w:val="18"/>
              </w:rPr>
            </w:pPr>
            <w:r>
              <w:rPr>
                <w:sz w:val="18"/>
              </w:rPr>
              <w:t>*Diabetes assessed as positive medical history at baseline; proteinuria assessed by positive dipstick urinalysis at baseline.</w:t>
            </w:r>
          </w:p>
        </w:tc>
      </w:tr>
    </w:tbl>
    <w:p w:rsidR="006308C3" w:rsidRDefault="006308C3" w:rsidP="006308C3"/>
    <w:p w:rsidR="00652E30" w:rsidRDefault="00652E30" w:rsidP="00CB73DB">
      <w:pPr>
        <w:pStyle w:val="PIHeading1"/>
      </w:pPr>
      <w:r>
        <w:lastRenderedPageBreak/>
        <w:t>DOSAGE AND ADMINISTRATION</w:t>
      </w:r>
    </w:p>
    <w:p w:rsidR="007C5653" w:rsidRDefault="007C5653" w:rsidP="007C5653">
      <w:pPr>
        <w:pStyle w:val="Heading3"/>
      </w:pPr>
      <w:r>
        <w:t>For Post-myocardial Infarction Heart Failure Patients</w:t>
      </w:r>
    </w:p>
    <w:p w:rsidR="00652E30" w:rsidRDefault="00527983" w:rsidP="006308C3">
      <w:r>
        <w:t>INSPRA</w:t>
      </w:r>
      <w:r w:rsidR="00652E30">
        <w:t xml:space="preserve"> is usually administered in combination with standard therapies. </w:t>
      </w:r>
      <w:r w:rsidR="006E581A">
        <w:t xml:space="preserve"> </w:t>
      </w:r>
      <w:r w:rsidR="00652E30">
        <w:t xml:space="preserve">The recommended dose of </w:t>
      </w:r>
      <w:r>
        <w:t>INSPRA</w:t>
      </w:r>
      <w:r w:rsidR="00652E30">
        <w:t xml:space="preserve"> is 50</w:t>
      </w:r>
      <w:r w:rsidR="00F516B7">
        <w:t xml:space="preserve"> </w:t>
      </w:r>
      <w:r w:rsidR="00652E30">
        <w:t xml:space="preserve">mg once daily. </w:t>
      </w:r>
      <w:r w:rsidR="006E581A">
        <w:t xml:space="preserve"> </w:t>
      </w:r>
      <w:r w:rsidR="00652E30">
        <w:t>Treatment should be initiated at 25</w:t>
      </w:r>
      <w:r w:rsidR="00F516B7">
        <w:t xml:space="preserve"> </w:t>
      </w:r>
      <w:r w:rsidR="00652E30">
        <w:t>mg once daily and titrated to the target dose of 50</w:t>
      </w:r>
      <w:r w:rsidR="002A3B22">
        <w:t xml:space="preserve"> </w:t>
      </w:r>
      <w:r w:rsidR="00652E30">
        <w:t>mg once daily within 4 weeks as tolerated by the patient.</w:t>
      </w:r>
    </w:p>
    <w:p w:rsidR="00652E30" w:rsidRDefault="00652E30" w:rsidP="006308C3">
      <w:r>
        <w:t>In the pivotal clinical study</w:t>
      </w:r>
      <w:r w:rsidR="0040456B">
        <w:t xml:space="preserve"> </w:t>
      </w:r>
      <w:smartTag w:uri="urn:schemas-microsoft-com:office:smarttags" w:element="City">
        <w:smartTag w:uri="urn:schemas-microsoft-com:office:smarttags" w:element="place">
          <w:r w:rsidR="000158A7">
            <w:t>EPHESUS</w:t>
          </w:r>
        </w:smartTag>
      </w:smartTag>
      <w:r>
        <w:t>, eplerenone was added to standard medical therapy within 3</w:t>
      </w:r>
      <w:r w:rsidR="005F4BFB">
        <w:noBreakHyphen/>
      </w:r>
      <w:r>
        <w:t xml:space="preserve">14 days after an acute qualifying myocardial infarction. </w:t>
      </w:r>
      <w:r w:rsidR="006E581A">
        <w:t xml:space="preserve"> </w:t>
      </w:r>
      <w:r>
        <w:rPr>
          <w:lang w:val="en-US"/>
        </w:rPr>
        <w:t xml:space="preserve">There is evidence that the reduction in mortality occurred mostly within the first 12 months of </w:t>
      </w:r>
      <w:r w:rsidR="00527983">
        <w:rPr>
          <w:lang w:val="en-US"/>
        </w:rPr>
        <w:t>INSPRA</w:t>
      </w:r>
      <w:r>
        <w:rPr>
          <w:lang w:val="en-US"/>
        </w:rPr>
        <w:t xml:space="preserve"> treatment. </w:t>
      </w:r>
      <w:r w:rsidR="006E581A">
        <w:rPr>
          <w:lang w:val="en-US"/>
        </w:rPr>
        <w:t xml:space="preserve"> </w:t>
      </w:r>
      <w:r>
        <w:rPr>
          <w:lang w:val="en-US"/>
        </w:rPr>
        <w:t>Patients with chronic heart failure should be reassessed no longer than 12 months after commencing therapy and options for the management of chronic heart failure considered.</w:t>
      </w:r>
    </w:p>
    <w:p w:rsidR="007C5653" w:rsidRDefault="007C5653" w:rsidP="007C5653">
      <w:pPr>
        <w:pStyle w:val="Heading3"/>
      </w:pPr>
      <w:r>
        <w:t>For Patients with NYHA Class II (Chronic) Heart Failure</w:t>
      </w:r>
      <w:r w:rsidR="002D5601">
        <w:rPr>
          <w:vertAlign w:val="superscript"/>
        </w:rPr>
        <w:t>†</w:t>
      </w:r>
    </w:p>
    <w:p w:rsidR="007C5653" w:rsidRPr="007C5653" w:rsidRDefault="00BC16BA" w:rsidP="007C5653">
      <w:pPr>
        <w:rPr>
          <w:i/>
        </w:rPr>
      </w:pPr>
      <w:r>
        <w:t>Patients with eGFR ≥ 50 mL/min/1.7</w:t>
      </w:r>
      <w:r w:rsidR="00A96D87">
        <w:t>3</w:t>
      </w:r>
      <w:r w:rsidRPr="00BC16BA">
        <w:t xml:space="preserve"> </w:t>
      </w:r>
      <w:r w:rsidRPr="0046151B">
        <w:t>m</w:t>
      </w:r>
      <w:r w:rsidRPr="0046151B">
        <w:rPr>
          <w:vertAlign w:val="superscript"/>
        </w:rPr>
        <w:t>2</w:t>
      </w:r>
      <w:r>
        <w:t xml:space="preserve"> (</w:t>
      </w:r>
      <w:r w:rsidR="006B5334">
        <w:t xml:space="preserve">CKD </w:t>
      </w:r>
      <w:r>
        <w:t xml:space="preserve">stages 1,2 and partly 3) - </w:t>
      </w:r>
      <w:r w:rsidR="007C5653">
        <w:t>Treatment should be initiated at a dose of 25</w:t>
      </w:r>
      <w:r w:rsidR="00EE75E7">
        <w:t xml:space="preserve"> </w:t>
      </w:r>
      <w:r w:rsidR="007C5653">
        <w:t>mg once daily and titrated to the target dose of 50</w:t>
      </w:r>
      <w:r w:rsidR="00EE75E7">
        <w:t xml:space="preserve"> </w:t>
      </w:r>
      <w:r w:rsidR="007C5653">
        <w:t>mg once d</w:t>
      </w:r>
      <w:r w:rsidR="009F6C1E">
        <w:t>aily preferably within 4 weeks</w:t>
      </w:r>
      <w:r w:rsidR="007C5653">
        <w:t>; taking into account the serum potassium level</w:t>
      </w:r>
      <w:r w:rsidR="006B5334">
        <w:t>s</w:t>
      </w:r>
      <w:r w:rsidR="00D55E72">
        <w:t xml:space="preserve"> (see serum potassium table</w:t>
      </w:r>
      <w:r w:rsidR="00C267A2">
        <w:t xml:space="preserve"> below</w:t>
      </w:r>
      <w:r w:rsidR="00D55E72">
        <w:t>)</w:t>
      </w:r>
      <w:r w:rsidR="007C5653">
        <w:t>.</w:t>
      </w:r>
    </w:p>
    <w:p w:rsidR="007C5653" w:rsidRDefault="007C5653" w:rsidP="007C5653">
      <w:pPr>
        <w:pStyle w:val="Heading3"/>
      </w:pPr>
      <w:r>
        <w:t>Serum Potassium Levels</w:t>
      </w:r>
    </w:p>
    <w:p w:rsidR="00652E30" w:rsidRDefault="00652E30" w:rsidP="006308C3">
      <w:r>
        <w:t xml:space="preserve">Serum potassium should be measured before initiating </w:t>
      </w:r>
      <w:r w:rsidR="00527983">
        <w:t>INSPRA</w:t>
      </w:r>
      <w:r>
        <w:t xml:space="preserve"> therapy, within the first week and at 1-month after the start of treatment or dosage adjustment. </w:t>
      </w:r>
      <w:r w:rsidR="006E581A">
        <w:t xml:space="preserve"> </w:t>
      </w:r>
      <w:r>
        <w:t xml:space="preserve">Serum potassium should be assessed periodically thereafter, and </w:t>
      </w:r>
      <w:r w:rsidR="00E04C1A" w:rsidRPr="00E04C1A">
        <w:t>the dose of eplerenone</w:t>
      </w:r>
      <w:r w:rsidR="00E04C1A">
        <w:rPr>
          <w:i/>
        </w:rPr>
        <w:t xml:space="preserve"> </w:t>
      </w:r>
      <w:r>
        <w:t xml:space="preserve">adjusted based on the serum potassium level (refer  </w:t>
      </w:r>
      <w:r w:rsidR="00B52C2C">
        <w:fldChar w:fldCharType="begin"/>
      </w:r>
      <w:r w:rsidR="00B52C2C">
        <w:instrText xml:space="preserve"> REF _Ref354128369 \h </w:instrText>
      </w:r>
      <w:r w:rsidR="00B52C2C">
        <w:fldChar w:fldCharType="separate"/>
      </w:r>
      <w:r w:rsidR="00B52C2C">
        <w:t xml:space="preserve">Table </w:t>
      </w:r>
      <w:r w:rsidR="00B52C2C">
        <w:rPr>
          <w:noProof/>
        </w:rPr>
        <w:t>11</w:t>
      </w:r>
      <w:r w:rsidR="00B52C2C">
        <w:fldChar w:fldCharType="end"/>
      </w:r>
      <w:r w:rsidR="00B52C2C">
        <w:t xml:space="preserve"> </w:t>
      </w:r>
      <w:r>
        <w:t>below).</w:t>
      </w:r>
      <w:r w:rsidR="00394717">
        <w:t xml:space="preserve">  </w:t>
      </w:r>
    </w:p>
    <w:p w:rsidR="00C267A2" w:rsidRDefault="00B52C2C" w:rsidP="00B52C2C">
      <w:pPr>
        <w:pStyle w:val="Caption"/>
      </w:pPr>
      <w:bookmarkStart w:id="5" w:name="_Ref354128369"/>
      <w:r>
        <w:t xml:space="preserve">Table </w:t>
      </w:r>
      <w:fldSimple w:instr=" SEQ Table \* ARABIC ">
        <w:r>
          <w:rPr>
            <w:noProof/>
          </w:rPr>
          <w:t>11</w:t>
        </w:r>
      </w:fldSimple>
      <w:bookmarkEnd w:id="5"/>
      <w:r>
        <w:t xml:space="preserve"> Dose adjustment based on serum potassium levels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3"/>
        <w:gridCol w:w="1914"/>
        <w:gridCol w:w="3000"/>
      </w:tblGrid>
      <w:tr w:rsidR="00652E30" w:rsidTr="00D81368">
        <w:tblPrEx>
          <w:tblCellMar>
            <w:top w:w="0" w:type="dxa"/>
            <w:bottom w:w="0" w:type="dxa"/>
          </w:tblCellMar>
        </w:tblPrEx>
        <w:tc>
          <w:tcPr>
            <w:tcW w:w="2363"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b/>
                <w:bCs/>
              </w:rPr>
            </w:pPr>
            <w:r>
              <w:rPr>
                <w:rFonts w:ascii="Times New Roman" w:hAnsi="Times New Roman" w:cs="Times New Roman"/>
                <w:b/>
                <w:bCs/>
              </w:rPr>
              <w:t>Serum potassium (mmol/L)</w:t>
            </w:r>
          </w:p>
        </w:tc>
        <w:tc>
          <w:tcPr>
            <w:tcW w:w="1914"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b/>
                <w:bCs/>
              </w:rPr>
            </w:pPr>
            <w:r>
              <w:rPr>
                <w:rFonts w:ascii="Times New Roman" w:hAnsi="Times New Roman" w:cs="Times New Roman"/>
                <w:b/>
                <w:bCs/>
              </w:rPr>
              <w:t>Action</w:t>
            </w:r>
          </w:p>
        </w:tc>
        <w:tc>
          <w:tcPr>
            <w:tcW w:w="3000"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b/>
                <w:bCs/>
              </w:rPr>
            </w:pPr>
            <w:r>
              <w:rPr>
                <w:rFonts w:ascii="Times New Roman" w:hAnsi="Times New Roman" w:cs="Times New Roman"/>
                <w:b/>
                <w:bCs/>
              </w:rPr>
              <w:t>Dose adjustment</w:t>
            </w:r>
          </w:p>
        </w:tc>
      </w:tr>
      <w:tr w:rsidR="00652E30" w:rsidTr="00D81368">
        <w:tblPrEx>
          <w:tblCellMar>
            <w:top w:w="0" w:type="dxa"/>
            <w:bottom w:w="0" w:type="dxa"/>
          </w:tblCellMar>
        </w:tblPrEx>
        <w:tc>
          <w:tcPr>
            <w:tcW w:w="2363"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&lt;5.0</w:t>
            </w:r>
          </w:p>
        </w:tc>
        <w:tc>
          <w:tcPr>
            <w:tcW w:w="1914"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Increase</w:t>
            </w:r>
          </w:p>
        </w:tc>
        <w:tc>
          <w:tcPr>
            <w:tcW w:w="3000" w:type="dxa"/>
            <w:tcBorders>
              <w:top w:val="single" w:sz="8" w:space="0" w:color="auto"/>
              <w:left w:val="single" w:sz="8" w:space="0" w:color="auto"/>
              <w:bottom w:val="single" w:sz="8" w:space="0" w:color="auto"/>
              <w:right w:val="single" w:sz="8" w:space="0" w:color="auto"/>
            </w:tcBorders>
          </w:tcPr>
          <w:p w:rsidR="00652E30" w:rsidRDefault="00652E30" w:rsidP="002A3B22">
            <w:pPr>
              <w:pStyle w:val="BodyText2"/>
              <w:tabs>
                <w:tab w:val="left" w:pos="1963"/>
              </w:tabs>
              <w:spacing w:before="60" w:after="60" w:line="240" w:lineRule="auto"/>
              <w:rPr>
                <w:rFonts w:ascii="Times New Roman" w:hAnsi="Times New Roman" w:cs="Times New Roman"/>
              </w:rPr>
            </w:pPr>
            <w:r>
              <w:rPr>
                <w:rFonts w:ascii="Times New Roman" w:hAnsi="Times New Roman" w:cs="Times New Roman"/>
              </w:rPr>
              <w:t>25</w:t>
            </w:r>
            <w:r w:rsidR="002A3B22">
              <w:rPr>
                <w:rFonts w:ascii="Times New Roman" w:hAnsi="Times New Roman" w:cs="Times New Roman"/>
              </w:rPr>
              <w:t xml:space="preserve"> </w:t>
            </w:r>
            <w:r>
              <w:rPr>
                <w:rFonts w:ascii="Times New Roman" w:hAnsi="Times New Roman" w:cs="Times New Roman"/>
              </w:rPr>
              <w:t>mg QOD to 25</w:t>
            </w:r>
            <w:r w:rsidR="002A3B22">
              <w:rPr>
                <w:rFonts w:ascii="Times New Roman" w:hAnsi="Times New Roman" w:cs="Times New Roman"/>
              </w:rPr>
              <w:t xml:space="preserve"> </w:t>
            </w:r>
            <w:r>
              <w:rPr>
                <w:rFonts w:ascii="Times New Roman" w:hAnsi="Times New Roman" w:cs="Times New Roman"/>
              </w:rPr>
              <w:t>mg QD</w:t>
            </w:r>
          </w:p>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25</w:t>
            </w:r>
            <w:r w:rsidR="002A3B22">
              <w:rPr>
                <w:rFonts w:ascii="Times New Roman" w:hAnsi="Times New Roman" w:cs="Times New Roman"/>
              </w:rPr>
              <w:t xml:space="preserve"> </w:t>
            </w:r>
            <w:r>
              <w:rPr>
                <w:rFonts w:ascii="Times New Roman" w:hAnsi="Times New Roman" w:cs="Times New Roman"/>
              </w:rPr>
              <w:t>mg QD to 50</w:t>
            </w:r>
            <w:r w:rsidR="002A3B22">
              <w:rPr>
                <w:rFonts w:ascii="Times New Roman" w:hAnsi="Times New Roman" w:cs="Times New Roman"/>
              </w:rPr>
              <w:t xml:space="preserve"> </w:t>
            </w:r>
            <w:r>
              <w:rPr>
                <w:rFonts w:ascii="Times New Roman" w:hAnsi="Times New Roman" w:cs="Times New Roman"/>
              </w:rPr>
              <w:t>mg QD</w:t>
            </w:r>
            <w:r w:rsidR="007C5F6A">
              <w:rPr>
                <w:rFonts w:ascii="Times New Roman" w:hAnsi="Times New Roman" w:cs="Times New Roman"/>
              </w:rPr>
              <w:t>*</w:t>
            </w:r>
          </w:p>
        </w:tc>
      </w:tr>
      <w:tr w:rsidR="00652E30" w:rsidTr="00D81368">
        <w:tblPrEx>
          <w:tblCellMar>
            <w:top w:w="0" w:type="dxa"/>
            <w:bottom w:w="0" w:type="dxa"/>
          </w:tblCellMar>
        </w:tblPrEx>
        <w:tc>
          <w:tcPr>
            <w:tcW w:w="2363"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5.0–5.4</w:t>
            </w:r>
          </w:p>
        </w:tc>
        <w:tc>
          <w:tcPr>
            <w:tcW w:w="1914"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Maintain</w:t>
            </w:r>
          </w:p>
        </w:tc>
        <w:tc>
          <w:tcPr>
            <w:tcW w:w="3000"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No dose adjustment</w:t>
            </w:r>
          </w:p>
        </w:tc>
      </w:tr>
      <w:tr w:rsidR="00652E30" w:rsidTr="00D81368">
        <w:tblPrEx>
          <w:tblCellMar>
            <w:top w:w="0" w:type="dxa"/>
            <w:bottom w:w="0" w:type="dxa"/>
          </w:tblCellMar>
        </w:tblPrEx>
        <w:tc>
          <w:tcPr>
            <w:tcW w:w="2363"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5.5–5.9</w:t>
            </w:r>
          </w:p>
        </w:tc>
        <w:tc>
          <w:tcPr>
            <w:tcW w:w="1914"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Decrease</w:t>
            </w:r>
          </w:p>
        </w:tc>
        <w:tc>
          <w:tcPr>
            <w:tcW w:w="3000"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50</w:t>
            </w:r>
            <w:r w:rsidR="002A3B22">
              <w:rPr>
                <w:rFonts w:ascii="Times New Roman" w:hAnsi="Times New Roman" w:cs="Times New Roman"/>
              </w:rPr>
              <w:t xml:space="preserve"> </w:t>
            </w:r>
            <w:r>
              <w:rPr>
                <w:rFonts w:ascii="Times New Roman" w:hAnsi="Times New Roman" w:cs="Times New Roman"/>
              </w:rPr>
              <w:t>mg QD to 25</w:t>
            </w:r>
            <w:r w:rsidR="002A3B22">
              <w:rPr>
                <w:rFonts w:ascii="Times New Roman" w:hAnsi="Times New Roman" w:cs="Times New Roman"/>
              </w:rPr>
              <w:t xml:space="preserve"> </w:t>
            </w:r>
            <w:r>
              <w:rPr>
                <w:rFonts w:ascii="Times New Roman" w:hAnsi="Times New Roman" w:cs="Times New Roman"/>
              </w:rPr>
              <w:t>mg QD</w:t>
            </w:r>
          </w:p>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25</w:t>
            </w:r>
            <w:r w:rsidR="002A3B22">
              <w:rPr>
                <w:rFonts w:ascii="Times New Roman" w:hAnsi="Times New Roman" w:cs="Times New Roman"/>
              </w:rPr>
              <w:t xml:space="preserve"> </w:t>
            </w:r>
            <w:r>
              <w:rPr>
                <w:rFonts w:ascii="Times New Roman" w:hAnsi="Times New Roman" w:cs="Times New Roman"/>
              </w:rPr>
              <w:t>mg QD to 25</w:t>
            </w:r>
            <w:r w:rsidR="002A3B22">
              <w:rPr>
                <w:rFonts w:ascii="Times New Roman" w:hAnsi="Times New Roman" w:cs="Times New Roman"/>
              </w:rPr>
              <w:t xml:space="preserve"> </w:t>
            </w:r>
            <w:r>
              <w:rPr>
                <w:rFonts w:ascii="Times New Roman" w:hAnsi="Times New Roman" w:cs="Times New Roman"/>
              </w:rPr>
              <w:t>mg QOD</w:t>
            </w:r>
          </w:p>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25</w:t>
            </w:r>
            <w:r w:rsidR="002A3B22">
              <w:rPr>
                <w:rFonts w:ascii="Times New Roman" w:hAnsi="Times New Roman" w:cs="Times New Roman"/>
              </w:rPr>
              <w:t xml:space="preserve"> </w:t>
            </w:r>
            <w:r>
              <w:rPr>
                <w:rFonts w:ascii="Times New Roman" w:hAnsi="Times New Roman" w:cs="Times New Roman"/>
              </w:rPr>
              <w:t>mg QOD to withhold</w:t>
            </w:r>
          </w:p>
        </w:tc>
      </w:tr>
      <w:tr w:rsidR="00652E30" w:rsidTr="00D81368">
        <w:tblPrEx>
          <w:tblCellMar>
            <w:top w:w="0" w:type="dxa"/>
            <w:bottom w:w="0" w:type="dxa"/>
          </w:tblCellMar>
        </w:tblPrEx>
        <w:tc>
          <w:tcPr>
            <w:tcW w:w="2363"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≥6.0</w:t>
            </w:r>
          </w:p>
        </w:tc>
        <w:tc>
          <w:tcPr>
            <w:tcW w:w="1914" w:type="dxa"/>
            <w:tcBorders>
              <w:top w:val="single" w:sz="8" w:space="0" w:color="auto"/>
              <w:left w:val="single" w:sz="8" w:space="0" w:color="auto"/>
              <w:bottom w:val="single" w:sz="8" w:space="0" w:color="auto"/>
              <w:right w:val="single" w:sz="8" w:space="0" w:color="auto"/>
            </w:tcBorders>
          </w:tcPr>
          <w:p w:rsidR="00652E30" w:rsidRDefault="00652E30">
            <w:pPr>
              <w:pStyle w:val="BodyText2"/>
              <w:spacing w:before="60" w:after="60" w:line="240" w:lineRule="auto"/>
              <w:rPr>
                <w:rFonts w:ascii="Times New Roman" w:hAnsi="Times New Roman" w:cs="Times New Roman"/>
              </w:rPr>
            </w:pPr>
            <w:r>
              <w:rPr>
                <w:rFonts w:ascii="Times New Roman" w:hAnsi="Times New Roman" w:cs="Times New Roman"/>
              </w:rPr>
              <w:t>Withhold</w:t>
            </w:r>
          </w:p>
        </w:tc>
        <w:tc>
          <w:tcPr>
            <w:tcW w:w="3000" w:type="dxa"/>
            <w:tcBorders>
              <w:top w:val="single" w:sz="8" w:space="0" w:color="auto"/>
              <w:left w:val="single" w:sz="8" w:space="0" w:color="auto"/>
              <w:bottom w:val="single" w:sz="8" w:space="0" w:color="auto"/>
              <w:right w:val="single" w:sz="8" w:space="0" w:color="auto"/>
            </w:tcBorders>
          </w:tcPr>
          <w:p w:rsidR="00652E30" w:rsidRDefault="007C5653">
            <w:pPr>
              <w:pStyle w:val="BodyText2"/>
              <w:spacing w:before="60" w:after="60" w:line="240" w:lineRule="auto"/>
              <w:rPr>
                <w:rFonts w:ascii="Times New Roman" w:hAnsi="Times New Roman" w:cs="Times New Roman"/>
              </w:rPr>
            </w:pPr>
            <w:r>
              <w:rPr>
                <w:rFonts w:ascii="Times New Roman" w:hAnsi="Times New Roman" w:cs="Times New Roman"/>
              </w:rPr>
              <w:t>N/A</w:t>
            </w:r>
          </w:p>
        </w:tc>
      </w:tr>
      <w:tr w:rsidR="00652E30" w:rsidTr="00D81368">
        <w:tblPrEx>
          <w:tblCellMar>
            <w:top w:w="0" w:type="dxa"/>
            <w:bottom w:w="0" w:type="dxa"/>
          </w:tblCellMar>
        </w:tblPrEx>
        <w:trPr>
          <w:cantSplit/>
        </w:trPr>
        <w:tc>
          <w:tcPr>
            <w:tcW w:w="7277" w:type="dxa"/>
            <w:gridSpan w:val="3"/>
            <w:tcBorders>
              <w:top w:val="single" w:sz="8" w:space="0" w:color="auto"/>
              <w:left w:val="nil"/>
              <w:bottom w:val="nil"/>
              <w:right w:val="nil"/>
            </w:tcBorders>
          </w:tcPr>
          <w:p w:rsidR="00652E30" w:rsidRDefault="00652E30">
            <w:pPr>
              <w:pStyle w:val="BodyText2"/>
              <w:spacing w:line="240" w:lineRule="auto"/>
              <w:rPr>
                <w:rFonts w:ascii="Times New Roman" w:hAnsi="Times New Roman" w:cs="Times New Roman"/>
                <w:sz w:val="20"/>
              </w:rPr>
            </w:pPr>
            <w:r>
              <w:rPr>
                <w:rFonts w:ascii="Times New Roman" w:hAnsi="Times New Roman" w:cs="Times New Roman"/>
                <w:sz w:val="20"/>
              </w:rPr>
              <w:t xml:space="preserve">QOD: take </w:t>
            </w:r>
            <w:r w:rsidR="00527983">
              <w:rPr>
                <w:rFonts w:ascii="Times New Roman" w:hAnsi="Times New Roman" w:cs="Times New Roman"/>
                <w:sz w:val="20"/>
              </w:rPr>
              <w:t>INSPRA</w:t>
            </w:r>
            <w:r>
              <w:rPr>
                <w:rFonts w:ascii="Times New Roman" w:hAnsi="Times New Roman" w:cs="Times New Roman"/>
                <w:sz w:val="20"/>
              </w:rPr>
              <w:t xml:space="preserve"> every other day; QD: take </w:t>
            </w:r>
            <w:r w:rsidR="00527983">
              <w:rPr>
                <w:rFonts w:ascii="Times New Roman" w:hAnsi="Times New Roman" w:cs="Times New Roman"/>
                <w:sz w:val="20"/>
              </w:rPr>
              <w:t>INSPRA</w:t>
            </w:r>
            <w:r>
              <w:rPr>
                <w:rFonts w:ascii="Times New Roman" w:hAnsi="Times New Roman" w:cs="Times New Roman"/>
                <w:sz w:val="20"/>
              </w:rPr>
              <w:t xml:space="preserve"> once daily</w:t>
            </w:r>
          </w:p>
          <w:p w:rsidR="00652E30" w:rsidRDefault="007C5F6A" w:rsidP="00B52C2C">
            <w:pPr>
              <w:pStyle w:val="BodyText2"/>
              <w:spacing w:line="240" w:lineRule="auto"/>
              <w:rPr>
                <w:rFonts w:ascii="Times New Roman" w:hAnsi="Times New Roman" w:cs="Times New Roman"/>
                <w:sz w:val="20"/>
              </w:rPr>
            </w:pPr>
            <w:r>
              <w:rPr>
                <w:rFonts w:ascii="Times New Roman" w:hAnsi="Times New Roman" w:cs="Times New Roman"/>
                <w:sz w:val="20"/>
              </w:rPr>
              <w:t xml:space="preserve">* Only </w:t>
            </w:r>
            <w:r w:rsidR="00223323">
              <w:rPr>
                <w:rFonts w:ascii="Times New Roman" w:hAnsi="Times New Roman" w:cs="Times New Roman"/>
                <w:sz w:val="20"/>
              </w:rPr>
              <w:t xml:space="preserve">increase </w:t>
            </w:r>
            <w:r>
              <w:rPr>
                <w:rFonts w:ascii="Times New Roman" w:hAnsi="Times New Roman" w:cs="Times New Roman"/>
                <w:sz w:val="20"/>
              </w:rPr>
              <w:t>if baseline eGFR &gt; 50 mL/min/1.73 m</w:t>
            </w:r>
            <w:r w:rsidRPr="007C5F6A">
              <w:rPr>
                <w:rFonts w:ascii="Times New Roman" w:hAnsi="Times New Roman" w:cs="Times New Roman"/>
                <w:sz w:val="20"/>
                <w:vertAlign w:val="superscript"/>
              </w:rPr>
              <w:t>2</w:t>
            </w:r>
            <w:r>
              <w:rPr>
                <w:rFonts w:ascii="Times New Roman" w:hAnsi="Times New Roman" w:cs="Times New Roman"/>
                <w:sz w:val="20"/>
              </w:rPr>
              <w:t xml:space="preserve">.  See </w:t>
            </w:r>
            <w:fldSimple w:instr=" REF _Ref354128473 \h  \* MERGEFORMAT ">
              <w:r w:rsidR="00B52C2C" w:rsidRPr="00B52C2C">
                <w:rPr>
                  <w:rFonts w:ascii="Times New Roman" w:hAnsi="Times New Roman" w:cs="Times New Roman"/>
                  <w:sz w:val="20"/>
                </w:rPr>
                <w:t xml:space="preserve">Table </w:t>
              </w:r>
              <w:r w:rsidR="00B52C2C" w:rsidRPr="00B52C2C">
                <w:rPr>
                  <w:rFonts w:ascii="Times New Roman" w:hAnsi="Times New Roman" w:cs="Times New Roman"/>
                  <w:noProof/>
                  <w:sz w:val="20"/>
                </w:rPr>
                <w:t>12</w:t>
              </w:r>
            </w:fldSimple>
            <w:r w:rsidR="00B52C2C">
              <w:rPr>
                <w:rFonts w:ascii="Times New Roman" w:hAnsi="Times New Roman" w:cs="Times New Roman"/>
                <w:sz w:val="20"/>
              </w:rPr>
              <w:t xml:space="preserve"> </w:t>
            </w:r>
            <w:r>
              <w:rPr>
                <w:rFonts w:ascii="Times New Roman" w:hAnsi="Times New Roman" w:cs="Times New Roman"/>
                <w:sz w:val="20"/>
              </w:rPr>
              <w:t>below for detail on maximum dose for each cohort</w:t>
            </w:r>
          </w:p>
        </w:tc>
      </w:tr>
    </w:tbl>
    <w:p w:rsidR="00652E30" w:rsidRDefault="00652E30" w:rsidP="006308C3">
      <w:r>
        <w:br/>
      </w:r>
      <w:r w:rsidR="00527983">
        <w:t>INSPRA</w:t>
      </w:r>
      <w:r>
        <w:t xml:space="preserve"> should be suspended when serum potassium is </w:t>
      </w:r>
      <w:r>
        <w:sym w:font="Symbol" w:char="F0B3"/>
      </w:r>
      <w:r>
        <w:t xml:space="preserve">6.0mmol/L. </w:t>
      </w:r>
      <w:r w:rsidR="006E581A">
        <w:t xml:space="preserve"> </w:t>
      </w:r>
      <w:r>
        <w:t>It can be restarted at a dose of 25</w:t>
      </w:r>
      <w:r w:rsidR="002A3B22">
        <w:t xml:space="preserve"> </w:t>
      </w:r>
      <w:r>
        <w:t>mg every other day when serum potassium levels have fallen below 5.</w:t>
      </w:r>
      <w:r w:rsidR="00F7551C">
        <w:t xml:space="preserve">0 </w:t>
      </w:r>
      <w:r>
        <w:t xml:space="preserve">mmol/L. </w:t>
      </w:r>
      <w:r w:rsidR="006E581A">
        <w:t xml:space="preserve"> </w:t>
      </w:r>
      <w:r>
        <w:t>Serum potassium monitoring should continue once eplerenone has been re-started again.</w:t>
      </w:r>
    </w:p>
    <w:p w:rsidR="00E915AC" w:rsidRPr="0064491A" w:rsidRDefault="00E915AC" w:rsidP="00E915AC">
      <w:pPr>
        <w:pStyle w:val="Heading3"/>
      </w:pPr>
      <w:r w:rsidRPr="0064491A">
        <w:lastRenderedPageBreak/>
        <w:t>Concomitant Treatment</w:t>
      </w:r>
      <w:r w:rsidRPr="0064491A">
        <w:rPr>
          <w:vertAlign w:val="superscript"/>
        </w:rPr>
        <w:t>†</w:t>
      </w:r>
    </w:p>
    <w:p w:rsidR="00E915AC" w:rsidRPr="00E915AC" w:rsidRDefault="00E915AC" w:rsidP="00E915AC">
      <w:r w:rsidRPr="0064491A">
        <w:t xml:space="preserve">In case of concomitant treatment with mild to moderate CYP3A4 inhibitors, e.g. amiodarone, diltiazem, erythromycin, saquinavir, fluconazole and verapamil, </w:t>
      </w:r>
      <w:r w:rsidR="0008031D" w:rsidRPr="0064491A">
        <w:t>d</w:t>
      </w:r>
      <w:r w:rsidRPr="0064491A">
        <w:t xml:space="preserve">osing should not exceed 25 mg </w:t>
      </w:r>
      <w:r w:rsidR="0008031D" w:rsidRPr="0064491A">
        <w:t>once daily</w:t>
      </w:r>
      <w:r w:rsidRPr="0064491A">
        <w:t>.</w:t>
      </w:r>
    </w:p>
    <w:p w:rsidR="00652E30" w:rsidRDefault="00527983" w:rsidP="006308C3">
      <w:r>
        <w:t>INSPRA</w:t>
      </w:r>
      <w:r w:rsidR="00652E30">
        <w:t xml:space="preserve"> may be administered with or without food.</w:t>
      </w:r>
    </w:p>
    <w:p w:rsidR="00652E30" w:rsidRDefault="00652E30" w:rsidP="006308C3">
      <w:pPr>
        <w:pStyle w:val="Heading3"/>
      </w:pPr>
      <w:r>
        <w:t xml:space="preserve">Special </w:t>
      </w:r>
      <w:r w:rsidR="004B3596">
        <w:t>P</w:t>
      </w:r>
      <w:r>
        <w:t>opulations</w:t>
      </w:r>
    </w:p>
    <w:p w:rsidR="006308C3" w:rsidRDefault="00652E30" w:rsidP="006308C3">
      <w:pPr>
        <w:pStyle w:val="Heading4"/>
      </w:pPr>
      <w:r>
        <w:t>Children</w:t>
      </w:r>
    </w:p>
    <w:p w:rsidR="00652E30" w:rsidRDefault="00652E30" w:rsidP="006308C3">
      <w:r>
        <w:t xml:space="preserve">There are insufficient data to recommend the use of </w:t>
      </w:r>
      <w:r w:rsidR="00527983">
        <w:t>INSPRA</w:t>
      </w:r>
      <w:r>
        <w:t xml:space="preserve"> in the paediatric population, and therefore, use in this age group is not recommended.</w:t>
      </w:r>
    </w:p>
    <w:p w:rsidR="006308C3" w:rsidRDefault="00652E30" w:rsidP="006308C3">
      <w:pPr>
        <w:pStyle w:val="Heading4"/>
      </w:pPr>
      <w:r>
        <w:t xml:space="preserve">Elderly </w:t>
      </w:r>
      <w:r w:rsidR="006308C3">
        <w:t>P</w:t>
      </w:r>
      <w:r>
        <w:t>atients</w:t>
      </w:r>
    </w:p>
    <w:p w:rsidR="00652E30" w:rsidRDefault="00652E30" w:rsidP="006B5334">
      <w:pPr>
        <w:pStyle w:val="Paragraph"/>
        <w:jc w:val="both"/>
      </w:pPr>
      <w:r>
        <w:t>No dose adjustment is required in the elderly.</w:t>
      </w:r>
    </w:p>
    <w:p w:rsidR="00CC5E7C" w:rsidRPr="00BC16BA" w:rsidRDefault="00652E30" w:rsidP="00BC16BA">
      <w:pPr>
        <w:pStyle w:val="Heading4"/>
      </w:pPr>
      <w:r>
        <w:t xml:space="preserve">Patients with </w:t>
      </w:r>
      <w:r w:rsidR="00E04C1A">
        <w:t>Chronic Kidney Disease</w:t>
      </w:r>
      <w:r w:rsidR="00685334" w:rsidRPr="006C28A4">
        <w:rPr>
          <w:vertAlign w:val="superscript"/>
        </w:rPr>
        <w:t>†</w:t>
      </w:r>
    </w:p>
    <w:p w:rsidR="009F6C1E" w:rsidRDefault="009F6C1E" w:rsidP="006308C3">
      <w:r>
        <w:t>Periodic monitoring of serum potassium is recommended</w:t>
      </w:r>
      <w:r w:rsidR="00E04C1A">
        <w:t xml:space="preserve">, in particular in patients with </w:t>
      </w:r>
      <w:r w:rsidR="00E04C1A">
        <w:rPr>
          <w:lang w:eastAsia="en-AU"/>
        </w:rPr>
        <w:t xml:space="preserve">chronic kidney disease, to avoid serum potassium levels </w:t>
      </w:r>
      <w:r w:rsidR="006B2798">
        <w:rPr>
          <w:lang w:eastAsia="en-AU"/>
        </w:rPr>
        <w:t>&gt;</w:t>
      </w:r>
      <w:r w:rsidR="00E04C1A">
        <w:rPr>
          <w:lang w:eastAsia="en-AU"/>
        </w:rPr>
        <w:t xml:space="preserve"> 5.5 mmol/L</w:t>
      </w:r>
      <w:r>
        <w:t xml:space="preserve"> (see </w:t>
      </w:r>
      <w:r w:rsidR="0064491A">
        <w:t xml:space="preserve">DOSAGE AND ADMINISTRATION, Serum Potassium levels and </w:t>
      </w:r>
      <w:r>
        <w:t xml:space="preserve">PRECAUTIONS, </w:t>
      </w:r>
      <w:r w:rsidR="006B2798" w:rsidRPr="006B2798">
        <w:t>Chronic Kidney Disease</w:t>
      </w:r>
      <w:r>
        <w:t>).</w:t>
      </w:r>
    </w:p>
    <w:p w:rsidR="0018092F" w:rsidRDefault="0018092F" w:rsidP="0018092F">
      <w:pPr>
        <w:pStyle w:val="Paragraph"/>
        <w:jc w:val="both"/>
      </w:pPr>
      <w:r w:rsidRPr="00685334">
        <w:t>Dosage should be initiated as follows and adjusted based on serum potassium levels as described above</w:t>
      </w:r>
      <w:r w:rsidR="00B52C2C">
        <w:t xml:space="preserve"> in </w:t>
      </w:r>
      <w:r w:rsidR="00B52C2C">
        <w:fldChar w:fldCharType="begin"/>
      </w:r>
      <w:r w:rsidR="00B52C2C">
        <w:instrText xml:space="preserve"> REF _Ref354128369 \h </w:instrText>
      </w:r>
      <w:r w:rsidR="00B52C2C">
        <w:fldChar w:fldCharType="separate"/>
      </w:r>
      <w:r w:rsidR="00B52C2C">
        <w:t xml:space="preserve">Table </w:t>
      </w:r>
      <w:r w:rsidR="00B52C2C">
        <w:rPr>
          <w:noProof/>
        </w:rPr>
        <w:t>11</w:t>
      </w:r>
      <w:r w:rsidR="00B52C2C">
        <w:fldChar w:fldCharType="end"/>
      </w:r>
      <w:r w:rsidRPr="00685334">
        <w:t>.</w:t>
      </w:r>
    </w:p>
    <w:p w:rsidR="00B52C2C" w:rsidRPr="00685334" w:rsidRDefault="00B52C2C" w:rsidP="00B52C2C">
      <w:pPr>
        <w:pStyle w:val="Caption"/>
      </w:pPr>
      <w:bookmarkStart w:id="6" w:name="_Ref354128473"/>
      <w:r>
        <w:t xml:space="preserve">Table </w:t>
      </w:r>
      <w:fldSimple w:instr=" SEQ Table \* ARABIC ">
        <w:r>
          <w:rPr>
            <w:noProof/>
          </w:rPr>
          <w:t>12</w:t>
        </w:r>
      </w:fldSimple>
      <w:bookmarkEnd w:id="6"/>
      <w:r>
        <w:t xml:space="preserve"> Dose adjustment based on renal function</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51"/>
        <w:gridCol w:w="1445"/>
        <w:gridCol w:w="1446"/>
        <w:gridCol w:w="1446"/>
        <w:gridCol w:w="1050"/>
        <w:gridCol w:w="1842"/>
        <w:tblGridChange w:id="7">
          <w:tblGrid>
            <w:gridCol w:w="1951"/>
            <w:gridCol w:w="1445"/>
            <w:gridCol w:w="1446"/>
            <w:gridCol w:w="1446"/>
            <w:gridCol w:w="1050"/>
            <w:gridCol w:w="1842"/>
          </w:tblGrid>
        </w:tblGridChange>
      </w:tblGrid>
      <w:tr w:rsidR="0018092F" w:rsidRPr="000B7751" w:rsidTr="0018092F">
        <w:tc>
          <w:tcPr>
            <w:tcW w:w="6288" w:type="dxa"/>
            <w:gridSpan w:val="4"/>
            <w:tcBorders>
              <w:right w:val="single" w:sz="18" w:space="0" w:color="auto"/>
            </w:tcBorders>
          </w:tcPr>
          <w:p w:rsidR="0018092F" w:rsidRPr="009A1D33" w:rsidRDefault="0018092F" w:rsidP="0018092F">
            <w:pPr>
              <w:pStyle w:val="Paragraph"/>
              <w:rPr>
                <w:b/>
              </w:rPr>
            </w:pPr>
            <w:r w:rsidRPr="009A1D33">
              <w:rPr>
                <w:b/>
              </w:rPr>
              <w:t>Baseline renal function and dose adjustment</w:t>
            </w:r>
          </w:p>
        </w:tc>
        <w:tc>
          <w:tcPr>
            <w:tcW w:w="2892" w:type="dxa"/>
            <w:gridSpan w:val="2"/>
            <w:tcBorders>
              <w:left w:val="single" w:sz="18" w:space="0" w:color="auto"/>
            </w:tcBorders>
          </w:tcPr>
          <w:p w:rsidR="0018092F" w:rsidRPr="009A1D33" w:rsidRDefault="0018092F" w:rsidP="0018092F">
            <w:pPr>
              <w:pStyle w:val="Paragraph"/>
              <w:rPr>
                <w:b/>
              </w:rPr>
            </w:pPr>
            <w:r w:rsidRPr="009A1D33">
              <w:rPr>
                <w:b/>
              </w:rPr>
              <w:t xml:space="preserve">Kidney Health </w:t>
            </w:r>
            <w:smartTag w:uri="urn:schemas-microsoft-com:office:smarttags" w:element="country-region">
              <w:smartTag w:uri="urn:schemas-microsoft-com:office:smarttags" w:element="place">
                <w:r w:rsidRPr="009A1D33">
                  <w:rPr>
                    <w:b/>
                  </w:rPr>
                  <w:t>Australia</w:t>
                </w:r>
              </w:smartTag>
            </w:smartTag>
            <w:r w:rsidRPr="009A1D33">
              <w:rPr>
                <w:b/>
              </w:rPr>
              <w:t xml:space="preserve"> CKD staging</w:t>
            </w:r>
          </w:p>
        </w:tc>
      </w:tr>
      <w:tr w:rsidR="0018092F" w:rsidRPr="000B7751" w:rsidTr="0018092F">
        <w:tc>
          <w:tcPr>
            <w:tcW w:w="1951" w:type="dxa"/>
          </w:tcPr>
          <w:p w:rsidR="0018092F" w:rsidRPr="000B7751" w:rsidRDefault="0018092F" w:rsidP="0018092F">
            <w:pPr>
              <w:pStyle w:val="Paragraph"/>
            </w:pPr>
            <w:r>
              <w:t>Baseline eGFR (mL</w:t>
            </w:r>
            <w:r w:rsidRPr="000B7751">
              <w:t>/min/1.73m</w:t>
            </w:r>
            <w:r w:rsidRPr="000B7751">
              <w:rPr>
                <w:vertAlign w:val="superscript"/>
              </w:rPr>
              <w:t>2</w:t>
            </w:r>
            <w:r w:rsidRPr="000B7751">
              <w:t>)</w:t>
            </w:r>
          </w:p>
        </w:tc>
        <w:tc>
          <w:tcPr>
            <w:tcW w:w="1445" w:type="dxa"/>
          </w:tcPr>
          <w:p w:rsidR="0018092F" w:rsidRPr="000B7751" w:rsidRDefault="0018092F" w:rsidP="0018092F">
            <w:pPr>
              <w:pStyle w:val="Paragraph"/>
            </w:pPr>
            <w:r w:rsidRPr="000B7751">
              <w:t>Inspra</w:t>
            </w:r>
            <w:r>
              <w:t xml:space="preserve"> starting dose (mg)</w:t>
            </w:r>
          </w:p>
        </w:tc>
        <w:tc>
          <w:tcPr>
            <w:tcW w:w="1446" w:type="dxa"/>
          </w:tcPr>
          <w:p w:rsidR="0018092F" w:rsidRPr="000B7751" w:rsidRDefault="0018092F" w:rsidP="0018092F">
            <w:pPr>
              <w:pStyle w:val="Paragraph"/>
            </w:pPr>
            <w:r w:rsidRPr="000B7751">
              <w:t>Inspra</w:t>
            </w:r>
            <w:r>
              <w:t xml:space="preserve"> dose at 4 weeks (mg)</w:t>
            </w:r>
          </w:p>
        </w:tc>
        <w:tc>
          <w:tcPr>
            <w:tcW w:w="1446" w:type="dxa"/>
            <w:tcBorders>
              <w:right w:val="single" w:sz="18" w:space="0" w:color="auto"/>
            </w:tcBorders>
          </w:tcPr>
          <w:p w:rsidR="0018092F" w:rsidRPr="000B7751" w:rsidRDefault="0018092F" w:rsidP="0018092F">
            <w:pPr>
              <w:pStyle w:val="Paragraph"/>
            </w:pPr>
            <w:r>
              <w:t>Maximum dose (mg)</w:t>
            </w:r>
          </w:p>
        </w:tc>
        <w:tc>
          <w:tcPr>
            <w:tcW w:w="1050" w:type="dxa"/>
            <w:tcBorders>
              <w:left w:val="single" w:sz="18" w:space="0" w:color="auto"/>
            </w:tcBorders>
          </w:tcPr>
          <w:p w:rsidR="0018092F" w:rsidRPr="000B7751" w:rsidRDefault="0018092F" w:rsidP="0018092F">
            <w:pPr>
              <w:pStyle w:val="Paragraph"/>
            </w:pPr>
            <w:r>
              <w:t xml:space="preserve">CKD </w:t>
            </w:r>
            <w:r w:rsidRPr="000B7751">
              <w:t>function stage</w:t>
            </w:r>
          </w:p>
        </w:tc>
        <w:tc>
          <w:tcPr>
            <w:tcW w:w="1842" w:type="dxa"/>
          </w:tcPr>
          <w:p w:rsidR="0018092F" w:rsidRPr="000B7751" w:rsidRDefault="0018092F" w:rsidP="0018092F">
            <w:pPr>
              <w:pStyle w:val="Paragraph"/>
            </w:pPr>
            <w:r w:rsidRPr="000B7751">
              <w:t>eGFR (ml/min/1.73m</w:t>
            </w:r>
            <w:r w:rsidRPr="000B7751">
              <w:rPr>
                <w:vertAlign w:val="superscript"/>
              </w:rPr>
              <w:t>2</w:t>
            </w:r>
            <w:r w:rsidRPr="000B7751">
              <w:t>)</w:t>
            </w:r>
          </w:p>
        </w:tc>
      </w:tr>
      <w:tr w:rsidR="0018092F" w:rsidRPr="000B7751" w:rsidTr="0018092F">
        <w:trPr>
          <w:trHeight w:val="1070"/>
        </w:trPr>
        <w:tc>
          <w:tcPr>
            <w:tcW w:w="1951" w:type="dxa"/>
            <w:vMerge w:val="restart"/>
          </w:tcPr>
          <w:p w:rsidR="0018092F" w:rsidRDefault="0018092F" w:rsidP="0018092F">
            <w:pPr>
              <w:pStyle w:val="Paragraph"/>
            </w:pPr>
            <w:r>
              <w:t>≥ 50</w:t>
            </w:r>
          </w:p>
        </w:tc>
        <w:tc>
          <w:tcPr>
            <w:tcW w:w="1445" w:type="dxa"/>
            <w:vMerge w:val="restart"/>
          </w:tcPr>
          <w:p w:rsidR="0018092F" w:rsidRPr="000B7751" w:rsidRDefault="0018092F" w:rsidP="0018092F">
            <w:pPr>
              <w:pStyle w:val="Paragraph"/>
            </w:pPr>
            <w:r w:rsidRPr="000B7751">
              <w:t>2</w:t>
            </w:r>
            <w:r>
              <w:t>5 mg once daily</w:t>
            </w:r>
          </w:p>
        </w:tc>
        <w:tc>
          <w:tcPr>
            <w:tcW w:w="1446" w:type="dxa"/>
            <w:vMerge w:val="restart"/>
          </w:tcPr>
          <w:p w:rsidR="0018092F" w:rsidRPr="000B7751" w:rsidRDefault="0018092F" w:rsidP="0018092F">
            <w:pPr>
              <w:pStyle w:val="Paragraph"/>
            </w:pPr>
            <w:r>
              <w:t>50 mg daily, if serum potassium remains &lt;5.0 mmol/L</w:t>
            </w:r>
          </w:p>
        </w:tc>
        <w:tc>
          <w:tcPr>
            <w:tcW w:w="1446" w:type="dxa"/>
            <w:vMerge w:val="restart"/>
            <w:tcBorders>
              <w:right w:val="single" w:sz="18" w:space="0" w:color="auto"/>
            </w:tcBorders>
          </w:tcPr>
          <w:p w:rsidR="0018092F" w:rsidRDefault="0018092F" w:rsidP="0018092F">
            <w:pPr>
              <w:pStyle w:val="Paragraph"/>
            </w:pPr>
            <w:r>
              <w:t>50 mg daily</w:t>
            </w:r>
          </w:p>
        </w:tc>
        <w:tc>
          <w:tcPr>
            <w:tcW w:w="1050" w:type="dxa"/>
            <w:tcBorders>
              <w:left w:val="single" w:sz="18" w:space="0" w:color="auto"/>
            </w:tcBorders>
          </w:tcPr>
          <w:p w:rsidR="0018092F" w:rsidRDefault="0018092F" w:rsidP="0018092F">
            <w:pPr>
              <w:pStyle w:val="Paragraph"/>
            </w:pPr>
            <w:r>
              <w:t>1</w:t>
            </w:r>
          </w:p>
        </w:tc>
        <w:tc>
          <w:tcPr>
            <w:tcW w:w="1842" w:type="dxa"/>
          </w:tcPr>
          <w:p w:rsidR="0018092F" w:rsidRPr="000B7751" w:rsidRDefault="0018092F" w:rsidP="0018092F">
            <w:pPr>
              <w:pStyle w:val="Paragraph"/>
            </w:pPr>
            <w:r>
              <w:t>≥90</w:t>
            </w:r>
          </w:p>
        </w:tc>
      </w:tr>
      <w:tr w:rsidR="0018092F" w:rsidRPr="000B7751" w:rsidTr="0018092F">
        <w:trPr>
          <w:trHeight w:val="986"/>
        </w:trPr>
        <w:tc>
          <w:tcPr>
            <w:tcW w:w="1951" w:type="dxa"/>
            <w:vMerge/>
          </w:tcPr>
          <w:p w:rsidR="0018092F" w:rsidRPr="000B7751" w:rsidRDefault="0018092F" w:rsidP="0018092F">
            <w:pPr>
              <w:pStyle w:val="Paragraph"/>
            </w:pPr>
          </w:p>
        </w:tc>
        <w:tc>
          <w:tcPr>
            <w:tcW w:w="1445" w:type="dxa"/>
            <w:vMerge/>
          </w:tcPr>
          <w:p w:rsidR="0018092F" w:rsidRPr="000B7751" w:rsidRDefault="0018092F" w:rsidP="0018092F">
            <w:pPr>
              <w:pStyle w:val="Paragraph"/>
            </w:pPr>
          </w:p>
        </w:tc>
        <w:tc>
          <w:tcPr>
            <w:tcW w:w="1446" w:type="dxa"/>
            <w:vMerge/>
          </w:tcPr>
          <w:p w:rsidR="0018092F" w:rsidRPr="000B7751" w:rsidRDefault="0018092F" w:rsidP="0018092F">
            <w:pPr>
              <w:pStyle w:val="Paragraph"/>
            </w:pPr>
          </w:p>
        </w:tc>
        <w:tc>
          <w:tcPr>
            <w:tcW w:w="1446" w:type="dxa"/>
            <w:vMerge/>
            <w:tcBorders>
              <w:right w:val="single" w:sz="18" w:space="0" w:color="auto"/>
            </w:tcBorders>
          </w:tcPr>
          <w:p w:rsidR="0018092F" w:rsidRPr="000B7751" w:rsidRDefault="0018092F" w:rsidP="0018092F">
            <w:pPr>
              <w:pStyle w:val="Paragraph"/>
            </w:pPr>
          </w:p>
        </w:tc>
        <w:tc>
          <w:tcPr>
            <w:tcW w:w="1050" w:type="dxa"/>
            <w:tcBorders>
              <w:left w:val="single" w:sz="18" w:space="0" w:color="auto"/>
            </w:tcBorders>
          </w:tcPr>
          <w:p w:rsidR="0018092F" w:rsidRPr="000B7751" w:rsidRDefault="0018092F" w:rsidP="0018092F">
            <w:pPr>
              <w:pStyle w:val="Paragraph"/>
            </w:pPr>
            <w:r w:rsidRPr="000B7751">
              <w:t>2</w:t>
            </w:r>
          </w:p>
        </w:tc>
        <w:tc>
          <w:tcPr>
            <w:tcW w:w="1842" w:type="dxa"/>
          </w:tcPr>
          <w:p w:rsidR="0018092F" w:rsidRPr="000B7751" w:rsidRDefault="0018092F" w:rsidP="0018092F">
            <w:pPr>
              <w:pStyle w:val="Paragraph"/>
            </w:pPr>
            <w:r w:rsidRPr="000B7751">
              <w:t xml:space="preserve">60 </w:t>
            </w:r>
            <w:r>
              <w:t>–</w:t>
            </w:r>
            <w:r w:rsidRPr="000B7751">
              <w:t xml:space="preserve"> 89</w:t>
            </w:r>
          </w:p>
        </w:tc>
      </w:tr>
      <w:tr w:rsidR="0018092F" w:rsidRPr="000B7751" w:rsidTr="0018092F">
        <w:trPr>
          <w:trHeight w:val="516"/>
        </w:trPr>
        <w:tc>
          <w:tcPr>
            <w:tcW w:w="1951" w:type="dxa"/>
            <w:vMerge/>
          </w:tcPr>
          <w:p w:rsidR="0018092F" w:rsidRDefault="0018092F" w:rsidP="0018092F">
            <w:pPr>
              <w:pStyle w:val="Paragraph"/>
            </w:pPr>
          </w:p>
        </w:tc>
        <w:tc>
          <w:tcPr>
            <w:tcW w:w="1445" w:type="dxa"/>
            <w:vMerge/>
          </w:tcPr>
          <w:p w:rsidR="0018092F" w:rsidRPr="000B7751" w:rsidRDefault="0018092F" w:rsidP="0018092F">
            <w:pPr>
              <w:pStyle w:val="Paragraph"/>
            </w:pPr>
          </w:p>
        </w:tc>
        <w:tc>
          <w:tcPr>
            <w:tcW w:w="1446" w:type="dxa"/>
            <w:vMerge/>
          </w:tcPr>
          <w:p w:rsidR="0018092F" w:rsidRDefault="0018092F" w:rsidP="0018092F">
            <w:pPr>
              <w:pStyle w:val="Paragraph"/>
            </w:pPr>
          </w:p>
        </w:tc>
        <w:tc>
          <w:tcPr>
            <w:tcW w:w="1446" w:type="dxa"/>
            <w:vMerge/>
            <w:tcBorders>
              <w:right w:val="single" w:sz="18" w:space="0" w:color="auto"/>
            </w:tcBorders>
          </w:tcPr>
          <w:p w:rsidR="0018092F" w:rsidRDefault="0018092F" w:rsidP="0018092F">
            <w:pPr>
              <w:pStyle w:val="Paragraph"/>
            </w:pPr>
          </w:p>
        </w:tc>
        <w:tc>
          <w:tcPr>
            <w:tcW w:w="1050" w:type="dxa"/>
            <w:vMerge w:val="restart"/>
            <w:tcBorders>
              <w:left w:val="single" w:sz="18" w:space="0" w:color="auto"/>
            </w:tcBorders>
          </w:tcPr>
          <w:p w:rsidR="0018092F" w:rsidRDefault="0018092F" w:rsidP="0018092F">
            <w:pPr>
              <w:pStyle w:val="Paragraph"/>
            </w:pPr>
          </w:p>
          <w:p w:rsidR="0018092F" w:rsidRPr="000B7751" w:rsidRDefault="0018092F" w:rsidP="0018092F">
            <w:pPr>
              <w:pStyle w:val="Paragraph"/>
            </w:pPr>
            <w:r w:rsidRPr="000B7751">
              <w:t>3</w:t>
            </w:r>
          </w:p>
        </w:tc>
        <w:tc>
          <w:tcPr>
            <w:tcW w:w="1842" w:type="dxa"/>
            <w:vMerge w:val="restart"/>
          </w:tcPr>
          <w:p w:rsidR="0018092F" w:rsidRDefault="0018092F" w:rsidP="0018092F">
            <w:pPr>
              <w:pStyle w:val="Paragraph"/>
            </w:pPr>
          </w:p>
          <w:p w:rsidR="0018092F" w:rsidRPr="000B7751" w:rsidRDefault="0018092F" w:rsidP="0018092F">
            <w:pPr>
              <w:pStyle w:val="Paragraph"/>
            </w:pPr>
            <w:r w:rsidRPr="000B7751">
              <w:t xml:space="preserve">30 </w:t>
            </w:r>
            <w:r>
              <w:t>–</w:t>
            </w:r>
            <w:r w:rsidRPr="000B7751">
              <w:t xml:space="preserve"> 59</w:t>
            </w:r>
          </w:p>
        </w:tc>
      </w:tr>
      <w:tr w:rsidR="0018092F" w:rsidRPr="000B7751" w:rsidTr="0018092F">
        <w:tc>
          <w:tcPr>
            <w:tcW w:w="1951" w:type="dxa"/>
          </w:tcPr>
          <w:p w:rsidR="0018092F" w:rsidRPr="000B7751" w:rsidRDefault="0018092F" w:rsidP="0018092F">
            <w:pPr>
              <w:pStyle w:val="Paragraph"/>
            </w:pPr>
            <w:r>
              <w:t>30 – 49</w:t>
            </w:r>
          </w:p>
        </w:tc>
        <w:tc>
          <w:tcPr>
            <w:tcW w:w="1445" w:type="dxa"/>
          </w:tcPr>
          <w:p w:rsidR="0018092F" w:rsidRPr="000B7751" w:rsidRDefault="0018092F" w:rsidP="0018092F">
            <w:pPr>
              <w:pStyle w:val="Paragraph"/>
            </w:pPr>
            <w:r w:rsidRPr="000B7751">
              <w:t>2</w:t>
            </w:r>
            <w:r>
              <w:t>5 mg once every other day</w:t>
            </w:r>
          </w:p>
        </w:tc>
        <w:tc>
          <w:tcPr>
            <w:tcW w:w="1446" w:type="dxa"/>
          </w:tcPr>
          <w:p w:rsidR="0018092F" w:rsidRPr="000B7751" w:rsidRDefault="0018092F" w:rsidP="0018092F">
            <w:pPr>
              <w:pStyle w:val="Paragraph"/>
            </w:pPr>
            <w:r>
              <w:t xml:space="preserve">25 mg daily, if serum potassium remains &lt;5.0 </w:t>
            </w:r>
            <w:r>
              <w:lastRenderedPageBreak/>
              <w:t>mmol/L</w:t>
            </w:r>
          </w:p>
        </w:tc>
        <w:tc>
          <w:tcPr>
            <w:tcW w:w="1446" w:type="dxa"/>
            <w:tcBorders>
              <w:right w:val="single" w:sz="18" w:space="0" w:color="auto"/>
            </w:tcBorders>
          </w:tcPr>
          <w:p w:rsidR="0018092F" w:rsidRPr="000B7751" w:rsidRDefault="0018092F" w:rsidP="0018092F">
            <w:pPr>
              <w:pStyle w:val="Paragraph"/>
            </w:pPr>
            <w:r>
              <w:lastRenderedPageBreak/>
              <w:t>25 mg daily</w:t>
            </w:r>
          </w:p>
        </w:tc>
        <w:tc>
          <w:tcPr>
            <w:tcW w:w="1050" w:type="dxa"/>
            <w:vMerge/>
            <w:tcBorders>
              <w:left w:val="single" w:sz="18" w:space="0" w:color="auto"/>
            </w:tcBorders>
          </w:tcPr>
          <w:p w:rsidR="0018092F" w:rsidRPr="000B7751" w:rsidRDefault="0018092F" w:rsidP="0018092F">
            <w:pPr>
              <w:pStyle w:val="Paragraph"/>
            </w:pPr>
          </w:p>
        </w:tc>
        <w:tc>
          <w:tcPr>
            <w:tcW w:w="1842" w:type="dxa"/>
            <w:vMerge/>
          </w:tcPr>
          <w:p w:rsidR="0018092F" w:rsidRPr="000B7751" w:rsidRDefault="0018092F" w:rsidP="0018092F">
            <w:pPr>
              <w:pStyle w:val="Paragraph"/>
            </w:pPr>
          </w:p>
        </w:tc>
      </w:tr>
      <w:tr w:rsidR="0018092F" w:rsidRPr="000B7751" w:rsidTr="0018092F">
        <w:trPr>
          <w:trHeight w:val="810"/>
        </w:trPr>
        <w:tc>
          <w:tcPr>
            <w:tcW w:w="1951" w:type="dxa"/>
            <w:vMerge w:val="restart"/>
          </w:tcPr>
          <w:p w:rsidR="0018092F" w:rsidRDefault="0018092F" w:rsidP="0018092F">
            <w:pPr>
              <w:pStyle w:val="Paragraph"/>
            </w:pPr>
            <w:r>
              <w:lastRenderedPageBreak/>
              <w:t>&lt; 30</w:t>
            </w:r>
          </w:p>
        </w:tc>
        <w:tc>
          <w:tcPr>
            <w:tcW w:w="4337" w:type="dxa"/>
            <w:gridSpan w:val="3"/>
            <w:vMerge w:val="restart"/>
            <w:tcBorders>
              <w:right w:val="single" w:sz="18" w:space="0" w:color="auto"/>
            </w:tcBorders>
          </w:tcPr>
          <w:p w:rsidR="0018092F" w:rsidRDefault="0018092F" w:rsidP="000D45E1">
            <w:pPr>
              <w:pStyle w:val="Paragraph"/>
            </w:pPr>
            <w:r w:rsidRPr="00BB6778">
              <w:rPr>
                <w:i/>
              </w:rPr>
              <w:t xml:space="preserve">Eplerenone </w:t>
            </w:r>
            <w:r>
              <w:rPr>
                <w:i/>
              </w:rPr>
              <w:t>is contraindicated i</w:t>
            </w:r>
            <w:r w:rsidRPr="00BB6778">
              <w:rPr>
                <w:i/>
              </w:rPr>
              <w:t>n patients with Stage 4 and 5 CKD (eGFR less than 30 m</w:t>
            </w:r>
            <w:r w:rsidR="000D45E1">
              <w:rPr>
                <w:i/>
              </w:rPr>
              <w:t>L</w:t>
            </w:r>
            <w:r w:rsidRPr="00BB6778">
              <w:rPr>
                <w:i/>
              </w:rPr>
              <w:t>/min/1.73m2). (See CLINICAL TRIALS and CONTRAINDICATIONS)</w:t>
            </w:r>
            <w:r>
              <w:rPr>
                <w:i/>
              </w:rPr>
              <w:t>.</w:t>
            </w:r>
          </w:p>
        </w:tc>
        <w:tc>
          <w:tcPr>
            <w:tcW w:w="1050" w:type="dxa"/>
            <w:tcBorders>
              <w:left w:val="single" w:sz="18" w:space="0" w:color="auto"/>
            </w:tcBorders>
          </w:tcPr>
          <w:p w:rsidR="0018092F" w:rsidRPr="00CE3842" w:rsidRDefault="0018092F" w:rsidP="0018092F">
            <w:pPr>
              <w:pStyle w:val="Paragraph"/>
              <w:spacing w:after="0"/>
              <w:jc w:val="both"/>
              <w:rPr>
                <w:rFonts w:eastAsia="SimSun"/>
                <w:color w:val="000000"/>
                <w:lang w:eastAsia="zh-CN"/>
              </w:rPr>
            </w:pPr>
            <w:r w:rsidRPr="00CE3842">
              <w:rPr>
                <w:color w:val="000000"/>
              </w:rPr>
              <w:t>4</w:t>
            </w:r>
          </w:p>
        </w:tc>
        <w:tc>
          <w:tcPr>
            <w:tcW w:w="1842" w:type="dxa"/>
          </w:tcPr>
          <w:p w:rsidR="0018092F" w:rsidRPr="00CE3842" w:rsidRDefault="0018092F" w:rsidP="0018092F">
            <w:pPr>
              <w:pStyle w:val="Paragraph"/>
              <w:spacing w:after="0"/>
              <w:jc w:val="both"/>
              <w:rPr>
                <w:rFonts w:eastAsia="SimSun"/>
                <w:color w:val="000000"/>
                <w:lang w:eastAsia="zh-CN"/>
              </w:rPr>
            </w:pPr>
            <w:r w:rsidRPr="00CE3842">
              <w:rPr>
                <w:color w:val="000000"/>
              </w:rPr>
              <w:t xml:space="preserve">15 </w:t>
            </w:r>
            <w:r>
              <w:rPr>
                <w:color w:val="000000"/>
              </w:rPr>
              <w:t>–</w:t>
            </w:r>
            <w:r w:rsidRPr="00CE3842">
              <w:rPr>
                <w:color w:val="000000"/>
              </w:rPr>
              <w:t xml:space="preserve"> 29</w:t>
            </w:r>
          </w:p>
        </w:tc>
      </w:tr>
      <w:tr w:rsidR="0018092F" w:rsidRPr="000B7751" w:rsidTr="0018092F">
        <w:trPr>
          <w:trHeight w:val="810"/>
        </w:trPr>
        <w:tc>
          <w:tcPr>
            <w:tcW w:w="1951" w:type="dxa"/>
            <w:vMerge/>
          </w:tcPr>
          <w:p w:rsidR="0018092F" w:rsidRDefault="0018092F" w:rsidP="0018092F">
            <w:pPr>
              <w:pStyle w:val="Paragraph"/>
            </w:pPr>
          </w:p>
        </w:tc>
        <w:tc>
          <w:tcPr>
            <w:tcW w:w="4337" w:type="dxa"/>
            <w:gridSpan w:val="3"/>
            <w:vMerge/>
            <w:tcBorders>
              <w:right w:val="single" w:sz="18" w:space="0" w:color="auto"/>
            </w:tcBorders>
          </w:tcPr>
          <w:p w:rsidR="0018092F" w:rsidRPr="00BB6778" w:rsidRDefault="0018092F" w:rsidP="0018092F">
            <w:pPr>
              <w:pStyle w:val="Paragraph"/>
              <w:jc w:val="both"/>
              <w:rPr>
                <w:i/>
              </w:rPr>
            </w:pPr>
          </w:p>
        </w:tc>
        <w:tc>
          <w:tcPr>
            <w:tcW w:w="1050" w:type="dxa"/>
            <w:tcBorders>
              <w:left w:val="single" w:sz="18" w:space="0" w:color="auto"/>
            </w:tcBorders>
          </w:tcPr>
          <w:p w:rsidR="0018092F" w:rsidRPr="00CE3842" w:rsidRDefault="0018092F" w:rsidP="0018092F">
            <w:pPr>
              <w:pStyle w:val="Paragraph"/>
              <w:spacing w:after="0"/>
              <w:jc w:val="both"/>
              <w:rPr>
                <w:rFonts w:eastAsia="SimSun"/>
                <w:color w:val="000000"/>
                <w:lang w:eastAsia="zh-CN"/>
              </w:rPr>
            </w:pPr>
            <w:r w:rsidRPr="00CE3842">
              <w:rPr>
                <w:color w:val="000000"/>
              </w:rPr>
              <w:t>5</w:t>
            </w:r>
          </w:p>
        </w:tc>
        <w:tc>
          <w:tcPr>
            <w:tcW w:w="1842" w:type="dxa"/>
          </w:tcPr>
          <w:p w:rsidR="0018092F" w:rsidRPr="00CE3842" w:rsidRDefault="0018092F" w:rsidP="0018092F">
            <w:pPr>
              <w:pStyle w:val="Paragraph"/>
              <w:spacing w:after="0"/>
              <w:jc w:val="both"/>
              <w:rPr>
                <w:rFonts w:eastAsia="SimSun"/>
                <w:color w:val="000000"/>
                <w:lang w:eastAsia="zh-CN"/>
              </w:rPr>
            </w:pPr>
            <w:r w:rsidRPr="00CE3842">
              <w:rPr>
                <w:color w:val="000000"/>
              </w:rPr>
              <w:t>&lt;15 or on dialysis</w:t>
            </w:r>
          </w:p>
        </w:tc>
      </w:tr>
    </w:tbl>
    <w:p w:rsidR="0018092F" w:rsidRDefault="0018092F" w:rsidP="0018092F">
      <w:pPr>
        <w:pStyle w:val="Paragraph"/>
        <w:jc w:val="both"/>
      </w:pPr>
    </w:p>
    <w:p w:rsidR="00413D8D" w:rsidRDefault="00413D8D" w:rsidP="00413D8D">
      <w:r w:rsidRPr="0046151B">
        <w:t>Doses above 25 mg daily have not been studied in patients with eGFR &lt;50</w:t>
      </w:r>
      <w:r w:rsidR="00223323">
        <w:t xml:space="preserve"> </w:t>
      </w:r>
      <w:r>
        <w:t>m</w:t>
      </w:r>
      <w:r w:rsidR="00BD699B">
        <w:t>L</w:t>
      </w:r>
      <w:r>
        <w:t>/min/1.73</w:t>
      </w:r>
      <w:r w:rsidRPr="0046151B">
        <w:t>m</w:t>
      </w:r>
      <w:r w:rsidRPr="0046151B">
        <w:rPr>
          <w:vertAlign w:val="superscript"/>
        </w:rPr>
        <w:t>2</w:t>
      </w:r>
      <w:r w:rsidRPr="0046151B">
        <w:t>.</w:t>
      </w:r>
    </w:p>
    <w:p w:rsidR="009F6C1E" w:rsidRDefault="009F6C1E" w:rsidP="00A02600">
      <w:pPr>
        <w:pStyle w:val="PINormal"/>
      </w:pPr>
      <w:r>
        <w:t>Eplerenone is not dialysable.</w:t>
      </w:r>
    </w:p>
    <w:p w:rsidR="006308C3" w:rsidRDefault="00652E30" w:rsidP="006308C3">
      <w:pPr>
        <w:pStyle w:val="Heading4"/>
      </w:pPr>
      <w:r>
        <w:t xml:space="preserve">Patients with </w:t>
      </w:r>
      <w:r w:rsidR="006308C3">
        <w:t>H</w:t>
      </w:r>
      <w:r>
        <w:t xml:space="preserve">epatic </w:t>
      </w:r>
      <w:r w:rsidR="006308C3">
        <w:t>I</w:t>
      </w:r>
      <w:r>
        <w:t>nsufficiency</w:t>
      </w:r>
    </w:p>
    <w:p w:rsidR="00652E30" w:rsidRDefault="00652E30" w:rsidP="006308C3">
      <w:r>
        <w:t>No initial dosage adjustment is necessary for patients with mild</w:t>
      </w:r>
      <w:r w:rsidR="009F6C1E">
        <w:t xml:space="preserve"> </w:t>
      </w:r>
      <w:r>
        <w:t>to</w:t>
      </w:r>
      <w:r w:rsidR="009F6C1E">
        <w:t xml:space="preserve"> </w:t>
      </w:r>
      <w:r>
        <w:t xml:space="preserve">moderate hepatic impairment. </w:t>
      </w:r>
      <w:r w:rsidR="006E581A">
        <w:t xml:space="preserve"> </w:t>
      </w:r>
      <w:r w:rsidR="00527983">
        <w:t>INSPRA</w:t>
      </w:r>
      <w:r>
        <w:t xml:space="preserve"> is contraindicated in patients with severe hepatic insufficiency (see</w:t>
      </w:r>
      <w:r w:rsidR="003D31B0">
        <w:t> </w:t>
      </w:r>
      <w:r>
        <w:t>CONTRAINDICATIONS).</w:t>
      </w:r>
    </w:p>
    <w:p w:rsidR="00652E30" w:rsidRDefault="00652E30" w:rsidP="00CB73DB">
      <w:pPr>
        <w:pStyle w:val="PIHeading1"/>
      </w:pPr>
      <w:r>
        <w:t>OVERDOSAGE</w:t>
      </w:r>
    </w:p>
    <w:p w:rsidR="00652E30" w:rsidRDefault="00652E30" w:rsidP="006308C3">
      <w:r>
        <w:t xml:space="preserve">No cases of </w:t>
      </w:r>
      <w:r w:rsidR="001636C5">
        <w:t xml:space="preserve">adverse events associated with </w:t>
      </w:r>
      <w:r>
        <w:t xml:space="preserve">overdosage </w:t>
      </w:r>
      <w:r w:rsidR="001636C5">
        <w:t>of</w:t>
      </w:r>
      <w:r>
        <w:t xml:space="preserve"> eplerenone</w:t>
      </w:r>
      <w:r w:rsidR="001636C5">
        <w:t xml:space="preserve"> in humans</w:t>
      </w:r>
      <w:r>
        <w:t xml:space="preserve"> have been reported. </w:t>
      </w:r>
      <w:r w:rsidR="006E581A">
        <w:t xml:space="preserve"> </w:t>
      </w:r>
      <w:r>
        <w:t xml:space="preserve">The most likely manifestation of human overdosage would be anticipated to be hypotension or hyperkalaemia. </w:t>
      </w:r>
    </w:p>
    <w:p w:rsidR="00652E30" w:rsidRDefault="00652E30" w:rsidP="006308C3">
      <w:r w:rsidRPr="006B74A7">
        <w:t xml:space="preserve">There is no specific antidote; treatment is symptomatic and supportive. </w:t>
      </w:r>
      <w:r w:rsidR="006E581A">
        <w:t xml:space="preserve"> </w:t>
      </w:r>
      <w:r>
        <w:t xml:space="preserve">Eplerenone cannot be removed by haemodialysis. </w:t>
      </w:r>
      <w:r w:rsidR="006E581A">
        <w:t xml:space="preserve"> </w:t>
      </w:r>
      <w:r>
        <w:t xml:space="preserve">Eplerenone has been shown to bind extensively to charcoal. </w:t>
      </w:r>
      <w:r w:rsidR="006E581A">
        <w:t xml:space="preserve"> </w:t>
      </w:r>
      <w:r w:rsidRPr="008209E2">
        <w:t xml:space="preserve">Activated charcoal is most effective when administered within 1-hour of ingestion. </w:t>
      </w:r>
      <w:r w:rsidR="006E581A">
        <w:t xml:space="preserve"> </w:t>
      </w:r>
      <w:r w:rsidRPr="008209E2">
        <w:t xml:space="preserve">In patients who are not fully conscious or have impaired gag reflex, consideration should be given to administering activated charcoal via nasogastric tube once the airway is protected. </w:t>
      </w:r>
      <w:r w:rsidR="006E581A">
        <w:t xml:space="preserve"> </w:t>
      </w:r>
      <w:r>
        <w:t>If</w:t>
      </w:r>
      <w:r w:rsidR="003D31B0">
        <w:t> </w:t>
      </w:r>
      <w:r>
        <w:t>symptomatic hypotension should occur, supportive treatment should be initiated.</w:t>
      </w:r>
      <w:r w:rsidR="006E581A">
        <w:t xml:space="preserve"> </w:t>
      </w:r>
      <w:r>
        <w:t xml:space="preserve"> If</w:t>
      </w:r>
      <w:r w:rsidR="003D31B0">
        <w:t> </w:t>
      </w:r>
      <w:r>
        <w:t>hyperkalaemia develops, standard treatment should be initiated.</w:t>
      </w:r>
      <w:r w:rsidRPr="006B74A7">
        <w:t xml:space="preserve"> </w:t>
      </w:r>
    </w:p>
    <w:p w:rsidR="009D6DFF" w:rsidRPr="000D45E1" w:rsidRDefault="009D6DFF" w:rsidP="0076749C">
      <w:pPr>
        <w:spacing w:beforeAutospacing="1" w:after="100" w:afterAutospacing="1"/>
        <w:rPr>
          <w:szCs w:val="24"/>
          <w:lang w:eastAsia="en-AU"/>
        </w:rPr>
      </w:pPr>
      <w:r w:rsidRPr="000D45E1">
        <w:rPr>
          <w:szCs w:val="24"/>
          <w:lang w:eastAsia="en-AU"/>
        </w:rPr>
        <w:t>For information on the management of overdose, contact the Poison Information Centre on 13 11 26 (</w:t>
      </w:r>
      <w:smartTag w:uri="urn:schemas-microsoft-com:office:smarttags" w:element="country-region">
        <w:smartTag w:uri="urn:schemas-microsoft-com:office:smarttags" w:element="place">
          <w:r w:rsidRPr="000D45E1">
            <w:rPr>
              <w:szCs w:val="24"/>
              <w:lang w:eastAsia="en-AU"/>
            </w:rPr>
            <w:t>Australia</w:t>
          </w:r>
        </w:smartTag>
      </w:smartTag>
      <w:r w:rsidRPr="000D45E1">
        <w:rPr>
          <w:szCs w:val="24"/>
          <w:lang w:eastAsia="en-AU"/>
        </w:rPr>
        <w:t>).</w:t>
      </w:r>
      <w:r w:rsidR="00C65877" w:rsidRPr="000D45E1">
        <w:rPr>
          <w:vertAlign w:val="superscript"/>
        </w:rPr>
        <w:t xml:space="preserve"> †</w:t>
      </w:r>
    </w:p>
    <w:p w:rsidR="00652E30" w:rsidRDefault="00652E30" w:rsidP="00CB73DB">
      <w:pPr>
        <w:pStyle w:val="PIHeading1"/>
      </w:pPr>
      <w:r>
        <w:t>PRESENTATION AND STORAGE CONDITIONS</w:t>
      </w:r>
    </w:p>
    <w:p w:rsidR="00652E30" w:rsidRDefault="00527983" w:rsidP="006308C3">
      <w:r>
        <w:t>INSPRA</w:t>
      </w:r>
      <w:r w:rsidR="00652E30">
        <w:t xml:space="preserve"> is supplied as yellow, arc diamond, film-coated tablets containing 25 or 50</w:t>
      </w:r>
      <w:r w:rsidR="00B426F1">
        <w:t xml:space="preserve"> </w:t>
      </w:r>
      <w:r w:rsidR="00652E30">
        <w:t>mg eplerenone.</w:t>
      </w:r>
    </w:p>
    <w:p w:rsidR="00652E30" w:rsidRDefault="00652E30" w:rsidP="006308C3">
      <w:r>
        <w:rPr>
          <w:b/>
          <w:bCs/>
        </w:rPr>
        <w:t>25</w:t>
      </w:r>
      <w:r w:rsidR="00B426F1">
        <w:rPr>
          <w:b/>
          <w:bCs/>
        </w:rPr>
        <w:t xml:space="preserve"> </w:t>
      </w:r>
      <w:r>
        <w:rPr>
          <w:b/>
          <w:bCs/>
        </w:rPr>
        <w:t>mg tablet:</w:t>
      </w:r>
      <w:r>
        <w:t xml:space="preserve"> stylised with ‘NSR’ over ‘25’ on one side and ‘Pfizer’ on the other.</w:t>
      </w:r>
    </w:p>
    <w:p w:rsidR="00652E30" w:rsidRDefault="00652E30" w:rsidP="006308C3">
      <w:r>
        <w:rPr>
          <w:b/>
          <w:bCs/>
        </w:rPr>
        <w:t>50</w:t>
      </w:r>
      <w:r w:rsidR="00B426F1">
        <w:rPr>
          <w:b/>
          <w:bCs/>
        </w:rPr>
        <w:t xml:space="preserve"> </w:t>
      </w:r>
      <w:r>
        <w:rPr>
          <w:b/>
          <w:bCs/>
        </w:rPr>
        <w:t>mg tablet:</w:t>
      </w:r>
      <w:r>
        <w:t xml:space="preserve"> stylised with ‘NSR’ over ‘50’ on one side and ‘Pfizer’ on the other.</w:t>
      </w:r>
    </w:p>
    <w:p w:rsidR="00652E30" w:rsidRDefault="00527983" w:rsidP="006308C3">
      <w:r>
        <w:t>INSPRA</w:t>
      </w:r>
      <w:r w:rsidR="00652E30">
        <w:t xml:space="preserve"> tablets are available in blister packs of 30.</w:t>
      </w:r>
    </w:p>
    <w:p w:rsidR="00652E30" w:rsidRDefault="00652E30" w:rsidP="006308C3">
      <w:r>
        <w:t>Store below 25 degrees Celsius.</w:t>
      </w:r>
    </w:p>
    <w:p w:rsidR="00652E30" w:rsidRDefault="00652E30" w:rsidP="00CB73DB">
      <w:pPr>
        <w:pStyle w:val="PIHeading1"/>
      </w:pPr>
      <w:r>
        <w:lastRenderedPageBreak/>
        <w:t>NAME AND ADDRESS OF THE SPONSOR</w:t>
      </w:r>
    </w:p>
    <w:p w:rsidR="00652E30" w:rsidRDefault="00652E30" w:rsidP="006308C3">
      <w:pPr>
        <w:jc w:val="left"/>
      </w:pPr>
      <w:r>
        <w:t>Pfizer Australia Pty Ltd</w:t>
      </w:r>
      <w:r>
        <w:br/>
        <w:t xml:space="preserve">ABN </w:t>
      </w:r>
      <w:smartTag w:uri="urn:schemas-microsoft-com:office:smarttags" w:element="Street">
        <w:smartTag w:uri="urn:schemas-microsoft-com:office:smarttags" w:element="address">
          <w:r>
            <w:t xml:space="preserve">50 008 422 348 </w:t>
          </w:r>
          <w:r>
            <w:br/>
            <w:t xml:space="preserve">38-42 Wharf Road </w:t>
          </w:r>
          <w:r>
            <w:br/>
            <w:t>WEST</w:t>
          </w:r>
        </w:smartTag>
      </w:smartTag>
      <w:r>
        <w:t xml:space="preserve"> RYDE  NSW  2114</w:t>
      </w:r>
    </w:p>
    <w:p w:rsidR="00652E30" w:rsidRDefault="00652E30" w:rsidP="00CB73DB">
      <w:pPr>
        <w:pStyle w:val="PIHeading1"/>
      </w:pPr>
      <w:r>
        <w:t>POISON SCHEDULE</w:t>
      </w:r>
      <w:r w:rsidR="004B3596">
        <w:t xml:space="preserve"> OF THE MEDICINE</w:t>
      </w:r>
    </w:p>
    <w:p w:rsidR="00652E30" w:rsidRDefault="00652E30" w:rsidP="006308C3">
      <w:r>
        <w:t>Prescription only medicine (S4)</w:t>
      </w:r>
    </w:p>
    <w:p w:rsidR="004B3596" w:rsidRDefault="004B3596" w:rsidP="00CB73DB">
      <w:pPr>
        <w:pStyle w:val="PIHeading1"/>
      </w:pPr>
      <w:r>
        <w:t>DATE OF FIRST INCLUSION IN THE AUSTRALIAN REGISTER OF THERAPEUTIC GOODS</w:t>
      </w:r>
    </w:p>
    <w:p w:rsidR="004B3596" w:rsidRDefault="004B3596" w:rsidP="006308C3">
      <w:r>
        <w:t>22 June 2005</w:t>
      </w:r>
    </w:p>
    <w:p w:rsidR="00652E30" w:rsidRDefault="00652E30" w:rsidP="00CB73DB">
      <w:pPr>
        <w:pStyle w:val="PIHeading1"/>
      </w:pPr>
      <w:r>
        <w:t xml:space="preserve">DATE OF </w:t>
      </w:r>
      <w:r w:rsidR="004B3596">
        <w:t>MOST RECENT AMENDMENT</w:t>
      </w:r>
    </w:p>
    <w:p w:rsidR="00652E30" w:rsidRDefault="00677766" w:rsidP="006308C3">
      <w:r>
        <w:t xml:space="preserve">23 May 2013 </w:t>
      </w:r>
    </w:p>
    <w:p w:rsidR="00652E30" w:rsidRDefault="00652E30" w:rsidP="006308C3">
      <w:r>
        <w:rPr>
          <w:vertAlign w:val="superscript"/>
        </w:rPr>
        <w:t>®</w:t>
      </w:r>
      <w:r>
        <w:t>Registered Trademark</w:t>
      </w:r>
    </w:p>
    <w:p w:rsidR="00652E30" w:rsidRDefault="00652E30" w:rsidP="006308C3">
      <w:r>
        <w:rPr>
          <w:vertAlign w:val="superscript"/>
        </w:rPr>
        <w:t>†</w:t>
      </w:r>
      <w:r>
        <w:t>Please note changes in Product Information</w:t>
      </w:r>
    </w:p>
    <w:sectPr w:rsidR="00652E30" w:rsidSect="000C5AE1">
      <w:headerReference w:type="default" r:id="rId25"/>
      <w:footerReference w:type="default" r:id="rId26"/>
      <w:endnotePr>
        <w:numFmt w:val="decimal"/>
      </w:endnotePr>
      <w:pgSz w:w="11909" w:h="16834" w:code="9"/>
      <w:pgMar w:top="1418" w:right="1418" w:bottom="1418" w:left="1418" w:header="720" w:footer="720" w:gutter="0"/>
      <w:paperSrc w:first="104" w:other="104"/>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31E" w:rsidRDefault="00C0631E">
      <w:r>
        <w:separator/>
      </w:r>
    </w:p>
  </w:endnote>
  <w:endnote w:type="continuationSeparator" w:id="0">
    <w:p w:rsidR="00C0631E" w:rsidRDefault="00C063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5334" w:rsidRDefault="00685334" w:rsidP="00A5017F">
    <w:pPr>
      <w:pStyle w:val="Footer"/>
      <w:pBdr>
        <w:top w:val="single" w:sz="4" w:space="1" w:color="auto"/>
      </w:pBdr>
      <w:tabs>
        <w:tab w:val="clear" w:pos="8306"/>
        <w:tab w:val="right" w:pos="9072"/>
      </w:tabs>
      <w:spacing w:after="0"/>
      <w:rPr>
        <w:sz w:val="18"/>
        <w:szCs w:val="18"/>
      </w:rPr>
    </w:pPr>
    <w:r>
      <w:rPr>
        <w:sz w:val="18"/>
        <w:szCs w:val="18"/>
      </w:rPr>
      <w:t>Version: pfpinspt10</w:t>
    </w:r>
    <w:r w:rsidR="00F912B7">
      <w:rPr>
        <w:sz w:val="18"/>
        <w:szCs w:val="18"/>
      </w:rPr>
      <w:t>5</w:t>
    </w:r>
    <w:r>
      <w:rPr>
        <w:sz w:val="18"/>
        <w:szCs w:val="18"/>
      </w:rPr>
      <w:t>13</w:t>
    </w:r>
    <w:r>
      <w:rPr>
        <w:sz w:val="18"/>
        <w:szCs w:val="18"/>
      </w:rPr>
      <w:tab/>
    </w:r>
    <w:r>
      <w:rPr>
        <w:sz w:val="18"/>
        <w:szCs w:val="18"/>
      </w:rPr>
      <w:tab/>
      <w:t>Supersedes: pfpinspt11109</w:t>
    </w:r>
  </w:p>
  <w:p w:rsidR="00685334" w:rsidRDefault="00685334" w:rsidP="00A5017F">
    <w:pPr>
      <w:pStyle w:val="Footer"/>
      <w:pBdr>
        <w:top w:val="single" w:sz="4" w:space="1" w:color="auto"/>
      </w:pBdr>
      <w:tabs>
        <w:tab w:val="clear" w:pos="8306"/>
        <w:tab w:val="right" w:pos="9072"/>
      </w:tabs>
      <w:rPr>
        <w:sz w:val="18"/>
        <w:szCs w:val="18"/>
      </w:rPr>
    </w:pPr>
    <w:r>
      <w:rPr>
        <w:sz w:val="18"/>
        <w:szCs w:val="18"/>
      </w:rPr>
      <w:tab/>
    </w:r>
    <w:r>
      <w:rPr>
        <w:sz w:val="18"/>
        <w:szCs w:val="18"/>
      </w:rPr>
      <w:tab/>
      <w:t xml:space="preserve">Page </w:t>
    </w: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sidR="00947A15">
      <w:rPr>
        <w:rStyle w:val="PageNumber"/>
        <w:noProof/>
        <w:sz w:val="18"/>
        <w:szCs w:val="18"/>
      </w:rPr>
      <w:t>26</w:t>
    </w:r>
    <w:r>
      <w:rPr>
        <w:rStyle w:val="PageNumber"/>
        <w:sz w:val="18"/>
        <w:szCs w:val="18"/>
      </w:rPr>
      <w:fldChar w:fldCharType="end"/>
    </w:r>
    <w:r>
      <w:rPr>
        <w:rStyle w:val="PageNumber"/>
        <w:sz w:val="18"/>
        <w:szCs w:val="18"/>
      </w:rPr>
      <w:t xml:space="preserve"> of </w:t>
    </w:r>
    <w:r>
      <w:rPr>
        <w:rStyle w:val="PageNumber"/>
        <w:sz w:val="18"/>
        <w:szCs w:val="18"/>
      </w:rPr>
      <w:fldChar w:fldCharType="begin"/>
    </w:r>
    <w:r>
      <w:rPr>
        <w:rStyle w:val="PageNumber"/>
        <w:sz w:val="18"/>
        <w:szCs w:val="18"/>
      </w:rPr>
      <w:instrText xml:space="preserve"> NUMPAGES </w:instrText>
    </w:r>
    <w:r>
      <w:rPr>
        <w:rStyle w:val="PageNumber"/>
        <w:sz w:val="18"/>
        <w:szCs w:val="18"/>
      </w:rPr>
      <w:fldChar w:fldCharType="separate"/>
    </w:r>
    <w:r w:rsidR="00947A15">
      <w:rPr>
        <w:rStyle w:val="PageNumber"/>
        <w:noProof/>
        <w:sz w:val="18"/>
        <w:szCs w:val="18"/>
      </w:rPr>
      <w:t>26</w:t>
    </w:r>
    <w:r>
      <w:rPr>
        <w:rStyle w:val="PageNumbe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31E" w:rsidRDefault="00C0631E">
      <w:r>
        <w:separator/>
      </w:r>
    </w:p>
  </w:footnote>
  <w:footnote w:type="continuationSeparator" w:id="0">
    <w:p w:rsidR="00C0631E" w:rsidRDefault="00C06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4F2E0"/>
      <w:tblLook w:val="04A0"/>
    </w:tblPr>
    <w:tblGrid>
      <w:gridCol w:w="8720"/>
    </w:tblGrid>
    <w:tr w:rsidR="00AA5C4F" w:rsidTr="00AA5C4F">
      <w:tc>
        <w:tcPr>
          <w:tcW w:w="8720" w:type="dxa"/>
          <w:shd w:val="clear" w:color="auto" w:fill="E4F2E0"/>
        </w:tcPr>
        <w:p w:rsidR="00AA5C4F" w:rsidRPr="00AA5C4F" w:rsidRDefault="00AA5C4F" w:rsidP="00AA5C4F">
          <w:pPr>
            <w:spacing w:before="40" w:after="40"/>
            <w:rPr>
              <w:b/>
              <w:sz w:val="20"/>
            </w:rPr>
          </w:pPr>
          <w:r w:rsidRPr="00AA5C4F">
            <w:rPr>
              <w:b/>
              <w:sz w:val="20"/>
            </w:rPr>
            <w:t>Attachment 1: Product information for AusPAR Inspra Eplerenone Pfizer Australia Pty Ltd PM-2011-04066-3-3 Final 1 October 2013. This Product Information was approved at the time this AusPAR was published.</w:t>
          </w:r>
        </w:p>
      </w:tc>
    </w:tr>
  </w:tbl>
  <w:p w:rsidR="00AA5C4F" w:rsidRDefault="00AA5C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
    <w:nsid w:val="7D711C84"/>
    <w:multiLevelType w:val="hybridMultilevel"/>
    <w:tmpl w:val="8D4AE0F6"/>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B2517E"/>
    <w:rsid w:val="000158A7"/>
    <w:rsid w:val="00021BBA"/>
    <w:rsid w:val="00022A20"/>
    <w:rsid w:val="00036A72"/>
    <w:rsid w:val="000454C9"/>
    <w:rsid w:val="00045F6C"/>
    <w:rsid w:val="00051B35"/>
    <w:rsid w:val="00057EFB"/>
    <w:rsid w:val="000668A1"/>
    <w:rsid w:val="00071FB1"/>
    <w:rsid w:val="0008031D"/>
    <w:rsid w:val="000A477B"/>
    <w:rsid w:val="000B5342"/>
    <w:rsid w:val="000C5AE1"/>
    <w:rsid w:val="000D01FF"/>
    <w:rsid w:val="000D45E1"/>
    <w:rsid w:val="000E0F85"/>
    <w:rsid w:val="000E65DD"/>
    <w:rsid w:val="00101C37"/>
    <w:rsid w:val="00123637"/>
    <w:rsid w:val="001636C5"/>
    <w:rsid w:val="00174B67"/>
    <w:rsid w:val="0018092F"/>
    <w:rsid w:val="001818F9"/>
    <w:rsid w:val="001926F4"/>
    <w:rsid w:val="00195AB9"/>
    <w:rsid w:val="00197F6E"/>
    <w:rsid w:val="001A1504"/>
    <w:rsid w:val="001B29B9"/>
    <w:rsid w:val="001C4460"/>
    <w:rsid w:val="001C7B21"/>
    <w:rsid w:val="001D1AFB"/>
    <w:rsid w:val="001E3A2A"/>
    <w:rsid w:val="001E5C6A"/>
    <w:rsid w:val="001F2B2A"/>
    <w:rsid w:val="001F3152"/>
    <w:rsid w:val="002172EA"/>
    <w:rsid w:val="00223323"/>
    <w:rsid w:val="00225268"/>
    <w:rsid w:val="00231A8E"/>
    <w:rsid w:val="0024473E"/>
    <w:rsid w:val="0027559E"/>
    <w:rsid w:val="002760FA"/>
    <w:rsid w:val="00277655"/>
    <w:rsid w:val="00284709"/>
    <w:rsid w:val="002937E6"/>
    <w:rsid w:val="002A3B22"/>
    <w:rsid w:val="002A5EE3"/>
    <w:rsid w:val="002B60FA"/>
    <w:rsid w:val="002B70EF"/>
    <w:rsid w:val="002C1FA9"/>
    <w:rsid w:val="002C3D7F"/>
    <w:rsid w:val="002C6F58"/>
    <w:rsid w:val="002D35EF"/>
    <w:rsid w:val="002D5601"/>
    <w:rsid w:val="002E288C"/>
    <w:rsid w:val="00302189"/>
    <w:rsid w:val="00306278"/>
    <w:rsid w:val="00312348"/>
    <w:rsid w:val="00323025"/>
    <w:rsid w:val="00332DF5"/>
    <w:rsid w:val="00334868"/>
    <w:rsid w:val="00346AB5"/>
    <w:rsid w:val="00361CB2"/>
    <w:rsid w:val="00390E77"/>
    <w:rsid w:val="00394717"/>
    <w:rsid w:val="003A1030"/>
    <w:rsid w:val="003D31B0"/>
    <w:rsid w:val="003D42FA"/>
    <w:rsid w:val="003D64E5"/>
    <w:rsid w:val="003E132C"/>
    <w:rsid w:val="003E4324"/>
    <w:rsid w:val="003F717B"/>
    <w:rsid w:val="0040456B"/>
    <w:rsid w:val="00413D8D"/>
    <w:rsid w:val="004158F4"/>
    <w:rsid w:val="004261DC"/>
    <w:rsid w:val="00445B8C"/>
    <w:rsid w:val="004654EB"/>
    <w:rsid w:val="00465E70"/>
    <w:rsid w:val="00477DCB"/>
    <w:rsid w:val="00491C23"/>
    <w:rsid w:val="004A6448"/>
    <w:rsid w:val="004B3596"/>
    <w:rsid w:val="004C509A"/>
    <w:rsid w:val="004F2773"/>
    <w:rsid w:val="00521F51"/>
    <w:rsid w:val="00527983"/>
    <w:rsid w:val="00531F4E"/>
    <w:rsid w:val="005415D3"/>
    <w:rsid w:val="00555D4E"/>
    <w:rsid w:val="00557CC4"/>
    <w:rsid w:val="00560491"/>
    <w:rsid w:val="00582286"/>
    <w:rsid w:val="00587482"/>
    <w:rsid w:val="00587B2A"/>
    <w:rsid w:val="0059592E"/>
    <w:rsid w:val="00596E6B"/>
    <w:rsid w:val="005A7113"/>
    <w:rsid w:val="005D79E8"/>
    <w:rsid w:val="005E7C3B"/>
    <w:rsid w:val="005F4BFB"/>
    <w:rsid w:val="006116F4"/>
    <w:rsid w:val="00624EBE"/>
    <w:rsid w:val="0062576F"/>
    <w:rsid w:val="006308C3"/>
    <w:rsid w:val="006377A8"/>
    <w:rsid w:val="0064491A"/>
    <w:rsid w:val="00652E30"/>
    <w:rsid w:val="00664175"/>
    <w:rsid w:val="00664F38"/>
    <w:rsid w:val="006657C1"/>
    <w:rsid w:val="00670E26"/>
    <w:rsid w:val="006763FE"/>
    <w:rsid w:val="00677766"/>
    <w:rsid w:val="00681367"/>
    <w:rsid w:val="00684E57"/>
    <w:rsid w:val="00685334"/>
    <w:rsid w:val="00693E7D"/>
    <w:rsid w:val="006969ED"/>
    <w:rsid w:val="006A4473"/>
    <w:rsid w:val="006B0D1E"/>
    <w:rsid w:val="006B2798"/>
    <w:rsid w:val="006B5334"/>
    <w:rsid w:val="006B6A76"/>
    <w:rsid w:val="006B6EA3"/>
    <w:rsid w:val="006C28A4"/>
    <w:rsid w:val="006D0327"/>
    <w:rsid w:val="006E581A"/>
    <w:rsid w:val="006F6FAB"/>
    <w:rsid w:val="00706D8F"/>
    <w:rsid w:val="00712D0A"/>
    <w:rsid w:val="0073156C"/>
    <w:rsid w:val="0074453A"/>
    <w:rsid w:val="00750186"/>
    <w:rsid w:val="007521B8"/>
    <w:rsid w:val="00755DD0"/>
    <w:rsid w:val="0076231B"/>
    <w:rsid w:val="0076749C"/>
    <w:rsid w:val="00787E96"/>
    <w:rsid w:val="00792062"/>
    <w:rsid w:val="007A30A4"/>
    <w:rsid w:val="007A4DF5"/>
    <w:rsid w:val="007B69B1"/>
    <w:rsid w:val="007C5653"/>
    <w:rsid w:val="007C5F6A"/>
    <w:rsid w:val="007C6A0C"/>
    <w:rsid w:val="007E4016"/>
    <w:rsid w:val="00807AB2"/>
    <w:rsid w:val="0081697C"/>
    <w:rsid w:val="00816D52"/>
    <w:rsid w:val="00823C18"/>
    <w:rsid w:val="00827B4E"/>
    <w:rsid w:val="00830CA4"/>
    <w:rsid w:val="00843719"/>
    <w:rsid w:val="008456C6"/>
    <w:rsid w:val="008557ED"/>
    <w:rsid w:val="00870CE6"/>
    <w:rsid w:val="00875960"/>
    <w:rsid w:val="00876CEF"/>
    <w:rsid w:val="008831ED"/>
    <w:rsid w:val="00892892"/>
    <w:rsid w:val="00892F11"/>
    <w:rsid w:val="008A1098"/>
    <w:rsid w:val="008A6141"/>
    <w:rsid w:val="008B02B3"/>
    <w:rsid w:val="008B7B4F"/>
    <w:rsid w:val="008B7D48"/>
    <w:rsid w:val="008C593D"/>
    <w:rsid w:val="008C7B0C"/>
    <w:rsid w:val="008E48CF"/>
    <w:rsid w:val="008F5B8E"/>
    <w:rsid w:val="00901F8E"/>
    <w:rsid w:val="00905EEE"/>
    <w:rsid w:val="00911346"/>
    <w:rsid w:val="0091407D"/>
    <w:rsid w:val="0091767F"/>
    <w:rsid w:val="009215CA"/>
    <w:rsid w:val="00923502"/>
    <w:rsid w:val="009256BD"/>
    <w:rsid w:val="00933B6B"/>
    <w:rsid w:val="009348C9"/>
    <w:rsid w:val="00942A1B"/>
    <w:rsid w:val="00947A15"/>
    <w:rsid w:val="00952C9C"/>
    <w:rsid w:val="009600FC"/>
    <w:rsid w:val="00964934"/>
    <w:rsid w:val="00966A0B"/>
    <w:rsid w:val="00982802"/>
    <w:rsid w:val="00994B3D"/>
    <w:rsid w:val="00995F4E"/>
    <w:rsid w:val="009B06DC"/>
    <w:rsid w:val="009B234D"/>
    <w:rsid w:val="009B471D"/>
    <w:rsid w:val="009B644B"/>
    <w:rsid w:val="009C25DC"/>
    <w:rsid w:val="009C5C16"/>
    <w:rsid w:val="009D6DFF"/>
    <w:rsid w:val="009E121B"/>
    <w:rsid w:val="009F1142"/>
    <w:rsid w:val="009F5071"/>
    <w:rsid w:val="009F68BA"/>
    <w:rsid w:val="009F6C1E"/>
    <w:rsid w:val="00A02600"/>
    <w:rsid w:val="00A042F8"/>
    <w:rsid w:val="00A15791"/>
    <w:rsid w:val="00A157BB"/>
    <w:rsid w:val="00A40516"/>
    <w:rsid w:val="00A41D8B"/>
    <w:rsid w:val="00A5017F"/>
    <w:rsid w:val="00A5058B"/>
    <w:rsid w:val="00A73097"/>
    <w:rsid w:val="00A7343F"/>
    <w:rsid w:val="00A92440"/>
    <w:rsid w:val="00A96D87"/>
    <w:rsid w:val="00AA2BF0"/>
    <w:rsid w:val="00AA5B93"/>
    <w:rsid w:val="00AA5C4F"/>
    <w:rsid w:val="00AA773B"/>
    <w:rsid w:val="00AB0B5F"/>
    <w:rsid w:val="00AB402A"/>
    <w:rsid w:val="00AB4D5A"/>
    <w:rsid w:val="00AC4B5E"/>
    <w:rsid w:val="00AD173C"/>
    <w:rsid w:val="00AD2F91"/>
    <w:rsid w:val="00AE0A7B"/>
    <w:rsid w:val="00AE421F"/>
    <w:rsid w:val="00B02AEE"/>
    <w:rsid w:val="00B02E62"/>
    <w:rsid w:val="00B03B91"/>
    <w:rsid w:val="00B05C3F"/>
    <w:rsid w:val="00B17FC6"/>
    <w:rsid w:val="00B2003F"/>
    <w:rsid w:val="00B2517E"/>
    <w:rsid w:val="00B322E9"/>
    <w:rsid w:val="00B32A89"/>
    <w:rsid w:val="00B426F1"/>
    <w:rsid w:val="00B5022B"/>
    <w:rsid w:val="00B52C2C"/>
    <w:rsid w:val="00B604B8"/>
    <w:rsid w:val="00B82F77"/>
    <w:rsid w:val="00B84F72"/>
    <w:rsid w:val="00BA2CC3"/>
    <w:rsid w:val="00BB006F"/>
    <w:rsid w:val="00BC16BA"/>
    <w:rsid w:val="00BC17D5"/>
    <w:rsid w:val="00BD176F"/>
    <w:rsid w:val="00BD699B"/>
    <w:rsid w:val="00C0631E"/>
    <w:rsid w:val="00C21859"/>
    <w:rsid w:val="00C267A2"/>
    <w:rsid w:val="00C27460"/>
    <w:rsid w:val="00C27A67"/>
    <w:rsid w:val="00C41635"/>
    <w:rsid w:val="00C41851"/>
    <w:rsid w:val="00C42305"/>
    <w:rsid w:val="00C45AA0"/>
    <w:rsid w:val="00C46887"/>
    <w:rsid w:val="00C472D5"/>
    <w:rsid w:val="00C65877"/>
    <w:rsid w:val="00C77F74"/>
    <w:rsid w:val="00CA37DE"/>
    <w:rsid w:val="00CA722F"/>
    <w:rsid w:val="00CB6CB3"/>
    <w:rsid w:val="00CB73DB"/>
    <w:rsid w:val="00CB7623"/>
    <w:rsid w:val="00CC5E7C"/>
    <w:rsid w:val="00CE28BA"/>
    <w:rsid w:val="00CE6B90"/>
    <w:rsid w:val="00CE79D7"/>
    <w:rsid w:val="00CE7C27"/>
    <w:rsid w:val="00D01B58"/>
    <w:rsid w:val="00D20BFC"/>
    <w:rsid w:val="00D212B7"/>
    <w:rsid w:val="00D30FEF"/>
    <w:rsid w:val="00D31EFC"/>
    <w:rsid w:val="00D44E4A"/>
    <w:rsid w:val="00D54C1A"/>
    <w:rsid w:val="00D55E72"/>
    <w:rsid w:val="00D56031"/>
    <w:rsid w:val="00D6748F"/>
    <w:rsid w:val="00D74EF0"/>
    <w:rsid w:val="00D81368"/>
    <w:rsid w:val="00D86502"/>
    <w:rsid w:val="00D877E7"/>
    <w:rsid w:val="00D93668"/>
    <w:rsid w:val="00DA52C6"/>
    <w:rsid w:val="00DA5CDC"/>
    <w:rsid w:val="00DA5FFA"/>
    <w:rsid w:val="00DB277F"/>
    <w:rsid w:val="00DB715B"/>
    <w:rsid w:val="00DE5C02"/>
    <w:rsid w:val="00DF04F0"/>
    <w:rsid w:val="00DF1549"/>
    <w:rsid w:val="00DF16BC"/>
    <w:rsid w:val="00E00478"/>
    <w:rsid w:val="00E04C1A"/>
    <w:rsid w:val="00E10D5F"/>
    <w:rsid w:val="00E173BF"/>
    <w:rsid w:val="00E25A53"/>
    <w:rsid w:val="00E277D7"/>
    <w:rsid w:val="00E40DD4"/>
    <w:rsid w:val="00E51FB9"/>
    <w:rsid w:val="00E63BA6"/>
    <w:rsid w:val="00E9100D"/>
    <w:rsid w:val="00E915AC"/>
    <w:rsid w:val="00E9372E"/>
    <w:rsid w:val="00EB667B"/>
    <w:rsid w:val="00EC386D"/>
    <w:rsid w:val="00ED0805"/>
    <w:rsid w:val="00EE5C35"/>
    <w:rsid w:val="00EE5C4E"/>
    <w:rsid w:val="00EE75E7"/>
    <w:rsid w:val="00EF16EB"/>
    <w:rsid w:val="00EF6ADD"/>
    <w:rsid w:val="00F016A9"/>
    <w:rsid w:val="00F05E74"/>
    <w:rsid w:val="00F271A7"/>
    <w:rsid w:val="00F27E93"/>
    <w:rsid w:val="00F34F07"/>
    <w:rsid w:val="00F41779"/>
    <w:rsid w:val="00F417D8"/>
    <w:rsid w:val="00F516B7"/>
    <w:rsid w:val="00F55FC5"/>
    <w:rsid w:val="00F659A2"/>
    <w:rsid w:val="00F7551C"/>
    <w:rsid w:val="00F80DC2"/>
    <w:rsid w:val="00F814CA"/>
    <w:rsid w:val="00F912B7"/>
    <w:rsid w:val="00FB1103"/>
    <w:rsid w:val="00FB5FFD"/>
    <w:rsid w:val="00FC28A9"/>
    <w:rsid w:val="00FC3D79"/>
    <w:rsid w:val="00FC5F8D"/>
    <w:rsid w:val="00FC6ADD"/>
    <w:rsid w:val="00FD00A0"/>
    <w:rsid w:val="00FD05BC"/>
    <w:rsid w:val="00FE115F"/>
    <w:rsid w:val="00FE599A"/>
    <w:rsid w:val="00FF07FD"/>
    <w:rsid w:val="00FF4C1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List Bullet" w:uiPriority="99" w:qFormat="1"/>
    <w:lsdException w:name="List Bullet 2" w:uiPriority="99" w:qFormat="1"/>
    <w:lsdException w:name="List Bullet 3" w:uiPriority="99"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57BB"/>
    <w:pPr>
      <w:spacing w:after="120"/>
      <w:jc w:val="both"/>
    </w:pPr>
    <w:rPr>
      <w:sz w:val="24"/>
      <w:lang w:eastAsia="en-US"/>
    </w:rPr>
  </w:style>
  <w:style w:type="paragraph" w:styleId="Heading1">
    <w:name w:val="heading 1"/>
    <w:aliases w:val="Table Header"/>
    <w:basedOn w:val="Normal"/>
    <w:next w:val="Normal"/>
    <w:link w:val="Heading1Char"/>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outlineLvl w:val="0"/>
    </w:pPr>
    <w:rPr>
      <w:b/>
      <w:sz w:val="22"/>
    </w:rPr>
  </w:style>
  <w:style w:type="paragraph" w:styleId="Heading2">
    <w:name w:val="heading 2"/>
    <w:basedOn w:val="Normal"/>
    <w:next w:val="Normal"/>
    <w:qFormat/>
    <w:rsid w:val="00A157BB"/>
    <w:pPr>
      <w:keepNext/>
      <w:outlineLvl w:val="1"/>
    </w:pPr>
    <w:rPr>
      <w:rFonts w:ascii="Times New Roman Bold" w:hAnsi="Times New Roman Bold"/>
      <w:b/>
      <w:caps/>
    </w:rPr>
  </w:style>
  <w:style w:type="paragraph" w:styleId="Heading3">
    <w:name w:val="heading 3"/>
    <w:basedOn w:val="Normal"/>
    <w:next w:val="Normal"/>
    <w:qFormat/>
    <w:rsid w:val="00A157B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rFonts w:ascii="Times New Roman Bold" w:hAnsi="Times New Roman Bold"/>
      <w:b/>
    </w:rPr>
  </w:style>
  <w:style w:type="paragraph" w:styleId="Heading4">
    <w:name w:val="heading 4"/>
    <w:basedOn w:val="Normal"/>
    <w:next w:val="Normal"/>
    <w:qFormat/>
    <w:rsid w:val="002D560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b/>
      <w:i/>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rFonts w:ascii="Arial" w:hAnsi="Arial"/>
      <w:b/>
      <w:sz w:val="22"/>
    </w:rPr>
  </w:style>
  <w:style w:type="paragraph" w:styleId="Heading6">
    <w:name w:val="heading 6"/>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5"/>
    </w:pPr>
    <w:rPr>
      <w:rFonts w:ascii="Arial" w:hAnsi="Arial"/>
      <w:b/>
      <w:sz w:val="22"/>
      <w:u w:val="single"/>
    </w:rPr>
  </w:style>
  <w:style w:type="paragraph" w:styleId="Heading7">
    <w:name w:val="heading 7"/>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6"/>
    </w:pPr>
    <w:rPr>
      <w:rFonts w:ascii="Arial" w:hAnsi="Arial"/>
      <w:b/>
      <w:sz w:val="22"/>
    </w:rPr>
  </w:style>
  <w:style w:type="paragraph" w:styleId="Heading8">
    <w:name w:val="heading 8"/>
    <w:basedOn w:val="Normal"/>
    <w:next w:val="Normal"/>
    <w:qFormat/>
    <w:pPr>
      <w:keepNext/>
      <w:jc w:val="center"/>
      <w:outlineLvl w:val="7"/>
    </w:pPr>
    <w:rPr>
      <w:rFonts w:ascii="Arial" w:hAnsi="Arial"/>
      <w:b/>
    </w:rPr>
  </w:style>
  <w:style w:type="paragraph" w:styleId="Heading9">
    <w:name w:val="heading 9"/>
    <w:basedOn w:val="Normal"/>
    <w:next w:val="Normal"/>
    <w:qFormat/>
    <w:pPr>
      <w:keepNext/>
      <w:outlineLvl w:val="8"/>
    </w:pPr>
    <w:rPr>
      <w:rFonts w:ascii="Arial" w:hAnsi="Arial"/>
      <w:b/>
      <w:sz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sz w:val="22"/>
    </w:rPr>
  </w:style>
  <w:style w:type="paragraph" w:styleId="BodyText2">
    <w:name w:val="Body Text 2"/>
    <w:basedOn w:val="Normal"/>
    <w:pPr>
      <w:spacing w:before="120" w:line="240" w:lineRule="exact"/>
    </w:pPr>
    <w:rPr>
      <w:rFonts w:ascii="Arial" w:hAnsi="Arial" w:cs="Arial"/>
      <w:sz w:val="22"/>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Cs w:val="24"/>
    </w:rPr>
  </w:style>
  <w:style w:type="paragraph" w:styleId="BodyText3">
    <w:name w:val="Body Tex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line="240" w:lineRule="exact"/>
    </w:pPr>
    <w:rPr>
      <w:rFonts w:ascii="Arial" w:hAnsi="Arial"/>
      <w:color w:val="FF0000"/>
      <w:sz w:val="22"/>
    </w:rPr>
  </w:style>
  <w:style w:type="character" w:customStyle="1" w:styleId="empitalic">
    <w:name w:val="emp_italic"/>
    <w:basedOn w:val="DefaultParagraphFont"/>
    <w:rPr>
      <w:i/>
    </w:rPr>
  </w:style>
  <w:style w:type="paragraph" w:customStyle="1" w:styleId="Paragraph">
    <w:name w:val="Paragraph"/>
    <w:link w:val="ParagraphChar"/>
    <w:pPr>
      <w:spacing w:after="240"/>
    </w:pPr>
    <w:rPr>
      <w:sz w:val="24"/>
      <w:szCs w:val="24"/>
      <w:lang w:val="en-US" w:eastAsia="en-US"/>
    </w:rPr>
  </w:style>
  <w:style w:type="paragraph" w:customStyle="1" w:styleId="ParagraphSmall">
    <w:name w:val="Paragraph Small"/>
    <w:pPr>
      <w:spacing w:after="120"/>
    </w:pPr>
    <w:rPr>
      <w:szCs w:val="24"/>
      <w:lang w:val="en-US" w:eastAsia="en-US"/>
    </w:rPr>
  </w:style>
  <w:style w:type="paragraph" w:customStyle="1" w:styleId="Figure">
    <w:name w:val="Figure"/>
    <w:basedOn w:val="Caption"/>
    <w:pPr>
      <w:keepNext/>
      <w:spacing w:before="0" w:after="0"/>
      <w:jc w:val="center"/>
    </w:pPr>
    <w:rPr>
      <w:rFonts w:cs="Arial"/>
      <w:sz w:val="26"/>
      <w:szCs w:val="24"/>
      <w:lang w:val="en-US"/>
    </w:rPr>
  </w:style>
  <w:style w:type="paragraph" w:styleId="Caption">
    <w:name w:val="caption"/>
    <w:basedOn w:val="Normal"/>
    <w:next w:val="Normal"/>
    <w:qFormat/>
    <w:pPr>
      <w:spacing w:before="120"/>
    </w:pPr>
    <w:rPr>
      <w:b/>
      <w:bCs/>
    </w:rPr>
  </w:style>
  <w:style w:type="paragraph" w:styleId="BodyTextIndent">
    <w:name w:val="Body Text Indent"/>
    <w:basedOn w:val="Normal"/>
    <w:pPr>
      <w:spacing w:before="120"/>
      <w:ind w:left="1440" w:hanging="1440"/>
    </w:p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styleId="BalloonText">
    <w:name w:val="Balloon Text"/>
    <w:basedOn w:val="Normal"/>
    <w:semiHidden/>
    <w:rPr>
      <w:rFonts w:ascii="Tahoma" w:hAnsi="Tahoma" w:cs="Tahoma"/>
      <w:sz w:val="16"/>
      <w:szCs w:val="16"/>
    </w:rPr>
  </w:style>
  <w:style w:type="character" w:styleId="PageNumber">
    <w:name w:val="page number"/>
    <w:basedOn w:val="DefaultParagraphFont"/>
  </w:style>
  <w:style w:type="character" w:styleId="CommentReference">
    <w:name w:val="annotation reference"/>
    <w:basedOn w:val="DefaultParagraphFont"/>
    <w:rsid w:val="000B5342"/>
    <w:rPr>
      <w:sz w:val="16"/>
      <w:szCs w:val="16"/>
    </w:rPr>
  </w:style>
  <w:style w:type="paragraph" w:styleId="CommentText">
    <w:name w:val="annotation text"/>
    <w:basedOn w:val="Normal"/>
    <w:link w:val="CommentTextChar"/>
    <w:uiPriority w:val="99"/>
    <w:rsid w:val="000B5342"/>
  </w:style>
  <w:style w:type="character" w:customStyle="1" w:styleId="CommentTextChar">
    <w:name w:val="Comment Text Char"/>
    <w:basedOn w:val="DefaultParagraphFont"/>
    <w:link w:val="CommentText"/>
    <w:uiPriority w:val="99"/>
    <w:rsid w:val="000B5342"/>
    <w:rPr>
      <w:lang w:eastAsia="en-US"/>
    </w:rPr>
  </w:style>
  <w:style w:type="paragraph" w:styleId="CommentSubject">
    <w:name w:val="annotation subject"/>
    <w:basedOn w:val="CommentText"/>
    <w:next w:val="CommentText"/>
    <w:link w:val="CommentSubjectChar"/>
    <w:rsid w:val="000B5342"/>
    <w:rPr>
      <w:b/>
      <w:bCs/>
    </w:rPr>
  </w:style>
  <w:style w:type="character" w:customStyle="1" w:styleId="CommentSubjectChar">
    <w:name w:val="Comment Subject Char"/>
    <w:basedOn w:val="CommentTextChar"/>
    <w:link w:val="CommentSubject"/>
    <w:rsid w:val="000B5342"/>
    <w:rPr>
      <w:b/>
      <w:bCs/>
    </w:rPr>
  </w:style>
  <w:style w:type="paragraph" w:customStyle="1" w:styleId="ListNoBullet">
    <w:name w:val="List No Bullet"/>
    <w:link w:val="ListNoBulletChar"/>
    <w:rsid w:val="00E51FB9"/>
    <w:rPr>
      <w:sz w:val="24"/>
      <w:lang w:val="en-US" w:eastAsia="en-US"/>
    </w:rPr>
  </w:style>
  <w:style w:type="character" w:customStyle="1" w:styleId="ListNoBulletChar">
    <w:name w:val="List No Bullet Char"/>
    <w:basedOn w:val="DefaultParagraphFont"/>
    <w:link w:val="ListNoBullet"/>
    <w:rsid w:val="00E51FB9"/>
    <w:rPr>
      <w:sz w:val="24"/>
      <w:lang w:val="en-US" w:eastAsia="en-US" w:bidi="ar-SA"/>
    </w:rPr>
  </w:style>
  <w:style w:type="character" w:customStyle="1" w:styleId="TableText12">
    <w:name w:val="TableText 12"/>
    <w:basedOn w:val="DefaultParagraphFont"/>
    <w:rsid w:val="00332DF5"/>
    <w:rPr>
      <w:rFonts w:ascii="Times New Roman" w:hAnsi="Times New Roman"/>
      <w:sz w:val="24"/>
    </w:rPr>
  </w:style>
  <w:style w:type="paragraph" w:styleId="Revision">
    <w:name w:val="Revision"/>
    <w:hidden/>
    <w:uiPriority w:val="99"/>
    <w:semiHidden/>
    <w:rsid w:val="009F6C1E"/>
    <w:rPr>
      <w:sz w:val="24"/>
      <w:lang w:eastAsia="en-US"/>
    </w:rPr>
  </w:style>
  <w:style w:type="paragraph" w:customStyle="1" w:styleId="PIHeading1">
    <w:name w:val="PI Heading 1"/>
    <w:basedOn w:val="Heading1"/>
    <w:uiPriority w:val="2"/>
    <w:qFormat/>
    <w:rsid w:val="00CB73D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360" w:after="240" w:line="280" w:lineRule="exact"/>
    </w:pPr>
    <w:rPr>
      <w:caps/>
      <w:kern w:val="28"/>
      <w:sz w:val="28"/>
    </w:rPr>
  </w:style>
  <w:style w:type="paragraph" w:customStyle="1" w:styleId="PINormal">
    <w:name w:val="PI Normal"/>
    <w:basedOn w:val="Normal"/>
    <w:uiPriority w:val="6"/>
    <w:qFormat/>
    <w:rsid w:val="001C4460"/>
    <w:pPr>
      <w:spacing w:after="240"/>
    </w:pPr>
  </w:style>
  <w:style w:type="paragraph" w:customStyle="1" w:styleId="PIHeading2">
    <w:name w:val="PI Heading 2"/>
    <w:basedOn w:val="Heading2"/>
    <w:uiPriority w:val="3"/>
    <w:qFormat/>
    <w:rsid w:val="001C4460"/>
    <w:pPr>
      <w:spacing w:before="240" w:line="280" w:lineRule="exact"/>
    </w:pPr>
    <w:rPr>
      <w:rFonts w:ascii="Times New Roman" w:hAnsi="Times New Roman"/>
      <w:caps w:val="0"/>
    </w:rPr>
  </w:style>
  <w:style w:type="character" w:customStyle="1" w:styleId="ParagraphChar">
    <w:name w:val="Paragraph Char"/>
    <w:basedOn w:val="DefaultParagraphFont"/>
    <w:link w:val="Paragraph"/>
    <w:locked/>
    <w:rsid w:val="001C4460"/>
    <w:rPr>
      <w:sz w:val="24"/>
      <w:szCs w:val="24"/>
      <w:lang w:val="en-US" w:eastAsia="en-US" w:bidi="ar-SA"/>
    </w:rPr>
  </w:style>
  <w:style w:type="paragraph" w:customStyle="1" w:styleId="PITITLE">
    <w:name w:val="PI TITLE"/>
    <w:basedOn w:val="Title"/>
    <w:qFormat/>
    <w:rsid w:val="009F1142"/>
    <w:pPr>
      <w:spacing w:before="0" w:after="240"/>
      <w:jc w:val="both"/>
    </w:pPr>
    <w:rPr>
      <w:rFonts w:ascii="Times New Roman" w:hAnsi="Times New Roman"/>
      <w:bCs w:val="0"/>
      <w:sz w:val="40"/>
      <w:szCs w:val="20"/>
    </w:rPr>
  </w:style>
  <w:style w:type="paragraph" w:styleId="Title">
    <w:name w:val="Title"/>
    <w:basedOn w:val="Normal"/>
    <w:next w:val="Normal"/>
    <w:link w:val="TitleChar"/>
    <w:qFormat/>
    <w:rsid w:val="009F1142"/>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F1142"/>
    <w:rPr>
      <w:rFonts w:ascii="Cambria" w:eastAsia="Times New Roman" w:hAnsi="Cambria" w:cs="Times New Roman"/>
      <w:b/>
      <w:bCs/>
      <w:kern w:val="28"/>
      <w:sz w:val="32"/>
      <w:szCs w:val="32"/>
      <w:lang w:eastAsia="en-US"/>
    </w:rPr>
  </w:style>
  <w:style w:type="paragraph" w:customStyle="1" w:styleId="PISubtitle">
    <w:name w:val="PI Subtitle"/>
    <w:basedOn w:val="Subtitle"/>
    <w:uiPriority w:val="1"/>
    <w:qFormat/>
    <w:rsid w:val="009F1142"/>
    <w:pPr>
      <w:jc w:val="both"/>
    </w:pPr>
    <w:rPr>
      <w:rFonts w:ascii="Times New Roman" w:hAnsi="Times New Roman"/>
      <w:b/>
      <w:sz w:val="32"/>
      <w:szCs w:val="20"/>
    </w:rPr>
  </w:style>
  <w:style w:type="character" w:customStyle="1" w:styleId="MPINormal">
    <w:name w:val="MPI Normal"/>
    <w:basedOn w:val="DefaultParagraphFont"/>
    <w:rsid w:val="009F1142"/>
    <w:rPr>
      <w:szCs w:val="24"/>
    </w:rPr>
  </w:style>
  <w:style w:type="character" w:customStyle="1" w:styleId="MPIRegisteredTrademarkSign">
    <w:name w:val="MPI Registered Trademark Sign"/>
    <w:basedOn w:val="DefaultParagraphFont"/>
    <w:rsid w:val="009F1142"/>
    <w:rPr>
      <w:b/>
      <w:sz w:val="32"/>
      <w:vertAlign w:val="superscript"/>
      <w:lang w:eastAsia="en-US"/>
    </w:rPr>
  </w:style>
  <w:style w:type="character" w:customStyle="1" w:styleId="MPITradename">
    <w:name w:val="MPI Tradename"/>
    <w:basedOn w:val="SubtitleChar"/>
    <w:rsid w:val="009F1142"/>
    <w:rPr>
      <w:rFonts w:ascii="Cambria" w:eastAsia="Times New Roman" w:hAnsi="Cambria" w:cs="Times New Roman"/>
      <w:b/>
      <w:sz w:val="32"/>
    </w:rPr>
  </w:style>
  <w:style w:type="paragraph" w:styleId="Subtitle">
    <w:name w:val="Subtitle"/>
    <w:basedOn w:val="Normal"/>
    <w:next w:val="Normal"/>
    <w:link w:val="SubtitleChar"/>
    <w:qFormat/>
    <w:rsid w:val="009F1142"/>
    <w:pPr>
      <w:spacing w:after="60"/>
      <w:jc w:val="center"/>
      <w:outlineLvl w:val="1"/>
    </w:pPr>
    <w:rPr>
      <w:rFonts w:ascii="Cambria" w:hAnsi="Cambria"/>
      <w:szCs w:val="24"/>
    </w:rPr>
  </w:style>
  <w:style w:type="character" w:customStyle="1" w:styleId="SubtitleChar">
    <w:name w:val="Subtitle Char"/>
    <w:basedOn w:val="DefaultParagraphFont"/>
    <w:link w:val="Subtitle"/>
    <w:rsid w:val="009F1142"/>
    <w:rPr>
      <w:rFonts w:ascii="Cambria" w:eastAsia="Times New Roman" w:hAnsi="Cambria" w:cs="Times New Roman"/>
      <w:sz w:val="24"/>
      <w:szCs w:val="24"/>
      <w:lang w:eastAsia="en-US"/>
    </w:rPr>
  </w:style>
  <w:style w:type="character" w:styleId="FollowedHyperlink">
    <w:name w:val="FollowedHyperlink"/>
    <w:basedOn w:val="DefaultParagraphFont"/>
    <w:rsid w:val="001818F9"/>
    <w:rPr>
      <w:color w:val="800080"/>
      <w:u w:val="single"/>
    </w:rPr>
  </w:style>
  <w:style w:type="character" w:customStyle="1" w:styleId="Heading1Char">
    <w:name w:val="Heading 1 Char"/>
    <w:basedOn w:val="DefaultParagraphFont"/>
    <w:link w:val="Heading1"/>
    <w:rsid w:val="00AA5C4F"/>
    <w:rPr>
      <w:b/>
      <w:sz w:val="22"/>
      <w:lang w:eastAsia="en-US"/>
    </w:rPr>
  </w:style>
  <w:style w:type="paragraph" w:styleId="ListBullet">
    <w:name w:val="List Bullet"/>
    <w:basedOn w:val="Normal"/>
    <w:uiPriority w:val="99"/>
    <w:qFormat/>
    <w:rsid w:val="00AA5C4F"/>
    <w:pPr>
      <w:numPr>
        <w:numId w:val="2"/>
      </w:numPr>
      <w:spacing w:before="120" w:after="180" w:line="240" w:lineRule="atLeast"/>
      <w:jc w:val="left"/>
    </w:pPr>
    <w:rPr>
      <w:rFonts w:ascii="Cambria" w:eastAsia="Cambria" w:hAnsi="Cambria"/>
      <w:sz w:val="22"/>
      <w:szCs w:val="22"/>
    </w:rPr>
  </w:style>
  <w:style w:type="paragraph" w:styleId="ListBullet2">
    <w:name w:val="List Bullet 2"/>
    <w:basedOn w:val="Normal"/>
    <w:uiPriority w:val="99"/>
    <w:qFormat/>
    <w:rsid w:val="00AA5C4F"/>
    <w:pPr>
      <w:numPr>
        <w:ilvl w:val="1"/>
        <w:numId w:val="2"/>
      </w:numPr>
      <w:spacing w:before="120" w:after="180" w:line="240" w:lineRule="atLeast"/>
      <w:jc w:val="left"/>
    </w:pPr>
    <w:rPr>
      <w:rFonts w:ascii="Cambria" w:eastAsia="Cambria" w:hAnsi="Cambria"/>
      <w:sz w:val="22"/>
      <w:szCs w:val="22"/>
    </w:rPr>
  </w:style>
  <w:style w:type="paragraph" w:styleId="ListBullet3">
    <w:name w:val="List Bullet 3"/>
    <w:basedOn w:val="Normal"/>
    <w:uiPriority w:val="99"/>
    <w:qFormat/>
    <w:rsid w:val="00AA5C4F"/>
    <w:pPr>
      <w:numPr>
        <w:ilvl w:val="2"/>
        <w:numId w:val="2"/>
      </w:numPr>
      <w:spacing w:before="120" w:after="180" w:line="240" w:lineRule="atLeast"/>
      <w:jc w:val="left"/>
    </w:pPr>
    <w:rPr>
      <w:rFonts w:ascii="Cambria" w:eastAsia="Cambria" w:hAnsi="Cambria"/>
      <w:sz w:val="22"/>
      <w:szCs w:val="22"/>
    </w:rPr>
  </w:style>
  <w:style w:type="numbering" w:customStyle="1" w:styleId="ListBullets">
    <w:name w:val="ListBullets"/>
    <w:uiPriority w:val="99"/>
    <w:locked/>
    <w:rsid w:val="00AA5C4F"/>
    <w:pPr>
      <w:numPr>
        <w:numId w:val="2"/>
      </w:numPr>
    </w:pPr>
  </w:style>
  <w:style w:type="table" w:styleId="TableGrid">
    <w:name w:val="Table Grid"/>
    <w:basedOn w:val="TableNormal"/>
    <w:uiPriority w:val="59"/>
    <w:rsid w:val="00AA5C4F"/>
    <w:rPr>
      <w:rFonts w:ascii="Calibri" w:eastAsia="Cambria"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6610019">
      <w:bodyDiv w:val="1"/>
      <w:marLeft w:val="0"/>
      <w:marRight w:val="0"/>
      <w:marTop w:val="0"/>
      <w:marBottom w:val="0"/>
      <w:divBdr>
        <w:top w:val="none" w:sz="0" w:space="0" w:color="auto"/>
        <w:left w:val="none" w:sz="0" w:space="0" w:color="auto"/>
        <w:bottom w:val="none" w:sz="0" w:space="0" w:color="auto"/>
        <w:right w:val="none" w:sz="0" w:space="0" w:color="auto"/>
      </w:divBdr>
      <w:divsChild>
        <w:div w:id="853690810">
          <w:marLeft w:val="0"/>
          <w:marRight w:val="0"/>
          <w:marTop w:val="0"/>
          <w:marBottom w:val="0"/>
          <w:divBdr>
            <w:top w:val="none" w:sz="0" w:space="0" w:color="auto"/>
            <w:left w:val="none" w:sz="0" w:space="0" w:color="auto"/>
            <w:bottom w:val="none" w:sz="0" w:space="0" w:color="auto"/>
            <w:right w:val="none" w:sz="0" w:space="0" w:color="auto"/>
          </w:divBdr>
          <w:divsChild>
            <w:div w:id="1097024982">
              <w:marLeft w:val="0"/>
              <w:marRight w:val="0"/>
              <w:marTop w:val="0"/>
              <w:marBottom w:val="0"/>
              <w:divBdr>
                <w:top w:val="none" w:sz="0" w:space="0" w:color="auto"/>
                <w:left w:val="none" w:sz="0" w:space="0" w:color="auto"/>
                <w:bottom w:val="none" w:sz="0" w:space="0" w:color="auto"/>
                <w:right w:val="none" w:sz="0" w:space="0" w:color="auto"/>
              </w:divBdr>
              <w:divsChild>
                <w:div w:id="11283547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6.wmf"/><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9.emf"/><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8.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image" Target="media/image7.w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EC4AE2-DCE2-4AD8-A8C3-D617434ED9F4}">
  <ds:schemaRefs>
    <ds:schemaRef ds:uri="http://schemas.openxmlformats.org/officeDocument/2006/bibliography"/>
  </ds:schemaRefs>
</ds:datastoreItem>
</file>

<file path=customXml/itemProps2.xml><?xml version="1.0" encoding="utf-8"?>
<ds:datastoreItem xmlns:ds="http://schemas.openxmlformats.org/officeDocument/2006/customXml" ds:itemID="{29AC9CEE-5591-4C49-BC06-57D84190BA67}">
  <ds:schemaRefs>
    <ds:schemaRef ds:uri="http://schemas.openxmlformats.org/officeDocument/2006/bibliography"/>
  </ds:schemaRefs>
</ds:datastoreItem>
</file>

<file path=customXml/itemProps3.xml><?xml version="1.0" encoding="utf-8"?>
<ds:datastoreItem xmlns:ds="http://schemas.openxmlformats.org/officeDocument/2006/customXml" ds:itemID="{ED00E3F1-04F8-4017-8027-F9F43106A8DB}">
  <ds:schemaRefs>
    <ds:schemaRef ds:uri="http://schemas.openxmlformats.org/officeDocument/2006/bibliography"/>
  </ds:schemaRefs>
</ds:datastoreItem>
</file>

<file path=customXml/itemProps4.xml><?xml version="1.0" encoding="utf-8"?>
<ds:datastoreItem xmlns:ds="http://schemas.openxmlformats.org/officeDocument/2006/customXml" ds:itemID="{717AA858-8B7F-4BB2-ABB6-73F4E2ABA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7033</Words>
  <Characters>40092</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Attachment 1. Product Information for Eplerenone</vt:lpstr>
    </vt:vector>
  </TitlesOfParts>
  <Company>Pfizer Australia Pty Ltd</Company>
  <LinksUpToDate>false</LinksUpToDate>
  <CharactersWithSpaces>47031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 Product Information for Eplerenone</dc:title>
  <dc:subject>prescription medicine regulation</dc:subject>
  <dc:creator>Pfizer Australia Pty Ltd</dc:creator>
  <cp:keywords>product, information, prescription, medicine, regulation, eplerenone, inspra, pfizer</cp:keywords>
  <cp:lastModifiedBy>dixonj</cp:lastModifiedBy>
  <cp:revision>2</cp:revision>
  <cp:lastPrinted>2013-02-11T02:59:00Z</cp:lastPrinted>
  <dcterms:created xsi:type="dcterms:W3CDTF">2013-10-30T01:00:00Z</dcterms:created>
  <dcterms:modified xsi:type="dcterms:W3CDTF">2013-10-30T01:00:00Z</dcterms:modified>
</cp:coreProperties>
</file>