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9661B0" w:rsidP="00CA2B50">
            <w:pPr>
              <w:rPr>
                <w:rFonts w:ascii="Arial" w:hAnsi="Arial" w:cs="Arial"/>
                <w:b/>
                <w:color w:val="002C47"/>
                <w:sz w:val="36"/>
                <w:szCs w:val="36"/>
              </w:rPr>
            </w:pPr>
            <w:r>
              <w:rPr>
                <w:rFonts w:ascii="Arial" w:hAnsi="Arial" w:cs="Arial"/>
                <w:b/>
                <w:color w:val="002C47"/>
                <w:sz w:val="36"/>
                <w:szCs w:val="36"/>
              </w:rPr>
              <w:t>Nove</w:t>
            </w:r>
            <w:r w:rsidR="00CA2B50">
              <w:rPr>
                <w:rFonts w:ascii="Arial" w:hAnsi="Arial" w:cs="Arial"/>
                <w:b/>
                <w:color w:val="002C47"/>
                <w:sz w:val="36"/>
                <w:szCs w:val="36"/>
              </w:rPr>
              <w:t>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CA2B50">
            <w:pPr>
              <w:pStyle w:val="Title"/>
              <w:rPr>
                <w:color w:val="FFFFFF" w:themeColor="background1"/>
              </w:rPr>
            </w:pPr>
            <w:r w:rsidRPr="00A964D1">
              <w:rPr>
                <w:color w:val="FFFFFF" w:themeColor="background1"/>
              </w:rPr>
              <w:t>Australia</w:t>
            </w:r>
            <w:r w:rsidR="00CA2B50">
              <w:rPr>
                <w:color w:val="FFFFFF" w:themeColor="background1"/>
              </w:rPr>
              <w:t xml:space="preserve">n Public Assessment Report for </w:t>
            </w:r>
            <w:proofErr w:type="spellStart"/>
            <w:r w:rsidR="00CA2B50">
              <w:rPr>
                <w:color w:val="FFFFFF" w:themeColor="background1"/>
              </w:rPr>
              <w:t>E</w:t>
            </w:r>
            <w:r w:rsidR="00932836">
              <w:rPr>
                <w:color w:val="FFFFFF" w:themeColor="background1"/>
              </w:rPr>
              <w:t>nzalutamide</w:t>
            </w:r>
            <w:proofErr w:type="spellEnd"/>
          </w:p>
        </w:tc>
      </w:tr>
      <w:tr w:rsidR="0032583B" w:rsidRPr="00B64760" w:rsidTr="0032583B">
        <w:tc>
          <w:tcPr>
            <w:tcW w:w="9079" w:type="dxa"/>
          </w:tcPr>
          <w:p w:rsidR="0032583B" w:rsidRPr="008E7846" w:rsidRDefault="0032583B" w:rsidP="00CA2B50">
            <w:pPr>
              <w:pStyle w:val="Subtitle"/>
              <w:rPr>
                <w:color w:val="FFFFFF" w:themeColor="background1"/>
              </w:rPr>
            </w:pPr>
            <w:r w:rsidRPr="008E7846">
              <w:rPr>
                <w:color w:val="FFFFFF" w:themeColor="background1"/>
              </w:rPr>
              <w:t xml:space="preserve">Proprietary Product Name: </w:t>
            </w:r>
            <w:proofErr w:type="spellStart"/>
            <w:r w:rsidR="00CA2B50">
              <w:rPr>
                <w:color w:val="FFFFFF" w:themeColor="background1"/>
              </w:rPr>
              <w:t>Xtandi</w:t>
            </w:r>
            <w:proofErr w:type="spellEnd"/>
          </w:p>
        </w:tc>
      </w:tr>
      <w:tr w:rsidR="0032583B" w:rsidRPr="00B64760" w:rsidTr="0032583B">
        <w:trPr>
          <w:trHeight w:val="486"/>
        </w:trPr>
        <w:tc>
          <w:tcPr>
            <w:tcW w:w="9079" w:type="dxa"/>
          </w:tcPr>
          <w:p w:rsidR="0032583B" w:rsidRPr="008E7846" w:rsidRDefault="00CA2B50" w:rsidP="0032583B">
            <w:pPr>
              <w:pStyle w:val="Subtitle"/>
              <w:rPr>
                <w:color w:val="FFFFFF" w:themeColor="background1"/>
              </w:rPr>
            </w:pPr>
            <w:r>
              <w:rPr>
                <w:color w:val="FFFFFF" w:themeColor="background1"/>
              </w:rPr>
              <w:t xml:space="preserve">Sponsor: </w:t>
            </w:r>
            <w:proofErr w:type="spellStart"/>
            <w:r w:rsidRPr="00CA2B50">
              <w:rPr>
                <w:color w:val="FFFFFF" w:themeColor="background1"/>
              </w:rPr>
              <w:t>Astellas</w:t>
            </w:r>
            <w:proofErr w:type="spellEnd"/>
            <w:r w:rsidRPr="00CA2B50">
              <w:rPr>
                <w:color w:val="FFFFFF" w:themeColor="background1"/>
              </w:rPr>
              <w:t xml:space="preserve"> </w:t>
            </w:r>
            <w:proofErr w:type="spellStart"/>
            <w:r w:rsidRPr="00CA2B50">
              <w:rPr>
                <w:color w:val="FFFFFF" w:themeColor="background1"/>
              </w:rPr>
              <w:t>Pharma</w:t>
            </w:r>
            <w:proofErr w:type="spellEnd"/>
            <w:r w:rsidRPr="00CA2B50">
              <w:rPr>
                <w:color w:val="FFFFFF" w:themeColor="background1"/>
              </w:rPr>
              <w:t xml:space="preserve">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AC463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AC463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AC463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C463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AC463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AC4634">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AC4634">
      <w:pPr>
        <w:pStyle w:val="ListBullet"/>
        <w:numPr>
          <w:ilvl w:val="0"/>
          <w:numId w:val="1"/>
        </w:numPr>
        <w:ind w:left="357" w:hanging="357"/>
      </w:pPr>
      <w:r>
        <w:t>AusPARs are prepared and published by the TGA.</w:t>
      </w:r>
    </w:p>
    <w:p w:rsidR="008E7846" w:rsidRDefault="008E7846" w:rsidP="00AC4634">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AC4634">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AC4634">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C358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8300817" w:history="1">
            <w:r w:rsidR="004C358D" w:rsidRPr="00C33BA1">
              <w:rPr>
                <w:rStyle w:val="Hyperlink"/>
                <w:noProof/>
              </w:rPr>
              <w:t>List of the most common abbreviations and definitions of terms used in this AusPAR</w:t>
            </w:r>
            <w:r w:rsidR="004C358D">
              <w:rPr>
                <w:noProof/>
                <w:webHidden/>
              </w:rPr>
              <w:tab/>
            </w:r>
            <w:r w:rsidR="004C358D">
              <w:rPr>
                <w:noProof/>
                <w:webHidden/>
              </w:rPr>
              <w:fldChar w:fldCharType="begin"/>
            </w:r>
            <w:r w:rsidR="004C358D">
              <w:rPr>
                <w:noProof/>
                <w:webHidden/>
              </w:rPr>
              <w:instrText xml:space="preserve"> PAGEREF _Toc408300817 \h </w:instrText>
            </w:r>
            <w:r w:rsidR="004C358D">
              <w:rPr>
                <w:noProof/>
                <w:webHidden/>
              </w:rPr>
            </w:r>
            <w:r w:rsidR="004C358D">
              <w:rPr>
                <w:noProof/>
                <w:webHidden/>
              </w:rPr>
              <w:fldChar w:fldCharType="separate"/>
            </w:r>
            <w:r w:rsidR="004C358D">
              <w:rPr>
                <w:noProof/>
                <w:webHidden/>
              </w:rPr>
              <w:t>5</w:t>
            </w:r>
            <w:r w:rsidR="004C358D">
              <w:rPr>
                <w:noProof/>
                <w:webHidden/>
              </w:rPr>
              <w:fldChar w:fldCharType="end"/>
            </w:r>
          </w:hyperlink>
        </w:p>
        <w:p w:rsidR="004C358D" w:rsidRDefault="004C358D">
          <w:pPr>
            <w:pStyle w:val="TOC2"/>
            <w:rPr>
              <w:rFonts w:asciiTheme="minorHAnsi" w:eastAsiaTheme="minorEastAsia" w:hAnsiTheme="minorHAnsi" w:cstheme="minorBidi"/>
              <w:b w:val="0"/>
              <w:noProof/>
              <w:sz w:val="22"/>
              <w:lang w:eastAsia="en-AU"/>
            </w:rPr>
          </w:pPr>
          <w:hyperlink w:anchor="_Toc408300818" w:history="1">
            <w:r w:rsidRPr="00C33BA1">
              <w:rPr>
                <w:rStyle w:val="Hyperlink"/>
                <w:noProof/>
              </w:rPr>
              <w:t>I. Introduction to product submission</w:t>
            </w:r>
            <w:r>
              <w:rPr>
                <w:noProof/>
                <w:webHidden/>
              </w:rPr>
              <w:tab/>
            </w:r>
            <w:r>
              <w:rPr>
                <w:noProof/>
                <w:webHidden/>
              </w:rPr>
              <w:fldChar w:fldCharType="begin"/>
            </w:r>
            <w:r>
              <w:rPr>
                <w:noProof/>
                <w:webHidden/>
              </w:rPr>
              <w:instrText xml:space="preserve"> PAGEREF _Toc408300818 \h </w:instrText>
            </w:r>
            <w:r>
              <w:rPr>
                <w:noProof/>
                <w:webHidden/>
              </w:rPr>
            </w:r>
            <w:r>
              <w:rPr>
                <w:noProof/>
                <w:webHidden/>
              </w:rPr>
              <w:fldChar w:fldCharType="separate"/>
            </w:r>
            <w:r>
              <w:rPr>
                <w:noProof/>
                <w:webHidden/>
              </w:rPr>
              <w:t>8</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19" w:history="1">
            <w:r w:rsidRPr="00C33BA1">
              <w:rPr>
                <w:rStyle w:val="Hyperlink"/>
                <w:noProof/>
                <w:lang w:eastAsia="en-AU"/>
              </w:rPr>
              <w:t>Submission details</w:t>
            </w:r>
            <w:r>
              <w:rPr>
                <w:noProof/>
                <w:webHidden/>
              </w:rPr>
              <w:tab/>
            </w:r>
            <w:r>
              <w:rPr>
                <w:noProof/>
                <w:webHidden/>
              </w:rPr>
              <w:fldChar w:fldCharType="begin"/>
            </w:r>
            <w:r>
              <w:rPr>
                <w:noProof/>
                <w:webHidden/>
              </w:rPr>
              <w:instrText xml:space="preserve"> PAGEREF _Toc408300819 \h </w:instrText>
            </w:r>
            <w:r>
              <w:rPr>
                <w:noProof/>
                <w:webHidden/>
              </w:rPr>
            </w:r>
            <w:r>
              <w:rPr>
                <w:noProof/>
                <w:webHidden/>
              </w:rPr>
              <w:fldChar w:fldCharType="separate"/>
            </w:r>
            <w:r>
              <w:rPr>
                <w:noProof/>
                <w:webHidden/>
              </w:rPr>
              <w:t>8</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20" w:history="1">
            <w:r w:rsidRPr="00C33BA1">
              <w:rPr>
                <w:rStyle w:val="Hyperlink"/>
                <w:noProof/>
              </w:rPr>
              <w:t>Product background</w:t>
            </w:r>
            <w:r>
              <w:rPr>
                <w:noProof/>
                <w:webHidden/>
              </w:rPr>
              <w:tab/>
            </w:r>
            <w:r>
              <w:rPr>
                <w:noProof/>
                <w:webHidden/>
              </w:rPr>
              <w:fldChar w:fldCharType="begin"/>
            </w:r>
            <w:r>
              <w:rPr>
                <w:noProof/>
                <w:webHidden/>
              </w:rPr>
              <w:instrText xml:space="preserve"> PAGEREF _Toc408300820 \h </w:instrText>
            </w:r>
            <w:r>
              <w:rPr>
                <w:noProof/>
                <w:webHidden/>
              </w:rPr>
            </w:r>
            <w:r>
              <w:rPr>
                <w:noProof/>
                <w:webHidden/>
              </w:rPr>
              <w:fldChar w:fldCharType="separate"/>
            </w:r>
            <w:r>
              <w:rPr>
                <w:noProof/>
                <w:webHidden/>
              </w:rPr>
              <w:t>8</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21" w:history="1">
            <w:r w:rsidRPr="00C33BA1">
              <w:rPr>
                <w:rStyle w:val="Hyperlink"/>
                <w:noProof/>
              </w:rPr>
              <w:t>Regulatory status</w:t>
            </w:r>
            <w:r>
              <w:rPr>
                <w:noProof/>
                <w:webHidden/>
              </w:rPr>
              <w:tab/>
            </w:r>
            <w:r>
              <w:rPr>
                <w:noProof/>
                <w:webHidden/>
              </w:rPr>
              <w:fldChar w:fldCharType="begin"/>
            </w:r>
            <w:r>
              <w:rPr>
                <w:noProof/>
                <w:webHidden/>
              </w:rPr>
              <w:instrText xml:space="preserve"> PAGEREF _Toc408300821 \h </w:instrText>
            </w:r>
            <w:r>
              <w:rPr>
                <w:noProof/>
                <w:webHidden/>
              </w:rPr>
            </w:r>
            <w:r>
              <w:rPr>
                <w:noProof/>
                <w:webHidden/>
              </w:rPr>
              <w:fldChar w:fldCharType="separate"/>
            </w:r>
            <w:r>
              <w:rPr>
                <w:noProof/>
                <w:webHidden/>
              </w:rPr>
              <w:t>9</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22" w:history="1">
            <w:r w:rsidRPr="00C33BA1">
              <w:rPr>
                <w:rStyle w:val="Hyperlink"/>
                <w:noProof/>
              </w:rPr>
              <w:t>Product Information</w:t>
            </w:r>
            <w:r>
              <w:rPr>
                <w:noProof/>
                <w:webHidden/>
              </w:rPr>
              <w:tab/>
            </w:r>
            <w:r>
              <w:rPr>
                <w:noProof/>
                <w:webHidden/>
              </w:rPr>
              <w:fldChar w:fldCharType="begin"/>
            </w:r>
            <w:r>
              <w:rPr>
                <w:noProof/>
                <w:webHidden/>
              </w:rPr>
              <w:instrText xml:space="preserve"> PAGEREF _Toc408300822 \h </w:instrText>
            </w:r>
            <w:r>
              <w:rPr>
                <w:noProof/>
                <w:webHidden/>
              </w:rPr>
            </w:r>
            <w:r>
              <w:rPr>
                <w:noProof/>
                <w:webHidden/>
              </w:rPr>
              <w:fldChar w:fldCharType="separate"/>
            </w:r>
            <w:r>
              <w:rPr>
                <w:noProof/>
                <w:webHidden/>
              </w:rPr>
              <w:t>9</w:t>
            </w:r>
            <w:r>
              <w:rPr>
                <w:noProof/>
                <w:webHidden/>
              </w:rPr>
              <w:fldChar w:fldCharType="end"/>
            </w:r>
          </w:hyperlink>
        </w:p>
        <w:p w:rsidR="004C358D" w:rsidRDefault="004C358D">
          <w:pPr>
            <w:pStyle w:val="TOC2"/>
            <w:rPr>
              <w:rFonts w:asciiTheme="minorHAnsi" w:eastAsiaTheme="minorEastAsia" w:hAnsiTheme="minorHAnsi" w:cstheme="minorBidi"/>
              <w:b w:val="0"/>
              <w:noProof/>
              <w:sz w:val="22"/>
              <w:lang w:eastAsia="en-AU"/>
            </w:rPr>
          </w:pPr>
          <w:hyperlink w:anchor="_Toc408300823" w:history="1">
            <w:r w:rsidRPr="00C33BA1">
              <w:rPr>
                <w:rStyle w:val="Hyperlink"/>
                <w:noProof/>
              </w:rPr>
              <w:t>II. Quality findings</w:t>
            </w:r>
            <w:r>
              <w:rPr>
                <w:noProof/>
                <w:webHidden/>
              </w:rPr>
              <w:tab/>
            </w:r>
            <w:r>
              <w:rPr>
                <w:noProof/>
                <w:webHidden/>
              </w:rPr>
              <w:fldChar w:fldCharType="begin"/>
            </w:r>
            <w:r>
              <w:rPr>
                <w:noProof/>
                <w:webHidden/>
              </w:rPr>
              <w:instrText xml:space="preserve"> PAGEREF _Toc408300823 \h </w:instrText>
            </w:r>
            <w:r>
              <w:rPr>
                <w:noProof/>
                <w:webHidden/>
              </w:rPr>
            </w:r>
            <w:r>
              <w:rPr>
                <w:noProof/>
                <w:webHidden/>
              </w:rPr>
              <w:fldChar w:fldCharType="separate"/>
            </w:r>
            <w:r>
              <w:rPr>
                <w:noProof/>
                <w:webHidden/>
              </w:rPr>
              <w:t>9</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24" w:history="1">
            <w:r w:rsidRPr="00C33BA1">
              <w:rPr>
                <w:rStyle w:val="Hyperlink"/>
                <w:noProof/>
              </w:rPr>
              <w:t>Introduction</w:t>
            </w:r>
            <w:r>
              <w:rPr>
                <w:noProof/>
                <w:webHidden/>
              </w:rPr>
              <w:tab/>
            </w:r>
            <w:r>
              <w:rPr>
                <w:noProof/>
                <w:webHidden/>
              </w:rPr>
              <w:fldChar w:fldCharType="begin"/>
            </w:r>
            <w:r>
              <w:rPr>
                <w:noProof/>
                <w:webHidden/>
              </w:rPr>
              <w:instrText xml:space="preserve"> PAGEREF _Toc408300824 \h </w:instrText>
            </w:r>
            <w:r>
              <w:rPr>
                <w:noProof/>
                <w:webHidden/>
              </w:rPr>
            </w:r>
            <w:r>
              <w:rPr>
                <w:noProof/>
                <w:webHidden/>
              </w:rPr>
              <w:fldChar w:fldCharType="separate"/>
            </w:r>
            <w:r>
              <w:rPr>
                <w:noProof/>
                <w:webHidden/>
              </w:rPr>
              <w:t>9</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25" w:history="1">
            <w:r w:rsidRPr="00C33BA1">
              <w:rPr>
                <w:rStyle w:val="Hyperlink"/>
                <w:noProof/>
              </w:rPr>
              <w:t>Drug substance (active ingredient)</w:t>
            </w:r>
            <w:r>
              <w:rPr>
                <w:noProof/>
                <w:webHidden/>
              </w:rPr>
              <w:tab/>
            </w:r>
            <w:r>
              <w:rPr>
                <w:noProof/>
                <w:webHidden/>
              </w:rPr>
              <w:fldChar w:fldCharType="begin"/>
            </w:r>
            <w:r>
              <w:rPr>
                <w:noProof/>
                <w:webHidden/>
              </w:rPr>
              <w:instrText xml:space="preserve"> PAGEREF _Toc408300825 \h </w:instrText>
            </w:r>
            <w:r>
              <w:rPr>
                <w:noProof/>
                <w:webHidden/>
              </w:rPr>
            </w:r>
            <w:r>
              <w:rPr>
                <w:noProof/>
                <w:webHidden/>
              </w:rPr>
              <w:fldChar w:fldCharType="separate"/>
            </w:r>
            <w:r>
              <w:rPr>
                <w:noProof/>
                <w:webHidden/>
              </w:rPr>
              <w:t>9</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26" w:history="1">
            <w:r w:rsidRPr="00C33BA1">
              <w:rPr>
                <w:rStyle w:val="Hyperlink"/>
                <w:noProof/>
              </w:rPr>
              <w:t>Drug product</w:t>
            </w:r>
            <w:r>
              <w:rPr>
                <w:noProof/>
                <w:webHidden/>
              </w:rPr>
              <w:tab/>
            </w:r>
            <w:r>
              <w:rPr>
                <w:noProof/>
                <w:webHidden/>
              </w:rPr>
              <w:fldChar w:fldCharType="begin"/>
            </w:r>
            <w:r>
              <w:rPr>
                <w:noProof/>
                <w:webHidden/>
              </w:rPr>
              <w:instrText xml:space="preserve"> PAGEREF _Toc408300826 \h </w:instrText>
            </w:r>
            <w:r>
              <w:rPr>
                <w:noProof/>
                <w:webHidden/>
              </w:rPr>
            </w:r>
            <w:r>
              <w:rPr>
                <w:noProof/>
                <w:webHidden/>
              </w:rPr>
              <w:fldChar w:fldCharType="separate"/>
            </w:r>
            <w:r>
              <w:rPr>
                <w:noProof/>
                <w:webHidden/>
              </w:rPr>
              <w:t>10</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27" w:history="1">
            <w:r w:rsidRPr="00C33BA1">
              <w:rPr>
                <w:rStyle w:val="Hyperlink"/>
                <w:noProof/>
              </w:rPr>
              <w:t>Biopharmaceutics</w:t>
            </w:r>
            <w:r>
              <w:rPr>
                <w:noProof/>
                <w:webHidden/>
              </w:rPr>
              <w:tab/>
            </w:r>
            <w:r>
              <w:rPr>
                <w:noProof/>
                <w:webHidden/>
              </w:rPr>
              <w:fldChar w:fldCharType="begin"/>
            </w:r>
            <w:r>
              <w:rPr>
                <w:noProof/>
                <w:webHidden/>
              </w:rPr>
              <w:instrText xml:space="preserve"> PAGEREF _Toc408300827 \h </w:instrText>
            </w:r>
            <w:r>
              <w:rPr>
                <w:noProof/>
                <w:webHidden/>
              </w:rPr>
            </w:r>
            <w:r>
              <w:rPr>
                <w:noProof/>
                <w:webHidden/>
              </w:rPr>
              <w:fldChar w:fldCharType="separate"/>
            </w:r>
            <w:r>
              <w:rPr>
                <w:noProof/>
                <w:webHidden/>
              </w:rPr>
              <w:t>10</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28" w:history="1">
            <w:r w:rsidRPr="00C33BA1">
              <w:rPr>
                <w:rStyle w:val="Hyperlink"/>
                <w:noProof/>
              </w:rPr>
              <w:t>Advisory committee considerations</w:t>
            </w:r>
            <w:r>
              <w:rPr>
                <w:noProof/>
                <w:webHidden/>
              </w:rPr>
              <w:tab/>
            </w:r>
            <w:r>
              <w:rPr>
                <w:noProof/>
                <w:webHidden/>
              </w:rPr>
              <w:fldChar w:fldCharType="begin"/>
            </w:r>
            <w:r>
              <w:rPr>
                <w:noProof/>
                <w:webHidden/>
              </w:rPr>
              <w:instrText xml:space="preserve"> PAGEREF _Toc408300828 \h </w:instrText>
            </w:r>
            <w:r>
              <w:rPr>
                <w:noProof/>
                <w:webHidden/>
              </w:rPr>
            </w:r>
            <w:r>
              <w:rPr>
                <w:noProof/>
                <w:webHidden/>
              </w:rPr>
              <w:fldChar w:fldCharType="separate"/>
            </w:r>
            <w:r>
              <w:rPr>
                <w:noProof/>
                <w:webHidden/>
              </w:rPr>
              <w:t>11</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29" w:history="1">
            <w:r w:rsidRPr="00C33BA1">
              <w:rPr>
                <w:rStyle w:val="Hyperlink"/>
                <w:noProof/>
              </w:rPr>
              <w:t>Quality summary and conclusions</w:t>
            </w:r>
            <w:r>
              <w:rPr>
                <w:noProof/>
                <w:webHidden/>
              </w:rPr>
              <w:tab/>
            </w:r>
            <w:r>
              <w:rPr>
                <w:noProof/>
                <w:webHidden/>
              </w:rPr>
              <w:fldChar w:fldCharType="begin"/>
            </w:r>
            <w:r>
              <w:rPr>
                <w:noProof/>
                <w:webHidden/>
              </w:rPr>
              <w:instrText xml:space="preserve"> PAGEREF _Toc408300829 \h </w:instrText>
            </w:r>
            <w:r>
              <w:rPr>
                <w:noProof/>
                <w:webHidden/>
              </w:rPr>
            </w:r>
            <w:r>
              <w:rPr>
                <w:noProof/>
                <w:webHidden/>
              </w:rPr>
              <w:fldChar w:fldCharType="separate"/>
            </w:r>
            <w:r>
              <w:rPr>
                <w:noProof/>
                <w:webHidden/>
              </w:rPr>
              <w:t>11</w:t>
            </w:r>
            <w:r>
              <w:rPr>
                <w:noProof/>
                <w:webHidden/>
              </w:rPr>
              <w:fldChar w:fldCharType="end"/>
            </w:r>
          </w:hyperlink>
        </w:p>
        <w:p w:rsidR="004C358D" w:rsidRDefault="004C358D">
          <w:pPr>
            <w:pStyle w:val="TOC2"/>
            <w:rPr>
              <w:rFonts w:asciiTheme="minorHAnsi" w:eastAsiaTheme="minorEastAsia" w:hAnsiTheme="minorHAnsi" w:cstheme="minorBidi"/>
              <w:b w:val="0"/>
              <w:noProof/>
              <w:sz w:val="22"/>
              <w:lang w:eastAsia="en-AU"/>
            </w:rPr>
          </w:pPr>
          <w:hyperlink w:anchor="_Toc408300830" w:history="1">
            <w:r w:rsidRPr="00C33BA1">
              <w:rPr>
                <w:rStyle w:val="Hyperlink"/>
                <w:noProof/>
              </w:rPr>
              <w:t>III. Nonclinical findings</w:t>
            </w:r>
            <w:r>
              <w:rPr>
                <w:noProof/>
                <w:webHidden/>
              </w:rPr>
              <w:tab/>
            </w:r>
            <w:r>
              <w:rPr>
                <w:noProof/>
                <w:webHidden/>
              </w:rPr>
              <w:fldChar w:fldCharType="begin"/>
            </w:r>
            <w:r>
              <w:rPr>
                <w:noProof/>
                <w:webHidden/>
              </w:rPr>
              <w:instrText xml:space="preserve"> PAGEREF _Toc408300830 \h </w:instrText>
            </w:r>
            <w:r>
              <w:rPr>
                <w:noProof/>
                <w:webHidden/>
              </w:rPr>
            </w:r>
            <w:r>
              <w:rPr>
                <w:noProof/>
                <w:webHidden/>
              </w:rPr>
              <w:fldChar w:fldCharType="separate"/>
            </w:r>
            <w:r>
              <w:rPr>
                <w:noProof/>
                <w:webHidden/>
              </w:rPr>
              <w:t>11</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31" w:history="1">
            <w:r w:rsidRPr="00C33BA1">
              <w:rPr>
                <w:rStyle w:val="Hyperlink"/>
                <w:noProof/>
              </w:rPr>
              <w:t>Introduction</w:t>
            </w:r>
            <w:r>
              <w:rPr>
                <w:noProof/>
                <w:webHidden/>
              </w:rPr>
              <w:tab/>
            </w:r>
            <w:r>
              <w:rPr>
                <w:noProof/>
                <w:webHidden/>
              </w:rPr>
              <w:fldChar w:fldCharType="begin"/>
            </w:r>
            <w:r>
              <w:rPr>
                <w:noProof/>
                <w:webHidden/>
              </w:rPr>
              <w:instrText xml:space="preserve"> PAGEREF _Toc408300831 \h </w:instrText>
            </w:r>
            <w:r>
              <w:rPr>
                <w:noProof/>
                <w:webHidden/>
              </w:rPr>
            </w:r>
            <w:r>
              <w:rPr>
                <w:noProof/>
                <w:webHidden/>
              </w:rPr>
              <w:fldChar w:fldCharType="separate"/>
            </w:r>
            <w:r>
              <w:rPr>
                <w:noProof/>
                <w:webHidden/>
              </w:rPr>
              <w:t>11</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32" w:history="1">
            <w:r w:rsidRPr="00C33BA1">
              <w:rPr>
                <w:rStyle w:val="Hyperlink"/>
                <w:noProof/>
              </w:rPr>
              <w:t>Pharmacology</w:t>
            </w:r>
            <w:r>
              <w:rPr>
                <w:noProof/>
                <w:webHidden/>
              </w:rPr>
              <w:tab/>
            </w:r>
            <w:r>
              <w:rPr>
                <w:noProof/>
                <w:webHidden/>
              </w:rPr>
              <w:fldChar w:fldCharType="begin"/>
            </w:r>
            <w:r>
              <w:rPr>
                <w:noProof/>
                <w:webHidden/>
              </w:rPr>
              <w:instrText xml:space="preserve"> PAGEREF _Toc408300832 \h </w:instrText>
            </w:r>
            <w:r>
              <w:rPr>
                <w:noProof/>
                <w:webHidden/>
              </w:rPr>
            </w:r>
            <w:r>
              <w:rPr>
                <w:noProof/>
                <w:webHidden/>
              </w:rPr>
              <w:fldChar w:fldCharType="separate"/>
            </w:r>
            <w:r>
              <w:rPr>
                <w:noProof/>
                <w:webHidden/>
              </w:rPr>
              <w:t>12</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33" w:history="1">
            <w:r w:rsidRPr="00C33BA1">
              <w:rPr>
                <w:rStyle w:val="Hyperlink"/>
                <w:noProof/>
              </w:rPr>
              <w:t>Pharmacokinetics</w:t>
            </w:r>
            <w:r>
              <w:rPr>
                <w:noProof/>
                <w:webHidden/>
              </w:rPr>
              <w:tab/>
            </w:r>
            <w:r>
              <w:rPr>
                <w:noProof/>
                <w:webHidden/>
              </w:rPr>
              <w:fldChar w:fldCharType="begin"/>
            </w:r>
            <w:r>
              <w:rPr>
                <w:noProof/>
                <w:webHidden/>
              </w:rPr>
              <w:instrText xml:space="preserve"> PAGEREF _Toc408300833 \h </w:instrText>
            </w:r>
            <w:r>
              <w:rPr>
                <w:noProof/>
                <w:webHidden/>
              </w:rPr>
            </w:r>
            <w:r>
              <w:rPr>
                <w:noProof/>
                <w:webHidden/>
              </w:rPr>
              <w:fldChar w:fldCharType="separate"/>
            </w:r>
            <w:r>
              <w:rPr>
                <w:noProof/>
                <w:webHidden/>
              </w:rPr>
              <w:t>15</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34" w:history="1">
            <w:r w:rsidRPr="00C33BA1">
              <w:rPr>
                <w:rStyle w:val="Hyperlink"/>
                <w:noProof/>
              </w:rPr>
              <w:t>Toxicology</w:t>
            </w:r>
            <w:r>
              <w:rPr>
                <w:noProof/>
                <w:webHidden/>
              </w:rPr>
              <w:tab/>
            </w:r>
            <w:r>
              <w:rPr>
                <w:noProof/>
                <w:webHidden/>
              </w:rPr>
              <w:fldChar w:fldCharType="begin"/>
            </w:r>
            <w:r>
              <w:rPr>
                <w:noProof/>
                <w:webHidden/>
              </w:rPr>
              <w:instrText xml:space="preserve"> PAGEREF _Toc408300834 \h </w:instrText>
            </w:r>
            <w:r>
              <w:rPr>
                <w:noProof/>
                <w:webHidden/>
              </w:rPr>
            </w:r>
            <w:r>
              <w:rPr>
                <w:noProof/>
                <w:webHidden/>
              </w:rPr>
              <w:fldChar w:fldCharType="separate"/>
            </w:r>
            <w:r>
              <w:rPr>
                <w:noProof/>
                <w:webHidden/>
              </w:rPr>
              <w:t>17</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35" w:history="1">
            <w:r w:rsidRPr="00C33BA1">
              <w:rPr>
                <w:rStyle w:val="Hyperlink"/>
                <w:noProof/>
              </w:rPr>
              <w:t>Nonclinical summary and conclusions</w:t>
            </w:r>
            <w:r>
              <w:rPr>
                <w:noProof/>
                <w:webHidden/>
              </w:rPr>
              <w:tab/>
            </w:r>
            <w:r>
              <w:rPr>
                <w:noProof/>
                <w:webHidden/>
              </w:rPr>
              <w:fldChar w:fldCharType="begin"/>
            </w:r>
            <w:r>
              <w:rPr>
                <w:noProof/>
                <w:webHidden/>
              </w:rPr>
              <w:instrText xml:space="preserve"> PAGEREF _Toc408300835 \h </w:instrText>
            </w:r>
            <w:r>
              <w:rPr>
                <w:noProof/>
                <w:webHidden/>
              </w:rPr>
            </w:r>
            <w:r>
              <w:rPr>
                <w:noProof/>
                <w:webHidden/>
              </w:rPr>
              <w:fldChar w:fldCharType="separate"/>
            </w:r>
            <w:r>
              <w:rPr>
                <w:noProof/>
                <w:webHidden/>
              </w:rPr>
              <w:t>22</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36" w:history="1">
            <w:r w:rsidRPr="00C33BA1">
              <w:rPr>
                <w:rStyle w:val="Hyperlink"/>
                <w:noProof/>
              </w:rPr>
              <w:t>Conclusions and recommendation</w:t>
            </w:r>
            <w:r>
              <w:rPr>
                <w:noProof/>
                <w:webHidden/>
              </w:rPr>
              <w:tab/>
            </w:r>
            <w:r>
              <w:rPr>
                <w:noProof/>
                <w:webHidden/>
              </w:rPr>
              <w:fldChar w:fldCharType="begin"/>
            </w:r>
            <w:r>
              <w:rPr>
                <w:noProof/>
                <w:webHidden/>
              </w:rPr>
              <w:instrText xml:space="preserve"> PAGEREF _Toc408300836 \h </w:instrText>
            </w:r>
            <w:r>
              <w:rPr>
                <w:noProof/>
                <w:webHidden/>
              </w:rPr>
            </w:r>
            <w:r>
              <w:rPr>
                <w:noProof/>
                <w:webHidden/>
              </w:rPr>
              <w:fldChar w:fldCharType="separate"/>
            </w:r>
            <w:r>
              <w:rPr>
                <w:noProof/>
                <w:webHidden/>
              </w:rPr>
              <w:t>23</w:t>
            </w:r>
            <w:r>
              <w:rPr>
                <w:noProof/>
                <w:webHidden/>
              </w:rPr>
              <w:fldChar w:fldCharType="end"/>
            </w:r>
          </w:hyperlink>
        </w:p>
        <w:p w:rsidR="004C358D" w:rsidRDefault="004C358D">
          <w:pPr>
            <w:pStyle w:val="TOC2"/>
            <w:rPr>
              <w:rFonts w:asciiTheme="minorHAnsi" w:eastAsiaTheme="minorEastAsia" w:hAnsiTheme="minorHAnsi" w:cstheme="minorBidi"/>
              <w:b w:val="0"/>
              <w:noProof/>
              <w:sz w:val="22"/>
              <w:lang w:eastAsia="en-AU"/>
            </w:rPr>
          </w:pPr>
          <w:hyperlink w:anchor="_Toc408300837" w:history="1">
            <w:r w:rsidRPr="00C33BA1">
              <w:rPr>
                <w:rStyle w:val="Hyperlink"/>
                <w:noProof/>
              </w:rPr>
              <w:t>IV. Clinical findings</w:t>
            </w:r>
            <w:r>
              <w:rPr>
                <w:noProof/>
                <w:webHidden/>
              </w:rPr>
              <w:tab/>
            </w:r>
            <w:r>
              <w:rPr>
                <w:noProof/>
                <w:webHidden/>
              </w:rPr>
              <w:fldChar w:fldCharType="begin"/>
            </w:r>
            <w:r>
              <w:rPr>
                <w:noProof/>
                <w:webHidden/>
              </w:rPr>
              <w:instrText xml:space="preserve"> PAGEREF _Toc408300837 \h </w:instrText>
            </w:r>
            <w:r>
              <w:rPr>
                <w:noProof/>
                <w:webHidden/>
              </w:rPr>
            </w:r>
            <w:r>
              <w:rPr>
                <w:noProof/>
                <w:webHidden/>
              </w:rPr>
              <w:fldChar w:fldCharType="separate"/>
            </w:r>
            <w:r>
              <w:rPr>
                <w:noProof/>
                <w:webHidden/>
              </w:rPr>
              <w:t>23</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38" w:history="1">
            <w:r w:rsidRPr="00C33BA1">
              <w:rPr>
                <w:rStyle w:val="Hyperlink"/>
                <w:noProof/>
              </w:rPr>
              <w:t>Introduction</w:t>
            </w:r>
            <w:r>
              <w:rPr>
                <w:noProof/>
                <w:webHidden/>
              </w:rPr>
              <w:tab/>
            </w:r>
            <w:r>
              <w:rPr>
                <w:noProof/>
                <w:webHidden/>
              </w:rPr>
              <w:fldChar w:fldCharType="begin"/>
            </w:r>
            <w:r>
              <w:rPr>
                <w:noProof/>
                <w:webHidden/>
              </w:rPr>
              <w:instrText xml:space="preserve"> PAGEREF _Toc408300838 \h </w:instrText>
            </w:r>
            <w:r>
              <w:rPr>
                <w:noProof/>
                <w:webHidden/>
              </w:rPr>
            </w:r>
            <w:r>
              <w:rPr>
                <w:noProof/>
                <w:webHidden/>
              </w:rPr>
              <w:fldChar w:fldCharType="separate"/>
            </w:r>
            <w:r>
              <w:rPr>
                <w:noProof/>
                <w:webHidden/>
              </w:rPr>
              <w:t>23</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39" w:history="1">
            <w:r w:rsidRPr="00C33BA1">
              <w:rPr>
                <w:rStyle w:val="Hyperlink"/>
                <w:noProof/>
              </w:rPr>
              <w:t>Pharmacokinetics</w:t>
            </w:r>
            <w:r>
              <w:rPr>
                <w:noProof/>
                <w:webHidden/>
              </w:rPr>
              <w:tab/>
            </w:r>
            <w:r>
              <w:rPr>
                <w:noProof/>
                <w:webHidden/>
              </w:rPr>
              <w:fldChar w:fldCharType="begin"/>
            </w:r>
            <w:r>
              <w:rPr>
                <w:noProof/>
                <w:webHidden/>
              </w:rPr>
              <w:instrText xml:space="preserve"> PAGEREF _Toc408300839 \h </w:instrText>
            </w:r>
            <w:r>
              <w:rPr>
                <w:noProof/>
                <w:webHidden/>
              </w:rPr>
            </w:r>
            <w:r>
              <w:rPr>
                <w:noProof/>
                <w:webHidden/>
              </w:rPr>
              <w:fldChar w:fldCharType="separate"/>
            </w:r>
            <w:r>
              <w:rPr>
                <w:noProof/>
                <w:webHidden/>
              </w:rPr>
              <w:t>25</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40" w:history="1">
            <w:r w:rsidRPr="00C33BA1">
              <w:rPr>
                <w:rStyle w:val="Hyperlink"/>
                <w:noProof/>
              </w:rPr>
              <w:t>Pharmacodynamics</w:t>
            </w:r>
            <w:r>
              <w:rPr>
                <w:noProof/>
                <w:webHidden/>
              </w:rPr>
              <w:tab/>
            </w:r>
            <w:r>
              <w:rPr>
                <w:noProof/>
                <w:webHidden/>
              </w:rPr>
              <w:fldChar w:fldCharType="begin"/>
            </w:r>
            <w:r>
              <w:rPr>
                <w:noProof/>
                <w:webHidden/>
              </w:rPr>
              <w:instrText xml:space="preserve"> PAGEREF _Toc408300840 \h </w:instrText>
            </w:r>
            <w:r>
              <w:rPr>
                <w:noProof/>
                <w:webHidden/>
              </w:rPr>
            </w:r>
            <w:r>
              <w:rPr>
                <w:noProof/>
                <w:webHidden/>
              </w:rPr>
              <w:fldChar w:fldCharType="separate"/>
            </w:r>
            <w:r>
              <w:rPr>
                <w:noProof/>
                <w:webHidden/>
              </w:rPr>
              <w:t>28</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41" w:history="1">
            <w:r w:rsidRPr="00C33BA1">
              <w:rPr>
                <w:rStyle w:val="Hyperlink"/>
                <w:noProof/>
              </w:rPr>
              <w:t>Dosage selection for the pivotal studies</w:t>
            </w:r>
            <w:r>
              <w:rPr>
                <w:noProof/>
                <w:webHidden/>
              </w:rPr>
              <w:tab/>
            </w:r>
            <w:r>
              <w:rPr>
                <w:noProof/>
                <w:webHidden/>
              </w:rPr>
              <w:fldChar w:fldCharType="begin"/>
            </w:r>
            <w:r>
              <w:rPr>
                <w:noProof/>
                <w:webHidden/>
              </w:rPr>
              <w:instrText xml:space="preserve"> PAGEREF _Toc408300841 \h </w:instrText>
            </w:r>
            <w:r>
              <w:rPr>
                <w:noProof/>
                <w:webHidden/>
              </w:rPr>
            </w:r>
            <w:r>
              <w:rPr>
                <w:noProof/>
                <w:webHidden/>
              </w:rPr>
              <w:fldChar w:fldCharType="separate"/>
            </w:r>
            <w:r>
              <w:rPr>
                <w:noProof/>
                <w:webHidden/>
              </w:rPr>
              <w:t>30</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42" w:history="1">
            <w:r w:rsidRPr="00C33BA1">
              <w:rPr>
                <w:rStyle w:val="Hyperlink"/>
                <w:noProof/>
              </w:rPr>
              <w:t>Efficacy</w:t>
            </w:r>
            <w:r>
              <w:rPr>
                <w:noProof/>
                <w:webHidden/>
              </w:rPr>
              <w:tab/>
            </w:r>
            <w:r>
              <w:rPr>
                <w:noProof/>
                <w:webHidden/>
              </w:rPr>
              <w:fldChar w:fldCharType="begin"/>
            </w:r>
            <w:r>
              <w:rPr>
                <w:noProof/>
                <w:webHidden/>
              </w:rPr>
              <w:instrText xml:space="preserve"> PAGEREF _Toc408300842 \h </w:instrText>
            </w:r>
            <w:r>
              <w:rPr>
                <w:noProof/>
                <w:webHidden/>
              </w:rPr>
            </w:r>
            <w:r>
              <w:rPr>
                <w:noProof/>
                <w:webHidden/>
              </w:rPr>
              <w:fldChar w:fldCharType="separate"/>
            </w:r>
            <w:r>
              <w:rPr>
                <w:noProof/>
                <w:webHidden/>
              </w:rPr>
              <w:t>31</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43" w:history="1">
            <w:r w:rsidRPr="00C33BA1">
              <w:rPr>
                <w:rStyle w:val="Hyperlink"/>
                <w:noProof/>
              </w:rPr>
              <w:t>Safety</w:t>
            </w:r>
            <w:r>
              <w:rPr>
                <w:noProof/>
                <w:webHidden/>
              </w:rPr>
              <w:tab/>
            </w:r>
            <w:r>
              <w:rPr>
                <w:noProof/>
                <w:webHidden/>
              </w:rPr>
              <w:fldChar w:fldCharType="begin"/>
            </w:r>
            <w:r>
              <w:rPr>
                <w:noProof/>
                <w:webHidden/>
              </w:rPr>
              <w:instrText xml:space="preserve"> PAGEREF _Toc408300843 \h </w:instrText>
            </w:r>
            <w:r>
              <w:rPr>
                <w:noProof/>
                <w:webHidden/>
              </w:rPr>
            </w:r>
            <w:r>
              <w:rPr>
                <w:noProof/>
                <w:webHidden/>
              </w:rPr>
              <w:fldChar w:fldCharType="separate"/>
            </w:r>
            <w:r>
              <w:rPr>
                <w:noProof/>
                <w:webHidden/>
              </w:rPr>
              <w:t>32</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44" w:history="1">
            <w:r w:rsidRPr="00C33BA1">
              <w:rPr>
                <w:rStyle w:val="Hyperlink"/>
                <w:noProof/>
              </w:rPr>
              <w:t>First round benefit-risk assessment</w:t>
            </w:r>
            <w:r>
              <w:rPr>
                <w:noProof/>
                <w:webHidden/>
              </w:rPr>
              <w:tab/>
            </w:r>
            <w:r>
              <w:rPr>
                <w:noProof/>
                <w:webHidden/>
              </w:rPr>
              <w:fldChar w:fldCharType="begin"/>
            </w:r>
            <w:r>
              <w:rPr>
                <w:noProof/>
                <w:webHidden/>
              </w:rPr>
              <w:instrText xml:space="preserve"> PAGEREF _Toc408300844 \h </w:instrText>
            </w:r>
            <w:r>
              <w:rPr>
                <w:noProof/>
                <w:webHidden/>
              </w:rPr>
            </w:r>
            <w:r>
              <w:rPr>
                <w:noProof/>
                <w:webHidden/>
              </w:rPr>
              <w:fldChar w:fldCharType="separate"/>
            </w:r>
            <w:r>
              <w:rPr>
                <w:noProof/>
                <w:webHidden/>
              </w:rPr>
              <w:t>35</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45" w:history="1">
            <w:r w:rsidRPr="00C33BA1">
              <w:rPr>
                <w:rStyle w:val="Hyperlink"/>
                <w:noProof/>
              </w:rPr>
              <w:t>First round recommendation regarding authorisation</w:t>
            </w:r>
            <w:r>
              <w:rPr>
                <w:noProof/>
                <w:webHidden/>
              </w:rPr>
              <w:tab/>
            </w:r>
            <w:r>
              <w:rPr>
                <w:noProof/>
                <w:webHidden/>
              </w:rPr>
              <w:fldChar w:fldCharType="begin"/>
            </w:r>
            <w:r>
              <w:rPr>
                <w:noProof/>
                <w:webHidden/>
              </w:rPr>
              <w:instrText xml:space="preserve"> PAGEREF _Toc408300845 \h </w:instrText>
            </w:r>
            <w:r>
              <w:rPr>
                <w:noProof/>
                <w:webHidden/>
              </w:rPr>
            </w:r>
            <w:r>
              <w:rPr>
                <w:noProof/>
                <w:webHidden/>
              </w:rPr>
              <w:fldChar w:fldCharType="separate"/>
            </w:r>
            <w:r>
              <w:rPr>
                <w:noProof/>
                <w:webHidden/>
              </w:rPr>
              <w:t>38</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46" w:history="1">
            <w:r w:rsidRPr="00C33BA1">
              <w:rPr>
                <w:rStyle w:val="Hyperlink"/>
                <w:noProof/>
              </w:rPr>
              <w:t>Clinical questions</w:t>
            </w:r>
            <w:r>
              <w:rPr>
                <w:noProof/>
                <w:webHidden/>
              </w:rPr>
              <w:tab/>
            </w:r>
            <w:r>
              <w:rPr>
                <w:noProof/>
                <w:webHidden/>
              </w:rPr>
              <w:fldChar w:fldCharType="begin"/>
            </w:r>
            <w:r>
              <w:rPr>
                <w:noProof/>
                <w:webHidden/>
              </w:rPr>
              <w:instrText xml:space="preserve"> PAGEREF _Toc408300846 \h </w:instrText>
            </w:r>
            <w:r>
              <w:rPr>
                <w:noProof/>
                <w:webHidden/>
              </w:rPr>
            </w:r>
            <w:r>
              <w:rPr>
                <w:noProof/>
                <w:webHidden/>
              </w:rPr>
              <w:fldChar w:fldCharType="separate"/>
            </w:r>
            <w:r>
              <w:rPr>
                <w:noProof/>
                <w:webHidden/>
              </w:rPr>
              <w:t>38</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47" w:history="1">
            <w:r w:rsidRPr="00C33BA1">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_Toc408300847 \h </w:instrText>
            </w:r>
            <w:r>
              <w:rPr>
                <w:noProof/>
                <w:webHidden/>
              </w:rPr>
            </w:r>
            <w:r>
              <w:rPr>
                <w:noProof/>
                <w:webHidden/>
              </w:rPr>
              <w:fldChar w:fldCharType="separate"/>
            </w:r>
            <w:r>
              <w:rPr>
                <w:noProof/>
                <w:webHidden/>
              </w:rPr>
              <w:t>39</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48" w:history="1">
            <w:r w:rsidRPr="00C33BA1">
              <w:rPr>
                <w:rStyle w:val="Hyperlink"/>
                <w:noProof/>
              </w:rPr>
              <w:t>Second round benefit-risk assessment</w:t>
            </w:r>
            <w:r>
              <w:rPr>
                <w:noProof/>
                <w:webHidden/>
              </w:rPr>
              <w:tab/>
            </w:r>
            <w:r>
              <w:rPr>
                <w:noProof/>
                <w:webHidden/>
              </w:rPr>
              <w:fldChar w:fldCharType="begin"/>
            </w:r>
            <w:r>
              <w:rPr>
                <w:noProof/>
                <w:webHidden/>
              </w:rPr>
              <w:instrText xml:space="preserve"> PAGEREF _Toc408300848 \h </w:instrText>
            </w:r>
            <w:r>
              <w:rPr>
                <w:noProof/>
                <w:webHidden/>
              </w:rPr>
            </w:r>
            <w:r>
              <w:rPr>
                <w:noProof/>
                <w:webHidden/>
              </w:rPr>
              <w:fldChar w:fldCharType="separate"/>
            </w:r>
            <w:r>
              <w:rPr>
                <w:noProof/>
                <w:webHidden/>
              </w:rPr>
              <w:t>39</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49" w:history="1">
            <w:r w:rsidRPr="00C33BA1">
              <w:rPr>
                <w:rStyle w:val="Hyperlink"/>
                <w:noProof/>
              </w:rPr>
              <w:t>Second round recommendation regarding authorisation</w:t>
            </w:r>
            <w:r>
              <w:rPr>
                <w:noProof/>
                <w:webHidden/>
              </w:rPr>
              <w:tab/>
            </w:r>
            <w:r>
              <w:rPr>
                <w:noProof/>
                <w:webHidden/>
              </w:rPr>
              <w:fldChar w:fldCharType="begin"/>
            </w:r>
            <w:r>
              <w:rPr>
                <w:noProof/>
                <w:webHidden/>
              </w:rPr>
              <w:instrText xml:space="preserve"> PAGEREF _Toc408300849 \h </w:instrText>
            </w:r>
            <w:r>
              <w:rPr>
                <w:noProof/>
                <w:webHidden/>
              </w:rPr>
            </w:r>
            <w:r>
              <w:rPr>
                <w:noProof/>
                <w:webHidden/>
              </w:rPr>
              <w:fldChar w:fldCharType="separate"/>
            </w:r>
            <w:r>
              <w:rPr>
                <w:noProof/>
                <w:webHidden/>
              </w:rPr>
              <w:t>40</w:t>
            </w:r>
            <w:r>
              <w:rPr>
                <w:noProof/>
                <w:webHidden/>
              </w:rPr>
              <w:fldChar w:fldCharType="end"/>
            </w:r>
          </w:hyperlink>
        </w:p>
        <w:p w:rsidR="004C358D" w:rsidRDefault="004C358D">
          <w:pPr>
            <w:pStyle w:val="TOC2"/>
            <w:rPr>
              <w:rFonts w:asciiTheme="minorHAnsi" w:eastAsiaTheme="minorEastAsia" w:hAnsiTheme="minorHAnsi" w:cstheme="minorBidi"/>
              <w:b w:val="0"/>
              <w:noProof/>
              <w:sz w:val="22"/>
              <w:lang w:eastAsia="en-AU"/>
            </w:rPr>
          </w:pPr>
          <w:hyperlink w:anchor="_Toc408300850" w:history="1">
            <w:r w:rsidRPr="00C33BA1">
              <w:rPr>
                <w:rStyle w:val="Hyperlink"/>
                <w:noProof/>
              </w:rPr>
              <w:t>V. Pharmacovigilance findings</w:t>
            </w:r>
            <w:r>
              <w:rPr>
                <w:noProof/>
                <w:webHidden/>
              </w:rPr>
              <w:tab/>
            </w:r>
            <w:r>
              <w:rPr>
                <w:noProof/>
                <w:webHidden/>
              </w:rPr>
              <w:fldChar w:fldCharType="begin"/>
            </w:r>
            <w:r>
              <w:rPr>
                <w:noProof/>
                <w:webHidden/>
              </w:rPr>
              <w:instrText xml:space="preserve"> PAGEREF _Toc408300850 \h </w:instrText>
            </w:r>
            <w:r>
              <w:rPr>
                <w:noProof/>
                <w:webHidden/>
              </w:rPr>
            </w:r>
            <w:r>
              <w:rPr>
                <w:noProof/>
                <w:webHidden/>
              </w:rPr>
              <w:fldChar w:fldCharType="separate"/>
            </w:r>
            <w:r>
              <w:rPr>
                <w:noProof/>
                <w:webHidden/>
              </w:rPr>
              <w:t>40</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51" w:history="1">
            <w:r w:rsidRPr="00C33BA1">
              <w:rPr>
                <w:rStyle w:val="Hyperlink"/>
                <w:noProof/>
                <w:lang w:eastAsia="en-AU"/>
              </w:rPr>
              <w:t>Risk management plan</w:t>
            </w:r>
            <w:r>
              <w:rPr>
                <w:noProof/>
                <w:webHidden/>
              </w:rPr>
              <w:tab/>
            </w:r>
            <w:r>
              <w:rPr>
                <w:noProof/>
                <w:webHidden/>
              </w:rPr>
              <w:fldChar w:fldCharType="begin"/>
            </w:r>
            <w:r>
              <w:rPr>
                <w:noProof/>
                <w:webHidden/>
              </w:rPr>
              <w:instrText xml:space="preserve"> PAGEREF _Toc408300851 \h </w:instrText>
            </w:r>
            <w:r>
              <w:rPr>
                <w:noProof/>
                <w:webHidden/>
              </w:rPr>
            </w:r>
            <w:r>
              <w:rPr>
                <w:noProof/>
                <w:webHidden/>
              </w:rPr>
              <w:fldChar w:fldCharType="separate"/>
            </w:r>
            <w:r>
              <w:rPr>
                <w:noProof/>
                <w:webHidden/>
              </w:rPr>
              <w:t>40</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52" w:history="1">
            <w:r w:rsidRPr="00C33BA1">
              <w:rPr>
                <w:rStyle w:val="Hyperlink"/>
                <w:noProof/>
                <w:lang w:eastAsia="en-AU"/>
              </w:rPr>
              <w:t xml:space="preserve">Summary and </w:t>
            </w:r>
            <w:r w:rsidRPr="00C33BA1">
              <w:rPr>
                <w:rStyle w:val="Hyperlink"/>
                <w:noProof/>
              </w:rPr>
              <w:t>recommendations</w:t>
            </w:r>
            <w:r>
              <w:rPr>
                <w:noProof/>
                <w:webHidden/>
              </w:rPr>
              <w:tab/>
            </w:r>
            <w:r>
              <w:rPr>
                <w:noProof/>
                <w:webHidden/>
              </w:rPr>
              <w:fldChar w:fldCharType="begin"/>
            </w:r>
            <w:r>
              <w:rPr>
                <w:noProof/>
                <w:webHidden/>
              </w:rPr>
              <w:instrText xml:space="preserve"> PAGEREF _Toc408300852 \h </w:instrText>
            </w:r>
            <w:r>
              <w:rPr>
                <w:noProof/>
                <w:webHidden/>
              </w:rPr>
            </w:r>
            <w:r>
              <w:rPr>
                <w:noProof/>
                <w:webHidden/>
              </w:rPr>
              <w:fldChar w:fldCharType="separate"/>
            </w:r>
            <w:r>
              <w:rPr>
                <w:noProof/>
                <w:webHidden/>
              </w:rPr>
              <w:t>45</w:t>
            </w:r>
            <w:r>
              <w:rPr>
                <w:noProof/>
                <w:webHidden/>
              </w:rPr>
              <w:fldChar w:fldCharType="end"/>
            </w:r>
          </w:hyperlink>
        </w:p>
        <w:p w:rsidR="004C358D" w:rsidRDefault="004C358D">
          <w:pPr>
            <w:pStyle w:val="TOC2"/>
            <w:rPr>
              <w:rFonts w:asciiTheme="minorHAnsi" w:eastAsiaTheme="minorEastAsia" w:hAnsiTheme="minorHAnsi" w:cstheme="minorBidi"/>
              <w:b w:val="0"/>
              <w:noProof/>
              <w:sz w:val="22"/>
              <w:lang w:eastAsia="en-AU"/>
            </w:rPr>
          </w:pPr>
          <w:hyperlink w:anchor="_Toc408300853" w:history="1">
            <w:r w:rsidRPr="00C33BA1">
              <w:rPr>
                <w:rStyle w:val="Hyperlink"/>
                <w:noProof/>
              </w:rPr>
              <w:t>VI. Overall conclusion and risk/benefit assessment</w:t>
            </w:r>
            <w:r>
              <w:rPr>
                <w:noProof/>
                <w:webHidden/>
              </w:rPr>
              <w:tab/>
            </w:r>
            <w:r>
              <w:rPr>
                <w:noProof/>
                <w:webHidden/>
              </w:rPr>
              <w:fldChar w:fldCharType="begin"/>
            </w:r>
            <w:r>
              <w:rPr>
                <w:noProof/>
                <w:webHidden/>
              </w:rPr>
              <w:instrText xml:space="preserve"> PAGEREF _Toc408300853 \h </w:instrText>
            </w:r>
            <w:r>
              <w:rPr>
                <w:noProof/>
                <w:webHidden/>
              </w:rPr>
            </w:r>
            <w:r>
              <w:rPr>
                <w:noProof/>
                <w:webHidden/>
              </w:rPr>
              <w:fldChar w:fldCharType="separate"/>
            </w:r>
            <w:r>
              <w:rPr>
                <w:noProof/>
                <w:webHidden/>
              </w:rPr>
              <w:t>46</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54" w:history="1">
            <w:r w:rsidRPr="00C33BA1">
              <w:rPr>
                <w:rStyle w:val="Hyperlink"/>
                <w:noProof/>
              </w:rPr>
              <w:t>Introduction</w:t>
            </w:r>
            <w:r>
              <w:rPr>
                <w:noProof/>
                <w:webHidden/>
              </w:rPr>
              <w:tab/>
            </w:r>
            <w:r>
              <w:rPr>
                <w:noProof/>
                <w:webHidden/>
              </w:rPr>
              <w:fldChar w:fldCharType="begin"/>
            </w:r>
            <w:r>
              <w:rPr>
                <w:noProof/>
                <w:webHidden/>
              </w:rPr>
              <w:instrText xml:space="preserve"> PAGEREF _Toc408300854 \h </w:instrText>
            </w:r>
            <w:r>
              <w:rPr>
                <w:noProof/>
                <w:webHidden/>
              </w:rPr>
            </w:r>
            <w:r>
              <w:rPr>
                <w:noProof/>
                <w:webHidden/>
              </w:rPr>
              <w:fldChar w:fldCharType="separate"/>
            </w:r>
            <w:r>
              <w:rPr>
                <w:noProof/>
                <w:webHidden/>
              </w:rPr>
              <w:t>46</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55" w:history="1">
            <w:r w:rsidRPr="00C33BA1">
              <w:rPr>
                <w:rStyle w:val="Hyperlink"/>
                <w:noProof/>
              </w:rPr>
              <w:t>Quality</w:t>
            </w:r>
            <w:r>
              <w:rPr>
                <w:noProof/>
                <w:webHidden/>
              </w:rPr>
              <w:tab/>
            </w:r>
            <w:r>
              <w:rPr>
                <w:noProof/>
                <w:webHidden/>
              </w:rPr>
              <w:fldChar w:fldCharType="begin"/>
            </w:r>
            <w:r>
              <w:rPr>
                <w:noProof/>
                <w:webHidden/>
              </w:rPr>
              <w:instrText xml:space="preserve"> PAGEREF _Toc408300855 \h </w:instrText>
            </w:r>
            <w:r>
              <w:rPr>
                <w:noProof/>
                <w:webHidden/>
              </w:rPr>
            </w:r>
            <w:r>
              <w:rPr>
                <w:noProof/>
                <w:webHidden/>
              </w:rPr>
              <w:fldChar w:fldCharType="separate"/>
            </w:r>
            <w:r>
              <w:rPr>
                <w:noProof/>
                <w:webHidden/>
              </w:rPr>
              <w:t>47</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56" w:history="1">
            <w:r w:rsidRPr="00C33BA1">
              <w:rPr>
                <w:rStyle w:val="Hyperlink"/>
                <w:noProof/>
              </w:rPr>
              <w:t>Nonclinical</w:t>
            </w:r>
            <w:r>
              <w:rPr>
                <w:noProof/>
                <w:webHidden/>
              </w:rPr>
              <w:tab/>
            </w:r>
            <w:r>
              <w:rPr>
                <w:noProof/>
                <w:webHidden/>
              </w:rPr>
              <w:fldChar w:fldCharType="begin"/>
            </w:r>
            <w:r>
              <w:rPr>
                <w:noProof/>
                <w:webHidden/>
              </w:rPr>
              <w:instrText xml:space="preserve"> PAGEREF _Toc408300856 \h </w:instrText>
            </w:r>
            <w:r>
              <w:rPr>
                <w:noProof/>
                <w:webHidden/>
              </w:rPr>
            </w:r>
            <w:r>
              <w:rPr>
                <w:noProof/>
                <w:webHidden/>
              </w:rPr>
              <w:fldChar w:fldCharType="separate"/>
            </w:r>
            <w:r>
              <w:rPr>
                <w:noProof/>
                <w:webHidden/>
              </w:rPr>
              <w:t>47</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57" w:history="1">
            <w:r w:rsidRPr="00C33BA1">
              <w:rPr>
                <w:rStyle w:val="Hyperlink"/>
                <w:noProof/>
              </w:rPr>
              <w:t>Clinical</w:t>
            </w:r>
            <w:r>
              <w:rPr>
                <w:noProof/>
                <w:webHidden/>
              </w:rPr>
              <w:tab/>
            </w:r>
            <w:r>
              <w:rPr>
                <w:noProof/>
                <w:webHidden/>
              </w:rPr>
              <w:fldChar w:fldCharType="begin"/>
            </w:r>
            <w:r>
              <w:rPr>
                <w:noProof/>
                <w:webHidden/>
              </w:rPr>
              <w:instrText xml:space="preserve"> PAGEREF _Toc408300857 \h </w:instrText>
            </w:r>
            <w:r>
              <w:rPr>
                <w:noProof/>
                <w:webHidden/>
              </w:rPr>
            </w:r>
            <w:r>
              <w:rPr>
                <w:noProof/>
                <w:webHidden/>
              </w:rPr>
              <w:fldChar w:fldCharType="separate"/>
            </w:r>
            <w:r>
              <w:rPr>
                <w:noProof/>
                <w:webHidden/>
              </w:rPr>
              <w:t>48</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58" w:history="1">
            <w:r w:rsidRPr="00C33BA1">
              <w:rPr>
                <w:rStyle w:val="Hyperlink"/>
                <w:noProof/>
                <w:lang w:eastAsia="en-AU"/>
              </w:rPr>
              <w:t>Risk management plan</w:t>
            </w:r>
            <w:r>
              <w:rPr>
                <w:noProof/>
                <w:webHidden/>
              </w:rPr>
              <w:tab/>
            </w:r>
            <w:r>
              <w:rPr>
                <w:noProof/>
                <w:webHidden/>
              </w:rPr>
              <w:fldChar w:fldCharType="begin"/>
            </w:r>
            <w:r>
              <w:rPr>
                <w:noProof/>
                <w:webHidden/>
              </w:rPr>
              <w:instrText xml:space="preserve"> PAGEREF _Toc408300858 \h </w:instrText>
            </w:r>
            <w:r>
              <w:rPr>
                <w:noProof/>
                <w:webHidden/>
              </w:rPr>
            </w:r>
            <w:r>
              <w:rPr>
                <w:noProof/>
                <w:webHidden/>
              </w:rPr>
              <w:fldChar w:fldCharType="separate"/>
            </w:r>
            <w:r>
              <w:rPr>
                <w:noProof/>
                <w:webHidden/>
              </w:rPr>
              <w:t>69</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59" w:history="1">
            <w:r w:rsidRPr="00C33BA1">
              <w:rPr>
                <w:rStyle w:val="Hyperlink"/>
                <w:noProof/>
              </w:rPr>
              <w:t>Risk-benefit analysis</w:t>
            </w:r>
            <w:r>
              <w:rPr>
                <w:noProof/>
                <w:webHidden/>
              </w:rPr>
              <w:tab/>
            </w:r>
            <w:r>
              <w:rPr>
                <w:noProof/>
                <w:webHidden/>
              </w:rPr>
              <w:fldChar w:fldCharType="begin"/>
            </w:r>
            <w:r>
              <w:rPr>
                <w:noProof/>
                <w:webHidden/>
              </w:rPr>
              <w:instrText xml:space="preserve"> PAGEREF _Toc408300859 \h </w:instrText>
            </w:r>
            <w:r>
              <w:rPr>
                <w:noProof/>
                <w:webHidden/>
              </w:rPr>
            </w:r>
            <w:r>
              <w:rPr>
                <w:noProof/>
                <w:webHidden/>
              </w:rPr>
              <w:fldChar w:fldCharType="separate"/>
            </w:r>
            <w:r>
              <w:rPr>
                <w:noProof/>
                <w:webHidden/>
              </w:rPr>
              <w:t>69</w:t>
            </w:r>
            <w:r>
              <w:rPr>
                <w:noProof/>
                <w:webHidden/>
              </w:rPr>
              <w:fldChar w:fldCharType="end"/>
            </w:r>
          </w:hyperlink>
        </w:p>
        <w:p w:rsidR="004C358D" w:rsidRDefault="004C358D">
          <w:pPr>
            <w:pStyle w:val="TOC3"/>
            <w:rPr>
              <w:rFonts w:asciiTheme="minorHAnsi" w:eastAsiaTheme="minorEastAsia" w:hAnsiTheme="minorHAnsi" w:cstheme="minorBidi"/>
              <w:noProof/>
              <w:lang w:eastAsia="en-AU"/>
            </w:rPr>
          </w:pPr>
          <w:hyperlink w:anchor="_Toc408300860" w:history="1">
            <w:r w:rsidRPr="00C33BA1">
              <w:rPr>
                <w:rStyle w:val="Hyperlink"/>
                <w:noProof/>
              </w:rPr>
              <w:t>Outcome</w:t>
            </w:r>
            <w:r>
              <w:rPr>
                <w:noProof/>
                <w:webHidden/>
              </w:rPr>
              <w:tab/>
            </w:r>
            <w:r>
              <w:rPr>
                <w:noProof/>
                <w:webHidden/>
              </w:rPr>
              <w:fldChar w:fldCharType="begin"/>
            </w:r>
            <w:r>
              <w:rPr>
                <w:noProof/>
                <w:webHidden/>
              </w:rPr>
              <w:instrText xml:space="preserve"> PAGEREF _Toc408300860 \h </w:instrText>
            </w:r>
            <w:r>
              <w:rPr>
                <w:noProof/>
                <w:webHidden/>
              </w:rPr>
            </w:r>
            <w:r>
              <w:rPr>
                <w:noProof/>
                <w:webHidden/>
              </w:rPr>
              <w:fldChar w:fldCharType="separate"/>
            </w:r>
            <w:r>
              <w:rPr>
                <w:noProof/>
                <w:webHidden/>
              </w:rPr>
              <w:t>77</w:t>
            </w:r>
            <w:r>
              <w:rPr>
                <w:noProof/>
                <w:webHidden/>
              </w:rPr>
              <w:fldChar w:fldCharType="end"/>
            </w:r>
          </w:hyperlink>
        </w:p>
        <w:p w:rsidR="004C358D" w:rsidRDefault="004C358D">
          <w:pPr>
            <w:pStyle w:val="TOC2"/>
            <w:tabs>
              <w:tab w:val="left" w:pos="2448"/>
            </w:tabs>
            <w:rPr>
              <w:rFonts w:asciiTheme="minorHAnsi" w:eastAsiaTheme="minorEastAsia" w:hAnsiTheme="minorHAnsi" w:cstheme="minorBidi"/>
              <w:b w:val="0"/>
              <w:noProof/>
              <w:sz w:val="22"/>
              <w:lang w:eastAsia="en-AU"/>
            </w:rPr>
          </w:pPr>
          <w:hyperlink w:anchor="_Toc408300861" w:history="1">
            <w:r w:rsidRPr="00C33BA1">
              <w:rPr>
                <w:rStyle w:val="Hyperlink"/>
                <w:noProof/>
              </w:rPr>
              <w:t>Attachment 1.</w:t>
            </w:r>
            <w:r>
              <w:rPr>
                <w:rFonts w:asciiTheme="minorHAnsi" w:eastAsiaTheme="minorEastAsia" w:hAnsiTheme="minorHAnsi" w:cstheme="minorBidi"/>
                <w:b w:val="0"/>
                <w:noProof/>
                <w:sz w:val="22"/>
                <w:lang w:eastAsia="en-AU"/>
              </w:rPr>
              <w:tab/>
            </w:r>
            <w:r w:rsidRPr="00C33BA1">
              <w:rPr>
                <w:rStyle w:val="Hyperlink"/>
                <w:noProof/>
              </w:rPr>
              <w:t>Product Information</w:t>
            </w:r>
            <w:r>
              <w:rPr>
                <w:noProof/>
                <w:webHidden/>
              </w:rPr>
              <w:tab/>
            </w:r>
            <w:r>
              <w:rPr>
                <w:noProof/>
                <w:webHidden/>
              </w:rPr>
              <w:fldChar w:fldCharType="begin"/>
            </w:r>
            <w:r>
              <w:rPr>
                <w:noProof/>
                <w:webHidden/>
              </w:rPr>
              <w:instrText xml:space="preserve"> PAGEREF _Toc408300861 \h </w:instrText>
            </w:r>
            <w:r>
              <w:rPr>
                <w:noProof/>
                <w:webHidden/>
              </w:rPr>
            </w:r>
            <w:r>
              <w:rPr>
                <w:noProof/>
                <w:webHidden/>
              </w:rPr>
              <w:fldChar w:fldCharType="separate"/>
            </w:r>
            <w:r>
              <w:rPr>
                <w:noProof/>
                <w:webHidden/>
              </w:rPr>
              <w:t>78</w:t>
            </w:r>
            <w:r>
              <w:rPr>
                <w:noProof/>
                <w:webHidden/>
              </w:rPr>
              <w:fldChar w:fldCharType="end"/>
            </w:r>
          </w:hyperlink>
        </w:p>
        <w:p w:rsidR="003A7F6C" w:rsidRPr="00B811C6" w:rsidRDefault="004C358D" w:rsidP="004C358D">
          <w:pPr>
            <w:pStyle w:val="TOC2"/>
            <w:tabs>
              <w:tab w:val="left" w:pos="2448"/>
            </w:tabs>
          </w:pPr>
          <w:hyperlink w:anchor="_Toc408300862" w:history="1">
            <w:r w:rsidRPr="00C33BA1">
              <w:rPr>
                <w:rStyle w:val="Hyperlink"/>
                <w:noProof/>
                <w:lang w:eastAsia="en-AU"/>
              </w:rPr>
              <w:t>Attachment 2.</w:t>
            </w:r>
            <w:r>
              <w:rPr>
                <w:rFonts w:asciiTheme="minorHAnsi" w:eastAsiaTheme="minorEastAsia" w:hAnsiTheme="minorHAnsi" w:cstheme="minorBidi"/>
                <w:b w:val="0"/>
                <w:noProof/>
                <w:sz w:val="22"/>
                <w:lang w:eastAsia="en-AU"/>
              </w:rPr>
              <w:tab/>
            </w:r>
            <w:r w:rsidRPr="00C33BA1">
              <w:rPr>
                <w:rStyle w:val="Hyperlink"/>
                <w:noProof/>
                <w:lang w:eastAsia="en-AU"/>
              </w:rPr>
              <w:t xml:space="preserve">Extract from the </w:t>
            </w:r>
            <w:r w:rsidRPr="00C33BA1">
              <w:rPr>
                <w:rStyle w:val="Hyperlink"/>
                <w:noProof/>
              </w:rPr>
              <w:t>Clinical</w:t>
            </w:r>
            <w:r w:rsidRPr="00C33BA1">
              <w:rPr>
                <w:rStyle w:val="Hyperlink"/>
                <w:noProof/>
                <w:lang w:eastAsia="en-AU"/>
              </w:rPr>
              <w:t xml:space="preserve"> Evaluation Report</w:t>
            </w:r>
            <w:r>
              <w:rPr>
                <w:noProof/>
                <w:webHidden/>
              </w:rPr>
              <w:tab/>
            </w:r>
            <w:r>
              <w:rPr>
                <w:noProof/>
                <w:webHidden/>
              </w:rPr>
              <w:fldChar w:fldCharType="begin"/>
            </w:r>
            <w:r>
              <w:rPr>
                <w:noProof/>
                <w:webHidden/>
              </w:rPr>
              <w:instrText xml:space="preserve"> PAGEREF _Toc408300862 \h </w:instrText>
            </w:r>
            <w:r>
              <w:rPr>
                <w:noProof/>
                <w:webHidden/>
              </w:rPr>
            </w:r>
            <w:r>
              <w:rPr>
                <w:noProof/>
                <w:webHidden/>
              </w:rPr>
              <w:fldChar w:fldCharType="separate"/>
            </w:r>
            <w:r>
              <w:rPr>
                <w:noProof/>
                <w:webHidden/>
              </w:rPr>
              <w:t>78</w:t>
            </w:r>
            <w:r>
              <w:rPr>
                <w:noProof/>
                <w:webHidden/>
              </w:rPr>
              <w:fldChar w:fldCharType="end"/>
            </w:r>
          </w:hyperlink>
          <w:r w:rsidR="00DB6124">
            <w:fldChar w:fldCharType="end"/>
          </w:r>
        </w:p>
        <w:bookmarkStart w:id="2" w:name="_GoBack" w:displacedByCustomXml="next"/>
        <w:bookmarkEnd w:id="2" w:displacedByCustomXml="next"/>
      </w:sdtContent>
    </w:sdt>
    <w:bookmarkStart w:id="3" w:name="_Toc314842482" w:displacedByCustomXml="prev"/>
    <w:p w:rsidR="00FD119B" w:rsidRDefault="00FD119B">
      <w:pPr>
        <w:spacing w:before="0" w:after="200" w:line="0" w:lineRule="auto"/>
      </w:pPr>
      <w:r>
        <w:br w:type="page"/>
      </w:r>
    </w:p>
    <w:p w:rsidR="00FD119B" w:rsidRPr="00FD119B" w:rsidRDefault="00FD119B" w:rsidP="001B5658">
      <w:pPr>
        <w:pStyle w:val="Heading2"/>
      </w:pPr>
      <w:bookmarkStart w:id="4" w:name="_Toc351716269"/>
      <w:bookmarkStart w:id="5" w:name="_Toc351718881"/>
      <w:bookmarkStart w:id="6" w:name="_Toc355338616"/>
      <w:bookmarkStart w:id="7" w:name="_Toc356306144"/>
      <w:bookmarkStart w:id="8" w:name="_Toc408300817"/>
      <w:r w:rsidRPr="00FD119B">
        <w:lastRenderedPageBreak/>
        <w:t>List of the most common abbreviations</w:t>
      </w:r>
      <w:bookmarkEnd w:id="4"/>
      <w:bookmarkEnd w:id="5"/>
      <w:bookmarkEnd w:id="6"/>
      <w:bookmarkEnd w:id="7"/>
      <w:r w:rsidRPr="00FD119B">
        <w:t xml:space="preserve"> </w:t>
      </w:r>
      <w:r w:rsidR="006A21E5">
        <w:t xml:space="preserve">and definitions of terms </w:t>
      </w:r>
      <w:r w:rsidRPr="00FD119B">
        <w:t xml:space="preserve">used in this </w:t>
      </w:r>
      <w:proofErr w:type="spellStart"/>
      <w:r w:rsidRPr="001B5658">
        <w:t>AusPAR</w:t>
      </w:r>
      <w:bookmarkEnd w:id="8"/>
      <w:proofErr w:type="spellEnd"/>
    </w:p>
    <w:tbl>
      <w:tblPr>
        <w:tblStyle w:val="TableTGAblue"/>
        <w:tblW w:w="0" w:type="auto"/>
        <w:tblLook w:val="04A0" w:firstRow="1" w:lastRow="0" w:firstColumn="1" w:lastColumn="0" w:noHBand="0" w:noVBand="1"/>
      </w:tblPr>
      <w:tblGrid>
        <w:gridCol w:w="1890"/>
        <w:gridCol w:w="6830"/>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1B5658">
            <w:pPr>
              <w:rPr>
                <w:lang w:eastAsia="en-US"/>
              </w:rPr>
            </w:pPr>
            <w:r w:rsidRPr="00FD119B">
              <w:rPr>
                <w:lang w:eastAsia="en-US"/>
              </w:rPr>
              <w:t>Abbreviation</w:t>
            </w:r>
          </w:p>
        </w:tc>
        <w:tc>
          <w:tcPr>
            <w:tcW w:w="6911" w:type="dxa"/>
          </w:tcPr>
          <w:p w:rsidR="00FD119B" w:rsidRPr="00FD119B" w:rsidRDefault="00FD119B" w:rsidP="001B5658">
            <w:pPr>
              <w:rPr>
                <w:lang w:eastAsia="en-US"/>
              </w:rPr>
            </w:pPr>
            <w:r w:rsidRPr="00FD119B">
              <w:rPr>
                <w:lang w:eastAsia="en-US"/>
              </w:rPr>
              <w:t>Meaning</w:t>
            </w:r>
          </w:p>
        </w:tc>
      </w:tr>
      <w:tr w:rsidR="00340F75" w:rsidRPr="00A12FA5" w:rsidTr="009661B0">
        <w:tc>
          <w:tcPr>
            <w:tcW w:w="1809" w:type="dxa"/>
          </w:tcPr>
          <w:p w:rsidR="00340F75" w:rsidRPr="00A12FA5" w:rsidRDefault="00340F75" w:rsidP="001B5658">
            <w:r>
              <w:t>ACPM</w:t>
            </w:r>
          </w:p>
        </w:tc>
        <w:tc>
          <w:tcPr>
            <w:tcW w:w="6911" w:type="dxa"/>
          </w:tcPr>
          <w:p w:rsidR="00340F75" w:rsidRPr="00A12FA5" w:rsidRDefault="00340F75" w:rsidP="001B5658">
            <w:r>
              <w:t>Advisory Committee on Prescription Medicines</w:t>
            </w:r>
          </w:p>
        </w:tc>
      </w:tr>
      <w:tr w:rsidR="00340F75" w:rsidRPr="00A12FA5" w:rsidTr="009661B0">
        <w:tc>
          <w:tcPr>
            <w:tcW w:w="1809" w:type="dxa"/>
          </w:tcPr>
          <w:p w:rsidR="00340F75" w:rsidRPr="00A12FA5" w:rsidRDefault="00763C63" w:rsidP="001B5658">
            <w:r>
              <w:t>AE</w:t>
            </w:r>
          </w:p>
        </w:tc>
        <w:tc>
          <w:tcPr>
            <w:tcW w:w="6911" w:type="dxa"/>
          </w:tcPr>
          <w:p w:rsidR="00340F75" w:rsidRPr="00A12FA5" w:rsidRDefault="00763C63" w:rsidP="001B5658">
            <w:r>
              <w:t>Adverse event</w:t>
            </w:r>
          </w:p>
        </w:tc>
      </w:tr>
      <w:tr w:rsidR="009661B0" w:rsidRPr="00A12FA5" w:rsidTr="009661B0">
        <w:tc>
          <w:tcPr>
            <w:tcW w:w="1809" w:type="dxa"/>
          </w:tcPr>
          <w:p w:rsidR="009661B0" w:rsidRPr="00A12FA5" w:rsidRDefault="009661B0" w:rsidP="001B5658">
            <w:r w:rsidRPr="00A12FA5">
              <w:t>ALT</w:t>
            </w:r>
          </w:p>
        </w:tc>
        <w:tc>
          <w:tcPr>
            <w:tcW w:w="6911" w:type="dxa"/>
          </w:tcPr>
          <w:p w:rsidR="009661B0" w:rsidRPr="00A12FA5" w:rsidRDefault="009661B0" w:rsidP="001B5658">
            <w:r w:rsidRPr="00A12FA5">
              <w:t>Alanine transaminase</w:t>
            </w:r>
          </w:p>
        </w:tc>
      </w:tr>
      <w:tr w:rsidR="00340F75" w:rsidRPr="00A12FA5" w:rsidTr="009661B0">
        <w:tc>
          <w:tcPr>
            <w:tcW w:w="1809" w:type="dxa"/>
          </w:tcPr>
          <w:p w:rsidR="00340F75" w:rsidRPr="00A12FA5" w:rsidRDefault="00340F75" w:rsidP="001B5658">
            <w:r>
              <w:t>AR</w:t>
            </w:r>
          </w:p>
        </w:tc>
        <w:tc>
          <w:tcPr>
            <w:tcW w:w="6911" w:type="dxa"/>
          </w:tcPr>
          <w:p w:rsidR="00340F75" w:rsidRPr="00A12FA5" w:rsidRDefault="00340F75" w:rsidP="001B5658">
            <w:r w:rsidRPr="00340F75">
              <w:t>Androgen receptor</w:t>
            </w:r>
          </w:p>
        </w:tc>
      </w:tr>
      <w:tr w:rsidR="009661B0" w:rsidRPr="00A12FA5" w:rsidTr="009661B0">
        <w:tc>
          <w:tcPr>
            <w:tcW w:w="1809" w:type="dxa"/>
          </w:tcPr>
          <w:p w:rsidR="009661B0" w:rsidRPr="00A12FA5" w:rsidRDefault="009661B0" w:rsidP="001B5658">
            <w:r w:rsidRPr="00A12FA5">
              <w:t>ARSI</w:t>
            </w:r>
          </w:p>
        </w:tc>
        <w:tc>
          <w:tcPr>
            <w:tcW w:w="6911" w:type="dxa"/>
          </w:tcPr>
          <w:p w:rsidR="009661B0" w:rsidRPr="00A12FA5" w:rsidRDefault="009661B0" w:rsidP="001B5658">
            <w:r w:rsidRPr="00A12FA5">
              <w:t>Androgen receptor signalling inhibitor</w:t>
            </w:r>
          </w:p>
        </w:tc>
      </w:tr>
      <w:tr w:rsidR="009661B0" w:rsidRPr="00A12FA5" w:rsidTr="009661B0">
        <w:tc>
          <w:tcPr>
            <w:tcW w:w="1809" w:type="dxa"/>
          </w:tcPr>
          <w:p w:rsidR="009661B0" w:rsidRPr="00A12FA5" w:rsidRDefault="009661B0" w:rsidP="001B5658">
            <w:r w:rsidRPr="00A12FA5">
              <w:t>AST</w:t>
            </w:r>
          </w:p>
        </w:tc>
        <w:tc>
          <w:tcPr>
            <w:tcW w:w="6911" w:type="dxa"/>
          </w:tcPr>
          <w:p w:rsidR="009661B0" w:rsidRPr="00A12FA5" w:rsidRDefault="009661B0" w:rsidP="001B5658">
            <w:r w:rsidRPr="00A12FA5">
              <w:t>Aspartate transaminase</w:t>
            </w:r>
          </w:p>
        </w:tc>
      </w:tr>
      <w:tr w:rsidR="009661B0" w:rsidRPr="00A12FA5" w:rsidTr="009661B0">
        <w:tc>
          <w:tcPr>
            <w:tcW w:w="1809" w:type="dxa"/>
          </w:tcPr>
          <w:p w:rsidR="009661B0" w:rsidRPr="00A12FA5" w:rsidRDefault="009661B0" w:rsidP="001B5658">
            <w:r w:rsidRPr="00A12FA5">
              <w:t>AUC</w:t>
            </w:r>
            <w:r w:rsidRPr="00EB2107">
              <w:rPr>
                <w:vertAlign w:val="subscript"/>
              </w:rPr>
              <w:t>0-t</w:t>
            </w:r>
          </w:p>
        </w:tc>
        <w:tc>
          <w:tcPr>
            <w:tcW w:w="6911" w:type="dxa"/>
          </w:tcPr>
          <w:p w:rsidR="009661B0" w:rsidRPr="00A12FA5" w:rsidRDefault="009661B0" w:rsidP="001B5658">
            <w:r w:rsidRPr="00A12FA5">
              <w:t>Area under plasma concentration-time curve from zero to time t of the last measured concentration above the limit of quantification</w:t>
            </w:r>
          </w:p>
        </w:tc>
      </w:tr>
      <w:tr w:rsidR="009908FF" w:rsidRPr="00A12FA5" w:rsidTr="009661B0">
        <w:tc>
          <w:tcPr>
            <w:tcW w:w="1809" w:type="dxa"/>
          </w:tcPr>
          <w:p w:rsidR="009908FF" w:rsidRPr="00A12FA5" w:rsidRDefault="009908FF" w:rsidP="001B5658">
            <w:r w:rsidRPr="009908FF">
              <w:t>AUC</w:t>
            </w:r>
            <w:r w:rsidRPr="009908FF">
              <w:rPr>
                <w:vertAlign w:val="subscript"/>
              </w:rPr>
              <w:t>0-∞</w:t>
            </w:r>
          </w:p>
        </w:tc>
        <w:tc>
          <w:tcPr>
            <w:tcW w:w="6911" w:type="dxa"/>
          </w:tcPr>
          <w:p w:rsidR="009908FF" w:rsidRPr="00A12FA5" w:rsidRDefault="009908FF" w:rsidP="001B5658">
            <w:r w:rsidRPr="009908FF">
              <w:t>area under the plasma concentration-time curve from time of intake until infinity</w:t>
            </w:r>
          </w:p>
        </w:tc>
      </w:tr>
      <w:tr w:rsidR="009661B0" w:rsidRPr="00A12FA5" w:rsidTr="009661B0">
        <w:tc>
          <w:tcPr>
            <w:tcW w:w="1809" w:type="dxa"/>
          </w:tcPr>
          <w:p w:rsidR="009661B0" w:rsidRPr="00A12FA5" w:rsidRDefault="009661B0" w:rsidP="001B5658">
            <w:r w:rsidRPr="00A12FA5">
              <w:t>BP</w:t>
            </w:r>
          </w:p>
        </w:tc>
        <w:tc>
          <w:tcPr>
            <w:tcW w:w="6911" w:type="dxa"/>
          </w:tcPr>
          <w:p w:rsidR="009661B0" w:rsidRPr="00A12FA5" w:rsidRDefault="009661B0" w:rsidP="001B5658">
            <w:r w:rsidRPr="00A12FA5">
              <w:t>Blood pressure</w:t>
            </w:r>
          </w:p>
        </w:tc>
      </w:tr>
      <w:tr w:rsidR="00C95B07" w:rsidRPr="00A12FA5" w:rsidTr="009661B0">
        <w:tc>
          <w:tcPr>
            <w:tcW w:w="1809" w:type="dxa"/>
          </w:tcPr>
          <w:p w:rsidR="00C95B07" w:rsidRPr="00A12FA5" w:rsidRDefault="00C95B07" w:rsidP="001B5658">
            <w:r>
              <w:t>CCMG</w:t>
            </w:r>
          </w:p>
        </w:tc>
        <w:tc>
          <w:tcPr>
            <w:tcW w:w="6911" w:type="dxa"/>
          </w:tcPr>
          <w:p w:rsidR="00C95B07" w:rsidRPr="00A12FA5" w:rsidRDefault="00C95B07" w:rsidP="001B5658">
            <w:proofErr w:type="spellStart"/>
            <w:r w:rsidRPr="00C95B07">
              <w:t>Caprylocaproyl</w:t>
            </w:r>
            <w:proofErr w:type="spellEnd"/>
            <w:r w:rsidRPr="00C95B07">
              <w:t xml:space="preserve"> </w:t>
            </w:r>
            <w:proofErr w:type="spellStart"/>
            <w:r w:rsidRPr="00C95B07">
              <w:t>macrogolglycerides</w:t>
            </w:r>
            <w:proofErr w:type="spellEnd"/>
            <w:r w:rsidRPr="00C95B07">
              <w:rPr>
                <w:rFonts w:hint="eastAsia"/>
              </w:rPr>
              <w:t xml:space="preserve">, or </w:t>
            </w:r>
            <w:proofErr w:type="spellStart"/>
            <w:r w:rsidRPr="00C95B07">
              <w:rPr>
                <w:rFonts w:hint="eastAsia"/>
              </w:rPr>
              <w:t>Labrasol</w:t>
            </w:r>
            <w:proofErr w:type="spellEnd"/>
          </w:p>
        </w:tc>
      </w:tr>
      <w:tr w:rsidR="009908FF" w:rsidRPr="00A12FA5" w:rsidTr="009661B0">
        <w:tc>
          <w:tcPr>
            <w:tcW w:w="1809" w:type="dxa"/>
          </w:tcPr>
          <w:p w:rsidR="009908FF" w:rsidRPr="00A12FA5" w:rsidRDefault="009908FF" w:rsidP="001B5658">
            <w:r>
              <w:t>CER</w:t>
            </w:r>
          </w:p>
        </w:tc>
        <w:tc>
          <w:tcPr>
            <w:tcW w:w="6911" w:type="dxa"/>
          </w:tcPr>
          <w:p w:rsidR="009908FF" w:rsidRPr="00A12FA5" w:rsidRDefault="009908FF" w:rsidP="001B5658">
            <w:r w:rsidRPr="009908FF">
              <w:t>Clinical evaluation report</w:t>
            </w:r>
          </w:p>
        </w:tc>
      </w:tr>
      <w:tr w:rsidR="009661B0" w:rsidRPr="00A12FA5" w:rsidTr="009661B0">
        <w:tc>
          <w:tcPr>
            <w:tcW w:w="1809" w:type="dxa"/>
          </w:tcPr>
          <w:p w:rsidR="009661B0" w:rsidRPr="00A12FA5" w:rsidRDefault="009661B0" w:rsidP="001B5658">
            <w:r w:rsidRPr="00A12FA5">
              <w:t>CHMP</w:t>
            </w:r>
          </w:p>
        </w:tc>
        <w:tc>
          <w:tcPr>
            <w:tcW w:w="6911" w:type="dxa"/>
          </w:tcPr>
          <w:p w:rsidR="009661B0" w:rsidRPr="00A12FA5" w:rsidRDefault="009661B0" w:rsidP="001B5658">
            <w:r w:rsidRPr="00A12FA5">
              <w:t>Committee for Medicinal Products for Human Use</w:t>
            </w:r>
          </w:p>
        </w:tc>
      </w:tr>
      <w:tr w:rsidR="009661B0" w:rsidRPr="00A12FA5" w:rsidTr="009661B0">
        <w:tc>
          <w:tcPr>
            <w:tcW w:w="1809" w:type="dxa"/>
          </w:tcPr>
          <w:p w:rsidR="009661B0" w:rsidRPr="00A12FA5" w:rsidRDefault="009661B0" w:rsidP="001B5658">
            <w:r w:rsidRPr="00A12FA5">
              <w:t>CI</w:t>
            </w:r>
          </w:p>
        </w:tc>
        <w:tc>
          <w:tcPr>
            <w:tcW w:w="6911" w:type="dxa"/>
          </w:tcPr>
          <w:p w:rsidR="009661B0" w:rsidRPr="00A12FA5" w:rsidRDefault="009661B0" w:rsidP="001B5658">
            <w:r w:rsidRPr="00A12FA5">
              <w:t>Confidence interval</w:t>
            </w:r>
          </w:p>
        </w:tc>
      </w:tr>
      <w:tr w:rsidR="009908FF" w:rsidRPr="00A12FA5" w:rsidTr="009661B0">
        <w:tc>
          <w:tcPr>
            <w:tcW w:w="1809" w:type="dxa"/>
          </w:tcPr>
          <w:p w:rsidR="009908FF" w:rsidRPr="00A12FA5" w:rsidRDefault="009908FF" w:rsidP="001B5658">
            <w:r>
              <w:t>Cmax</w:t>
            </w:r>
          </w:p>
        </w:tc>
        <w:tc>
          <w:tcPr>
            <w:tcW w:w="6911" w:type="dxa"/>
          </w:tcPr>
          <w:p w:rsidR="009908FF" w:rsidRPr="00A12FA5" w:rsidRDefault="009908FF" w:rsidP="001B5658">
            <w:r w:rsidRPr="009908FF">
              <w:t>maximum plasma concentration</w:t>
            </w:r>
          </w:p>
        </w:tc>
      </w:tr>
      <w:tr w:rsidR="009908FF" w:rsidRPr="00A12FA5" w:rsidTr="009661B0">
        <w:tc>
          <w:tcPr>
            <w:tcW w:w="1809" w:type="dxa"/>
          </w:tcPr>
          <w:p w:rsidR="009908FF" w:rsidRDefault="009908FF" w:rsidP="001B5658">
            <w:r>
              <w:t>CMI</w:t>
            </w:r>
          </w:p>
        </w:tc>
        <w:tc>
          <w:tcPr>
            <w:tcW w:w="6911" w:type="dxa"/>
          </w:tcPr>
          <w:p w:rsidR="009908FF" w:rsidRPr="009908FF" w:rsidRDefault="009908FF" w:rsidP="001B5658">
            <w:r>
              <w:t>Consumer Medicine Information</w:t>
            </w:r>
          </w:p>
        </w:tc>
      </w:tr>
      <w:tr w:rsidR="009908FF" w:rsidRPr="00A12FA5" w:rsidTr="009661B0">
        <w:tc>
          <w:tcPr>
            <w:tcW w:w="1809" w:type="dxa"/>
          </w:tcPr>
          <w:p w:rsidR="009908FF" w:rsidRPr="00A12FA5" w:rsidRDefault="009908FF" w:rsidP="001B5658">
            <w:r>
              <w:t>Cmin</w:t>
            </w:r>
          </w:p>
        </w:tc>
        <w:tc>
          <w:tcPr>
            <w:tcW w:w="6911" w:type="dxa"/>
          </w:tcPr>
          <w:p w:rsidR="009908FF" w:rsidRPr="00A12FA5" w:rsidRDefault="009908FF" w:rsidP="001B5658">
            <w:r w:rsidRPr="009908FF">
              <w:t>minimum plasma concentration</w:t>
            </w:r>
          </w:p>
        </w:tc>
      </w:tr>
      <w:tr w:rsidR="009661B0" w:rsidRPr="00A12FA5" w:rsidTr="009661B0">
        <w:tc>
          <w:tcPr>
            <w:tcW w:w="1809" w:type="dxa"/>
          </w:tcPr>
          <w:p w:rsidR="009661B0" w:rsidRPr="00A12FA5" w:rsidRDefault="009661B0" w:rsidP="001B5658">
            <w:r w:rsidRPr="00A12FA5">
              <w:t>CRPC</w:t>
            </w:r>
          </w:p>
        </w:tc>
        <w:tc>
          <w:tcPr>
            <w:tcW w:w="6911" w:type="dxa"/>
          </w:tcPr>
          <w:p w:rsidR="009661B0" w:rsidRPr="00A12FA5" w:rsidRDefault="009661B0" w:rsidP="001B5658">
            <w:r w:rsidRPr="00A12FA5">
              <w:t>Castration-resistant prostate cancer</w:t>
            </w:r>
          </w:p>
        </w:tc>
      </w:tr>
      <w:tr w:rsidR="00340F75" w:rsidRPr="00A12FA5" w:rsidTr="009661B0">
        <w:tc>
          <w:tcPr>
            <w:tcW w:w="1809" w:type="dxa"/>
          </w:tcPr>
          <w:p w:rsidR="00340F75" w:rsidRPr="00A12FA5" w:rsidRDefault="00340F75" w:rsidP="001B5658">
            <w:r>
              <w:t>CNS</w:t>
            </w:r>
          </w:p>
        </w:tc>
        <w:tc>
          <w:tcPr>
            <w:tcW w:w="6911" w:type="dxa"/>
          </w:tcPr>
          <w:p w:rsidR="00340F75" w:rsidRPr="00A12FA5" w:rsidRDefault="00340F75" w:rsidP="001B5658">
            <w:r w:rsidRPr="00340F75">
              <w:t xml:space="preserve">central nervous system </w:t>
            </w:r>
          </w:p>
        </w:tc>
      </w:tr>
      <w:tr w:rsidR="009661B0" w:rsidRPr="00A12FA5" w:rsidTr="009661B0">
        <w:tc>
          <w:tcPr>
            <w:tcW w:w="1809" w:type="dxa"/>
          </w:tcPr>
          <w:p w:rsidR="009661B0" w:rsidRPr="00A12FA5" w:rsidRDefault="009661B0" w:rsidP="001B5658">
            <w:r w:rsidRPr="00A12FA5">
              <w:t>CSR</w:t>
            </w:r>
          </w:p>
        </w:tc>
        <w:tc>
          <w:tcPr>
            <w:tcW w:w="6911" w:type="dxa"/>
          </w:tcPr>
          <w:p w:rsidR="009661B0" w:rsidRPr="00A12FA5" w:rsidRDefault="009661B0" w:rsidP="001B5658">
            <w:r w:rsidRPr="00A12FA5">
              <w:t>Clinical Study Report</w:t>
            </w:r>
          </w:p>
        </w:tc>
      </w:tr>
      <w:tr w:rsidR="009661B0" w:rsidRPr="00A12FA5" w:rsidTr="009661B0">
        <w:tc>
          <w:tcPr>
            <w:tcW w:w="1809" w:type="dxa"/>
          </w:tcPr>
          <w:p w:rsidR="009661B0" w:rsidRPr="00A12FA5" w:rsidRDefault="009661B0" w:rsidP="001B5658">
            <w:r w:rsidRPr="00A12FA5">
              <w:t>DBP</w:t>
            </w:r>
          </w:p>
        </w:tc>
        <w:tc>
          <w:tcPr>
            <w:tcW w:w="6911" w:type="dxa"/>
          </w:tcPr>
          <w:p w:rsidR="009661B0" w:rsidRPr="00A12FA5" w:rsidRDefault="009661B0" w:rsidP="001B5658">
            <w:r w:rsidRPr="00A12FA5">
              <w:t>Diastolic blood pressure</w:t>
            </w:r>
          </w:p>
        </w:tc>
      </w:tr>
      <w:tr w:rsidR="00101C69" w:rsidRPr="00A12FA5" w:rsidTr="009661B0">
        <w:tc>
          <w:tcPr>
            <w:tcW w:w="1809" w:type="dxa"/>
          </w:tcPr>
          <w:p w:rsidR="00101C69" w:rsidRPr="00101C69" w:rsidRDefault="00101C69" w:rsidP="001B5658">
            <w:r>
              <w:t>ECG</w:t>
            </w:r>
          </w:p>
        </w:tc>
        <w:tc>
          <w:tcPr>
            <w:tcW w:w="6911" w:type="dxa"/>
          </w:tcPr>
          <w:p w:rsidR="00101C69" w:rsidRPr="00101C69" w:rsidRDefault="00101C69" w:rsidP="001B5658">
            <w:r w:rsidRPr="00101C69">
              <w:t>Electrocardiogram</w:t>
            </w:r>
          </w:p>
        </w:tc>
      </w:tr>
      <w:tr w:rsidR="00101C69" w:rsidRPr="00A12FA5" w:rsidTr="009661B0">
        <w:tc>
          <w:tcPr>
            <w:tcW w:w="1809" w:type="dxa"/>
          </w:tcPr>
          <w:p w:rsidR="00101C69" w:rsidRDefault="00101C69" w:rsidP="001B5658">
            <w:r w:rsidRPr="00101C69">
              <w:t>ECOG</w:t>
            </w:r>
          </w:p>
        </w:tc>
        <w:tc>
          <w:tcPr>
            <w:tcW w:w="6911" w:type="dxa"/>
          </w:tcPr>
          <w:p w:rsidR="006A21E5" w:rsidRDefault="00101C69" w:rsidP="001B5658">
            <w:r w:rsidRPr="00101C69">
              <w:t>Eas</w:t>
            </w:r>
            <w:r w:rsidR="001B5658">
              <w:t>tern Cooperative Oncology Group</w:t>
            </w:r>
          </w:p>
          <w:p w:rsidR="00101C69" w:rsidRPr="006A21E5" w:rsidRDefault="00101C69" w:rsidP="001B5658">
            <w:r w:rsidRPr="006A21E5">
              <w:t xml:space="preserve">The ECOG performance status has 6 grades. Grade 0: Fully active, able to carry on all pre-disease performance without restriction; grade 1: restricted in physically strenuous activity but ambulatory </w:t>
            </w:r>
            <w:r w:rsidRPr="006A21E5">
              <w:lastRenderedPageBreak/>
              <w:t xml:space="preserve">and able to carry out work of a light or sedentary nature (e.g. light house work, office work); grade 2: ambulatory and capable of all self-care but unable to carry out any work activities. Up and about more than 50% of waking hours; grade 3: capable of only limited self-care, confined to bed or chair more than 50% of waking hours; grade 4: completely disabled. Cannot carry on any self-care. Totally confined </w:t>
            </w:r>
            <w:r w:rsidR="001B5658">
              <w:t>to bed or chair; grade 5: Dead.</w:t>
            </w:r>
          </w:p>
        </w:tc>
      </w:tr>
      <w:tr w:rsidR="00340F75" w:rsidRPr="00A12FA5" w:rsidTr="009661B0">
        <w:tc>
          <w:tcPr>
            <w:tcW w:w="1809" w:type="dxa"/>
          </w:tcPr>
          <w:p w:rsidR="00340F75" w:rsidRPr="00A12FA5" w:rsidRDefault="00340F75" w:rsidP="001B5658">
            <w:r>
              <w:lastRenderedPageBreak/>
              <w:t>EMA</w:t>
            </w:r>
          </w:p>
        </w:tc>
        <w:tc>
          <w:tcPr>
            <w:tcW w:w="6911" w:type="dxa"/>
          </w:tcPr>
          <w:p w:rsidR="00340F75" w:rsidRPr="00A12FA5" w:rsidRDefault="00340F75" w:rsidP="001B5658">
            <w:r>
              <w:t>European Medicines Agency</w:t>
            </w:r>
          </w:p>
        </w:tc>
      </w:tr>
      <w:tr w:rsidR="00101C69" w:rsidRPr="00A12FA5" w:rsidTr="009661B0">
        <w:tc>
          <w:tcPr>
            <w:tcW w:w="1809" w:type="dxa"/>
          </w:tcPr>
          <w:p w:rsidR="00101C69" w:rsidRPr="00A12FA5" w:rsidRDefault="00101C69" w:rsidP="001B5658">
            <w:r w:rsidRPr="00101C69">
              <w:t>EQ-5D</w:t>
            </w:r>
          </w:p>
        </w:tc>
        <w:tc>
          <w:tcPr>
            <w:tcW w:w="6911" w:type="dxa"/>
          </w:tcPr>
          <w:p w:rsidR="006A21E5" w:rsidRDefault="00101C69" w:rsidP="001B5658">
            <w:r w:rsidRPr="00101C69">
              <w:t>European Quality of Life 5-Domain Scale</w:t>
            </w:r>
            <w:r w:rsidR="001B5658">
              <w:t>.</w:t>
            </w:r>
          </w:p>
          <w:p w:rsidR="00101C69" w:rsidRPr="006A21E5" w:rsidRDefault="006A21E5" w:rsidP="001B5658">
            <w:r w:rsidRPr="006A21E5">
              <w:t>The EQ-5D is a standardised instrument for use as a measure of health outcome. Mobility, self-care, usual activities, pain/discomfort, and anxiety/depression are each assessed on 3-point categorical scales ranging from “no problem” to “severe problem”. Higher scores reflect worse quality of life</w:t>
            </w:r>
            <w:r w:rsidR="00765C39">
              <w:t xml:space="preserve"> (</w:t>
            </w:r>
            <w:proofErr w:type="spellStart"/>
            <w:r w:rsidR="00765C39">
              <w:t>QoL</w:t>
            </w:r>
            <w:proofErr w:type="spellEnd"/>
            <w:r w:rsidR="00765C39">
              <w:t>)</w:t>
            </w:r>
            <w:r w:rsidRPr="006A21E5">
              <w:t>. The EQ-5D was administered only at selected sites in Europe (France, United Kingdom, Germany, Italy, and Spain).</w:t>
            </w:r>
          </w:p>
        </w:tc>
      </w:tr>
      <w:tr w:rsidR="009661B0" w:rsidRPr="00A12FA5" w:rsidTr="009661B0">
        <w:tc>
          <w:tcPr>
            <w:tcW w:w="1809" w:type="dxa"/>
          </w:tcPr>
          <w:p w:rsidR="009661B0" w:rsidRPr="00A12FA5" w:rsidRDefault="009661B0" w:rsidP="001B5658">
            <w:r w:rsidRPr="00A12FA5">
              <w:t>EU</w:t>
            </w:r>
          </w:p>
        </w:tc>
        <w:tc>
          <w:tcPr>
            <w:tcW w:w="6911" w:type="dxa"/>
          </w:tcPr>
          <w:p w:rsidR="009661B0" w:rsidRPr="00A12FA5" w:rsidRDefault="009661B0" w:rsidP="001B5658">
            <w:r w:rsidRPr="00A12FA5">
              <w:t>European Union</w:t>
            </w:r>
          </w:p>
        </w:tc>
      </w:tr>
      <w:tr w:rsidR="00101C69" w:rsidRPr="00A12FA5" w:rsidTr="009661B0">
        <w:tc>
          <w:tcPr>
            <w:tcW w:w="1809" w:type="dxa"/>
          </w:tcPr>
          <w:p w:rsidR="00101C69" w:rsidRPr="00A12FA5" w:rsidRDefault="00101C69" w:rsidP="001B5658">
            <w:r w:rsidRPr="00101C69">
              <w:t>FACT-P</w:t>
            </w:r>
          </w:p>
        </w:tc>
        <w:tc>
          <w:tcPr>
            <w:tcW w:w="6911" w:type="dxa"/>
          </w:tcPr>
          <w:p w:rsidR="006A21E5" w:rsidRDefault="00101C69" w:rsidP="001B5658">
            <w:r w:rsidRPr="00101C69">
              <w:t>Functional Assessment of Cancer Therapy-Prostate</w:t>
            </w:r>
            <w:r w:rsidR="001B5658">
              <w:t>.</w:t>
            </w:r>
          </w:p>
          <w:p w:rsidR="00101C69" w:rsidRPr="006A21E5" w:rsidRDefault="006A21E5" w:rsidP="001B5658">
            <w:r w:rsidRPr="006A21E5">
              <w:t xml:space="preserve">The FACT-P pain assessment asks patients to respond to the statement, “I have pain,” using the following scale: 0-Not at all; 1-A little bit; 2-Somewhat; </w:t>
            </w:r>
            <w:r w:rsidR="001B5658">
              <w:t>3-Quite a bit; and 4-Very much.</w:t>
            </w:r>
          </w:p>
        </w:tc>
      </w:tr>
      <w:tr w:rsidR="009661B0" w:rsidRPr="00A12FA5" w:rsidTr="009661B0">
        <w:tc>
          <w:tcPr>
            <w:tcW w:w="1809" w:type="dxa"/>
          </w:tcPr>
          <w:p w:rsidR="009661B0" w:rsidRPr="00A12FA5" w:rsidRDefault="009661B0" w:rsidP="001B5658">
            <w:r w:rsidRPr="00A12FA5">
              <w:t>FDA</w:t>
            </w:r>
          </w:p>
        </w:tc>
        <w:tc>
          <w:tcPr>
            <w:tcW w:w="6911" w:type="dxa"/>
          </w:tcPr>
          <w:p w:rsidR="009661B0" w:rsidRPr="00A12FA5" w:rsidRDefault="009661B0" w:rsidP="001B5658">
            <w:r w:rsidRPr="00A12FA5">
              <w:t>Food and Drug Administration</w:t>
            </w:r>
          </w:p>
        </w:tc>
      </w:tr>
      <w:tr w:rsidR="00340F75" w:rsidRPr="00A12FA5" w:rsidTr="009661B0">
        <w:tc>
          <w:tcPr>
            <w:tcW w:w="1809" w:type="dxa"/>
          </w:tcPr>
          <w:p w:rsidR="00340F75" w:rsidRPr="00A12FA5" w:rsidRDefault="00340F75" w:rsidP="001B5658">
            <w:r>
              <w:t>GABA</w:t>
            </w:r>
          </w:p>
        </w:tc>
        <w:tc>
          <w:tcPr>
            <w:tcW w:w="6911" w:type="dxa"/>
          </w:tcPr>
          <w:p w:rsidR="00340F75" w:rsidRPr="00A12FA5" w:rsidRDefault="001B5658" w:rsidP="001B5658">
            <w:r>
              <w:t xml:space="preserve">gamma </w:t>
            </w:r>
            <w:proofErr w:type="spellStart"/>
            <w:r>
              <w:t>aminobutyric</w:t>
            </w:r>
            <w:proofErr w:type="spellEnd"/>
            <w:r>
              <w:t xml:space="preserve"> acid</w:t>
            </w:r>
          </w:p>
        </w:tc>
      </w:tr>
      <w:tr w:rsidR="009908FF" w:rsidRPr="00A12FA5" w:rsidTr="009661B0">
        <w:tc>
          <w:tcPr>
            <w:tcW w:w="1809" w:type="dxa"/>
          </w:tcPr>
          <w:p w:rsidR="009908FF" w:rsidRDefault="009908FF" w:rsidP="001B5658">
            <w:r>
              <w:t>h</w:t>
            </w:r>
          </w:p>
        </w:tc>
        <w:tc>
          <w:tcPr>
            <w:tcW w:w="6911" w:type="dxa"/>
          </w:tcPr>
          <w:p w:rsidR="009908FF" w:rsidRDefault="009908FF" w:rsidP="001B5658">
            <w:r>
              <w:t>hour/s</w:t>
            </w:r>
          </w:p>
        </w:tc>
      </w:tr>
      <w:tr w:rsidR="009661B0" w:rsidRPr="00A12FA5" w:rsidTr="009661B0">
        <w:tc>
          <w:tcPr>
            <w:tcW w:w="1809" w:type="dxa"/>
          </w:tcPr>
          <w:p w:rsidR="009661B0" w:rsidRPr="00A12FA5" w:rsidRDefault="009661B0" w:rsidP="001B5658">
            <w:proofErr w:type="spellStart"/>
            <w:r w:rsidRPr="00A12FA5">
              <w:t>GnRH</w:t>
            </w:r>
            <w:proofErr w:type="spellEnd"/>
          </w:p>
        </w:tc>
        <w:tc>
          <w:tcPr>
            <w:tcW w:w="6911" w:type="dxa"/>
          </w:tcPr>
          <w:p w:rsidR="009661B0" w:rsidRPr="00A12FA5" w:rsidRDefault="009661B0" w:rsidP="001B5658">
            <w:r w:rsidRPr="00A12FA5">
              <w:t>Gonadotropin-releasing hormone</w:t>
            </w:r>
          </w:p>
        </w:tc>
      </w:tr>
      <w:tr w:rsidR="00340F75" w:rsidRPr="00A12FA5" w:rsidTr="009661B0">
        <w:tc>
          <w:tcPr>
            <w:tcW w:w="1809" w:type="dxa"/>
          </w:tcPr>
          <w:p w:rsidR="00340F75" w:rsidRPr="00A12FA5" w:rsidRDefault="00340F75" w:rsidP="001B5658">
            <w:r w:rsidRPr="00340F75">
              <w:t>IC</w:t>
            </w:r>
            <w:r w:rsidRPr="00340F75">
              <w:rPr>
                <w:vertAlign w:val="subscript"/>
              </w:rPr>
              <w:t>50</w:t>
            </w:r>
          </w:p>
        </w:tc>
        <w:tc>
          <w:tcPr>
            <w:tcW w:w="6911" w:type="dxa"/>
          </w:tcPr>
          <w:p w:rsidR="00340F75" w:rsidRPr="00A12FA5" w:rsidRDefault="00340F75" w:rsidP="001B5658">
            <w:r>
              <w:t>50% inhibitory concentration</w:t>
            </w:r>
          </w:p>
        </w:tc>
      </w:tr>
      <w:tr w:rsidR="00340F75" w:rsidRPr="00A12FA5" w:rsidTr="009661B0">
        <w:tc>
          <w:tcPr>
            <w:tcW w:w="1809" w:type="dxa"/>
          </w:tcPr>
          <w:p w:rsidR="00340F75" w:rsidRPr="00340F75" w:rsidRDefault="00340F75" w:rsidP="001B5658">
            <w:r>
              <w:t>ICH</w:t>
            </w:r>
          </w:p>
        </w:tc>
        <w:tc>
          <w:tcPr>
            <w:tcW w:w="6911" w:type="dxa"/>
          </w:tcPr>
          <w:p w:rsidR="00340F75" w:rsidRDefault="00340F75" w:rsidP="001B5658">
            <w:r w:rsidRPr="00340F75">
              <w:t xml:space="preserve">Harmonisation </w:t>
            </w:r>
            <w:r w:rsidRPr="00340F75">
              <w:rPr>
                <w:lang w:val="en"/>
              </w:rPr>
              <w:t>of Technical Requirements for Registration of Pharmaceuticals for Human Use</w:t>
            </w:r>
          </w:p>
        </w:tc>
      </w:tr>
      <w:tr w:rsidR="009661B0" w:rsidRPr="00A12FA5" w:rsidTr="009661B0">
        <w:tc>
          <w:tcPr>
            <w:tcW w:w="1809" w:type="dxa"/>
          </w:tcPr>
          <w:p w:rsidR="009661B0" w:rsidRPr="00A12FA5" w:rsidRDefault="009661B0" w:rsidP="001B5658">
            <w:r w:rsidRPr="00A12FA5">
              <w:t>MDV3100</w:t>
            </w:r>
          </w:p>
        </w:tc>
        <w:tc>
          <w:tcPr>
            <w:tcW w:w="6911" w:type="dxa"/>
          </w:tcPr>
          <w:p w:rsidR="009661B0" w:rsidRPr="00A12FA5" w:rsidRDefault="009661B0" w:rsidP="001B5658">
            <w:r w:rsidRPr="00A12FA5">
              <w:t>enzalutamide</w:t>
            </w:r>
          </w:p>
        </w:tc>
      </w:tr>
      <w:tr w:rsidR="00642536" w:rsidRPr="00A12FA5" w:rsidTr="009661B0">
        <w:tc>
          <w:tcPr>
            <w:tcW w:w="1809" w:type="dxa"/>
          </w:tcPr>
          <w:p w:rsidR="00642536" w:rsidRPr="00A12FA5" w:rsidRDefault="00642536" w:rsidP="001B5658">
            <w:proofErr w:type="spellStart"/>
            <w:r>
              <w:t>MedRA</w:t>
            </w:r>
            <w:proofErr w:type="spellEnd"/>
          </w:p>
        </w:tc>
        <w:tc>
          <w:tcPr>
            <w:tcW w:w="6911" w:type="dxa"/>
          </w:tcPr>
          <w:p w:rsidR="00642536" w:rsidRPr="00A12FA5" w:rsidRDefault="00642536" w:rsidP="001B5658">
            <w:r w:rsidRPr="00642536">
              <w:t>medical dictionary for regulatory activities</w:t>
            </w:r>
          </w:p>
        </w:tc>
      </w:tr>
      <w:tr w:rsidR="009661B0" w:rsidRPr="00A12FA5" w:rsidTr="009661B0">
        <w:tc>
          <w:tcPr>
            <w:tcW w:w="1809" w:type="dxa"/>
          </w:tcPr>
          <w:p w:rsidR="009661B0" w:rsidRPr="00A12FA5" w:rsidRDefault="009661B0" w:rsidP="001B5658">
            <w:r w:rsidRPr="00A12FA5">
              <w:t>mg</w:t>
            </w:r>
          </w:p>
        </w:tc>
        <w:tc>
          <w:tcPr>
            <w:tcW w:w="6911" w:type="dxa"/>
          </w:tcPr>
          <w:p w:rsidR="009661B0" w:rsidRPr="00A12FA5" w:rsidRDefault="009661B0" w:rsidP="001B5658">
            <w:r w:rsidRPr="00A12FA5">
              <w:t>Milligram</w:t>
            </w:r>
          </w:p>
        </w:tc>
      </w:tr>
      <w:tr w:rsidR="009661B0" w:rsidRPr="00A12FA5" w:rsidTr="009661B0">
        <w:tc>
          <w:tcPr>
            <w:tcW w:w="1809" w:type="dxa"/>
          </w:tcPr>
          <w:p w:rsidR="009661B0" w:rsidRPr="00A12FA5" w:rsidRDefault="009661B0" w:rsidP="001B5658">
            <w:r w:rsidRPr="00A12FA5">
              <w:t>mL</w:t>
            </w:r>
          </w:p>
        </w:tc>
        <w:tc>
          <w:tcPr>
            <w:tcW w:w="6911" w:type="dxa"/>
          </w:tcPr>
          <w:p w:rsidR="009661B0" w:rsidRPr="00A12FA5" w:rsidRDefault="009661B0" w:rsidP="001B5658">
            <w:r w:rsidRPr="00A12FA5">
              <w:t>Millilitre</w:t>
            </w:r>
          </w:p>
        </w:tc>
      </w:tr>
      <w:tr w:rsidR="009661B0" w:rsidRPr="00A12FA5" w:rsidTr="009661B0">
        <w:tc>
          <w:tcPr>
            <w:tcW w:w="1809" w:type="dxa"/>
          </w:tcPr>
          <w:p w:rsidR="009661B0" w:rsidRPr="00A12FA5" w:rsidRDefault="009661B0" w:rsidP="001B5658">
            <w:proofErr w:type="spellStart"/>
            <w:r w:rsidRPr="00A12FA5">
              <w:t>ms</w:t>
            </w:r>
            <w:proofErr w:type="spellEnd"/>
          </w:p>
        </w:tc>
        <w:tc>
          <w:tcPr>
            <w:tcW w:w="6911" w:type="dxa"/>
          </w:tcPr>
          <w:p w:rsidR="009661B0" w:rsidRPr="00A12FA5" w:rsidRDefault="009661B0" w:rsidP="001B5658">
            <w:r w:rsidRPr="00A12FA5">
              <w:t>Millisecond</w:t>
            </w:r>
          </w:p>
        </w:tc>
      </w:tr>
      <w:tr w:rsidR="004672F0" w:rsidRPr="00A12FA5" w:rsidTr="009661B0">
        <w:tc>
          <w:tcPr>
            <w:tcW w:w="1809" w:type="dxa"/>
          </w:tcPr>
          <w:p w:rsidR="004672F0" w:rsidRPr="00A12FA5" w:rsidRDefault="004672F0" w:rsidP="001B5658">
            <w:r>
              <w:t>OS</w:t>
            </w:r>
          </w:p>
        </w:tc>
        <w:tc>
          <w:tcPr>
            <w:tcW w:w="6911" w:type="dxa"/>
          </w:tcPr>
          <w:p w:rsidR="004672F0" w:rsidRPr="00A12FA5" w:rsidRDefault="004672F0" w:rsidP="001B5658">
            <w:r>
              <w:t>Overall survival</w:t>
            </w:r>
          </w:p>
        </w:tc>
      </w:tr>
      <w:tr w:rsidR="009661B0" w:rsidRPr="00A12FA5" w:rsidTr="009661B0">
        <w:tc>
          <w:tcPr>
            <w:tcW w:w="1809" w:type="dxa"/>
          </w:tcPr>
          <w:p w:rsidR="009661B0" w:rsidRPr="00A12FA5" w:rsidRDefault="009661B0" w:rsidP="001B5658">
            <w:r w:rsidRPr="00A12FA5">
              <w:lastRenderedPageBreak/>
              <w:t>PD</w:t>
            </w:r>
          </w:p>
        </w:tc>
        <w:tc>
          <w:tcPr>
            <w:tcW w:w="6911" w:type="dxa"/>
          </w:tcPr>
          <w:p w:rsidR="009661B0" w:rsidRPr="00A12FA5" w:rsidRDefault="009661B0" w:rsidP="001B5658">
            <w:r w:rsidRPr="00A12FA5">
              <w:t>Pharmacodynamics</w:t>
            </w:r>
          </w:p>
        </w:tc>
      </w:tr>
      <w:tr w:rsidR="00642536" w:rsidRPr="00A12FA5" w:rsidTr="009661B0">
        <w:tc>
          <w:tcPr>
            <w:tcW w:w="1809" w:type="dxa"/>
          </w:tcPr>
          <w:p w:rsidR="00642536" w:rsidRPr="00A12FA5" w:rsidRDefault="00642536" w:rsidP="001B5658">
            <w:r>
              <w:t>PI</w:t>
            </w:r>
          </w:p>
        </w:tc>
        <w:tc>
          <w:tcPr>
            <w:tcW w:w="6911" w:type="dxa"/>
          </w:tcPr>
          <w:p w:rsidR="00642536" w:rsidRPr="00A12FA5" w:rsidRDefault="00642536" w:rsidP="001B5658">
            <w:r>
              <w:t>Product Information</w:t>
            </w:r>
          </w:p>
        </w:tc>
      </w:tr>
      <w:tr w:rsidR="008C45CE" w:rsidRPr="00A12FA5" w:rsidTr="009661B0">
        <w:tc>
          <w:tcPr>
            <w:tcW w:w="1809" w:type="dxa"/>
          </w:tcPr>
          <w:p w:rsidR="008C45CE" w:rsidRPr="00A12FA5" w:rsidRDefault="008C45CE" w:rsidP="001B5658">
            <w:r>
              <w:t>PFS</w:t>
            </w:r>
          </w:p>
        </w:tc>
        <w:tc>
          <w:tcPr>
            <w:tcW w:w="6911" w:type="dxa"/>
          </w:tcPr>
          <w:p w:rsidR="008C45CE" w:rsidRPr="00A12FA5" w:rsidRDefault="008C45CE" w:rsidP="001B5658">
            <w:r w:rsidRPr="008C45CE">
              <w:t>progression-free surviv</w:t>
            </w:r>
            <w:r>
              <w:t>al</w:t>
            </w:r>
          </w:p>
        </w:tc>
      </w:tr>
      <w:tr w:rsidR="00AA61AD" w:rsidRPr="00A12FA5" w:rsidTr="009661B0">
        <w:tc>
          <w:tcPr>
            <w:tcW w:w="1809" w:type="dxa"/>
          </w:tcPr>
          <w:p w:rsidR="00AA61AD" w:rsidRDefault="00AA61AD" w:rsidP="001B5658">
            <w:r>
              <w:t>PK</w:t>
            </w:r>
          </w:p>
        </w:tc>
        <w:tc>
          <w:tcPr>
            <w:tcW w:w="6911" w:type="dxa"/>
          </w:tcPr>
          <w:p w:rsidR="00AA61AD" w:rsidRPr="008C45CE" w:rsidRDefault="00AA61AD" w:rsidP="001B5658">
            <w:r w:rsidRPr="00AA61AD">
              <w:t>Pharmacokinetic</w:t>
            </w:r>
            <w:r>
              <w:t>/s</w:t>
            </w:r>
          </w:p>
        </w:tc>
      </w:tr>
      <w:tr w:rsidR="009661B0" w:rsidRPr="00A12FA5" w:rsidTr="009661B0">
        <w:tc>
          <w:tcPr>
            <w:tcW w:w="1809" w:type="dxa"/>
          </w:tcPr>
          <w:p w:rsidR="009661B0" w:rsidRPr="00A12FA5" w:rsidRDefault="009661B0" w:rsidP="001B5658">
            <w:r w:rsidRPr="00A12FA5">
              <w:t>PSA</w:t>
            </w:r>
          </w:p>
        </w:tc>
        <w:tc>
          <w:tcPr>
            <w:tcW w:w="6911" w:type="dxa"/>
          </w:tcPr>
          <w:p w:rsidR="009661B0" w:rsidRPr="00A12FA5" w:rsidRDefault="009661B0" w:rsidP="001B5658">
            <w:r w:rsidRPr="00A12FA5">
              <w:t>Prostate specific antigen</w:t>
            </w:r>
          </w:p>
        </w:tc>
      </w:tr>
      <w:tr w:rsidR="005B7F57" w:rsidRPr="00A12FA5" w:rsidTr="009661B0">
        <w:tc>
          <w:tcPr>
            <w:tcW w:w="1809" w:type="dxa"/>
          </w:tcPr>
          <w:p w:rsidR="005B7F57" w:rsidRPr="00A12FA5" w:rsidRDefault="005B7F57" w:rsidP="001B5658">
            <w:r>
              <w:t>QT</w:t>
            </w:r>
          </w:p>
        </w:tc>
        <w:tc>
          <w:tcPr>
            <w:tcW w:w="6911" w:type="dxa"/>
          </w:tcPr>
          <w:p w:rsidR="005B7F57" w:rsidRDefault="001B5658" w:rsidP="001B5658">
            <w:r>
              <w:t>QT interval of the ECG.</w:t>
            </w:r>
          </w:p>
          <w:p w:rsidR="005B7F57" w:rsidRPr="005B7F57" w:rsidRDefault="005B7F57" w:rsidP="001B5658">
            <w:r w:rsidRPr="005B7F57">
              <w:t xml:space="preserve">The QT interval is the portion of an electrocardiogram between the onset of the Q wave and the end of the T wave, representing the total time for ventricular depolarization and repolarization. A prolonged QT interval is a risk factor for ventricular </w:t>
            </w:r>
            <w:proofErr w:type="spellStart"/>
            <w:r w:rsidRPr="005B7F57">
              <w:t>tachyarrhythmias</w:t>
            </w:r>
            <w:proofErr w:type="spellEnd"/>
            <w:r w:rsidRPr="005B7F57">
              <w:t xml:space="preserve"> such as torsade de pointes and sudden death.</w:t>
            </w:r>
          </w:p>
        </w:tc>
      </w:tr>
      <w:tr w:rsidR="005B7F57" w:rsidRPr="00A12FA5" w:rsidTr="009661B0">
        <w:tc>
          <w:tcPr>
            <w:tcW w:w="1809" w:type="dxa"/>
          </w:tcPr>
          <w:p w:rsidR="005B7F57" w:rsidRPr="00A12FA5" w:rsidRDefault="005B7F57" w:rsidP="001B5658">
            <w:r>
              <w:t>QTc</w:t>
            </w:r>
          </w:p>
        </w:tc>
        <w:tc>
          <w:tcPr>
            <w:tcW w:w="6911" w:type="dxa"/>
          </w:tcPr>
          <w:p w:rsidR="005B7F57" w:rsidRDefault="001B5658" w:rsidP="001B5658">
            <w:r>
              <w:t>Corrected QT interval.</w:t>
            </w:r>
          </w:p>
          <w:p w:rsidR="005B7F57" w:rsidRPr="005B7F57" w:rsidRDefault="005B7F57" w:rsidP="001B5658">
            <w:r w:rsidRPr="005B7F57">
              <w:t>The QT interval is dependent on the heart rate (the faster the heart rate, the shorter the QT interval). To correct for changes in heart rate and thereby improve the detection of patients at increased risk of ventricular arrhythmia, a heart rate-corrected QT interval QTc is often calculated.</w:t>
            </w:r>
          </w:p>
        </w:tc>
      </w:tr>
      <w:tr w:rsidR="00101C69" w:rsidRPr="00A12FA5" w:rsidTr="009661B0">
        <w:tc>
          <w:tcPr>
            <w:tcW w:w="1809" w:type="dxa"/>
          </w:tcPr>
          <w:p w:rsidR="00101C69" w:rsidRPr="00A12FA5" w:rsidRDefault="00101C69" w:rsidP="001B5658">
            <w:r w:rsidRPr="00101C69">
              <w:t>RECIST v1.1</w:t>
            </w:r>
          </w:p>
        </w:tc>
        <w:tc>
          <w:tcPr>
            <w:tcW w:w="6911" w:type="dxa"/>
          </w:tcPr>
          <w:p w:rsidR="00101C69" w:rsidRDefault="00101C69" w:rsidP="001B5658">
            <w:r w:rsidRPr="00101C69">
              <w:t xml:space="preserve">Response Evaluation Criteria in Solid </w:t>
            </w:r>
            <w:proofErr w:type="spellStart"/>
            <w:r w:rsidRPr="00101C69">
              <w:t>Tumors</w:t>
            </w:r>
            <w:proofErr w:type="spellEnd"/>
            <w:r w:rsidRPr="00101C69">
              <w:t xml:space="preserve"> version 1.1</w:t>
            </w:r>
          </w:p>
          <w:p w:rsidR="006A21E5" w:rsidRPr="006A21E5" w:rsidRDefault="006A21E5" w:rsidP="001B5658">
            <w:r w:rsidRPr="006A21E5">
              <w:t>The RECIST is a voluntary, international standard using unified, easily applicable criteria for measuring tumor response using X-ray, CT and MRI.</w:t>
            </w:r>
          </w:p>
        </w:tc>
      </w:tr>
      <w:tr w:rsidR="00763C63" w:rsidRPr="00A12FA5" w:rsidTr="009661B0">
        <w:tc>
          <w:tcPr>
            <w:tcW w:w="1809" w:type="dxa"/>
          </w:tcPr>
          <w:p w:rsidR="00763C63" w:rsidRPr="00A12FA5" w:rsidRDefault="00763C63" w:rsidP="001B5658">
            <w:r>
              <w:t>SAE</w:t>
            </w:r>
          </w:p>
        </w:tc>
        <w:tc>
          <w:tcPr>
            <w:tcW w:w="6911" w:type="dxa"/>
          </w:tcPr>
          <w:p w:rsidR="00763C63" w:rsidRPr="00A12FA5" w:rsidRDefault="00763C63" w:rsidP="001B5658">
            <w:r>
              <w:t>Serious adverse event</w:t>
            </w:r>
          </w:p>
        </w:tc>
      </w:tr>
      <w:tr w:rsidR="009661B0" w:rsidRPr="00A12FA5" w:rsidTr="009661B0">
        <w:tc>
          <w:tcPr>
            <w:tcW w:w="1809" w:type="dxa"/>
          </w:tcPr>
          <w:p w:rsidR="009661B0" w:rsidRPr="00A12FA5" w:rsidRDefault="009661B0" w:rsidP="001B5658">
            <w:r w:rsidRPr="00A12FA5">
              <w:t>SBP</w:t>
            </w:r>
          </w:p>
        </w:tc>
        <w:tc>
          <w:tcPr>
            <w:tcW w:w="6911" w:type="dxa"/>
          </w:tcPr>
          <w:p w:rsidR="009661B0" w:rsidRPr="00A12FA5" w:rsidRDefault="009661B0" w:rsidP="001B5658">
            <w:r w:rsidRPr="00A12FA5">
              <w:t>Systolic blood pressure</w:t>
            </w:r>
          </w:p>
        </w:tc>
      </w:tr>
      <w:tr w:rsidR="006563D1" w:rsidRPr="00A12FA5" w:rsidTr="009661B0">
        <w:tc>
          <w:tcPr>
            <w:tcW w:w="1809" w:type="dxa"/>
          </w:tcPr>
          <w:p w:rsidR="006563D1" w:rsidRPr="00A12FA5" w:rsidRDefault="006563D1" w:rsidP="001B5658">
            <w:r>
              <w:t>SCS</w:t>
            </w:r>
          </w:p>
        </w:tc>
        <w:tc>
          <w:tcPr>
            <w:tcW w:w="6911" w:type="dxa"/>
          </w:tcPr>
          <w:p w:rsidR="006563D1" w:rsidRPr="00A12FA5" w:rsidRDefault="006563D1" w:rsidP="001B5658">
            <w:r w:rsidRPr="006563D1">
              <w:t>Summary of Clinical Safety</w:t>
            </w:r>
          </w:p>
        </w:tc>
      </w:tr>
      <w:tr w:rsidR="009661B0" w:rsidRPr="00A12FA5" w:rsidTr="009661B0">
        <w:tc>
          <w:tcPr>
            <w:tcW w:w="1809" w:type="dxa"/>
          </w:tcPr>
          <w:p w:rsidR="009661B0" w:rsidRPr="00A12FA5" w:rsidRDefault="009661B0" w:rsidP="001B5658">
            <w:r w:rsidRPr="00A12FA5">
              <w:t>SOC</w:t>
            </w:r>
          </w:p>
        </w:tc>
        <w:tc>
          <w:tcPr>
            <w:tcW w:w="6911" w:type="dxa"/>
          </w:tcPr>
          <w:p w:rsidR="009661B0" w:rsidRPr="00A12FA5" w:rsidRDefault="009661B0" w:rsidP="001B5658">
            <w:r w:rsidRPr="00A12FA5">
              <w:t>System Organ Class</w:t>
            </w:r>
          </w:p>
        </w:tc>
      </w:tr>
      <w:tr w:rsidR="009661B0" w:rsidRPr="00A12FA5" w:rsidTr="009661B0">
        <w:tc>
          <w:tcPr>
            <w:tcW w:w="1809" w:type="dxa"/>
          </w:tcPr>
          <w:p w:rsidR="009661B0" w:rsidRPr="00A12FA5" w:rsidRDefault="009661B0" w:rsidP="001B5658">
            <w:r>
              <w:t xml:space="preserve">t½  </w:t>
            </w:r>
          </w:p>
        </w:tc>
        <w:tc>
          <w:tcPr>
            <w:tcW w:w="6911" w:type="dxa"/>
          </w:tcPr>
          <w:p w:rsidR="009661B0" w:rsidRPr="00A12FA5" w:rsidRDefault="009661B0" w:rsidP="001B5658">
            <w:r w:rsidRPr="00A12FA5">
              <w:t xml:space="preserve">Half-life </w:t>
            </w:r>
          </w:p>
        </w:tc>
      </w:tr>
      <w:tr w:rsidR="009661B0" w:rsidRPr="00A12FA5" w:rsidTr="009661B0">
        <w:tc>
          <w:tcPr>
            <w:tcW w:w="1809" w:type="dxa"/>
          </w:tcPr>
          <w:p w:rsidR="009661B0" w:rsidRPr="00A12FA5" w:rsidRDefault="009661B0" w:rsidP="001B5658">
            <w:r w:rsidRPr="00A12FA5">
              <w:t>TGA</w:t>
            </w:r>
          </w:p>
        </w:tc>
        <w:tc>
          <w:tcPr>
            <w:tcW w:w="6911" w:type="dxa"/>
          </w:tcPr>
          <w:p w:rsidR="009661B0" w:rsidRPr="00A12FA5" w:rsidRDefault="009661B0" w:rsidP="001B5658">
            <w:r w:rsidRPr="00A12FA5">
              <w:t>Therapeutic Goods Administration</w:t>
            </w:r>
          </w:p>
        </w:tc>
      </w:tr>
      <w:tr w:rsidR="00642536" w:rsidRPr="00A12FA5" w:rsidTr="009661B0">
        <w:tc>
          <w:tcPr>
            <w:tcW w:w="1809" w:type="dxa"/>
          </w:tcPr>
          <w:p w:rsidR="00642536" w:rsidRPr="00A12FA5" w:rsidRDefault="00642536" w:rsidP="001B5658">
            <w:r w:rsidRPr="00642536">
              <w:t>Tmax</w:t>
            </w:r>
          </w:p>
        </w:tc>
        <w:tc>
          <w:tcPr>
            <w:tcW w:w="6911" w:type="dxa"/>
          </w:tcPr>
          <w:p w:rsidR="00642536" w:rsidRPr="00A12FA5" w:rsidRDefault="00642536" w:rsidP="001B5658">
            <w:r>
              <w:t>Time to achieve maximum concentration</w:t>
            </w:r>
          </w:p>
        </w:tc>
      </w:tr>
      <w:tr w:rsidR="009661B0" w:rsidRPr="00A12FA5" w:rsidTr="009661B0">
        <w:tc>
          <w:tcPr>
            <w:tcW w:w="1809" w:type="dxa"/>
          </w:tcPr>
          <w:p w:rsidR="009661B0" w:rsidRPr="00A12FA5" w:rsidRDefault="009661B0" w:rsidP="001B5658">
            <w:r w:rsidRPr="00A12FA5">
              <w:t>US</w:t>
            </w:r>
          </w:p>
        </w:tc>
        <w:tc>
          <w:tcPr>
            <w:tcW w:w="6911" w:type="dxa"/>
          </w:tcPr>
          <w:p w:rsidR="009661B0" w:rsidRPr="00A12FA5" w:rsidRDefault="001B5658" w:rsidP="001B5658">
            <w:r>
              <w:t>United States</w:t>
            </w:r>
          </w:p>
        </w:tc>
      </w:tr>
      <w:tr w:rsidR="009661B0" w:rsidRPr="00A12FA5" w:rsidTr="009661B0">
        <w:tc>
          <w:tcPr>
            <w:tcW w:w="1809" w:type="dxa"/>
          </w:tcPr>
          <w:p w:rsidR="009661B0" w:rsidRPr="00A12FA5" w:rsidRDefault="00615C79" w:rsidP="001B5658">
            <w:r>
              <w:t>µ</w:t>
            </w:r>
            <w:r w:rsidR="009661B0" w:rsidRPr="00A12FA5">
              <w:t>g</w:t>
            </w:r>
          </w:p>
        </w:tc>
        <w:tc>
          <w:tcPr>
            <w:tcW w:w="6911" w:type="dxa"/>
          </w:tcPr>
          <w:p w:rsidR="009661B0" w:rsidRPr="00A12FA5" w:rsidRDefault="009661B0" w:rsidP="001B5658">
            <w:r w:rsidRPr="00A12FA5">
              <w:t>Microgram</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1B5658">
      <w:pPr>
        <w:pStyle w:val="Heading2"/>
      </w:pPr>
      <w:bookmarkStart w:id="9" w:name="_Toc408300818"/>
      <w:r>
        <w:lastRenderedPageBreak/>
        <w:t>I.</w:t>
      </w:r>
      <w:r w:rsidR="008E7846">
        <w:t xml:space="preserve"> Introduction to product </w:t>
      </w:r>
      <w:r w:rsidR="008E7846" w:rsidRPr="001B5658">
        <w:t>submission</w:t>
      </w:r>
      <w:bookmarkEnd w:id="0"/>
      <w:bookmarkEnd w:id="3"/>
      <w:bookmarkEnd w:id="9"/>
    </w:p>
    <w:p w:rsidR="008E7846" w:rsidRDefault="008E7846" w:rsidP="008E7846">
      <w:pPr>
        <w:pStyle w:val="Heading3"/>
        <w:rPr>
          <w:lang w:eastAsia="en-AU"/>
        </w:rPr>
      </w:pPr>
      <w:bookmarkStart w:id="10" w:name="_Toc247691502"/>
      <w:bookmarkStart w:id="11" w:name="_Toc314842483"/>
      <w:bookmarkStart w:id="12" w:name="_Toc408300819"/>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1B5658">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CA2B50">
            <w:r w:rsidRPr="003D1E62">
              <w:t xml:space="preserve">New </w:t>
            </w:r>
            <w:r w:rsidR="001B5C90">
              <w:t>c</w:t>
            </w:r>
            <w:r w:rsidRPr="003D1E62">
              <w:t xml:space="preserve">hemical </w:t>
            </w:r>
            <w:r w:rsidR="001B5C90">
              <w:t>e</w:t>
            </w:r>
            <w:r w:rsidR="001B5658">
              <w:t>ntity</w:t>
            </w:r>
          </w:p>
        </w:tc>
      </w:tr>
      <w:tr w:rsidR="008E7846" w:rsidRPr="003D1E62" w:rsidTr="001B5658">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1B5658" w:rsidP="00CA2B50">
            <w:r>
              <w:t>Approved</w:t>
            </w:r>
          </w:p>
        </w:tc>
      </w:tr>
      <w:tr w:rsidR="008E7846" w:rsidRPr="003D1E62" w:rsidTr="001B5658">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1B5658" w:rsidP="00CA2B50">
            <w:r>
              <w:t>26 June 2014</w:t>
            </w:r>
          </w:p>
        </w:tc>
      </w:tr>
      <w:tr w:rsidR="008E7846" w:rsidRPr="00487162" w:rsidTr="001B5658">
        <w:trPr>
          <w:gridAfter w:val="1"/>
          <w:wAfter w:w="283" w:type="dxa"/>
        </w:trPr>
        <w:tc>
          <w:tcPr>
            <w:tcW w:w="2907" w:type="dxa"/>
          </w:tcPr>
          <w:p w:rsidR="008E7846" w:rsidRPr="00487162" w:rsidRDefault="001B5C90" w:rsidP="00CA2B50">
            <w:pPr>
              <w:rPr>
                <w:i/>
              </w:rPr>
            </w:pPr>
            <w:r>
              <w:rPr>
                <w:i/>
              </w:rPr>
              <w:t>Active ingredient:</w:t>
            </w:r>
          </w:p>
        </w:tc>
        <w:tc>
          <w:tcPr>
            <w:tcW w:w="6307" w:type="dxa"/>
          </w:tcPr>
          <w:p w:rsidR="008E7846" w:rsidRPr="00487162" w:rsidRDefault="00CA2B50" w:rsidP="00CA2B50">
            <w:proofErr w:type="spellStart"/>
            <w:r>
              <w:t>E</w:t>
            </w:r>
            <w:r w:rsidR="001B5658">
              <w:t>nzalutamide</w:t>
            </w:r>
            <w:proofErr w:type="spellEnd"/>
          </w:p>
        </w:tc>
      </w:tr>
      <w:tr w:rsidR="008E7846" w:rsidRPr="00487162" w:rsidTr="001B5658">
        <w:trPr>
          <w:gridAfter w:val="1"/>
          <w:wAfter w:w="283" w:type="dxa"/>
        </w:trPr>
        <w:tc>
          <w:tcPr>
            <w:tcW w:w="2907" w:type="dxa"/>
          </w:tcPr>
          <w:p w:rsidR="008E7846" w:rsidRPr="00487162" w:rsidRDefault="008E7846" w:rsidP="001B5C90">
            <w:pPr>
              <w:rPr>
                <w:i/>
              </w:rPr>
            </w:pPr>
            <w:r w:rsidRPr="00487162">
              <w:rPr>
                <w:i/>
              </w:rPr>
              <w:t>Product</w:t>
            </w:r>
            <w:r w:rsidR="00CA2B50">
              <w:rPr>
                <w:i/>
              </w:rPr>
              <w:t xml:space="preserve"> name</w:t>
            </w:r>
            <w:r w:rsidR="001B5C90">
              <w:rPr>
                <w:i/>
              </w:rPr>
              <w:t>:</w:t>
            </w:r>
          </w:p>
        </w:tc>
        <w:tc>
          <w:tcPr>
            <w:tcW w:w="6307" w:type="dxa"/>
          </w:tcPr>
          <w:p w:rsidR="008E7846" w:rsidRPr="00487162" w:rsidRDefault="00CA2B50" w:rsidP="00E45619">
            <w:r>
              <w:t>Xtandi</w:t>
            </w:r>
          </w:p>
        </w:tc>
      </w:tr>
      <w:tr w:rsidR="008E7846" w:rsidRPr="00487162" w:rsidTr="001B5658">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487162" w:rsidRDefault="00CA2B50" w:rsidP="00CA2B50">
            <w:proofErr w:type="spellStart"/>
            <w:r w:rsidRPr="00CA2B50">
              <w:t>Astellas</w:t>
            </w:r>
            <w:proofErr w:type="spellEnd"/>
            <w:r w:rsidRPr="00CA2B50">
              <w:t xml:space="preserve"> </w:t>
            </w:r>
            <w:proofErr w:type="spellStart"/>
            <w:r w:rsidRPr="00CA2B50">
              <w:t>Pharma</w:t>
            </w:r>
            <w:proofErr w:type="spellEnd"/>
            <w:r w:rsidRPr="00CA2B50">
              <w:t xml:space="preserve"> Australia Pty Ltd</w:t>
            </w:r>
            <w:r>
              <w:br/>
              <w:t>Level 4,6 Eden Park Drive</w:t>
            </w:r>
            <w:r>
              <w:br/>
              <w:t>Macquarie Park  NSW  2113</w:t>
            </w:r>
          </w:p>
        </w:tc>
      </w:tr>
      <w:tr w:rsidR="008E7846" w:rsidRPr="00487162" w:rsidTr="001B5658">
        <w:trPr>
          <w:gridAfter w:val="1"/>
          <w:wAfter w:w="283" w:type="dxa"/>
        </w:trPr>
        <w:tc>
          <w:tcPr>
            <w:tcW w:w="2907" w:type="dxa"/>
          </w:tcPr>
          <w:p w:rsidR="008E7846" w:rsidRPr="00487162" w:rsidRDefault="00CA2B50" w:rsidP="00E45619">
            <w:pPr>
              <w:rPr>
                <w:i/>
              </w:rPr>
            </w:pPr>
            <w:r>
              <w:rPr>
                <w:i/>
              </w:rPr>
              <w:t>Dose form</w:t>
            </w:r>
            <w:r w:rsidR="001B5C90">
              <w:rPr>
                <w:i/>
              </w:rPr>
              <w:t>:</w:t>
            </w:r>
          </w:p>
        </w:tc>
        <w:tc>
          <w:tcPr>
            <w:tcW w:w="6307" w:type="dxa"/>
          </w:tcPr>
          <w:p w:rsidR="008E7846" w:rsidRPr="00487162" w:rsidRDefault="00CA2B50" w:rsidP="00E45619">
            <w:r>
              <w:t>Soft capsule</w:t>
            </w:r>
          </w:p>
        </w:tc>
      </w:tr>
      <w:tr w:rsidR="008E7846" w:rsidRPr="00487162" w:rsidTr="001B5658">
        <w:trPr>
          <w:gridAfter w:val="1"/>
          <w:wAfter w:w="283" w:type="dxa"/>
        </w:trPr>
        <w:tc>
          <w:tcPr>
            <w:tcW w:w="2907" w:type="dxa"/>
          </w:tcPr>
          <w:p w:rsidR="008E7846" w:rsidRPr="00487162" w:rsidRDefault="008E7846" w:rsidP="00CA2B50">
            <w:pPr>
              <w:rPr>
                <w:i/>
              </w:rPr>
            </w:pPr>
            <w:r w:rsidRPr="00487162">
              <w:rPr>
                <w:i/>
              </w:rPr>
              <w:t xml:space="preserve">Strength: </w:t>
            </w:r>
          </w:p>
        </w:tc>
        <w:tc>
          <w:tcPr>
            <w:tcW w:w="6307" w:type="dxa"/>
          </w:tcPr>
          <w:p w:rsidR="008E7846" w:rsidRPr="00487162" w:rsidRDefault="00CA2B50" w:rsidP="00E45619">
            <w:r>
              <w:t>40 mg</w:t>
            </w:r>
          </w:p>
        </w:tc>
      </w:tr>
      <w:tr w:rsidR="008E7846" w:rsidRPr="00487162" w:rsidTr="001B5658">
        <w:trPr>
          <w:gridAfter w:val="1"/>
          <w:wAfter w:w="283" w:type="dxa"/>
        </w:trPr>
        <w:tc>
          <w:tcPr>
            <w:tcW w:w="2907" w:type="dxa"/>
          </w:tcPr>
          <w:p w:rsidR="008E7846" w:rsidRPr="00487162" w:rsidRDefault="008E7846" w:rsidP="00CA2B50">
            <w:pPr>
              <w:rPr>
                <w:i/>
              </w:rPr>
            </w:pPr>
            <w:r w:rsidRPr="00487162">
              <w:rPr>
                <w:i/>
              </w:rPr>
              <w:t>Container:</w:t>
            </w:r>
          </w:p>
        </w:tc>
        <w:tc>
          <w:tcPr>
            <w:tcW w:w="6307" w:type="dxa"/>
          </w:tcPr>
          <w:p w:rsidR="008E7846" w:rsidRPr="00487162" w:rsidRDefault="001B5658" w:rsidP="009E16E5">
            <w:r>
              <w:t>Blister pack</w:t>
            </w:r>
          </w:p>
        </w:tc>
      </w:tr>
      <w:tr w:rsidR="008E7846" w:rsidRPr="00487162" w:rsidTr="001B5658">
        <w:trPr>
          <w:gridAfter w:val="1"/>
          <w:wAfter w:w="283" w:type="dxa"/>
        </w:trPr>
        <w:tc>
          <w:tcPr>
            <w:tcW w:w="2907" w:type="dxa"/>
          </w:tcPr>
          <w:p w:rsidR="008E7846" w:rsidRPr="00487162" w:rsidRDefault="00CA2B50" w:rsidP="00CA2B50">
            <w:pPr>
              <w:rPr>
                <w:i/>
              </w:rPr>
            </w:pPr>
            <w:r>
              <w:rPr>
                <w:i/>
              </w:rPr>
              <w:t>Pack size</w:t>
            </w:r>
            <w:r w:rsidR="008E7846" w:rsidRPr="00487162">
              <w:rPr>
                <w:i/>
              </w:rPr>
              <w:t>:</w:t>
            </w:r>
          </w:p>
        </w:tc>
        <w:tc>
          <w:tcPr>
            <w:tcW w:w="6307" w:type="dxa"/>
          </w:tcPr>
          <w:p w:rsidR="008E7846" w:rsidRPr="00487162" w:rsidRDefault="00CA2B50" w:rsidP="00CA2B50">
            <w:r>
              <w:t>112</w:t>
            </w:r>
          </w:p>
        </w:tc>
      </w:tr>
      <w:tr w:rsidR="008E7846" w:rsidRPr="00487162" w:rsidTr="001B5658">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CA2B50" w:rsidRDefault="00CA2B50" w:rsidP="00CA2B50">
            <w:pPr>
              <w:rPr>
                <w:rFonts w:eastAsia="MS Mincho"/>
                <w:i/>
                <w:lang w:eastAsia="ja-JP"/>
              </w:rPr>
            </w:pPr>
            <w:r w:rsidRPr="00CA2B50">
              <w:rPr>
                <w:i/>
              </w:rPr>
              <w:t>Xtandi is indicated for the treatment of patients with metastatic castration-resistant prostate cancer who have</w:t>
            </w:r>
            <w:r w:rsidR="001B5658">
              <w:rPr>
                <w:i/>
              </w:rPr>
              <w:t xml:space="preserve"> previously received </w:t>
            </w:r>
            <w:proofErr w:type="spellStart"/>
            <w:r w:rsidR="001B5658">
              <w:rPr>
                <w:i/>
              </w:rPr>
              <w:t>docetaxel</w:t>
            </w:r>
            <w:proofErr w:type="spellEnd"/>
            <w:r w:rsidR="001B5658">
              <w:rPr>
                <w:i/>
              </w:rPr>
              <w:t>.</w:t>
            </w:r>
          </w:p>
        </w:tc>
      </w:tr>
      <w:tr w:rsidR="008E7846" w:rsidRPr="00487162" w:rsidTr="001B5658">
        <w:trPr>
          <w:gridAfter w:val="1"/>
          <w:wAfter w:w="283" w:type="dxa"/>
        </w:trPr>
        <w:tc>
          <w:tcPr>
            <w:tcW w:w="2907" w:type="dxa"/>
          </w:tcPr>
          <w:p w:rsidR="008E7846" w:rsidRPr="00487162" w:rsidRDefault="00CA2B50" w:rsidP="00E45619">
            <w:pPr>
              <w:rPr>
                <w:i/>
              </w:rPr>
            </w:pPr>
            <w:r>
              <w:rPr>
                <w:i/>
              </w:rPr>
              <w:t>Route</w:t>
            </w:r>
            <w:r w:rsidR="008E7846" w:rsidRPr="00487162">
              <w:rPr>
                <w:i/>
              </w:rPr>
              <w:t xml:space="preserve"> of administration:</w:t>
            </w:r>
          </w:p>
        </w:tc>
        <w:tc>
          <w:tcPr>
            <w:tcW w:w="6307" w:type="dxa"/>
          </w:tcPr>
          <w:p w:rsidR="008E7846" w:rsidRPr="00487162" w:rsidRDefault="00CA2B50" w:rsidP="00CA2B50">
            <w:r>
              <w:t>Oral</w:t>
            </w:r>
          </w:p>
        </w:tc>
      </w:tr>
      <w:tr w:rsidR="008E7846" w:rsidRPr="00487162" w:rsidTr="001B5658">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333EAA" w:rsidRDefault="00333EAA" w:rsidP="00333EAA">
            <w:r w:rsidRPr="00333EAA">
              <w:t>160 mg (four 40 mg capsules) as a single oral daily dose</w:t>
            </w:r>
          </w:p>
        </w:tc>
      </w:tr>
      <w:tr w:rsidR="008E7846" w:rsidRPr="00487162" w:rsidTr="001B5658">
        <w:trPr>
          <w:gridAfter w:val="1"/>
          <w:wAfter w:w="283" w:type="dxa"/>
        </w:trPr>
        <w:tc>
          <w:tcPr>
            <w:tcW w:w="2907" w:type="dxa"/>
          </w:tcPr>
          <w:p w:rsidR="008E7846" w:rsidRPr="00487162" w:rsidRDefault="008E7846" w:rsidP="00CA2B50">
            <w:pPr>
              <w:rPr>
                <w:i/>
              </w:rPr>
            </w:pPr>
            <w:r w:rsidRPr="00487162">
              <w:rPr>
                <w:i/>
              </w:rPr>
              <w:t xml:space="preserve">ARTG </w:t>
            </w:r>
            <w:r w:rsidR="001B5C90">
              <w:rPr>
                <w:i/>
              </w:rPr>
              <w:t>n</w:t>
            </w:r>
            <w:r w:rsidR="00CA2B50">
              <w:rPr>
                <w:i/>
              </w:rPr>
              <w:t>umber</w:t>
            </w:r>
            <w:r w:rsidR="001B5C90">
              <w:rPr>
                <w:i/>
              </w:rPr>
              <w:t>:</w:t>
            </w:r>
          </w:p>
        </w:tc>
        <w:tc>
          <w:tcPr>
            <w:tcW w:w="6307" w:type="dxa"/>
          </w:tcPr>
          <w:p w:rsidR="008E7846" w:rsidRPr="00487162" w:rsidRDefault="00CA2B50" w:rsidP="00E45619">
            <w:r w:rsidRPr="00CA2B50">
              <w:t>210494</w:t>
            </w:r>
          </w:p>
        </w:tc>
      </w:tr>
    </w:tbl>
    <w:p w:rsidR="008E7846" w:rsidRPr="001B5658" w:rsidRDefault="008E7846" w:rsidP="001B5658">
      <w:pPr>
        <w:pStyle w:val="Heading3"/>
      </w:pPr>
      <w:bookmarkStart w:id="13" w:name="_Toc247691503"/>
      <w:bookmarkStart w:id="14" w:name="_Toc314842484"/>
      <w:bookmarkStart w:id="15" w:name="_Toc408300820"/>
      <w:r>
        <w:t>Product background</w:t>
      </w:r>
      <w:bookmarkEnd w:id="13"/>
      <w:bookmarkEnd w:id="14"/>
      <w:bookmarkEnd w:id="15"/>
    </w:p>
    <w:p w:rsidR="00046980" w:rsidRDefault="00046980" w:rsidP="001B5658">
      <w:r w:rsidRPr="00046980">
        <w:t>Prostate cancer is known to be androgen sensitive</w:t>
      </w:r>
      <w:r>
        <w:t xml:space="preserve"> and its development and progression can be promoted by testosterone</w:t>
      </w:r>
      <w:r w:rsidRPr="00046980">
        <w:t>. Castration resistant prostate cancer (CRPC) is defined as disease progression despite androgen depletion therapy (ADT</w:t>
      </w:r>
      <w:r w:rsidRPr="00046980">
        <w:rPr>
          <w:vertAlign w:val="superscript"/>
        </w:rPr>
        <w:footnoteReference w:id="1"/>
      </w:r>
      <w:r w:rsidRPr="00046980">
        <w:t xml:space="preserve">) and may present as either a continuous rise in </w:t>
      </w:r>
      <w:r>
        <w:t>prostate specific antigen (</w:t>
      </w:r>
      <w:r w:rsidRPr="00046980">
        <w:t>PSA</w:t>
      </w:r>
      <w:r>
        <w:t>)</w:t>
      </w:r>
      <w:r w:rsidRPr="00046980">
        <w:t xml:space="preserve"> levels, the progression of pre-existing disease, and/or th</w:t>
      </w:r>
      <w:r w:rsidR="001B5658">
        <w:t>e appearance of new metastases.</w:t>
      </w:r>
    </w:p>
    <w:p w:rsidR="00046980" w:rsidRDefault="00C62722" w:rsidP="001B5658">
      <w:r w:rsidRPr="00C62722">
        <w:t xml:space="preserve">Treatment methods for prostate cancer have targeted testosterone production or action: gonadotropin-releasing hormone </w:t>
      </w:r>
      <w:r w:rsidR="00046980">
        <w:t>(</w:t>
      </w:r>
      <w:proofErr w:type="spellStart"/>
      <w:r w:rsidR="00046980">
        <w:t>GnRH</w:t>
      </w:r>
      <w:proofErr w:type="spellEnd"/>
      <w:r w:rsidR="00046980">
        <w:t xml:space="preserve">) </w:t>
      </w:r>
      <w:r w:rsidRPr="00C62722">
        <w:t xml:space="preserve">receptor antagonists or </w:t>
      </w:r>
      <w:r w:rsidR="00046980">
        <w:t>analogues</w:t>
      </w:r>
      <w:r w:rsidRPr="00C62722">
        <w:t>, inhibitors of enzymes involved in testosterone production</w:t>
      </w:r>
      <w:r w:rsidR="00046980">
        <w:t>,</w:t>
      </w:r>
      <w:r w:rsidRPr="00C62722">
        <w:t xml:space="preserve"> and </w:t>
      </w:r>
      <w:proofErr w:type="spellStart"/>
      <w:r w:rsidRPr="00C62722">
        <w:t>antiandrogens</w:t>
      </w:r>
      <w:proofErr w:type="spellEnd"/>
      <w:r w:rsidRPr="00C62722">
        <w:t xml:space="preserve">. </w:t>
      </w:r>
      <w:proofErr w:type="spellStart"/>
      <w:r w:rsidRPr="00C62722">
        <w:t>Antiandrogens</w:t>
      </w:r>
      <w:proofErr w:type="spellEnd"/>
      <w:r w:rsidRPr="00C62722">
        <w:t xml:space="preserve"> prevent the activation of the androgen receptor (AR) by endogenous androgens, thereby reducing the stimul</w:t>
      </w:r>
      <w:r w:rsidR="001B5658">
        <w:t>ation of prostate cancer cells.</w:t>
      </w:r>
    </w:p>
    <w:p w:rsidR="00C62722" w:rsidRDefault="00046980" w:rsidP="00C93CB7">
      <w:r w:rsidRPr="00046980">
        <w:lastRenderedPageBreak/>
        <w:t>Enzalutamide is a non</w:t>
      </w:r>
      <w:r>
        <w:t>-</w:t>
      </w:r>
      <w:r w:rsidRPr="00046980">
        <w:t>steroidal antiandrogen</w:t>
      </w:r>
      <w:r>
        <w:t xml:space="preserve"> that </w:t>
      </w:r>
      <w:r w:rsidRPr="00046980">
        <w:t xml:space="preserve">blocks several steps in the </w:t>
      </w:r>
      <w:r>
        <w:t>androgen receptor (</w:t>
      </w:r>
      <w:r w:rsidRPr="00046980">
        <w:t>AR</w:t>
      </w:r>
      <w:r>
        <w:t>)</w:t>
      </w:r>
      <w:r w:rsidRPr="00046980">
        <w:t xml:space="preserve"> signalling pathway: binding to the AR, nuclear translocation of the activated receptor, and association of the translocated receptor with nuclear </w:t>
      </w:r>
      <w:r w:rsidR="005E280D">
        <w:t>deoxyribonucleic acid (</w:t>
      </w:r>
      <w:r w:rsidRPr="00046980">
        <w:t>DNA</w:t>
      </w:r>
      <w:r w:rsidR="005E280D">
        <w:t>)</w:t>
      </w:r>
      <w:r w:rsidR="00C93CB7">
        <w:t>.</w:t>
      </w:r>
    </w:p>
    <w:p w:rsidR="009661B0" w:rsidRDefault="00940A89" w:rsidP="00C93CB7">
      <w:r w:rsidRPr="00940A89">
        <w:t xml:space="preserve">This AusPAR describes the application by the </w:t>
      </w:r>
      <w:proofErr w:type="spellStart"/>
      <w:r w:rsidR="009661B0" w:rsidRPr="009661B0">
        <w:t>Astellas</w:t>
      </w:r>
      <w:proofErr w:type="spellEnd"/>
      <w:r w:rsidR="009661B0" w:rsidRPr="009661B0">
        <w:t xml:space="preserve"> </w:t>
      </w:r>
      <w:proofErr w:type="spellStart"/>
      <w:r w:rsidR="009661B0" w:rsidRPr="009661B0">
        <w:t>Pharma</w:t>
      </w:r>
      <w:proofErr w:type="spellEnd"/>
      <w:r w:rsidR="009661B0" w:rsidRPr="009661B0">
        <w:t xml:space="preserve"> Australia Pty Ltd </w:t>
      </w:r>
      <w:r w:rsidR="009661B0">
        <w:t xml:space="preserve">(the </w:t>
      </w:r>
      <w:r w:rsidRPr="00940A89">
        <w:t>sponsor</w:t>
      </w:r>
      <w:r w:rsidR="009661B0">
        <w:t>)</w:t>
      </w:r>
      <w:r w:rsidRPr="00940A89">
        <w:t xml:space="preserve"> to register X</w:t>
      </w:r>
      <w:r w:rsidR="009661B0">
        <w:t xml:space="preserve">tandi capsules containing 40 mg </w:t>
      </w:r>
      <w:r w:rsidR="00046980">
        <w:t>e</w:t>
      </w:r>
      <w:r w:rsidR="009661B0" w:rsidRPr="009661B0">
        <w:t>nzalutamide</w:t>
      </w:r>
      <w:r w:rsidRPr="00940A89">
        <w:t xml:space="preserve"> for the following indication</w:t>
      </w:r>
      <w:r w:rsidR="009661B0">
        <w:t>:</w:t>
      </w:r>
    </w:p>
    <w:p w:rsidR="008E7846" w:rsidRPr="00C93CB7" w:rsidRDefault="009661B0" w:rsidP="00C93CB7">
      <w:pPr>
        <w:ind w:left="720"/>
        <w:rPr>
          <w:i/>
        </w:rPr>
      </w:pPr>
      <w:r w:rsidRPr="00C93CB7">
        <w:rPr>
          <w:i/>
        </w:rPr>
        <w:t xml:space="preserve">Xtandi is indicated for the treatment of patients with metastatic castration-resistant prostate cancer </w:t>
      </w:r>
      <w:r w:rsidR="00C62722" w:rsidRPr="00C93CB7">
        <w:rPr>
          <w:i/>
        </w:rPr>
        <w:t>who have previously received doc</w:t>
      </w:r>
      <w:r w:rsidRPr="00C93CB7">
        <w:rPr>
          <w:i/>
        </w:rPr>
        <w:t>etaxel.</w:t>
      </w:r>
    </w:p>
    <w:p w:rsidR="008E7846" w:rsidRPr="00C93CB7" w:rsidRDefault="00386150" w:rsidP="00C93CB7">
      <w:pPr>
        <w:pStyle w:val="Heading3"/>
      </w:pPr>
      <w:bookmarkStart w:id="16" w:name="_Toc314842485"/>
      <w:bookmarkStart w:id="17" w:name="_Toc247691504"/>
      <w:bookmarkStart w:id="18" w:name="_Toc408300821"/>
      <w:r>
        <w:t>Regulatory s</w:t>
      </w:r>
      <w:r w:rsidR="008E7846">
        <w:t>tatus</w:t>
      </w:r>
      <w:bookmarkEnd w:id="16"/>
      <w:bookmarkEnd w:id="17"/>
      <w:bookmarkEnd w:id="18"/>
    </w:p>
    <w:p w:rsidR="00940A89" w:rsidRPr="00940A89" w:rsidRDefault="00940A89" w:rsidP="00C93CB7">
      <w:bookmarkStart w:id="19" w:name="_Toc247691505"/>
      <w:bookmarkStart w:id="20" w:name="_Toc314842486"/>
      <w:r w:rsidRPr="00940A89">
        <w:t>The product received initial registration on the Australian Register of Therapeutic Goods (ARTG) on</w:t>
      </w:r>
      <w:r w:rsidR="00CA2B50">
        <w:t xml:space="preserve"> 1 July 2014.</w:t>
      </w:r>
    </w:p>
    <w:p w:rsidR="00940A89" w:rsidRDefault="00940A89" w:rsidP="00C93CB7">
      <w:r w:rsidRPr="00940A89">
        <w:t xml:space="preserve">At the time the TGA considered this application, a similar application had been approved in </w:t>
      </w:r>
      <w:r w:rsidR="009661B0">
        <w:t xml:space="preserve">13 countries including the European Union (21 June 2013), USA (31 August 2012), Canada (29 May 2013) and Switzerland (4 December 2013), and </w:t>
      </w:r>
      <w:r w:rsidRPr="00940A89">
        <w:t>was under co</w:t>
      </w:r>
      <w:r>
        <w:t xml:space="preserve">nsideration in </w:t>
      </w:r>
      <w:r w:rsidR="009661B0">
        <w:t>24 other countries</w:t>
      </w:r>
      <w:r>
        <w:t>.</w:t>
      </w:r>
    </w:p>
    <w:p w:rsidR="008E7846" w:rsidRDefault="008E7846" w:rsidP="00C93CB7">
      <w:pPr>
        <w:pStyle w:val="Heading3"/>
      </w:pPr>
      <w:bookmarkStart w:id="21" w:name="_Toc408300822"/>
      <w:r>
        <w:t xml:space="preserve">Product </w:t>
      </w:r>
      <w:r w:rsidRPr="00C93CB7">
        <w:t>Information</w:t>
      </w:r>
      <w:bookmarkEnd w:id="19"/>
      <w:bookmarkEnd w:id="20"/>
      <w:bookmarkEnd w:id="21"/>
    </w:p>
    <w:p w:rsidR="00940A89" w:rsidRDefault="00940A89" w:rsidP="00C93CB7">
      <w:pPr>
        <w:rPr>
          <w:b/>
          <w:bCs/>
        </w:rPr>
      </w:pPr>
      <w:bookmarkStart w:id="22" w:name="_Toc247691506"/>
      <w:bookmarkStart w:id="23" w:name="_Toc314842487"/>
      <w:r w:rsidRPr="00940A89">
        <w:t>The approved Product Information (PI) current at the time this AusPAR was prepared can be found as Attachment 1. For the most recent Product Information please refer to the TGA website at &lt;</w:t>
      </w:r>
      <w:hyperlink r:id="rId14" w:history="1">
        <w:r w:rsidRPr="00940A89">
          <w:rPr>
            <w:rStyle w:val="Hyperlink"/>
          </w:rPr>
          <w:t>http://www.tga.gov.au/hp/information-medicines-pi.htm</w:t>
        </w:r>
      </w:hyperlink>
      <w:r w:rsidRPr="00940A89">
        <w:t>&gt;.</w:t>
      </w:r>
    </w:p>
    <w:p w:rsidR="008E7846" w:rsidRPr="00C93CB7" w:rsidRDefault="008E7846" w:rsidP="00C93CB7">
      <w:pPr>
        <w:pStyle w:val="Heading2"/>
      </w:pPr>
      <w:bookmarkStart w:id="24" w:name="_Toc408300823"/>
      <w:r>
        <w:t>II. Quality</w:t>
      </w:r>
      <w:bookmarkEnd w:id="1"/>
      <w:r>
        <w:t xml:space="preserve"> findings</w:t>
      </w:r>
      <w:bookmarkEnd w:id="22"/>
      <w:bookmarkEnd w:id="23"/>
      <w:bookmarkEnd w:id="24"/>
    </w:p>
    <w:p w:rsidR="00940A89" w:rsidRPr="00A00383" w:rsidRDefault="00940A89" w:rsidP="00A00383">
      <w:pPr>
        <w:pStyle w:val="Heading3"/>
      </w:pPr>
      <w:bookmarkStart w:id="25" w:name="_Toc247691507"/>
      <w:bookmarkStart w:id="26" w:name="_Toc314842488"/>
      <w:bookmarkStart w:id="27" w:name="_Toc408300824"/>
      <w:r w:rsidRPr="00940A89">
        <w:t>Introduction</w:t>
      </w:r>
      <w:bookmarkEnd w:id="27"/>
      <w:r w:rsidRPr="00940A89">
        <w:t xml:space="preserve"> </w:t>
      </w:r>
    </w:p>
    <w:p w:rsidR="009E16E5" w:rsidRPr="009E16E5" w:rsidRDefault="009E16E5" w:rsidP="00A00383">
      <w:proofErr w:type="spellStart"/>
      <w:r w:rsidRPr="009E16E5">
        <w:t>Enzalutamide</w:t>
      </w:r>
      <w:proofErr w:type="spellEnd"/>
      <w:r w:rsidRPr="009E16E5">
        <w:t xml:space="preserve"> is a non</w:t>
      </w:r>
      <w:r w:rsidR="00C600DB">
        <w:t>-</w:t>
      </w:r>
      <w:r w:rsidRPr="009E16E5">
        <w:t>steroidal antiandrogen; it is a new chemical entity. There are no monographs for enzalutamide.</w:t>
      </w:r>
    </w:p>
    <w:p w:rsidR="008E7846" w:rsidRDefault="008E7846" w:rsidP="00A00383">
      <w:pPr>
        <w:pStyle w:val="Heading3"/>
      </w:pPr>
      <w:bookmarkStart w:id="28" w:name="_Toc408300825"/>
      <w:r w:rsidRPr="008751DC">
        <w:t xml:space="preserve">Drug </w:t>
      </w:r>
      <w:r>
        <w:t>s</w:t>
      </w:r>
      <w:r w:rsidRPr="008751DC">
        <w:t>ubstance</w:t>
      </w:r>
      <w:r>
        <w:t xml:space="preserve"> (active ingredient)</w:t>
      </w:r>
      <w:bookmarkEnd w:id="25"/>
      <w:bookmarkEnd w:id="26"/>
      <w:bookmarkEnd w:id="28"/>
    </w:p>
    <w:p w:rsidR="009E16E5" w:rsidRDefault="009E16E5" w:rsidP="00A00383">
      <w:r w:rsidRPr="0082680D">
        <w:t xml:space="preserve">Enzalutamide is a synthetic </w:t>
      </w:r>
      <w:proofErr w:type="spellStart"/>
      <w:r w:rsidRPr="0082680D">
        <w:t>thioxoimidazolidine</w:t>
      </w:r>
      <w:proofErr w:type="spellEnd"/>
      <w:r w:rsidR="006914CF">
        <w:t>. The structure is shown in Figure 1</w:t>
      </w:r>
      <w:r>
        <w:t>:</w:t>
      </w:r>
    </w:p>
    <w:p w:rsidR="006914CF" w:rsidRDefault="006914CF" w:rsidP="00A00383">
      <w:pPr>
        <w:pStyle w:val="FigureTitle"/>
      </w:pPr>
      <w:r>
        <w:t>Figure 1: Structure of e</w:t>
      </w:r>
      <w:r w:rsidRPr="006914CF">
        <w:t>nzalutamide</w:t>
      </w:r>
    </w:p>
    <w:p w:rsidR="008E7846" w:rsidRDefault="009E16E5" w:rsidP="00A00383">
      <w:r>
        <w:rPr>
          <w:noProof/>
          <w:lang w:eastAsia="en-AU"/>
        </w:rPr>
        <w:drawing>
          <wp:inline distT="0" distB="0" distL="0" distR="0" wp14:anchorId="715E5B2E" wp14:editId="4BDCDC29">
            <wp:extent cx="3194050" cy="1276219"/>
            <wp:effectExtent l="0" t="0" r="6350" b="635"/>
            <wp:docPr id="2" name="Picture 2" descr="Figure 1: Structure of enzalut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2674" cy="1275669"/>
                    </a:xfrm>
                    <a:prstGeom prst="rect">
                      <a:avLst/>
                    </a:prstGeom>
                    <a:noFill/>
                    <a:ln>
                      <a:noFill/>
                    </a:ln>
                  </pic:spPr>
                </pic:pic>
              </a:graphicData>
            </a:graphic>
          </wp:inline>
        </w:drawing>
      </w:r>
    </w:p>
    <w:p w:rsidR="009E16E5" w:rsidRPr="009E4124" w:rsidRDefault="009E16E5" w:rsidP="00A00383">
      <w:r w:rsidRPr="009E4124">
        <w:t xml:space="preserve">Enzalutamide is not chiral. There is limited structural relationship to other non-steroidal </w:t>
      </w:r>
      <w:proofErr w:type="spellStart"/>
      <w:r w:rsidRPr="009E4124">
        <w:t>antiandrogens</w:t>
      </w:r>
      <w:proofErr w:type="spellEnd"/>
      <w:r w:rsidRPr="009E4124">
        <w:t>.</w:t>
      </w:r>
      <w:r w:rsidR="00C600DB">
        <w:t xml:space="preserve"> </w:t>
      </w:r>
      <w:r w:rsidRPr="009E4124">
        <w:t xml:space="preserve">Enzalutamide drug substance is a </w:t>
      </w:r>
      <w:r w:rsidR="00C95B07">
        <w:t xml:space="preserve">white solid </w:t>
      </w:r>
      <w:r w:rsidRPr="009E4124">
        <w:t xml:space="preserve">powder. It is not ionised in the physiological pH range. Enzalutamide is practically insoluble in aqueous solution, independent of </w:t>
      </w:r>
      <w:proofErr w:type="spellStart"/>
      <w:r w:rsidRPr="009E4124">
        <w:t>pH.</w:t>
      </w:r>
      <w:proofErr w:type="spellEnd"/>
      <w:r w:rsidRPr="009E4124">
        <w:t xml:space="preserve"> The drug </w:t>
      </w:r>
      <w:r w:rsidR="00C95B07">
        <w:t xml:space="preserve">substance </w:t>
      </w:r>
      <w:r w:rsidRPr="009E4124">
        <w:t xml:space="preserve">is dissolved in solution in the capsules, so that </w:t>
      </w:r>
      <w:r w:rsidRPr="009E4124">
        <w:lastRenderedPageBreak/>
        <w:t>particle size and polymorphism are not important.</w:t>
      </w:r>
      <w:r w:rsidR="006914CF">
        <w:t xml:space="preserve"> </w:t>
      </w:r>
      <w:r w:rsidRPr="009E4124">
        <w:t>Control of the drug substance is considered acceptable.</w:t>
      </w:r>
    </w:p>
    <w:p w:rsidR="008E7846" w:rsidRPr="00A00383" w:rsidRDefault="008E7846" w:rsidP="00A00383">
      <w:pPr>
        <w:pStyle w:val="Heading3"/>
      </w:pPr>
      <w:bookmarkStart w:id="29" w:name="_Toc247691508"/>
      <w:bookmarkStart w:id="30" w:name="_Toc314842490"/>
      <w:bookmarkStart w:id="31" w:name="_Toc408300826"/>
      <w:r w:rsidRPr="008751DC">
        <w:t xml:space="preserve">Drug </w:t>
      </w:r>
      <w:r>
        <w:t>p</w:t>
      </w:r>
      <w:r w:rsidRPr="008751DC">
        <w:t>roduct</w:t>
      </w:r>
      <w:bookmarkEnd w:id="29"/>
      <w:bookmarkEnd w:id="30"/>
      <w:bookmarkEnd w:id="31"/>
    </w:p>
    <w:p w:rsidR="009E4124" w:rsidRPr="009E4124" w:rsidRDefault="009E4124" w:rsidP="00A00383">
      <w:r w:rsidRPr="009E4124">
        <w:t>The finished product is an opaque, white to off-white, soft gelatin capsule (</w:t>
      </w:r>
      <w:r w:rsidR="006914CF">
        <w:t xml:space="preserve">approximately </w:t>
      </w:r>
      <w:r w:rsidRPr="009E4124">
        <w:t xml:space="preserve">20 × 9 mm) with a liquid fill. The capsules are printed “ENZ” in black ink. The fill consists of </w:t>
      </w:r>
      <w:proofErr w:type="spellStart"/>
      <w:r w:rsidRPr="009E4124">
        <w:t>enzalutamide</w:t>
      </w:r>
      <w:proofErr w:type="spellEnd"/>
      <w:r w:rsidRPr="009E4124">
        <w:t xml:space="preserve"> (40 mg), </w:t>
      </w:r>
      <w:proofErr w:type="spellStart"/>
      <w:r w:rsidRPr="009E4124">
        <w:t>caprylocaproyl</w:t>
      </w:r>
      <w:proofErr w:type="spellEnd"/>
      <w:r w:rsidRPr="009E4124">
        <w:t xml:space="preserve"> </w:t>
      </w:r>
      <w:proofErr w:type="spellStart"/>
      <w:r w:rsidRPr="009E4124">
        <w:t>macrogolglycerides</w:t>
      </w:r>
      <w:proofErr w:type="spellEnd"/>
      <w:r w:rsidRPr="009E4124">
        <w:t>, and low levels of antioxidants (</w:t>
      </w:r>
      <w:proofErr w:type="spellStart"/>
      <w:r w:rsidRPr="009E4124">
        <w:t>butylated</w:t>
      </w:r>
      <w:proofErr w:type="spellEnd"/>
      <w:r w:rsidRPr="009E4124">
        <w:t xml:space="preserve"> </w:t>
      </w:r>
      <w:proofErr w:type="spellStart"/>
      <w:r w:rsidRPr="009E4124">
        <w:t>hydroxyanisole</w:t>
      </w:r>
      <w:proofErr w:type="spellEnd"/>
      <w:r w:rsidRPr="009E4124">
        <w:t xml:space="preserve"> and </w:t>
      </w:r>
      <w:proofErr w:type="spellStart"/>
      <w:r w:rsidRPr="009E4124">
        <w:t>hydroxytoluene</w:t>
      </w:r>
      <w:proofErr w:type="spellEnd"/>
      <w:r w:rsidRPr="009E4124">
        <w:t>).</w:t>
      </w:r>
    </w:p>
    <w:p w:rsidR="009E4124" w:rsidRPr="009E4124" w:rsidRDefault="009E4124" w:rsidP="00A00383">
      <w:pPr>
        <w:pStyle w:val="Heading4"/>
      </w:pPr>
      <w:proofErr w:type="spellStart"/>
      <w:r w:rsidRPr="009E4124">
        <w:t>Caprylocaproyl</w:t>
      </w:r>
      <w:proofErr w:type="spellEnd"/>
      <w:r w:rsidRPr="009E4124">
        <w:t xml:space="preserve"> </w:t>
      </w:r>
      <w:proofErr w:type="spellStart"/>
      <w:r w:rsidRPr="009E4124">
        <w:t>macrogolglycerides</w:t>
      </w:r>
      <w:proofErr w:type="spellEnd"/>
    </w:p>
    <w:p w:rsidR="009E4124" w:rsidRPr="009E4124" w:rsidRDefault="009E4124" w:rsidP="00A00383">
      <w:r w:rsidRPr="009E4124">
        <w:t xml:space="preserve">The oily capsule fill dissolves the drug and was chosen on the basis of high enzalutamide solubility. </w:t>
      </w:r>
      <w:proofErr w:type="spellStart"/>
      <w:r w:rsidRPr="009E4124">
        <w:t>Caprylocaproyl</w:t>
      </w:r>
      <w:proofErr w:type="spellEnd"/>
      <w:r w:rsidRPr="009E4124">
        <w:t xml:space="preserve"> </w:t>
      </w:r>
      <w:proofErr w:type="spellStart"/>
      <w:r w:rsidRPr="009E4124">
        <w:t>macrogolglycerides</w:t>
      </w:r>
      <w:proofErr w:type="spellEnd"/>
      <w:r w:rsidRPr="009E4124">
        <w:t xml:space="preserve"> (</w:t>
      </w:r>
      <w:r w:rsidR="00C95B07">
        <w:t>CCMG</w:t>
      </w:r>
      <w:r w:rsidRPr="009E4124">
        <w:t>) is not an excipient in any currently or previously registered Australian medicine. It is a non-ionic water dispersible surfa</w:t>
      </w:r>
      <w:r w:rsidR="00302359">
        <w:t xml:space="preserve">ctant consisting of </w:t>
      </w:r>
      <w:proofErr w:type="spellStart"/>
      <w:r w:rsidR="00302359">
        <w:t>macrogol</w:t>
      </w:r>
      <w:proofErr w:type="spellEnd"/>
      <w:r w:rsidR="00302359">
        <w:t xml:space="preserve"> (</w:t>
      </w:r>
      <w:r w:rsidRPr="009E4124">
        <w:t xml:space="preserve">polyethylene glycol) esters and glycerol esters </w:t>
      </w:r>
      <w:r w:rsidR="00CE3DCA">
        <w:t xml:space="preserve">(that is, </w:t>
      </w:r>
      <w:r w:rsidRPr="009E4124">
        <w:t xml:space="preserve">a mixture of mono-, di- and tri- </w:t>
      </w:r>
      <w:proofErr w:type="spellStart"/>
      <w:r w:rsidRPr="009E4124">
        <w:t>caprylic</w:t>
      </w:r>
      <w:proofErr w:type="spellEnd"/>
      <w:r w:rsidRPr="009E4124">
        <w:t xml:space="preserve"> (</w:t>
      </w:r>
      <w:proofErr w:type="spellStart"/>
      <w:r w:rsidRPr="009E4124">
        <w:t>octanoic</w:t>
      </w:r>
      <w:proofErr w:type="spellEnd"/>
      <w:r w:rsidRPr="009E4124">
        <w:t xml:space="preserve">) and </w:t>
      </w:r>
      <w:proofErr w:type="spellStart"/>
      <w:r w:rsidRPr="009E4124">
        <w:t>capric</w:t>
      </w:r>
      <w:proofErr w:type="spellEnd"/>
      <w:r w:rsidRPr="009E4124">
        <w:t xml:space="preserve"> (</w:t>
      </w:r>
      <w:proofErr w:type="spellStart"/>
      <w:r w:rsidRPr="009E4124">
        <w:t>decanoic</w:t>
      </w:r>
      <w:proofErr w:type="spellEnd"/>
      <w:r w:rsidRPr="009E4124">
        <w:t xml:space="preserve">) acid esters of glycerol, and monoesters and </w:t>
      </w:r>
      <w:proofErr w:type="spellStart"/>
      <w:r w:rsidRPr="009E4124">
        <w:t>diesters</w:t>
      </w:r>
      <w:proofErr w:type="spellEnd"/>
      <w:r w:rsidRPr="009E4124">
        <w:t xml:space="preserve"> of short </w:t>
      </w:r>
      <w:proofErr w:type="spellStart"/>
      <w:r w:rsidRPr="009E4124">
        <w:t>macrogols</w:t>
      </w:r>
      <w:proofErr w:type="spellEnd"/>
      <w:r w:rsidR="00CE3DCA">
        <w:t>)</w:t>
      </w:r>
      <w:r w:rsidRPr="009E4124">
        <w:t xml:space="preserve">. There </w:t>
      </w:r>
      <w:proofErr w:type="gramStart"/>
      <w:r w:rsidRPr="009E4124">
        <w:t>are</w:t>
      </w:r>
      <w:proofErr w:type="gramEnd"/>
      <w:r w:rsidRPr="009E4124">
        <w:t xml:space="preserve"> European Pharmacopoeia </w:t>
      </w:r>
      <w:r w:rsidR="00302359">
        <w:t>(</w:t>
      </w:r>
      <w:proofErr w:type="spellStart"/>
      <w:r w:rsidR="00302359" w:rsidRPr="00302359">
        <w:t>Ph.Eur</w:t>
      </w:r>
      <w:proofErr w:type="spellEnd"/>
      <w:r w:rsidR="00302359" w:rsidRPr="00302359">
        <w:t>.</w:t>
      </w:r>
      <w:r w:rsidR="00302359">
        <w:t>)</w:t>
      </w:r>
      <w:r w:rsidR="00302359" w:rsidRPr="00302359">
        <w:t xml:space="preserve"> </w:t>
      </w:r>
      <w:r w:rsidRPr="009E4124">
        <w:t xml:space="preserve">and United States Pharmacopoeia </w:t>
      </w:r>
      <w:r w:rsidR="00302359">
        <w:t xml:space="preserve">(USP) </w:t>
      </w:r>
      <w:r w:rsidRPr="009E4124">
        <w:t>monographs for the excipient. Toxicology data were provided for this excipient and have been reviewed separately</w:t>
      </w:r>
      <w:r w:rsidR="00302359">
        <w:t xml:space="preserve"> (see </w:t>
      </w:r>
      <w:r w:rsidR="00302359" w:rsidRPr="00302359">
        <w:rPr>
          <w:i/>
        </w:rPr>
        <w:t>Nonclinical findings</w:t>
      </w:r>
      <w:r w:rsidR="00302359">
        <w:t>, below)</w:t>
      </w:r>
      <w:r w:rsidRPr="009E4124">
        <w:t>.</w:t>
      </w:r>
    </w:p>
    <w:p w:rsidR="009E4124" w:rsidRPr="009E4124" w:rsidRDefault="009E4124" w:rsidP="00A00383">
      <w:r w:rsidRPr="009E4124">
        <w:t xml:space="preserve">As a relatively complex mixture of esters, differences between batches of </w:t>
      </w:r>
      <w:proofErr w:type="spellStart"/>
      <w:r w:rsidRPr="009E4124">
        <w:t>caprylocaproyl</w:t>
      </w:r>
      <w:proofErr w:type="spellEnd"/>
      <w:r w:rsidRPr="009E4124">
        <w:t xml:space="preserve"> </w:t>
      </w:r>
      <w:proofErr w:type="spellStart"/>
      <w:r w:rsidRPr="009E4124">
        <w:t>macrogolglycerides</w:t>
      </w:r>
      <w:proofErr w:type="spellEnd"/>
      <w:r w:rsidRPr="009E4124">
        <w:t xml:space="preserve"> could potentially affect the </w:t>
      </w:r>
      <w:r w:rsidR="00C95B07">
        <w:t>drug product performance</w:t>
      </w:r>
      <w:r w:rsidRPr="009E4124">
        <w:t xml:space="preserve">. There are controls on </w:t>
      </w:r>
      <w:r w:rsidR="00302359">
        <w:t xml:space="preserve">properties such as </w:t>
      </w:r>
      <w:r w:rsidRPr="009E4124">
        <w:t>viscosit</w:t>
      </w:r>
      <w:r w:rsidR="00302359">
        <w:t>y and</w:t>
      </w:r>
      <w:r w:rsidRPr="009E4124">
        <w:t xml:space="preserve"> fatty acid composition for the grade used (</w:t>
      </w:r>
      <w:proofErr w:type="spellStart"/>
      <w:r w:rsidRPr="009E4124">
        <w:t>Ph.Eur</w:t>
      </w:r>
      <w:proofErr w:type="spellEnd"/>
      <w:r w:rsidRPr="009E4124">
        <w:t xml:space="preserve">. with nominal 8 ethylene oxide units per molecule). Appropriate controls on impurities in the excipient </w:t>
      </w:r>
      <w:r w:rsidR="00302359">
        <w:t>were discussed with the spon</w:t>
      </w:r>
      <w:r w:rsidR="00916EB0">
        <w:t>s</w:t>
      </w:r>
      <w:r w:rsidR="00302359">
        <w:t>or</w:t>
      </w:r>
      <w:r w:rsidRPr="009E4124">
        <w:t>.</w:t>
      </w:r>
    </w:p>
    <w:p w:rsidR="009E4124" w:rsidRPr="009E4124" w:rsidRDefault="009E4124" w:rsidP="00A00383">
      <w:r w:rsidRPr="009E4124">
        <w:t>Although the drug is dissolved in the capsule contents, there is a fin</w:t>
      </w:r>
      <w:r w:rsidR="00A00383">
        <w:t>ished product dissolution test.</w:t>
      </w:r>
    </w:p>
    <w:p w:rsidR="009E4124" w:rsidRPr="009E4124" w:rsidRDefault="009E4124" w:rsidP="00A00383">
      <w:r w:rsidRPr="009E4124">
        <w:t>The capsules are packed in blister packs of 112 capsules. The only observed change on storage is a small increase in levels of a</w:t>
      </w:r>
      <w:r w:rsidR="00C95B07">
        <w:t>n oxidative degradation product</w:t>
      </w:r>
      <w:r w:rsidRPr="009E4124">
        <w:t>; formation of this is faster if the antioxidants are not included. Stability data support a shelf life of 2 years, store below 25</w:t>
      </w:r>
      <w:r w:rsidR="00302359">
        <w:t>°</w:t>
      </w:r>
      <w:r w:rsidRPr="009E4124">
        <w:t>C.</w:t>
      </w:r>
    </w:p>
    <w:p w:rsidR="009E4124" w:rsidRPr="009E4124" w:rsidRDefault="00302359" w:rsidP="00A00383">
      <w:pPr>
        <w:pStyle w:val="Heading4"/>
      </w:pPr>
      <w:r>
        <w:t>Clinical t</w:t>
      </w:r>
      <w:r w:rsidR="009E4124" w:rsidRPr="009E4124">
        <w:t xml:space="preserve">rial </w:t>
      </w:r>
      <w:r>
        <w:t>f</w:t>
      </w:r>
      <w:r w:rsidR="009E4124" w:rsidRPr="009E4124">
        <w:t>ormulations</w:t>
      </w:r>
    </w:p>
    <w:p w:rsidR="009E4124" w:rsidRPr="009E4124" w:rsidRDefault="009E4124" w:rsidP="00A00383">
      <w:r w:rsidRPr="009E4124">
        <w:t xml:space="preserve">The first clinical trial used a hard capsule with a 30 mg enzalutamide formulation. Subsequent trials used soft capsules with a higher fill volume, but the same proportions of fill components, giving 40 mg of enzalutamide per capsule. The formulation of the product proposed for registration is identical to that used in all of the latter clinical trials, except for the quantity of </w:t>
      </w:r>
      <w:r w:rsidR="00C95B07">
        <w:t>an antioxidant</w:t>
      </w:r>
      <w:r w:rsidR="005B2969">
        <w:t>.</w:t>
      </w:r>
    </w:p>
    <w:p w:rsidR="008E7846" w:rsidRDefault="008E7846" w:rsidP="00A00383">
      <w:pPr>
        <w:pStyle w:val="Heading3"/>
      </w:pPr>
      <w:bookmarkStart w:id="32" w:name="_Toc314842491"/>
      <w:bookmarkStart w:id="33" w:name="_Toc408300827"/>
      <w:proofErr w:type="spellStart"/>
      <w:r>
        <w:t>Biopharmaceutics</w:t>
      </w:r>
      <w:bookmarkEnd w:id="32"/>
      <w:bookmarkEnd w:id="33"/>
      <w:proofErr w:type="spellEnd"/>
    </w:p>
    <w:p w:rsidR="009E4124" w:rsidRPr="009E4124" w:rsidRDefault="009E4124" w:rsidP="00A00383">
      <w:pPr>
        <w:pStyle w:val="Heading4"/>
      </w:pPr>
      <w:proofErr w:type="spellStart"/>
      <w:r w:rsidRPr="009E4124">
        <w:t>Caprylocaproyl</w:t>
      </w:r>
      <w:proofErr w:type="spellEnd"/>
      <w:r w:rsidRPr="009E4124">
        <w:t xml:space="preserve"> </w:t>
      </w:r>
      <w:proofErr w:type="spellStart"/>
      <w:r w:rsidRPr="009E4124">
        <w:t>macrogolglycerides</w:t>
      </w:r>
      <w:proofErr w:type="spellEnd"/>
    </w:p>
    <w:p w:rsidR="009E4124" w:rsidRPr="009E4124" w:rsidRDefault="009E4124" w:rsidP="00A00383">
      <w:proofErr w:type="spellStart"/>
      <w:r w:rsidRPr="009E4124">
        <w:t>Caprylocaproyl</w:t>
      </w:r>
      <w:proofErr w:type="spellEnd"/>
      <w:r w:rsidRPr="009E4124">
        <w:t xml:space="preserve"> </w:t>
      </w:r>
      <w:proofErr w:type="spellStart"/>
      <w:r w:rsidRPr="009E4124">
        <w:t>macrogolglycerides</w:t>
      </w:r>
      <w:proofErr w:type="spellEnd"/>
      <w:r w:rsidRPr="009E4124">
        <w:t xml:space="preserve"> self-emulsifies in water, forming a </w:t>
      </w:r>
      <w:proofErr w:type="spellStart"/>
      <w:r w:rsidRPr="009E4124">
        <w:t>microemulsion</w:t>
      </w:r>
      <w:proofErr w:type="spellEnd"/>
      <w:r w:rsidRPr="009E4124">
        <w:t xml:space="preserve">. It has been reported to enhance bioavailability of some drugs via strong inhibition of </w:t>
      </w:r>
      <w:r w:rsidR="00302359">
        <w:t>the P</w:t>
      </w:r>
      <w:r w:rsidR="00302359">
        <w:noBreakHyphen/>
      </w:r>
      <w:r w:rsidRPr="009E4124">
        <w:t>g</w:t>
      </w:r>
      <w:r w:rsidR="00302359">
        <w:t>lycoprotein (P-</w:t>
      </w:r>
      <w:proofErr w:type="spellStart"/>
      <w:r w:rsidR="00302359">
        <w:t>gp</w:t>
      </w:r>
      <w:proofErr w:type="spellEnd"/>
      <w:r w:rsidR="00302359">
        <w:t xml:space="preserve">) </w:t>
      </w:r>
      <w:proofErr w:type="spellStart"/>
      <w:r w:rsidR="00A00383">
        <w:t>enterocytic</w:t>
      </w:r>
      <w:proofErr w:type="spellEnd"/>
      <w:r w:rsidR="00A00383">
        <w:t xml:space="preserve"> efflux transporter.</w:t>
      </w:r>
    </w:p>
    <w:p w:rsidR="009E4124" w:rsidRPr="00A00383" w:rsidRDefault="00302359" w:rsidP="00A00383">
      <w:pPr>
        <w:pStyle w:val="Heading4"/>
      </w:pPr>
      <w:r>
        <w:lastRenderedPageBreak/>
        <w:t>Absolute b</w:t>
      </w:r>
      <w:r w:rsidR="009E4124" w:rsidRPr="009E4124">
        <w:t>ioavailability</w:t>
      </w:r>
    </w:p>
    <w:p w:rsidR="009E4124" w:rsidRPr="009E4124" w:rsidRDefault="009E4124" w:rsidP="00A00383">
      <w:r w:rsidRPr="009E4124">
        <w:t xml:space="preserve">A human absolute bioavailability study is expected as part of the fundamental pharmacokinetic </w:t>
      </w:r>
      <w:r w:rsidR="00302359">
        <w:t xml:space="preserve">(PK) </w:t>
      </w:r>
      <w:r w:rsidRPr="009E4124">
        <w:t>characterisation of a new chemical entity. This submission d</w:t>
      </w:r>
      <w:r w:rsidR="00302359">
        <w:t xml:space="preserve">id </w:t>
      </w:r>
      <w:r w:rsidRPr="009E4124">
        <w:t xml:space="preserve">not include such data. </w:t>
      </w:r>
      <w:proofErr w:type="spellStart"/>
      <w:r w:rsidRPr="009E4124">
        <w:t>Astellas</w:t>
      </w:r>
      <w:proofErr w:type="spellEnd"/>
      <w:r w:rsidRPr="009E4124">
        <w:t xml:space="preserve"> argues that preparation of a simple intravenous </w:t>
      </w:r>
      <w:r w:rsidR="00302359">
        <w:t xml:space="preserve">(IV) </w:t>
      </w:r>
      <w:r w:rsidRPr="009E4124">
        <w:t xml:space="preserve">solution is not feasible because of the low solubility and formulation with </w:t>
      </w:r>
      <w:proofErr w:type="spellStart"/>
      <w:r w:rsidRPr="009E4124">
        <w:t>Cremophor</w:t>
      </w:r>
      <w:proofErr w:type="spellEnd"/>
      <w:r w:rsidRPr="009E4124">
        <w:t xml:space="preserve"> may pose unacceptable risks to subjects.</w:t>
      </w:r>
    </w:p>
    <w:p w:rsidR="009E4124" w:rsidRPr="009E4124" w:rsidRDefault="009E4124" w:rsidP="00A00383">
      <w:proofErr w:type="spellStart"/>
      <w:r w:rsidRPr="009E4124">
        <w:t>Astellas</w:t>
      </w:r>
      <w:proofErr w:type="spellEnd"/>
      <w:r w:rsidRPr="009E4124">
        <w:t xml:space="preserve"> notes that the absolute oral bioavailability of enzalutamide given as a </w:t>
      </w:r>
      <w:proofErr w:type="spellStart"/>
      <w:r w:rsidRPr="009E4124">
        <w:t>caprylocaproyl</w:t>
      </w:r>
      <w:proofErr w:type="spellEnd"/>
      <w:r w:rsidRPr="009E4124">
        <w:t xml:space="preserve"> </w:t>
      </w:r>
      <w:proofErr w:type="spellStart"/>
      <w:r w:rsidRPr="009E4124">
        <w:t>macrogolglyceride</w:t>
      </w:r>
      <w:proofErr w:type="spellEnd"/>
      <w:r w:rsidRPr="009E4124">
        <w:t xml:space="preserve"> solution to rats and dogs was high (97% and 73% respectively). </w:t>
      </w:r>
      <w:proofErr w:type="spellStart"/>
      <w:r w:rsidRPr="009E4124">
        <w:t>Astellas</w:t>
      </w:r>
      <w:proofErr w:type="spellEnd"/>
      <w:r w:rsidRPr="009E4124">
        <w:t xml:space="preserve"> argues that high bioavailability is expected given the high permeability and low hepatic extraction ratio.</w:t>
      </w:r>
    </w:p>
    <w:p w:rsidR="009E4124" w:rsidRPr="009E4124" w:rsidRDefault="009E4124" w:rsidP="00A00383">
      <w:r w:rsidRPr="009E4124">
        <w:t xml:space="preserve">Study 9785-CL-0001 showed that most </w:t>
      </w:r>
      <w:proofErr w:type="gramStart"/>
      <w:r w:rsidRPr="009E4124">
        <w:t>radioactivity</w:t>
      </w:r>
      <w:proofErr w:type="gramEnd"/>
      <w:r w:rsidRPr="009E4124">
        <w:t xml:space="preserve"> from a labelled oral </w:t>
      </w:r>
      <w:r w:rsidR="00302359">
        <w:t xml:space="preserve">(PO) </w:t>
      </w:r>
      <w:r w:rsidRPr="009E4124">
        <w:t>dose was in urine (71%, primarily as a metabolite). This indicates that absorption is at least high.</w:t>
      </w:r>
    </w:p>
    <w:p w:rsidR="009E4124" w:rsidRPr="009E4124" w:rsidRDefault="00CE3DCA" w:rsidP="00A00383">
      <w:pPr>
        <w:pStyle w:val="Heading5"/>
      </w:pPr>
      <w:r>
        <w:t>Effect of f</w:t>
      </w:r>
      <w:r w:rsidR="009E4124" w:rsidRPr="009E4124">
        <w:t>ood</w:t>
      </w:r>
    </w:p>
    <w:p w:rsidR="009E4124" w:rsidRPr="009E4124" w:rsidRDefault="009E4124" w:rsidP="00A00383">
      <w:r w:rsidRPr="009E4124">
        <w:t>Study</w:t>
      </w:r>
      <w:r w:rsidR="00302359">
        <w:t xml:space="preserve"> MDV3100-05 was an open, single </w:t>
      </w:r>
      <w:r w:rsidRPr="009E4124">
        <w:t>dose, parallel design study of the effect of food on the bioavailability of the capsules in healthy male</w:t>
      </w:r>
      <w:r w:rsidR="000164B8">
        <w:t>s</w:t>
      </w:r>
      <w:r w:rsidRPr="009E4124">
        <w:t xml:space="preserve">. A parallel design was </w:t>
      </w:r>
      <w:r w:rsidR="00302359">
        <w:t>chosen because of the long half-</w:t>
      </w:r>
      <w:r w:rsidRPr="009E4124">
        <w:t>life (</w:t>
      </w:r>
      <w:r w:rsidR="00302359">
        <w:t xml:space="preserve">approximately </w:t>
      </w:r>
      <w:r w:rsidRPr="009E4124">
        <w:t>90 h). Doses (</w:t>
      </w:r>
      <w:r w:rsidR="00C600DB">
        <w:t xml:space="preserve">four </w:t>
      </w:r>
      <w:r w:rsidRPr="009E4124">
        <w:t xml:space="preserve">40 mg capsules) were taken fasted or with a standard high-fat, high-calorie breakfast. Dosing with food slows absorption (median </w:t>
      </w:r>
      <w:r w:rsidR="00302359">
        <w:t>time to reach maximum concentration (</w:t>
      </w:r>
      <w:r w:rsidRPr="009E4124">
        <w:t>Tmax</w:t>
      </w:r>
      <w:r w:rsidR="00302359">
        <w:t>) 2.0 h versus 1.0 </w:t>
      </w:r>
      <w:r w:rsidRPr="009E4124">
        <w:t>h) and markedly reduces peak plasma levels (</w:t>
      </w:r>
      <w:r w:rsidR="00AD64EE" w:rsidRPr="00AD64EE">
        <w:t xml:space="preserve">maximum concentration </w:t>
      </w:r>
      <w:r w:rsidR="00AD64EE">
        <w:t>(</w:t>
      </w:r>
      <w:r w:rsidRPr="009E4124">
        <w:t>Cmax</w:t>
      </w:r>
      <w:r w:rsidR="00642536">
        <w:t>) 3.6 µ</w:t>
      </w:r>
      <w:r w:rsidR="00AD64EE">
        <w:t xml:space="preserve">g/mL versus </w:t>
      </w:r>
      <w:r w:rsidR="005D117A">
        <w:t>5.1 µ</w:t>
      </w:r>
      <w:r w:rsidRPr="009E4124">
        <w:t>g/mL), but with similar exposure (</w:t>
      </w:r>
      <w:r w:rsidR="00AD64EE">
        <w:t>area under the concentration-time curve over time zero to infinity (</w:t>
      </w:r>
      <w:r w:rsidRPr="009E4124">
        <w:t>AUC</w:t>
      </w:r>
      <w:r w:rsidR="00AD64EE">
        <w:rPr>
          <w:vertAlign w:val="subscript"/>
        </w:rPr>
        <w:t>0-</w:t>
      </w:r>
      <w:r w:rsidR="009908FF">
        <w:rPr>
          <w:vertAlign w:val="subscript"/>
        </w:rPr>
        <w:t>∞</w:t>
      </w:r>
      <w:r w:rsidR="00AD64EE">
        <w:t>)</w:t>
      </w:r>
      <w:r w:rsidRPr="009E4124">
        <w:t xml:space="preserve"> 276 </w:t>
      </w:r>
      <w:r w:rsidR="00AD64EE">
        <w:t xml:space="preserve">versus </w:t>
      </w:r>
      <w:r w:rsidRPr="009E4124">
        <w:t xml:space="preserve">279 </w:t>
      </w:r>
      <w:r w:rsidR="00C600DB">
        <w:t>µ</w:t>
      </w:r>
      <w:proofErr w:type="spellStart"/>
      <w:r w:rsidRPr="00C600DB">
        <w:t>g.h</w:t>
      </w:r>
      <w:proofErr w:type="spellEnd"/>
      <w:r w:rsidRPr="009E4124">
        <w:t xml:space="preserve">/mL: 90% </w:t>
      </w:r>
      <w:r w:rsidR="00AD64EE">
        <w:t>confidence interval (</w:t>
      </w:r>
      <w:r w:rsidRPr="009E4124">
        <w:t>CI</w:t>
      </w:r>
      <w:r w:rsidR="00AD64EE">
        <w:t>)</w:t>
      </w:r>
      <w:r w:rsidRPr="009E4124">
        <w:t xml:space="preserve"> within standard bioavailability range).</w:t>
      </w:r>
    </w:p>
    <w:p w:rsidR="008E7846" w:rsidRDefault="008E7846" w:rsidP="00A00383">
      <w:pPr>
        <w:pStyle w:val="Heading3"/>
      </w:pPr>
      <w:bookmarkStart w:id="34" w:name="_Toc314842492"/>
      <w:bookmarkStart w:id="35" w:name="_Toc408300828"/>
      <w:r>
        <w:t>Advisory committee considerations</w:t>
      </w:r>
      <w:bookmarkEnd w:id="34"/>
      <w:bookmarkEnd w:id="35"/>
    </w:p>
    <w:p w:rsidR="009E4124" w:rsidRPr="009E4124" w:rsidRDefault="009E4124" w:rsidP="00A00383">
      <w:r w:rsidRPr="009E4124">
        <w:t xml:space="preserve">As no significant pharmaceutical chemistry issues were identified, the submission was not </w:t>
      </w:r>
      <w:r w:rsidR="00AD64EE">
        <w:t>referred to the Pharmaceutical S</w:t>
      </w:r>
      <w:r w:rsidRPr="009E4124">
        <w:t xml:space="preserve">ubcommittee </w:t>
      </w:r>
      <w:r w:rsidR="00AD64EE">
        <w:t xml:space="preserve">(PSC) </w:t>
      </w:r>
      <w:r w:rsidRPr="009E4124">
        <w:t xml:space="preserve">of the </w:t>
      </w:r>
      <w:r w:rsidR="00AD64EE">
        <w:t>Advisory Committee on Prescription Medicines (</w:t>
      </w:r>
      <w:r w:rsidRPr="009E4124">
        <w:t>ACPM</w:t>
      </w:r>
      <w:r w:rsidR="00AD64EE">
        <w:t>)</w:t>
      </w:r>
      <w:r w:rsidRPr="009E4124">
        <w:t>.</w:t>
      </w:r>
    </w:p>
    <w:p w:rsidR="008E7846" w:rsidRPr="008751DC" w:rsidRDefault="008E7846" w:rsidP="00A00383">
      <w:pPr>
        <w:pStyle w:val="Heading3"/>
      </w:pPr>
      <w:bookmarkStart w:id="36" w:name="_Toc247691509"/>
      <w:bookmarkStart w:id="37" w:name="_Toc314842493"/>
      <w:bookmarkStart w:id="38" w:name="_Toc408300829"/>
      <w:r>
        <w:t>Quality s</w:t>
      </w:r>
      <w:r w:rsidRPr="008751DC">
        <w:t>ummary</w:t>
      </w:r>
      <w:r>
        <w:t xml:space="preserve"> and conclusions</w:t>
      </w:r>
      <w:bookmarkEnd w:id="36"/>
      <w:bookmarkEnd w:id="37"/>
      <w:bookmarkEnd w:id="38"/>
    </w:p>
    <w:p w:rsidR="009E4124" w:rsidRPr="009E4124" w:rsidRDefault="009E4124" w:rsidP="00A00383">
      <w:r w:rsidRPr="009E4124">
        <w:t xml:space="preserve">Registration is recommended with respect to quality and </w:t>
      </w:r>
      <w:proofErr w:type="spellStart"/>
      <w:r w:rsidRPr="009E4124">
        <w:t>biopharmaceutic</w:t>
      </w:r>
      <w:proofErr w:type="spellEnd"/>
      <w:r w:rsidRPr="009E4124">
        <w:t xml:space="preserve"> aspects if appropriate controls on impurities in the excipient are negotiated.</w:t>
      </w:r>
    </w:p>
    <w:p w:rsidR="008E7846" w:rsidRDefault="008E7846" w:rsidP="00A00383">
      <w:pPr>
        <w:pStyle w:val="Heading2"/>
      </w:pPr>
      <w:bookmarkStart w:id="39" w:name="_Toc196046439"/>
      <w:bookmarkStart w:id="40" w:name="_Toc247691510"/>
      <w:bookmarkStart w:id="41" w:name="_Toc314842494"/>
      <w:bookmarkStart w:id="42" w:name="_Toc408300830"/>
      <w:r>
        <w:t>III. Nonclinical</w:t>
      </w:r>
      <w:bookmarkEnd w:id="39"/>
      <w:r>
        <w:t xml:space="preserve"> findings</w:t>
      </w:r>
      <w:bookmarkEnd w:id="40"/>
      <w:bookmarkEnd w:id="41"/>
      <w:bookmarkEnd w:id="42"/>
    </w:p>
    <w:p w:rsidR="008E7846" w:rsidRDefault="008E7846" w:rsidP="00A00383">
      <w:pPr>
        <w:pStyle w:val="Heading3"/>
      </w:pPr>
      <w:bookmarkStart w:id="43" w:name="_Toc247691511"/>
      <w:bookmarkStart w:id="44" w:name="_Toc314842495"/>
      <w:bookmarkStart w:id="45" w:name="_Toc408300831"/>
      <w:r>
        <w:t>Introduction</w:t>
      </w:r>
      <w:bookmarkEnd w:id="43"/>
      <w:bookmarkEnd w:id="44"/>
      <w:bookmarkEnd w:id="45"/>
    </w:p>
    <w:p w:rsidR="00EF4DA6" w:rsidRPr="00EF4DA6" w:rsidRDefault="00EF4DA6" w:rsidP="00A00383">
      <w:bookmarkStart w:id="46" w:name="_Toc247691512"/>
      <w:bookmarkStart w:id="47" w:name="_Toc314842496"/>
      <w:r w:rsidRPr="00EF4DA6">
        <w:t xml:space="preserve">The submitted </w:t>
      </w:r>
      <w:r w:rsidR="00D71406">
        <w:t>nonclinical (</w:t>
      </w:r>
      <w:r w:rsidRPr="00EF4DA6">
        <w:t>Module 4</w:t>
      </w:r>
      <w:r w:rsidR="00D71406">
        <w:t>)</w:t>
      </w:r>
      <w:r w:rsidRPr="00EF4DA6">
        <w:t xml:space="preserve"> data were in general accordance with the</w:t>
      </w:r>
      <w:r w:rsidR="00D71406">
        <w:t xml:space="preserve"> </w:t>
      </w:r>
      <w:r w:rsidR="00D71406" w:rsidRPr="00D71406">
        <w:t xml:space="preserve">International Conference on Harmonisation </w:t>
      </w:r>
      <w:r w:rsidR="00D71406" w:rsidRPr="00D71406">
        <w:rPr>
          <w:lang w:val="en"/>
        </w:rPr>
        <w:t>of Technical Requirements for Registration of Pharmaceuticals for Human Use</w:t>
      </w:r>
      <w:r w:rsidR="00340F75">
        <w:rPr>
          <w:lang w:val="en"/>
        </w:rPr>
        <w:t xml:space="preserve"> </w:t>
      </w:r>
      <w:r w:rsidR="00D71406">
        <w:rPr>
          <w:lang w:val="en"/>
        </w:rPr>
        <w:t>(ICH) guideline:</w:t>
      </w:r>
      <w:r w:rsidRPr="00EF4DA6">
        <w:t xml:space="preserve"> </w:t>
      </w:r>
      <w:r w:rsidRPr="00D71406">
        <w:rPr>
          <w:i/>
        </w:rPr>
        <w:t>ICH guideline on the nonclinical evaluation of anticancer pharmaceuticals</w:t>
      </w:r>
      <w:r w:rsidRPr="00EF4DA6">
        <w:t xml:space="preserve"> (ICH S9</w:t>
      </w:r>
      <w:r w:rsidR="00D71406">
        <w:t>;</w:t>
      </w:r>
      <w:r w:rsidR="00D71406" w:rsidRPr="00D71406">
        <w:t xml:space="preserve"> EMA/CHMP/ICH/646107/2008</w:t>
      </w:r>
      <w:r w:rsidRPr="00EF4DA6">
        <w:t>). The clinical formulation of Xtandi contains the excipient Labrasol (</w:t>
      </w:r>
      <w:r w:rsidR="0008493B">
        <w:t>CCMG</w:t>
      </w:r>
      <w:r w:rsidRPr="00EF4DA6">
        <w:t>) to increase the oral bioavailability of enzalutamide. Labrasol is not contained in any currently registered product in the ARTG. Data to support the safety of this excipient were submitted and evaluated separately</w:t>
      </w:r>
      <w:r w:rsidR="00D71406">
        <w:t xml:space="preserve"> (see below)</w:t>
      </w:r>
      <w:r w:rsidRPr="00EF4DA6">
        <w:t>. The formulations of enzalutamide used in the safety s</w:t>
      </w:r>
      <w:r w:rsidR="00A00383">
        <w:t>tudies included this excipient.</w:t>
      </w:r>
    </w:p>
    <w:p w:rsidR="00EF4DA6" w:rsidRPr="00EF4DA6" w:rsidRDefault="00EF4DA6" w:rsidP="00A00383">
      <w:r w:rsidRPr="00EF4DA6">
        <w:t>One limitation of the submitted dossier is that the major active human metabolite (M2, N-</w:t>
      </w:r>
      <w:proofErr w:type="spellStart"/>
      <w:r w:rsidRPr="00EF4DA6">
        <w:t>desmethyl</w:t>
      </w:r>
      <w:proofErr w:type="spellEnd"/>
      <w:r w:rsidRPr="00EF4DA6">
        <w:t xml:space="preserve"> metabolite) is only a minor metabolite in animals. The toxicity profile of this </w:t>
      </w:r>
      <w:r w:rsidRPr="00EF4DA6">
        <w:lastRenderedPageBreak/>
        <w:t>metabolite has not been adequately addressed by the data provided. Ideally, a general toxicity study with this metabolite should have been conducted but a comprehensive assessment of the toxicity of a major human metabolite may not always be expected for an anticancer drug (ICH S9).</w:t>
      </w:r>
    </w:p>
    <w:p w:rsidR="008E7846" w:rsidRPr="00A00383" w:rsidRDefault="008E7846" w:rsidP="00A00383">
      <w:pPr>
        <w:pStyle w:val="Heading3"/>
      </w:pPr>
      <w:bookmarkStart w:id="48" w:name="_Toc408300832"/>
      <w:r w:rsidRPr="00020030">
        <w:t>Pharmacology</w:t>
      </w:r>
      <w:bookmarkEnd w:id="46"/>
      <w:bookmarkEnd w:id="47"/>
      <w:bookmarkEnd w:id="48"/>
    </w:p>
    <w:p w:rsidR="00EF4DA6" w:rsidRPr="00EF4DA6" w:rsidRDefault="00EF4DA6" w:rsidP="00A00383">
      <w:pPr>
        <w:pStyle w:val="Heading4"/>
      </w:pPr>
      <w:r w:rsidRPr="00EF4DA6">
        <w:t>Primary pharmacology</w:t>
      </w:r>
    </w:p>
    <w:p w:rsidR="00EF4DA6" w:rsidRPr="00EF4DA6" w:rsidRDefault="00EF4DA6" w:rsidP="00A00383">
      <w:r w:rsidRPr="00EF4DA6">
        <w:t>Testosterone promotes the development and progression of prostate cancer. Treatment methods for prostate cancer have targeted testosterone production or action</w:t>
      </w:r>
      <w:r w:rsidR="00CE3DCA">
        <w:t>:</w:t>
      </w:r>
      <w:r w:rsidRPr="00EF4DA6">
        <w:t xml:space="preserve"> gonadotropin-releasing hormone receptor antagonists or super agonists, inhibitors of enzymes involved in testosterone production and </w:t>
      </w:r>
      <w:proofErr w:type="spellStart"/>
      <w:r w:rsidRPr="00EF4DA6">
        <w:t>antiandrogens</w:t>
      </w:r>
      <w:proofErr w:type="spellEnd"/>
      <w:r w:rsidRPr="00EF4DA6">
        <w:t xml:space="preserve">. </w:t>
      </w:r>
      <w:proofErr w:type="spellStart"/>
      <w:r w:rsidRPr="00EF4DA6">
        <w:t>Antiandrogens</w:t>
      </w:r>
      <w:proofErr w:type="spellEnd"/>
      <w:r w:rsidRPr="00EF4DA6">
        <w:t xml:space="preserve"> prevent the activation of the androgen receptor (AR) by endogenous androgens, thereby reducing the stimulation of prostate cancer cells. First generation </w:t>
      </w:r>
      <w:proofErr w:type="spellStart"/>
      <w:r w:rsidRPr="00EF4DA6">
        <w:t>antiandrogens</w:t>
      </w:r>
      <w:proofErr w:type="spellEnd"/>
      <w:r w:rsidRPr="00EF4DA6">
        <w:t xml:space="preserve"> often fail due to enhanced activity at the AR, either as a result of over-expression of the wild-type AR which results in agonistic activity with the “antiandrogen” or enhanced activity due to a mutant AR responding to a broader range of compounds. Enzalutamide is a second generation antiandrogen, specifically selected to have no agonistic activity at the human AR and to have activity against mutant ARs.</w:t>
      </w:r>
    </w:p>
    <w:p w:rsidR="00EF4DA6" w:rsidRPr="00EF4DA6" w:rsidRDefault="00EF4DA6" w:rsidP="00A00383">
      <w:pPr>
        <w:pStyle w:val="Heading5"/>
      </w:pPr>
      <w:r w:rsidRPr="00EF4DA6">
        <w:t>In vitro</w:t>
      </w:r>
      <w:r w:rsidR="00CE3DCA">
        <w:t xml:space="preserve"> studies</w:t>
      </w:r>
    </w:p>
    <w:p w:rsidR="00EF4DA6" w:rsidRPr="00EF4DA6" w:rsidRDefault="00EF4DA6" w:rsidP="00A00383">
      <w:r w:rsidRPr="00EF4DA6">
        <w:t xml:space="preserve">Enzalutamide was a competitive inhibitor at the AR, preventing the binding of AR agonists with a notable inhibition of </w:t>
      </w:r>
      <w:proofErr w:type="spellStart"/>
      <w:r w:rsidRPr="00EF4DA6">
        <w:t>dihydroxytestosterone</w:t>
      </w:r>
      <w:proofErr w:type="spellEnd"/>
      <w:r w:rsidRPr="00EF4DA6">
        <w:t xml:space="preserve"> (DHT)-induced nuclear translocation of the AR. Inhibition of DHT-induced proliferation of human prostate cancer cells (containing the T877A AR mutation) was also seen with </w:t>
      </w:r>
      <w:r w:rsidR="00D71406">
        <w:t>inhibition constant (</w:t>
      </w:r>
      <w:r w:rsidRPr="00EF4DA6">
        <w:t>Ki</w:t>
      </w:r>
      <w:r w:rsidR="00D71406">
        <w:t>)</w:t>
      </w:r>
      <w:r w:rsidRPr="00EF4DA6">
        <w:t xml:space="preserve"> and </w:t>
      </w:r>
      <w:r w:rsidR="00F173C5">
        <w:t>50% inhibitory concentration (</w:t>
      </w:r>
      <w:r w:rsidRPr="00EF4DA6">
        <w:t>IC</w:t>
      </w:r>
      <w:r w:rsidRPr="00F173C5">
        <w:rPr>
          <w:vertAlign w:val="subscript"/>
        </w:rPr>
        <w:t>50</w:t>
      </w:r>
      <w:r w:rsidR="00F173C5">
        <w:t>)</w:t>
      </w:r>
      <w:r w:rsidRPr="00EF4DA6">
        <w:t xml:space="preserve"> values of 0.023 µM and 0.062 µM, respectively (concentrations well below the clinical free </w:t>
      </w:r>
      <w:r w:rsidR="00F173C5">
        <w:t xml:space="preserve">minimum </w:t>
      </w:r>
      <w:r w:rsidRPr="00EF4DA6">
        <w:t xml:space="preserve">plasma </w:t>
      </w:r>
      <w:r w:rsidR="00F173C5">
        <w:t>concentration (</w:t>
      </w:r>
      <w:r w:rsidRPr="00EF4DA6">
        <w:t>Cmin</w:t>
      </w:r>
      <w:r w:rsidR="00F173C5">
        <w:t>)</w:t>
      </w:r>
      <w:r w:rsidRPr="00EF4DA6">
        <w:t xml:space="preserve"> of 0.62 µM). Enzalutamide (1 µM, 2–4 days) reduced the viability of human prostate cancer cells, which correlated with increases in the level of caspase-3, an indicator of apoptosis. Enzalutamide showed inhibitory activity on the DHT-induced proliferation of </w:t>
      </w:r>
      <w:r w:rsidR="00F173C5">
        <w:t xml:space="preserve">cells expressing the castration </w:t>
      </w:r>
      <w:r w:rsidRPr="00EF4DA6">
        <w:t>resistant ARs (T877A alone or</w:t>
      </w:r>
      <w:r w:rsidR="00A00383">
        <w:t xml:space="preserve"> both T877A and W741C mutants).</w:t>
      </w:r>
    </w:p>
    <w:p w:rsidR="00EF4DA6" w:rsidRPr="00EF4DA6" w:rsidRDefault="00EF4DA6" w:rsidP="00A00383">
      <w:r w:rsidRPr="00EF4DA6">
        <w:t xml:space="preserve">Other </w:t>
      </w:r>
      <w:proofErr w:type="spellStart"/>
      <w:r w:rsidRPr="00EF4DA6">
        <w:t>antiandrogens</w:t>
      </w:r>
      <w:proofErr w:type="spellEnd"/>
      <w:r w:rsidRPr="00EF4DA6">
        <w:t xml:space="preserve"> (</w:t>
      </w:r>
      <w:proofErr w:type="spellStart"/>
      <w:r w:rsidRPr="00EF4DA6">
        <w:t>bicalutamide</w:t>
      </w:r>
      <w:proofErr w:type="spellEnd"/>
      <w:r w:rsidRPr="00EF4DA6">
        <w:t xml:space="preserve"> and </w:t>
      </w:r>
      <w:proofErr w:type="spellStart"/>
      <w:r w:rsidRPr="00EF4DA6">
        <w:t>hydroxyflutamide</w:t>
      </w:r>
      <w:proofErr w:type="spellEnd"/>
      <w:r w:rsidRPr="00EF4DA6">
        <w:t>) had inhibitory activity at none or only one of the mutant ARs.</w:t>
      </w:r>
      <w:r w:rsidR="00F173C5">
        <w:t xml:space="preserve"> </w:t>
      </w:r>
      <w:proofErr w:type="spellStart"/>
      <w:r w:rsidRPr="00EF4DA6">
        <w:t>Bicalutamide</w:t>
      </w:r>
      <w:proofErr w:type="spellEnd"/>
      <w:r w:rsidRPr="00EF4DA6">
        <w:t xml:space="preserve"> inhibited the DHT-induced proliferation of cells expressing T877A-AR but not T877A-AR plus W741C-AR. </w:t>
      </w:r>
      <w:proofErr w:type="spellStart"/>
      <w:r w:rsidRPr="00EF4DA6">
        <w:t>Hydroxyflutamide</w:t>
      </w:r>
      <w:proofErr w:type="spellEnd"/>
      <w:r w:rsidRPr="00EF4DA6">
        <w:t xml:space="preserve"> did not inhibit the DHT-induced proliferation of either cell. These data suggest that enzalutamide has inhibitory activity against castration-resistant ARs. Unlike other </w:t>
      </w:r>
      <w:proofErr w:type="spellStart"/>
      <w:r w:rsidRPr="00EF4DA6">
        <w:t>antiandrogens</w:t>
      </w:r>
      <w:proofErr w:type="spellEnd"/>
      <w:r w:rsidRPr="00EF4DA6">
        <w:t xml:space="preserve"> (</w:t>
      </w:r>
      <w:proofErr w:type="spellStart"/>
      <w:r w:rsidRPr="00EF4DA6">
        <w:t>bicalutamide</w:t>
      </w:r>
      <w:proofErr w:type="spellEnd"/>
      <w:r w:rsidRPr="00EF4DA6">
        <w:t xml:space="preserve">, </w:t>
      </w:r>
      <w:proofErr w:type="spellStart"/>
      <w:r w:rsidRPr="00EF4DA6">
        <w:t>nilutamide</w:t>
      </w:r>
      <w:proofErr w:type="spellEnd"/>
      <w:r w:rsidRPr="00EF4DA6">
        <w:t xml:space="preserve"> and </w:t>
      </w:r>
      <w:proofErr w:type="spellStart"/>
      <w:r w:rsidRPr="00EF4DA6">
        <w:t>hydroxyflutamide</w:t>
      </w:r>
      <w:proofErr w:type="spellEnd"/>
      <w:r w:rsidRPr="00EF4DA6">
        <w:t xml:space="preserve">), </w:t>
      </w:r>
      <w:proofErr w:type="spellStart"/>
      <w:r w:rsidRPr="00EF4DA6">
        <w:t>enzalutamide</w:t>
      </w:r>
      <w:proofErr w:type="spellEnd"/>
      <w:r w:rsidRPr="00EF4DA6">
        <w:t xml:space="preserve"> had no agonistic activity at the AR.</w:t>
      </w:r>
    </w:p>
    <w:p w:rsidR="00EF4DA6" w:rsidRPr="00EF4DA6" w:rsidRDefault="00EF4DA6" w:rsidP="00A00383">
      <w:r w:rsidRPr="00EF4DA6">
        <w:t>Six metabolites of enzalutamide were assessed for the ability to inhibit testosterone binding to the AR (T877A). M2 and M6 had similar inhibitory activity to enzalutamide (IC</w:t>
      </w:r>
      <w:r w:rsidRPr="00F173C5">
        <w:rPr>
          <w:vertAlign w:val="subscript"/>
        </w:rPr>
        <w:t>50</w:t>
      </w:r>
      <w:r w:rsidRPr="00EF4DA6">
        <w:t xml:space="preserve"> 0.155</w:t>
      </w:r>
      <w:r w:rsidR="00F173C5">
        <w:t xml:space="preserve"> and 0.135 µM, respectively, compared with</w:t>
      </w:r>
      <w:r w:rsidRPr="00EF4DA6">
        <w:t xml:space="preserve"> 0.130 µM for enzalutamide). M3 and M4 had low inhibitory activity (IC</w:t>
      </w:r>
      <w:r w:rsidRPr="00F173C5">
        <w:rPr>
          <w:vertAlign w:val="subscript"/>
        </w:rPr>
        <w:t>50</w:t>
      </w:r>
      <w:r w:rsidRPr="00EF4DA6">
        <w:t xml:space="preserve"> 2.1 and 1.6 µM), while M1 and M5 had no inhibitory activity. Only M1 and M2 are significant circulating metabolites in human subjects (with AUC values 62% and 89% those of enzalutamide, on a molar basis). Therefore, M2 is likely to contribute significantly to the efficacy of enzalutamide in patients. None of the metabolites (M1, M2, M3 or M4) had agonistic activity at the AR.</w:t>
      </w:r>
    </w:p>
    <w:p w:rsidR="00EF4DA6" w:rsidRPr="00EF4DA6" w:rsidRDefault="00EF4DA6" w:rsidP="00BA4960">
      <w:pPr>
        <w:pStyle w:val="Heading5"/>
      </w:pPr>
      <w:r w:rsidRPr="00EF4DA6">
        <w:t>In vivo</w:t>
      </w:r>
      <w:r w:rsidR="00CE3DCA">
        <w:t xml:space="preserve"> studies</w:t>
      </w:r>
    </w:p>
    <w:p w:rsidR="00EF4DA6" w:rsidRPr="00EF4DA6" w:rsidRDefault="00EF4DA6" w:rsidP="00BA4960">
      <w:r w:rsidRPr="00EF4DA6">
        <w:t>The anti-tumour activity of enzalutamide was examined in mice bearing</w:t>
      </w:r>
      <w:r w:rsidR="00F173C5">
        <w:t xml:space="preserve"> </w:t>
      </w:r>
      <w:proofErr w:type="spellStart"/>
      <w:r w:rsidR="00F173C5">
        <w:t>xenografts</w:t>
      </w:r>
      <w:proofErr w:type="spellEnd"/>
      <w:r w:rsidR="00F173C5">
        <w:t xml:space="preserve"> of human castration </w:t>
      </w:r>
      <w:r w:rsidRPr="00EF4DA6">
        <w:t>resistant prostate cancer cells (</w:t>
      </w:r>
      <w:proofErr w:type="spellStart"/>
      <w:r w:rsidRPr="00EF4DA6">
        <w:t>LNCaP</w:t>
      </w:r>
      <w:proofErr w:type="spellEnd"/>
      <w:r w:rsidRPr="00EF4DA6">
        <w:t xml:space="preserve"> cells which express T877A-AR, but also engineered to overexpress the wild-type AR). This is an acceptable animal model for cast</w:t>
      </w:r>
      <w:r w:rsidR="00F173C5">
        <w:t xml:space="preserve">ration resistant prostate cancer. Dose </w:t>
      </w:r>
      <w:r w:rsidRPr="00EF4DA6">
        <w:t xml:space="preserve">dependent decreases in tumour growth (by </w:t>
      </w:r>
      <w:r w:rsidRPr="00EF4DA6">
        <w:lastRenderedPageBreak/>
        <w:t>&gt;</w:t>
      </w:r>
      <w:r w:rsidR="00F173C5">
        <w:t> </w:t>
      </w:r>
      <w:r w:rsidRPr="00EF4DA6">
        <w:t>62%) were seen at ≥</w:t>
      </w:r>
      <w:r w:rsidR="00F173C5">
        <w:t> </w:t>
      </w:r>
      <w:r w:rsidRPr="00EF4DA6">
        <w:t xml:space="preserve">10 mg/kg/day PO for 28 days. </w:t>
      </w:r>
      <w:proofErr w:type="spellStart"/>
      <w:r w:rsidRPr="00EF4DA6">
        <w:t>Bicalutamide</w:t>
      </w:r>
      <w:proofErr w:type="spellEnd"/>
      <w:r w:rsidRPr="00EF4DA6">
        <w:t xml:space="preserve"> (50 mg/kg/day PO) had no significant effect on tumour growth in this model.</w:t>
      </w:r>
    </w:p>
    <w:p w:rsidR="00EF4DA6" w:rsidRPr="00EF4DA6" w:rsidRDefault="00EF4DA6" w:rsidP="00BA4960">
      <w:pPr>
        <w:pStyle w:val="Heading5"/>
      </w:pPr>
      <w:r w:rsidRPr="00EF4DA6">
        <w:t>Resistance to treatment with enzalutamide</w:t>
      </w:r>
    </w:p>
    <w:p w:rsidR="00EF4DA6" w:rsidRPr="00EF4DA6" w:rsidRDefault="00EF4DA6" w:rsidP="00BA4960">
      <w:r w:rsidRPr="00EF4DA6">
        <w:t xml:space="preserve">Possible mechanisms for resistance to enzalutamide include AR gene rearrangement, resulting in a constitutively-active AR that lacks a ligand binding domain, and overexpression of CYP17 leading to elevations in testosterone and DHT, which may promote tumour growth (reviewed in </w:t>
      </w:r>
      <w:proofErr w:type="spellStart"/>
      <w:r w:rsidRPr="00EF4DA6">
        <w:t>Golshayan</w:t>
      </w:r>
      <w:proofErr w:type="spellEnd"/>
      <w:r w:rsidRPr="00EF4DA6">
        <w:t xml:space="preserve"> and </w:t>
      </w:r>
      <w:proofErr w:type="spellStart"/>
      <w:r w:rsidRPr="00EF4DA6">
        <w:t>Antonarakis</w:t>
      </w:r>
      <w:proofErr w:type="spellEnd"/>
      <w:r w:rsidRPr="00EF4DA6">
        <w:t>, 2013</w:t>
      </w:r>
      <w:r w:rsidR="00854775">
        <w:rPr>
          <w:rStyle w:val="FootnoteReference"/>
        </w:rPr>
        <w:footnoteReference w:id="2"/>
      </w:r>
      <w:r w:rsidRPr="00EF4DA6">
        <w:t>).</w:t>
      </w:r>
    </w:p>
    <w:p w:rsidR="00EF4DA6" w:rsidRPr="00EF4DA6" w:rsidRDefault="00EF4DA6" w:rsidP="00BA4960">
      <w:pPr>
        <w:pStyle w:val="Heading4"/>
      </w:pPr>
      <w:r w:rsidRPr="00EF4DA6">
        <w:t>Secondary pharmacodynamics and safety pharmacology</w:t>
      </w:r>
    </w:p>
    <w:p w:rsidR="00CE3DCA" w:rsidRDefault="00EF4DA6" w:rsidP="00BA4960">
      <w:r w:rsidRPr="00EF4DA6">
        <w:t xml:space="preserve">Enzalutamide was assessed for inhibitory activity at </w:t>
      </w:r>
      <w:r w:rsidR="00CE3DCA">
        <w:t xml:space="preserve">approximately </w:t>
      </w:r>
      <w:r w:rsidRPr="00EF4DA6">
        <w:t>70 receptors, channels and transporters, 16 non-kinase enzymes and &gt;</w:t>
      </w:r>
      <w:r w:rsidR="00CE3DCA">
        <w:t xml:space="preserve"> </w:t>
      </w:r>
      <w:r w:rsidRPr="00EF4DA6">
        <w:t>200 kinas</w:t>
      </w:r>
      <w:r w:rsidR="00854775">
        <w:t xml:space="preserve">es and </w:t>
      </w:r>
      <w:proofErr w:type="spellStart"/>
      <w:r w:rsidR="00854775">
        <w:t>deacetylases</w:t>
      </w:r>
      <w:proofErr w:type="spellEnd"/>
      <w:r w:rsidR="00854775">
        <w:t xml:space="preserve"> (at 3</w:t>
      </w:r>
      <w:r w:rsidR="00854775">
        <w:noBreakHyphen/>
        <w:t>10 </w:t>
      </w:r>
      <w:r w:rsidRPr="00EF4DA6">
        <w:t xml:space="preserve">µM; at least 4 times the clinical free Cmax levels). The only notable off-target activity was at the </w:t>
      </w:r>
      <w:r w:rsidR="00854775">
        <w:t>g</w:t>
      </w:r>
      <w:r w:rsidR="00854775" w:rsidRPr="00854775">
        <w:t xml:space="preserve">amma </w:t>
      </w:r>
      <w:proofErr w:type="spellStart"/>
      <w:r w:rsidR="00854775">
        <w:t>a</w:t>
      </w:r>
      <w:r w:rsidR="00854775" w:rsidRPr="00854775">
        <w:t>minobutyric</w:t>
      </w:r>
      <w:proofErr w:type="spellEnd"/>
      <w:r w:rsidR="00854775" w:rsidRPr="00854775">
        <w:t xml:space="preserve"> </w:t>
      </w:r>
      <w:r w:rsidR="00854775">
        <w:t>a</w:t>
      </w:r>
      <w:r w:rsidR="00854775" w:rsidRPr="00854775">
        <w:t>cid</w:t>
      </w:r>
      <w:r w:rsidR="00854775">
        <w:t xml:space="preserve"> (</w:t>
      </w:r>
      <w:r w:rsidRPr="00EF4DA6">
        <w:t>GABA</w:t>
      </w:r>
      <w:r w:rsidR="00854775">
        <w:t xml:space="preserve">) </w:t>
      </w:r>
      <w:r w:rsidRPr="00EF4DA6">
        <w:t>gated chloride channel (IC</w:t>
      </w:r>
      <w:r w:rsidRPr="00854775">
        <w:rPr>
          <w:vertAlign w:val="subscript"/>
        </w:rPr>
        <w:t>50</w:t>
      </w:r>
      <w:r w:rsidRPr="00EF4DA6">
        <w:t xml:space="preserve"> </w:t>
      </w:r>
      <w:r w:rsidR="00CE3DCA">
        <w:t xml:space="preserve">about </w:t>
      </w:r>
      <w:r w:rsidRPr="00EF4DA6">
        <w:t>3 µM;</w:t>
      </w:r>
      <w:r w:rsidR="00CE3DCA">
        <w:t xml:space="preserve"> </w:t>
      </w:r>
      <w:r w:rsidRPr="00EF4DA6">
        <w:t>3 times the clinical free Cmax levels). Enzalutamide bound tightly to the channel and complete reve</w:t>
      </w:r>
      <w:r w:rsidR="00BA4960">
        <w:t>rsibility was not demonstrated.</w:t>
      </w:r>
    </w:p>
    <w:p w:rsidR="00CE3DCA" w:rsidRDefault="00EF4DA6" w:rsidP="00BA4960">
      <w:r w:rsidRPr="00EF4DA6">
        <w:t>Metabolites M1, M2, M3 and M4 also had inhibitory activity against the chloride channel (IC</w:t>
      </w:r>
      <w:r w:rsidRPr="00854775">
        <w:rPr>
          <w:vertAlign w:val="subscript"/>
        </w:rPr>
        <w:t>50</w:t>
      </w:r>
      <w:r w:rsidRPr="00EF4DA6">
        <w:t xml:space="preserve"> values of 20.7, 2.3, 4.0 and 1.55 µM, respectively). The IC</w:t>
      </w:r>
      <w:r w:rsidRPr="00854775">
        <w:rPr>
          <w:vertAlign w:val="subscript"/>
        </w:rPr>
        <w:t>50</w:t>
      </w:r>
      <w:r w:rsidRPr="00EF4DA6">
        <w:t xml:space="preserve"> values for M1 and M2 were 56 and 1.7 times, respectively, the clinical</w:t>
      </w:r>
      <w:r w:rsidR="00BA4960">
        <w:t xml:space="preserve"> free </w:t>
      </w:r>
      <w:proofErr w:type="spellStart"/>
      <w:r w:rsidR="00BA4960">
        <w:t>Cmax</w:t>
      </w:r>
      <w:proofErr w:type="spellEnd"/>
      <w:r w:rsidR="00BA4960">
        <w:t xml:space="preserve"> for these compounds.</w:t>
      </w:r>
    </w:p>
    <w:p w:rsidR="00CE3DCA" w:rsidRDefault="00EF4DA6" w:rsidP="00BA4960">
      <w:r w:rsidRPr="00EF4DA6">
        <w:t xml:space="preserve">The in vitro data indicated a </w:t>
      </w:r>
      <w:proofErr w:type="spellStart"/>
      <w:r w:rsidRPr="00EF4DA6">
        <w:t>seizurogenic</w:t>
      </w:r>
      <w:proofErr w:type="spellEnd"/>
      <w:r w:rsidRPr="00EF4DA6">
        <w:t xml:space="preserve"> potential with </w:t>
      </w:r>
      <w:proofErr w:type="spellStart"/>
      <w:r w:rsidRPr="00EF4DA6">
        <w:t>enzalutamide</w:t>
      </w:r>
      <w:proofErr w:type="spellEnd"/>
      <w:r w:rsidRPr="00CE3DCA">
        <w:t xml:space="preserve">. </w:t>
      </w:r>
      <w:proofErr w:type="spellStart"/>
      <w:r w:rsidRPr="00CE3DCA">
        <w:t>Clonic</w:t>
      </w:r>
      <w:proofErr w:type="spellEnd"/>
      <w:r w:rsidRPr="00EF4DA6">
        <w:t xml:space="preserve"> convulsions and t</w:t>
      </w:r>
      <w:r w:rsidR="00854775">
        <w:t xml:space="preserve">onic convulsions were seen in 9 out of </w:t>
      </w:r>
      <w:r w:rsidRPr="00EF4DA6">
        <w:t xml:space="preserve">10 mice given 200 mg/kg PO enzalutamide. Convulsions were seen between 1 and 24 h post-dose. The minimum plasma concentrations of enzalutamide and M2 in mice with convulsions </w:t>
      </w:r>
      <w:r w:rsidR="00CE3DCA">
        <w:t xml:space="preserve">were </w:t>
      </w:r>
      <w:r w:rsidRPr="00EF4DA6">
        <w:t xml:space="preserve">20 and 6 </w:t>
      </w:r>
      <w:r w:rsidR="00615C79">
        <w:t>µ</w:t>
      </w:r>
      <w:r w:rsidRPr="00EF4DA6">
        <w:t>g/mL, respectively (similar to the clinical Cmax value of enzalutamide and 50% of the clinical Cmax of M2), based on the plasma concentrations measured in the single dose toxicity study. Significant levels of enzalutamide and M2 were detected in the brain (similar to or greater than plasma levels), while</w:t>
      </w:r>
      <w:r w:rsidR="00CE3DCA">
        <w:t xml:space="preserve"> lower levels of M1 were seen (</w:t>
      </w:r>
      <w:r w:rsidRPr="00EF4DA6">
        <w:t xml:space="preserve">5% of plasma levels). Convulsions were also seen in dogs at high oral doses (60 mg/kg/day PO; Cmax 58 </w:t>
      </w:r>
      <w:r w:rsidR="00615C79">
        <w:t>µ</w:t>
      </w:r>
      <w:r w:rsidRPr="00EF4DA6">
        <w:t>g/mL enzalutamide</w:t>
      </w:r>
      <w:r w:rsidR="00854775">
        <w:t xml:space="preserve">; exposure ratio based on </w:t>
      </w:r>
      <w:proofErr w:type="spellStart"/>
      <w:r w:rsidR="00854775">
        <w:t>Cmax</w:t>
      </w:r>
      <w:proofErr w:type="spellEnd"/>
      <w:r w:rsidR="00854775">
        <w:t xml:space="preserve"> (</w:t>
      </w:r>
      <w:proofErr w:type="spellStart"/>
      <w:r w:rsidR="00854775">
        <w:t>ER</w:t>
      </w:r>
      <w:r w:rsidR="00854775" w:rsidRPr="00854775">
        <w:rPr>
          <w:vertAlign w:val="subscript"/>
        </w:rPr>
        <w:t>Cmax</w:t>
      </w:r>
      <w:proofErr w:type="spellEnd"/>
      <w:r w:rsidR="00854775">
        <w:t>)</w:t>
      </w:r>
      <w:r w:rsidRPr="00EF4DA6">
        <w:t xml:space="preserve"> 3.5). S</w:t>
      </w:r>
      <w:r w:rsidR="00854775">
        <w:t xml:space="preserve">eizure was identified as a dose </w:t>
      </w:r>
      <w:r w:rsidRPr="00EF4DA6">
        <w:t>limiting toxicity in clinical studies with enzalutamide (</w:t>
      </w:r>
      <w:r w:rsidR="00854775">
        <w:t>sponsor’s clinical overview</w:t>
      </w:r>
      <w:r w:rsidRPr="00EF4DA6">
        <w:t>), confirming the animal studies are pred</w:t>
      </w:r>
      <w:r w:rsidR="00BA4960">
        <w:t>ictive of the clinical setting.</w:t>
      </w:r>
    </w:p>
    <w:p w:rsidR="00CE3DCA" w:rsidRDefault="00593CCA" w:rsidP="00BA4960">
      <w:r>
        <w:t xml:space="preserve">Currently </w:t>
      </w:r>
      <w:r w:rsidR="00EF4DA6" w:rsidRPr="00EF4DA6">
        <w:t xml:space="preserve">registered </w:t>
      </w:r>
      <w:proofErr w:type="spellStart"/>
      <w:r w:rsidR="00EF4DA6" w:rsidRPr="00EF4DA6">
        <w:t>antiandrogens</w:t>
      </w:r>
      <w:proofErr w:type="spellEnd"/>
      <w:r w:rsidR="00EF4DA6" w:rsidRPr="00EF4DA6">
        <w:t xml:space="preserve">, </w:t>
      </w:r>
      <w:proofErr w:type="spellStart"/>
      <w:r w:rsidR="00EF4DA6" w:rsidRPr="00EF4DA6">
        <w:t>nilutamide</w:t>
      </w:r>
      <w:proofErr w:type="spellEnd"/>
      <w:r w:rsidR="00EF4DA6" w:rsidRPr="00EF4DA6">
        <w:t xml:space="preserve"> and </w:t>
      </w:r>
      <w:proofErr w:type="spellStart"/>
      <w:r w:rsidR="00EF4DA6" w:rsidRPr="00EF4DA6">
        <w:t>bic</w:t>
      </w:r>
      <w:r w:rsidR="00854775">
        <w:t>alutamide</w:t>
      </w:r>
      <w:proofErr w:type="spellEnd"/>
      <w:r w:rsidR="00854775">
        <w:t xml:space="preserve"> also inhibit the GABA </w:t>
      </w:r>
      <w:r w:rsidR="00EF4DA6" w:rsidRPr="00EF4DA6">
        <w:t xml:space="preserve">gated chloride channel, but only </w:t>
      </w:r>
      <w:proofErr w:type="spellStart"/>
      <w:r w:rsidR="00EF4DA6" w:rsidRPr="00EF4DA6">
        <w:t>nilutamide</w:t>
      </w:r>
      <w:proofErr w:type="spellEnd"/>
      <w:r w:rsidR="00EF4DA6" w:rsidRPr="00EF4DA6">
        <w:t xml:space="preserve"> caused convulsions in mice (Foster et al., 2011</w:t>
      </w:r>
      <w:r w:rsidR="00854775">
        <w:rPr>
          <w:rStyle w:val="FootnoteReference"/>
        </w:rPr>
        <w:footnoteReference w:id="3"/>
      </w:r>
      <w:r w:rsidR="00EF4DA6" w:rsidRPr="00EF4DA6">
        <w:t xml:space="preserve">). </w:t>
      </w:r>
      <w:proofErr w:type="spellStart"/>
      <w:r w:rsidR="00EF4DA6" w:rsidRPr="00EF4DA6">
        <w:t>Bicalutamide</w:t>
      </w:r>
      <w:proofErr w:type="spellEnd"/>
      <w:r w:rsidR="00EF4DA6" w:rsidRPr="00EF4DA6">
        <w:t xml:space="preserve"> does not significantly cross the blood-brain barrier, therefore reducing the p</w:t>
      </w:r>
      <w:r w:rsidR="00CE3DCA">
        <w:t xml:space="preserve">otential to cause convulsions. </w:t>
      </w:r>
      <w:r w:rsidR="00EF4DA6" w:rsidRPr="00EF4DA6">
        <w:t xml:space="preserve">Given that convulsions occurred at relatively low plasma levels of enzalutamide, combined with the significant </w:t>
      </w:r>
      <w:r w:rsidR="00854775">
        <w:t xml:space="preserve">inhibitory activity at the GABA </w:t>
      </w:r>
      <w:r w:rsidR="00EF4DA6" w:rsidRPr="00EF4DA6">
        <w:t xml:space="preserve">gated chloride channel by both enzalutamide and M2, and the significant </w:t>
      </w:r>
      <w:r w:rsidR="00854775">
        <w:t>central nervous system (</w:t>
      </w:r>
      <w:r w:rsidR="00EF4DA6" w:rsidRPr="00EF4DA6">
        <w:t>CNS</w:t>
      </w:r>
      <w:r w:rsidR="00854775">
        <w:t>)</w:t>
      </w:r>
      <w:r w:rsidR="00EF4DA6" w:rsidRPr="00EF4DA6">
        <w:t xml:space="preserve"> exposures to both of these compounds, seizures should be considered as a potential risk in patients taking enzalutamide. Consideration should also be given to patients that may be currently taking GABA-</w:t>
      </w:r>
      <w:proofErr w:type="gramStart"/>
      <w:r w:rsidR="00EF4DA6" w:rsidRPr="00EF4DA6">
        <w:t>A</w:t>
      </w:r>
      <w:proofErr w:type="gramEnd"/>
      <w:r w:rsidR="00EF4DA6" w:rsidRPr="00EF4DA6">
        <w:t xml:space="preserve"> acting compounds and the potential risk for seizures in the event of withdrawal of</w:t>
      </w:r>
      <w:r w:rsidR="00BA4960">
        <w:t xml:space="preserve"> these compounds.</w:t>
      </w:r>
    </w:p>
    <w:p w:rsidR="00EF4DA6" w:rsidRPr="00EF4DA6" w:rsidRDefault="00EF4DA6" w:rsidP="00BA4960">
      <w:r w:rsidRPr="00EF4DA6">
        <w:t>As</w:t>
      </w:r>
      <w:r w:rsidR="00854775">
        <w:t xml:space="preserve">ide from convulsions, other CNS </w:t>
      </w:r>
      <w:r w:rsidRPr="00EF4DA6">
        <w:t xml:space="preserve">associated findings with </w:t>
      </w:r>
      <w:proofErr w:type="spellStart"/>
      <w:r w:rsidRPr="00EF4DA6">
        <w:t>enzalutamide</w:t>
      </w:r>
      <w:proofErr w:type="spellEnd"/>
      <w:r w:rsidRPr="00EF4DA6">
        <w:t xml:space="preserve"> included </w:t>
      </w:r>
      <w:proofErr w:type="spellStart"/>
      <w:r w:rsidRPr="00EF4DA6">
        <w:t>hypoactivity</w:t>
      </w:r>
      <w:proofErr w:type="spellEnd"/>
      <w:r w:rsidRPr="00EF4DA6">
        <w:t xml:space="preserve"> (in mice and dogs), reduced spontaneous movement (in mice) and decreased reactivity to stimuli (in dogs). Some of these may be associated with the activity at the chloride channel. The no observed effect level </w:t>
      </w:r>
      <w:r w:rsidR="00854775">
        <w:t xml:space="preserve">(NOEL) </w:t>
      </w:r>
      <w:r w:rsidRPr="00EF4DA6">
        <w:t>for CNS findings was 30 mg/kg/day PO in mice (</w:t>
      </w:r>
      <w:proofErr w:type="spellStart"/>
      <w:r w:rsidRPr="00EF4DA6">
        <w:t>ER</w:t>
      </w:r>
      <w:r w:rsidRPr="00854775">
        <w:rPr>
          <w:vertAlign w:val="subscript"/>
        </w:rPr>
        <w:t>Cmax</w:t>
      </w:r>
      <w:proofErr w:type="spellEnd"/>
      <w:r w:rsidRPr="00EF4DA6">
        <w:t xml:space="preserve"> 1.3), 200 mg/kg PO in rats (estimated </w:t>
      </w:r>
      <w:proofErr w:type="spellStart"/>
      <w:r w:rsidRPr="00EF4DA6">
        <w:t>ER</w:t>
      </w:r>
      <w:r w:rsidRPr="00854775">
        <w:rPr>
          <w:vertAlign w:val="subscript"/>
        </w:rPr>
        <w:t>Cmax</w:t>
      </w:r>
      <w:proofErr w:type="spellEnd"/>
      <w:r w:rsidR="00CE3DCA">
        <w:t xml:space="preserve"> </w:t>
      </w:r>
      <w:r w:rsidRPr="00EF4DA6">
        <w:t>2 or higher</w:t>
      </w:r>
      <w:r w:rsidRPr="00EF4DA6">
        <w:fldChar w:fldCharType="begin"/>
      </w:r>
      <w:r w:rsidRPr="00EF4DA6">
        <w:instrText xml:space="preserve"> NOTEREF _Ref367091301 \h  \* MERGEFORMAT </w:instrText>
      </w:r>
      <w:r w:rsidRPr="00EF4DA6">
        <w:fldChar w:fldCharType="separate"/>
      </w:r>
      <w:r w:rsidRPr="00EF4DA6">
        <w:t>3</w:t>
      </w:r>
      <w:r w:rsidRPr="00EF4DA6">
        <w:fldChar w:fldCharType="end"/>
      </w:r>
      <w:r w:rsidRPr="00EF4DA6">
        <w:t>) and 45 mg/kg/day PO in dogs (</w:t>
      </w:r>
      <w:proofErr w:type="spellStart"/>
      <w:r w:rsidRPr="00EF4DA6">
        <w:t>ER</w:t>
      </w:r>
      <w:r w:rsidRPr="00854775">
        <w:rPr>
          <w:vertAlign w:val="subscript"/>
        </w:rPr>
        <w:t>Cmax</w:t>
      </w:r>
      <w:proofErr w:type="spellEnd"/>
      <w:r w:rsidR="00CE3DCA">
        <w:t xml:space="preserve"> </w:t>
      </w:r>
      <w:r w:rsidRPr="00EF4DA6">
        <w:t>2).</w:t>
      </w:r>
    </w:p>
    <w:p w:rsidR="00EF4DA6" w:rsidRPr="00EF4DA6" w:rsidRDefault="00EF4DA6" w:rsidP="00BA4960">
      <w:r w:rsidRPr="00EF4DA6">
        <w:lastRenderedPageBreak/>
        <w:t>The AR is closely related to the progesterone receptor. Both enzalutamide and M2 had significant inhibitory activity at the progesterone receptor (IC</w:t>
      </w:r>
      <w:r w:rsidRPr="00854775">
        <w:rPr>
          <w:vertAlign w:val="subscript"/>
        </w:rPr>
        <w:t>50</w:t>
      </w:r>
      <w:r w:rsidRPr="00EF4DA6">
        <w:t xml:space="preserve"> 16 µM and 6.2 µM, respectively; 19 and 5 times the clinical free Cmax for both compounds). This activity</w:t>
      </w:r>
      <w:r w:rsidR="00CE3DCA">
        <w:t xml:space="preserve"> is not likely to be clinically </w:t>
      </w:r>
      <w:r w:rsidRPr="00EF4DA6">
        <w:t xml:space="preserve">relevant. Enzalutamide had no agonistic activity at either the progesterone alpha or progesterone beta </w:t>
      </w:r>
      <w:proofErr w:type="gramStart"/>
      <w:r w:rsidRPr="00EF4DA6">
        <w:t>receptors,</w:t>
      </w:r>
      <w:proofErr w:type="gramEnd"/>
      <w:r w:rsidRPr="00EF4DA6">
        <w:t xml:space="preserve"> and no activity (agonistic or antagonistic) at the oestrogen receptor.</w:t>
      </w:r>
    </w:p>
    <w:p w:rsidR="00EF4DA6" w:rsidRPr="00EF4DA6" w:rsidRDefault="00EF4DA6" w:rsidP="00BA4960">
      <w:r w:rsidRPr="00EF4DA6">
        <w:t xml:space="preserve">Both enzalutamide and M2 inhibited the </w:t>
      </w:r>
      <w:r w:rsidR="004321FA" w:rsidRPr="00D44977">
        <w:t xml:space="preserve">human ether-à-go-go-related gene </w:t>
      </w:r>
      <w:r w:rsidR="00D44977">
        <w:t xml:space="preserve">potassium </w:t>
      </w:r>
      <w:r w:rsidR="004321FA" w:rsidRPr="00D44977">
        <w:t>(</w:t>
      </w:r>
      <w:proofErr w:type="spellStart"/>
      <w:r w:rsidR="004321FA" w:rsidRPr="00D44977">
        <w:t>hERG</w:t>
      </w:r>
      <w:proofErr w:type="spellEnd"/>
      <w:r w:rsidR="00D44977">
        <w:t xml:space="preserve"> K</w:t>
      </w:r>
      <w:r w:rsidR="00D44977" w:rsidRPr="00D44977">
        <w:rPr>
          <w:vertAlign w:val="superscript"/>
        </w:rPr>
        <w:t>+</w:t>
      </w:r>
      <w:r w:rsidR="004321FA" w:rsidRPr="00D44977">
        <w:t xml:space="preserve">) </w:t>
      </w:r>
      <w:r w:rsidRPr="00EF4DA6">
        <w:t>tail current with IC</w:t>
      </w:r>
      <w:r w:rsidRPr="00854775">
        <w:rPr>
          <w:vertAlign w:val="subscript"/>
        </w:rPr>
        <w:t>50</w:t>
      </w:r>
      <w:r w:rsidRPr="00EF4DA6">
        <w:t xml:space="preserve"> values of 15.7 µM and 18.6 µM, </w:t>
      </w:r>
      <w:r w:rsidR="00CE3DCA">
        <w:t xml:space="preserve">respectively; corresponding to </w:t>
      </w:r>
      <w:r w:rsidRPr="00EF4DA6">
        <w:t xml:space="preserve">18 times the clinical free Cmax for enzalutamide and 14 times the clinical free Cmax for M2. No abnormalities in </w:t>
      </w:r>
      <w:r w:rsidR="00854775">
        <w:t>electrocardiogram (</w:t>
      </w:r>
      <w:r w:rsidRPr="00EF4DA6">
        <w:t>ECG</w:t>
      </w:r>
      <w:r w:rsidR="00854775">
        <w:t>)</w:t>
      </w:r>
      <w:r w:rsidRPr="00EF4DA6">
        <w:t xml:space="preserve"> parameters were detected in dogs treated with 60 mg/kg/day PO enzalutamide </w:t>
      </w:r>
      <w:r w:rsidR="00854775">
        <w:t>(</w:t>
      </w:r>
      <w:r w:rsidRPr="00EF4DA6">
        <w:t>4</w:t>
      </w:r>
      <w:r w:rsidR="00854775">
        <w:t xml:space="preserve"> </w:t>
      </w:r>
      <w:r w:rsidR="00593CCA">
        <w:t xml:space="preserve">week repeat </w:t>
      </w:r>
      <w:r w:rsidRPr="00EF4DA6">
        <w:t>dose toxicity study</w:t>
      </w:r>
      <w:r w:rsidRPr="00CE3DCA">
        <w:rPr>
          <w:vertAlign w:val="superscript"/>
        </w:rPr>
        <w:footnoteReference w:id="4"/>
      </w:r>
      <w:r w:rsidR="00854775">
        <w:t>;</w:t>
      </w:r>
      <w:r w:rsidRPr="00EF4DA6">
        <w:t xml:space="preserve"> </w:t>
      </w:r>
      <w:proofErr w:type="spellStart"/>
      <w:r w:rsidRPr="00EF4DA6">
        <w:t>Cmax</w:t>
      </w:r>
      <w:proofErr w:type="spellEnd"/>
      <w:r w:rsidRPr="00EF4DA6">
        <w:t xml:space="preserve"> 58 </w:t>
      </w:r>
      <w:r w:rsidR="00615C79">
        <w:t>µ</w:t>
      </w:r>
      <w:r w:rsidRPr="00EF4DA6">
        <w:t xml:space="preserve">g/mL </w:t>
      </w:r>
      <w:proofErr w:type="spellStart"/>
      <w:r w:rsidRPr="00EF4DA6">
        <w:t>enzalutamide</w:t>
      </w:r>
      <w:proofErr w:type="spellEnd"/>
      <w:r w:rsidRPr="00EF4DA6">
        <w:t xml:space="preserve">; </w:t>
      </w:r>
      <w:proofErr w:type="spellStart"/>
      <w:r w:rsidRPr="00EF4DA6">
        <w:t>ER</w:t>
      </w:r>
      <w:r w:rsidRPr="00854775">
        <w:rPr>
          <w:vertAlign w:val="subscript"/>
        </w:rPr>
        <w:t>Cmax</w:t>
      </w:r>
      <w:proofErr w:type="spellEnd"/>
      <w:r w:rsidRPr="00EF4DA6">
        <w:t xml:space="preserve"> 3.5). </w:t>
      </w:r>
      <w:r w:rsidR="00CE3DCA">
        <w:t xml:space="preserve">Estimated exposures to M1 were </w:t>
      </w:r>
      <w:r w:rsidRPr="00EF4DA6">
        <w:t>2 times the clinical Cmax for this metabolite, while estimated exposures to M2 were subclinical</w:t>
      </w:r>
      <w:r w:rsidR="00E86AD5">
        <w:t xml:space="preserve"> (a</w:t>
      </w:r>
      <w:r w:rsidR="00642536" w:rsidRPr="00E86AD5">
        <w:t>ssuming exposures in dogs to M1 and M2 were 37% and 3%, respectively, those of enzalutamide</w:t>
      </w:r>
      <w:r w:rsidR="00E86AD5">
        <w:t>)</w:t>
      </w:r>
      <w:r w:rsidRPr="00EF4DA6">
        <w:t xml:space="preserve">. Based on the low margin in the in vitro assay </w:t>
      </w:r>
      <w:r w:rsidR="00854775">
        <w:t>(</w:t>
      </w:r>
      <w:r w:rsidRPr="00EF4DA6">
        <w:t xml:space="preserve">a 30-fold difference between unbound drug concentrations at the </w:t>
      </w:r>
      <w:proofErr w:type="spellStart"/>
      <w:r w:rsidRPr="00EF4DA6">
        <w:t>Cmax</w:t>
      </w:r>
      <w:proofErr w:type="spellEnd"/>
      <w:r w:rsidRPr="00EF4DA6">
        <w:t xml:space="preserve"> and the </w:t>
      </w:r>
      <w:proofErr w:type="spellStart"/>
      <w:r w:rsidRPr="00EF4DA6">
        <w:t>hERG</w:t>
      </w:r>
      <w:proofErr w:type="spellEnd"/>
      <w:r w:rsidRPr="00EF4DA6">
        <w:t xml:space="preserve"> K</w:t>
      </w:r>
      <w:r w:rsidRPr="00854775">
        <w:rPr>
          <w:vertAlign w:val="superscript"/>
        </w:rPr>
        <w:t>+</w:t>
      </w:r>
      <w:r w:rsidRPr="00EF4DA6">
        <w:t xml:space="preserve"> IC</w:t>
      </w:r>
      <w:r w:rsidRPr="00854775">
        <w:rPr>
          <w:vertAlign w:val="subscript"/>
        </w:rPr>
        <w:t>50</w:t>
      </w:r>
      <w:r w:rsidR="00E86AD5">
        <w:t xml:space="preserve"> is generally considered a “</w:t>
      </w:r>
      <w:r w:rsidRPr="00EF4DA6">
        <w:t>safe</w:t>
      </w:r>
      <w:r w:rsidR="00E86AD5">
        <w:t>”</w:t>
      </w:r>
      <w:r w:rsidRPr="00EF4DA6">
        <w:t xml:space="preserve"> margin; Redfern et al., 2003</w:t>
      </w:r>
      <w:r w:rsidR="00854775">
        <w:rPr>
          <w:rStyle w:val="FootnoteReference"/>
        </w:rPr>
        <w:footnoteReference w:id="5"/>
      </w:r>
      <w:r w:rsidR="00854775">
        <w:t>)</w:t>
      </w:r>
      <w:r w:rsidRPr="00EF4DA6">
        <w:t xml:space="preserve"> and the inadequately tested concentrations in the in vivo study, an effect of the M2 metabolite on the QT interval</w:t>
      </w:r>
      <w:r w:rsidR="00E86AD5">
        <w:rPr>
          <w:rStyle w:val="FootnoteReference"/>
        </w:rPr>
        <w:footnoteReference w:id="6"/>
      </w:r>
      <w:r w:rsidRPr="00EF4DA6">
        <w:t xml:space="preserve"> cannot be dismissed.</w:t>
      </w:r>
    </w:p>
    <w:p w:rsidR="00CE3DCA" w:rsidRDefault="00EF4DA6" w:rsidP="00BA4960">
      <w:r w:rsidRPr="00EF4DA6">
        <w:t xml:space="preserve">In the specialised safety pharmacology study, respiratory function was unaffected in male rats that received 100 mg/kg PO enzalutamide. The estimated Cmax for enzalutamide would be 30 </w:t>
      </w:r>
      <w:r w:rsidR="00615C79">
        <w:t>µ</w:t>
      </w:r>
      <w:r w:rsidRPr="00EF4DA6">
        <w:t>g/mL</w:t>
      </w:r>
      <w:bookmarkStart w:id="49" w:name="_Ref367091301"/>
      <w:r w:rsidRPr="00CE3DCA">
        <w:rPr>
          <w:vertAlign w:val="superscript"/>
        </w:rPr>
        <w:footnoteReference w:id="7"/>
      </w:r>
      <w:bookmarkEnd w:id="49"/>
      <w:r w:rsidRPr="00EF4DA6">
        <w:t xml:space="preserve"> (</w:t>
      </w:r>
      <w:proofErr w:type="spellStart"/>
      <w:r w:rsidRPr="00EF4DA6">
        <w:t>ER</w:t>
      </w:r>
      <w:r w:rsidRPr="00854775">
        <w:rPr>
          <w:vertAlign w:val="subscript"/>
        </w:rPr>
        <w:t>Cmax</w:t>
      </w:r>
      <w:proofErr w:type="spellEnd"/>
      <w:r w:rsidR="00854775">
        <w:t xml:space="preserve"> 2 times for enzalutamide</w:t>
      </w:r>
      <w:r w:rsidRPr="00EF4DA6">
        <w:t xml:space="preserve">, 1 for M1 and subclinical for M2). However, in the toxicity studies, audible or irregular breathing was seen in rodents and dogs that received enzalutamide in Labrasol. Respiratory distress was a contributing factor in the deaths of a number of animals. The effects on respiration are likely, at least in part, associated with the vehicle, Labrasol, as irregular or audible breathing, along with histopathological changes of pulmonary inflammation and alveolar </w:t>
      </w:r>
      <w:proofErr w:type="spellStart"/>
      <w:r w:rsidRPr="00EF4DA6">
        <w:t>histiocytosis</w:t>
      </w:r>
      <w:proofErr w:type="spellEnd"/>
      <w:r w:rsidRPr="00EF4DA6">
        <w:t>, have been reported previ</w:t>
      </w:r>
      <w:r w:rsidR="00BA4960">
        <w:t xml:space="preserve">ously in studies with </w:t>
      </w:r>
      <w:proofErr w:type="spellStart"/>
      <w:r w:rsidR="00BA4960">
        <w:t>Labrasol</w:t>
      </w:r>
      <w:proofErr w:type="spellEnd"/>
      <w:r w:rsidR="00BA4960">
        <w:t>.</w:t>
      </w:r>
    </w:p>
    <w:p w:rsidR="00CE3DCA" w:rsidRDefault="00EF4DA6" w:rsidP="00BA4960">
      <w:r w:rsidRPr="00EF4DA6">
        <w:t>Labrasol</w:t>
      </w:r>
      <w:r w:rsidR="00CE3DCA">
        <w:t xml:space="preserve"> </w:t>
      </w:r>
      <w:r w:rsidRPr="00EF4DA6">
        <w:t>is a non-ionic surfactant that is likely to have an irritating effect on the respiratory tract if inadvertently aspirated. The findings in rodents are consistent with gavage-related reflux (</w:t>
      </w:r>
      <w:proofErr w:type="spellStart"/>
      <w:r w:rsidRPr="00EF4DA6">
        <w:t>Damsch</w:t>
      </w:r>
      <w:proofErr w:type="spellEnd"/>
      <w:r w:rsidRPr="00EF4DA6">
        <w:t xml:space="preserve"> et al., 2011</w:t>
      </w:r>
      <w:r w:rsidR="0099659A">
        <w:rPr>
          <w:rStyle w:val="FootnoteReference"/>
        </w:rPr>
        <w:footnoteReference w:id="8"/>
      </w:r>
      <w:r w:rsidRPr="00EF4DA6">
        <w:t>). However, respiratory tract findings were also seen in dogs that received enzalutamide with Labrasol via capsules, suggesting the finding is not restricted to gavage administration. While the incidences appeared to occur at the higher doses of Labrasol</w:t>
      </w:r>
      <w:r w:rsidR="00CE3DCA">
        <w:t xml:space="preserve">, </w:t>
      </w:r>
      <w:r w:rsidRPr="00EF4DA6">
        <w:t>there was generally (but n</w:t>
      </w:r>
      <w:r w:rsidR="00CE3DCA">
        <w:t xml:space="preserve">ot always) an enzalutamide dose </w:t>
      </w:r>
      <w:r w:rsidRPr="00EF4DA6">
        <w:t>related response at ≥</w:t>
      </w:r>
      <w:r w:rsidR="0099659A">
        <w:t xml:space="preserve"> </w:t>
      </w:r>
      <w:r w:rsidRPr="00EF4DA6">
        <w:t>30 mg/kg PO in mice, 100 mg/kg/day PO in rats and 60 mg/kg/day PO in dogs, suggesting enzalutamide may also have an irritating e</w:t>
      </w:r>
      <w:r w:rsidR="00BA4960">
        <w:t>ffect on the respiratory tract.</w:t>
      </w:r>
    </w:p>
    <w:p w:rsidR="00EF4DA6" w:rsidRPr="00EF4DA6" w:rsidRDefault="00EF4DA6" w:rsidP="00BA4960">
      <w:r w:rsidRPr="00EF4DA6">
        <w:t xml:space="preserve">The NOEL for respiratory effects was 100 mg/kg/day PO enzalutamide (in 2.2 mL/kg/day Labrasol) for rats (26 week study) and 45 mg/kg/day PO enzalutamide (in 0.5 mL/kg/day Labrasol) for dogs. The doses of enzalutamide and Labrasol at the NOEL are at least 7 </w:t>
      </w:r>
      <w:r w:rsidRPr="00EF4DA6">
        <w:lastRenderedPageBreak/>
        <w:t xml:space="preserve">times the clinical dose (on </w:t>
      </w:r>
      <w:proofErr w:type="gramStart"/>
      <w:r w:rsidRPr="00EF4DA6">
        <w:t>a</w:t>
      </w:r>
      <w:proofErr w:type="gramEnd"/>
      <w:r w:rsidRPr="00EF4DA6">
        <w:t xml:space="preserve"> mg/kg basis for local effects). However, given the irritancy of the enzalutamide/Labrasol combination, the proposed text in the P</w:t>
      </w:r>
      <w:r w:rsidR="00CE3DCA">
        <w:t xml:space="preserve">I </w:t>
      </w:r>
      <w:r w:rsidRPr="00EF4DA6">
        <w:t>document that states that capsules should be swallowed whole and that they should not be chewed, dissolved or opened seems appropriate.</w:t>
      </w:r>
    </w:p>
    <w:p w:rsidR="008E7846" w:rsidRPr="00BA4960" w:rsidRDefault="008E7846" w:rsidP="00BA4960">
      <w:pPr>
        <w:pStyle w:val="Heading3"/>
      </w:pPr>
      <w:bookmarkStart w:id="50" w:name="_Toc247691513"/>
      <w:bookmarkStart w:id="51" w:name="_Toc314842497"/>
      <w:bookmarkStart w:id="52" w:name="_Toc408300833"/>
      <w:r>
        <w:t>Pharmacokinetics</w:t>
      </w:r>
      <w:bookmarkEnd w:id="50"/>
      <w:bookmarkEnd w:id="51"/>
      <w:bookmarkEnd w:id="52"/>
    </w:p>
    <w:p w:rsidR="00EF4DA6" w:rsidRPr="00EF4DA6" w:rsidRDefault="00EF4DA6" w:rsidP="00BA4960">
      <w:bookmarkStart w:id="53" w:name="_Toc247691514"/>
      <w:bookmarkStart w:id="54" w:name="_Toc314842498"/>
      <w:r w:rsidRPr="00EF4DA6">
        <w:t>Following oral dosing to animals, peak plasma levels of enzalutamide were reached later than that seen in human subjects (3‒7 h c</w:t>
      </w:r>
      <w:r w:rsidR="00CE3DCA">
        <w:t xml:space="preserve">ompared with </w:t>
      </w:r>
      <w:r w:rsidRPr="00EF4DA6">
        <w:t xml:space="preserve">1 h in humans). In Labrasol formulations, relatively high oral </w:t>
      </w:r>
      <w:proofErr w:type="spellStart"/>
      <w:r w:rsidRPr="00EF4DA6">
        <w:t>bioavailabilities</w:t>
      </w:r>
      <w:proofErr w:type="spellEnd"/>
      <w:r w:rsidRPr="00EF4DA6">
        <w:t xml:space="preserve"> were reported in rats (97.4%) and dogs (72.5%). The plasma elimination half-life was shorter in rodents (9‒</w:t>
      </w:r>
      <w:r w:rsidR="00CE3DCA">
        <w:t>11 h) than non-rodent species (</w:t>
      </w:r>
      <w:r w:rsidRPr="00EF4DA6">
        <w:t>1.4 days in dogs and monkeys and 2.9 </w:t>
      </w:r>
      <w:r w:rsidR="0008493B">
        <w:t xml:space="preserve">to 4.8 </w:t>
      </w:r>
      <w:r w:rsidRPr="00EF4DA6">
        <w:t xml:space="preserve">days in </w:t>
      </w:r>
      <w:r w:rsidR="0008493B">
        <w:t xml:space="preserve">healthy </w:t>
      </w:r>
      <w:r w:rsidRPr="00EF4DA6">
        <w:t>human subjects). There was no significant evidence of accumulation in any species. In all examined species, the volume of distribution of enzalutamide was higher than total body water.</w:t>
      </w:r>
    </w:p>
    <w:p w:rsidR="00EF4DA6" w:rsidRPr="00EF4DA6" w:rsidRDefault="00EF4DA6" w:rsidP="00BA4960">
      <w:r w:rsidRPr="00EF4DA6">
        <w:t>At low oral doses, peak plasma levels of M1 were seen at 4‒8 h in rodents and much later in non-rodent animal species (12‒24 h in dogs, 27‒40 h in monkeys). Consistent with an earlier Tmax for enzalutamide, the Tmax for M1 in humans was earlier than in animal species (3.5 h) and exposures (AUC) to M1 relative to the parent were also higher (62% in humans c</w:t>
      </w:r>
      <w:r w:rsidR="00C45A4E">
        <w:t xml:space="preserve">ompared with </w:t>
      </w:r>
      <w:r w:rsidR="0099659A">
        <w:t xml:space="preserve">8‒34% in mice (dose </w:t>
      </w:r>
      <w:r w:rsidRPr="00EF4DA6">
        <w:t>related trend</w:t>
      </w:r>
      <w:r w:rsidR="0099659A">
        <w:t>), 27‒47% in male rats, 10</w:t>
      </w:r>
      <w:r w:rsidR="0099659A">
        <w:noBreakHyphen/>
      </w:r>
      <w:r w:rsidRPr="00EF4DA6">
        <w:t>19% in female rats, 27‒37</w:t>
      </w:r>
      <w:r w:rsidR="0099659A">
        <w:t xml:space="preserve">% in dogs and 8‒11% in monkeys </w:t>
      </w:r>
      <w:r w:rsidRPr="00EF4DA6">
        <w:t xml:space="preserve">on a molar basis). Peak plasma levels of M2 were seen at a similar time in rodents, dogs and humans (4‒24 h) and at later time points in monkeys (24‒40 h). M2 was only a minor metabolite in animals with exposures (based on </w:t>
      </w:r>
      <w:r w:rsidR="0099659A">
        <w:t>plasma AUC) only 6‒29% in mice (</w:t>
      </w:r>
      <w:r w:rsidRPr="00EF4DA6">
        <w:t>dose</w:t>
      </w:r>
      <w:r w:rsidR="0099659A">
        <w:t xml:space="preserve"> </w:t>
      </w:r>
      <w:r w:rsidRPr="00EF4DA6">
        <w:t>related trend</w:t>
      </w:r>
      <w:r w:rsidR="0099659A">
        <w:t>)</w:t>
      </w:r>
      <w:r w:rsidRPr="00EF4DA6">
        <w:t xml:space="preserve">, 6‒7% in male rats, 1‒1.5% in female rats, 2‒3% in dogs and 18‒24% in monkeys. In comparison, exposures (AUC) to M2 in human subjects were almost the same as enzalutamide exposures (89%). The difference between animals and humans in exposure to the </w:t>
      </w:r>
      <w:r w:rsidR="00C45A4E">
        <w:t xml:space="preserve">pharmacologically </w:t>
      </w:r>
      <w:r w:rsidRPr="00EF4DA6">
        <w:t>active metabolite, M2, is a limitation of the submitted dossier for enzalutamide.</w:t>
      </w:r>
    </w:p>
    <w:p w:rsidR="00EF4DA6" w:rsidRPr="00EF4DA6" w:rsidRDefault="00EF4DA6" w:rsidP="00BA4960">
      <w:r w:rsidRPr="00EF4DA6">
        <w:t xml:space="preserve">No sex differences in </w:t>
      </w:r>
      <w:r w:rsidR="00D166E8">
        <w:t>PK</w:t>
      </w:r>
      <w:r w:rsidRPr="00EF4DA6">
        <w:t xml:space="preserve"> parameters were evident in mice, dogs or monkeys. Female rats consistently had higher exposures to enzalutamide, but lower exposures to M1 and M2, than their male counterparts. Sex differences were not assessed in humans, given the proposed indication.</w:t>
      </w:r>
    </w:p>
    <w:p w:rsidR="00C45A4E" w:rsidRDefault="00EF4DA6" w:rsidP="00BA4960">
      <w:r w:rsidRPr="00EF4DA6">
        <w:t>Protein binding by enzalutamide was high and similar in the plasma of mice, rats, dogs and humans (94‒98%), with no evidence of a concentration dependence seen. Binding in human plasma was largely attributable to albumin (97.1% bound). Plasma protein binding by M1 was high and similar in human and monkey plasma (97‒98%) but marginally lower in the plasma of other species (92‒95%). Protein binding by M2 was similar in mouse, dog, monkey and human plasma (93‒95%) and lower in the plasma from rats and rabbits (86‒90%). The extent of binding by M1 and M2 wa</w:t>
      </w:r>
      <w:r w:rsidR="00BA4960">
        <w:t>s independent of concentration.</w:t>
      </w:r>
    </w:p>
    <w:p w:rsidR="00EF4DA6" w:rsidRPr="00EF4DA6" w:rsidRDefault="00EF4DA6" w:rsidP="00BA4960">
      <w:r w:rsidRPr="00EF4DA6">
        <w:t xml:space="preserve">There was no specific affinity of drug-related material to blood cells. Following oral dosing of </w:t>
      </w:r>
      <w:r w:rsidR="00D166E8">
        <w:t>radiolabelled (</w:t>
      </w:r>
      <w:r w:rsidRPr="00D166E8">
        <w:rPr>
          <w:vertAlign w:val="superscript"/>
        </w:rPr>
        <w:t>14</w:t>
      </w:r>
      <w:r w:rsidRPr="00EF4DA6">
        <w:t>C</w:t>
      </w:r>
      <w:r w:rsidR="00D166E8">
        <w:t>)</w:t>
      </w:r>
      <w:r w:rsidRPr="00EF4DA6">
        <w:t>-enzalutamide to male rats, tissue levels of radioactivity were generally similar to plasma levels. There was no specific affinity or retention of radioactivity in any tissue. Aside from tissues involved in absorption/excretion, notably higher levels were seen in fat (5 times the plasma AUC). This is not considered toxicologically</w:t>
      </w:r>
      <w:r w:rsidR="00D166E8">
        <w:t xml:space="preserve"> </w:t>
      </w:r>
      <w:r w:rsidRPr="00EF4DA6">
        <w:t xml:space="preserve">significant. Both enzalutamide and M2 partitioned into the brain of mice and rats with concentrations similar to those seen in plasma. M1 had low penetration into the brain with levels 3‒6% of those seen in plasma. In rats, </w:t>
      </w:r>
      <w:r w:rsidR="00D166E8">
        <w:t>cerebrospinal fluid (</w:t>
      </w:r>
      <w:r w:rsidRPr="00EF4DA6">
        <w:t>CSF</w:t>
      </w:r>
      <w:r w:rsidR="00D166E8">
        <w:t>)</w:t>
      </w:r>
      <w:r w:rsidRPr="00EF4DA6">
        <w:t xml:space="preserve"> levels of enzalutamide, M1 and M2 were low (≤</w:t>
      </w:r>
      <w:r w:rsidR="00C45A4E">
        <w:t xml:space="preserve"> </w:t>
      </w:r>
      <w:r w:rsidRPr="00EF4DA6">
        <w:t>5% of those seen in plasma).</w:t>
      </w:r>
    </w:p>
    <w:p w:rsidR="00C45A4E" w:rsidRDefault="00EF4DA6" w:rsidP="00EF4DA6">
      <w:r w:rsidRPr="00EF4DA6">
        <w:t>Enzalutamide was extensively metabolised in all species with at least 17 metabolites identified across species. Metabolism involved N-</w:t>
      </w:r>
      <w:proofErr w:type="spellStart"/>
      <w:r w:rsidRPr="00EF4DA6">
        <w:t>demethylation</w:t>
      </w:r>
      <w:proofErr w:type="spellEnd"/>
      <w:r w:rsidRPr="00EF4DA6">
        <w:t xml:space="preserve">, amide hydrolysis, oxidation reactions, hydrolysis of the nitrile to an amide, conjugation reactions (with glutathione, </w:t>
      </w:r>
      <w:proofErr w:type="spellStart"/>
      <w:r w:rsidRPr="00EF4DA6">
        <w:t>glucuronic</w:t>
      </w:r>
      <w:proofErr w:type="spellEnd"/>
      <w:r w:rsidRPr="00EF4DA6">
        <w:t xml:space="preserve"> acid, cysteine and </w:t>
      </w:r>
      <w:proofErr w:type="spellStart"/>
      <w:r w:rsidRPr="00EF4DA6">
        <w:t>taurine</w:t>
      </w:r>
      <w:proofErr w:type="spellEnd"/>
      <w:r w:rsidRPr="00EF4DA6">
        <w:t xml:space="preserve">) and various combinations of these. Both </w:t>
      </w:r>
      <w:r w:rsidRPr="00EF4DA6">
        <w:lastRenderedPageBreak/>
        <w:t>enzalutamide and M1 were the main circulating drug-related compounds in male rats and dogs, while M2 was also prominent in human plasma. The combination of enzalutamide, M1 and M2 accounted for 88% of the circulating drug-related material in human subjects, while all other metabolites were present at ≤</w:t>
      </w:r>
      <w:r w:rsidR="00C45A4E">
        <w:t xml:space="preserve"> </w:t>
      </w:r>
      <w:r w:rsidRPr="00EF4DA6">
        <w:t xml:space="preserve">2% (from </w:t>
      </w:r>
      <w:r w:rsidR="00D166E8">
        <w:t>sponsor’s clinical summaries</w:t>
      </w:r>
      <w:r w:rsidRPr="00EF4DA6">
        <w:t>). While M7 was identified as a human-specific metabolite, it is only produced at very low levels and is not expected to significantly alter the toxicity profile. There were no other human s</w:t>
      </w:r>
      <w:r w:rsidR="00BA4960">
        <w:t>pecific metabolites identified.</w:t>
      </w:r>
    </w:p>
    <w:p w:rsidR="00EF4DA6" w:rsidRPr="00EF4DA6" w:rsidRDefault="00EF4DA6" w:rsidP="00BA4960">
      <w:r w:rsidRPr="00EF4DA6">
        <w:t>In vitro studies indicated M2 (the N-</w:t>
      </w:r>
      <w:proofErr w:type="spellStart"/>
      <w:r w:rsidRPr="00EF4DA6">
        <w:t>desmethyl</w:t>
      </w:r>
      <w:proofErr w:type="spellEnd"/>
      <w:r w:rsidRPr="00EF4DA6">
        <w:t xml:space="preserve">) is formed non-enzymatically from the amide alcohol, M6. CYP3A4, 3A5 and 2C8 appear to be involved in the formation of M6. Enzymes involved in the formation of M1 from enzalutamide were not identified, but this reaction is likely to involve </w:t>
      </w:r>
      <w:proofErr w:type="spellStart"/>
      <w:r w:rsidRPr="00EF4DA6">
        <w:t>amidases</w:t>
      </w:r>
      <w:proofErr w:type="spellEnd"/>
      <w:r w:rsidRPr="00EF4DA6">
        <w:t xml:space="preserve"> (potentially multiple). Based on clinical drug interaction studies, enzalutamide is mainly metabolised by </w:t>
      </w:r>
      <w:r w:rsidR="00D166E8">
        <w:t xml:space="preserve">cytochrome P450 </w:t>
      </w:r>
      <w:r w:rsidR="00E86AD5">
        <w:t xml:space="preserve">(CYP) </w:t>
      </w:r>
      <w:r w:rsidR="00D166E8">
        <w:t xml:space="preserve">enzyme </w:t>
      </w:r>
      <w:r w:rsidRPr="00EF4DA6">
        <w:t>CYP2C8 and t</w:t>
      </w:r>
      <w:r w:rsidR="00D166E8">
        <w:t>o a lesser extent by CYP3A4/5 (sponsor’s cl</w:t>
      </w:r>
      <w:r w:rsidRPr="00EF4DA6">
        <w:t xml:space="preserve">inical </w:t>
      </w:r>
      <w:r w:rsidR="00D166E8">
        <w:t>o</w:t>
      </w:r>
      <w:r w:rsidR="00BA4960">
        <w:t>verview).</w:t>
      </w:r>
    </w:p>
    <w:p w:rsidR="00EF4DA6" w:rsidRPr="00EF4DA6" w:rsidRDefault="00EF4DA6" w:rsidP="00BA4960">
      <w:r w:rsidRPr="00EF4DA6">
        <w:t>Excretion of drug</w:t>
      </w:r>
      <w:r w:rsidR="00D166E8">
        <w:t xml:space="preserve"> </w:t>
      </w:r>
      <w:r w:rsidRPr="00EF4DA6">
        <w:t>related material was predominantly via the urine in dogs (50% of the dose) and humans (71% of the dose), while both the urinary and faecal routes contributed to the excretion of drug-related material in rats. Studies in bile-</w:t>
      </w:r>
      <w:r w:rsidR="00D166E8">
        <w:t xml:space="preserve">duct </w:t>
      </w:r>
      <w:proofErr w:type="spellStart"/>
      <w:r w:rsidRPr="00EF4DA6">
        <w:t>cannulated</w:t>
      </w:r>
      <w:proofErr w:type="spellEnd"/>
      <w:r w:rsidRPr="00EF4DA6">
        <w:t xml:space="preserve"> rats and dogs showed good oral absorption</w:t>
      </w:r>
      <w:r w:rsidR="00C45A4E">
        <w:t>, extensive biliary excretion (</w:t>
      </w:r>
      <w:r w:rsidRPr="00EF4DA6">
        <w:t xml:space="preserve">50% of the dose) and </w:t>
      </w:r>
      <w:proofErr w:type="spellStart"/>
      <w:r w:rsidRPr="00EF4DA6">
        <w:t>enterohepatic</w:t>
      </w:r>
      <w:proofErr w:type="spellEnd"/>
      <w:r w:rsidRPr="00EF4DA6">
        <w:t xml:space="preserve"> recirculation (rat only). Excreted drug-related material (urine, bile and faeces) consisted predominantly of M1 in rats, dogs and humans, though significant levels of unchanged drug were detected in the faeces of dogs. Significant biliary excretion was </w:t>
      </w:r>
      <w:r w:rsidR="00C45A4E">
        <w:t>demonstrated in rats and dogs (</w:t>
      </w:r>
      <w:r w:rsidRPr="00EF4DA6">
        <w:t>50% of dose). Conjugated metabolites of enzalutamide were only seen in bile samples.</w:t>
      </w:r>
    </w:p>
    <w:p w:rsidR="00EF4DA6" w:rsidRPr="00EF4DA6" w:rsidRDefault="00EF4DA6" w:rsidP="00BA4960">
      <w:r w:rsidRPr="00EF4DA6">
        <w:t xml:space="preserve">Aside from the low levels of M2 formed in animal species, the </w:t>
      </w:r>
      <w:r w:rsidR="00AA61AD">
        <w:t>PK</w:t>
      </w:r>
      <w:r w:rsidRPr="00EF4DA6">
        <w:t xml:space="preserve"> profile of enzalutamide is sufficiently similar in mice, rats, dogs and humans to warrant the use of the chosen animal species in toxicity studies.</w:t>
      </w:r>
    </w:p>
    <w:p w:rsidR="00EF4DA6" w:rsidRPr="00EF4DA6" w:rsidRDefault="00EF4DA6" w:rsidP="00BA4960">
      <w:pPr>
        <w:pStyle w:val="Heading5"/>
      </w:pPr>
      <w:bookmarkStart w:id="55" w:name="_Toc294861725"/>
      <w:r w:rsidRPr="00EF4DA6">
        <w:t>Pharmacokinetic drug interactions</w:t>
      </w:r>
      <w:bookmarkEnd w:id="55"/>
    </w:p>
    <w:p w:rsidR="00EF4DA6" w:rsidRPr="00EF4DA6" w:rsidRDefault="00EF4DA6" w:rsidP="00BA4960">
      <w:r w:rsidRPr="00EF4DA6">
        <w:t xml:space="preserve">As CYP3A4, 3A5 and 2C8 are involved in the metabolism of enzalutamide to form M2, inhibitors or inducers of these enzymes are likely to alter the plasma kinetics of enzalutamide. Enzalutamide is not a substrate of </w:t>
      </w:r>
      <w:r w:rsidR="00E86AD5">
        <w:t xml:space="preserve">the </w:t>
      </w:r>
      <w:r w:rsidR="00C45A4E">
        <w:t>P-</w:t>
      </w:r>
      <w:proofErr w:type="spellStart"/>
      <w:r w:rsidR="00C45A4E">
        <w:t>gp</w:t>
      </w:r>
      <w:proofErr w:type="spellEnd"/>
      <w:r w:rsidRPr="00EF4DA6">
        <w:t xml:space="preserve">, </w:t>
      </w:r>
      <w:r w:rsidR="00D166E8" w:rsidRPr="00D166E8">
        <w:t xml:space="preserve">breast cancer resistance protein </w:t>
      </w:r>
      <w:r w:rsidR="00D166E8">
        <w:t>(</w:t>
      </w:r>
      <w:r w:rsidRPr="00EF4DA6">
        <w:t>BCRP</w:t>
      </w:r>
      <w:r w:rsidR="00D166E8">
        <w:t>)</w:t>
      </w:r>
      <w:r w:rsidRPr="00EF4DA6">
        <w:t xml:space="preserve">, </w:t>
      </w:r>
      <w:r w:rsidR="00D166E8" w:rsidRPr="00D166E8">
        <w:t xml:space="preserve">organic anion-transporting polypeptide 1B1 </w:t>
      </w:r>
      <w:r w:rsidR="00D166E8">
        <w:t>(</w:t>
      </w:r>
      <w:r w:rsidRPr="00EF4DA6">
        <w:t>OATP1B1</w:t>
      </w:r>
      <w:r w:rsidR="00D166E8">
        <w:t>)</w:t>
      </w:r>
      <w:r w:rsidRPr="00EF4DA6">
        <w:t xml:space="preserve">, OATP1B3 or </w:t>
      </w:r>
      <w:r w:rsidR="00D166E8" w:rsidRPr="00D166E8">
        <w:t xml:space="preserve">organic </w:t>
      </w:r>
      <w:proofErr w:type="spellStart"/>
      <w:r w:rsidR="00D166E8" w:rsidRPr="00D166E8">
        <w:t>cation</w:t>
      </w:r>
      <w:proofErr w:type="spellEnd"/>
      <w:r w:rsidR="00D166E8" w:rsidRPr="00D166E8">
        <w:t xml:space="preserve"> </w:t>
      </w:r>
      <w:r w:rsidR="00D166E8">
        <w:t>transporter 1 (</w:t>
      </w:r>
      <w:r w:rsidRPr="00EF4DA6">
        <w:t>OCT1</w:t>
      </w:r>
      <w:r w:rsidR="00D166E8">
        <w:t>)</w:t>
      </w:r>
      <w:r w:rsidRPr="00EF4DA6">
        <w:t>. Therefore, inhibitors or inducers of these transporters are not expected to affect t</w:t>
      </w:r>
      <w:r w:rsidR="00BA4960">
        <w:t xml:space="preserve">he disposition of </w:t>
      </w:r>
      <w:proofErr w:type="spellStart"/>
      <w:r w:rsidR="00BA4960">
        <w:t>enzalutamide</w:t>
      </w:r>
      <w:proofErr w:type="spellEnd"/>
      <w:r w:rsidR="00BA4960">
        <w:t>.</w:t>
      </w:r>
    </w:p>
    <w:p w:rsidR="00C45A4E" w:rsidRDefault="00EF4DA6" w:rsidP="00BA4960">
      <w:r w:rsidRPr="00EF4DA6">
        <w:t>While some inhibitory activity was seen on CYP2B6, 2C8, 2C9 and 2C19 by enzalutamide and M2, and CYP2C8 by M1, the IC</w:t>
      </w:r>
      <w:r w:rsidRPr="00D166E8">
        <w:rPr>
          <w:vertAlign w:val="subscript"/>
        </w:rPr>
        <w:t>50</w:t>
      </w:r>
      <w:r w:rsidRPr="00EF4DA6">
        <w:t xml:space="preserve"> values were ≥</w:t>
      </w:r>
      <w:r w:rsidR="00C45A4E">
        <w:t xml:space="preserve"> </w:t>
      </w:r>
      <w:r w:rsidRPr="00EF4DA6">
        <w:t>12 times the clinical free Cmax levels. Contrary to the in vitro assays, clinical studies showed induction of CYP2C9 and 2C19 and no significant effects on 2C8 (</w:t>
      </w:r>
      <w:r w:rsidR="00D166E8">
        <w:t>sponsor’s c</w:t>
      </w:r>
      <w:r w:rsidRPr="00EF4DA6">
        <w:t xml:space="preserve">linical </w:t>
      </w:r>
      <w:r w:rsidR="00D166E8">
        <w:t>o</w:t>
      </w:r>
      <w:r w:rsidRPr="00EF4DA6">
        <w:t xml:space="preserve">verview). The inhibition of CYP2B6 activity was weak (Ki 42 µM for enzalutamide and 59 µM for M2). The inhibitory activity of enzalutamide to these enzymes </w:t>
      </w:r>
      <w:r w:rsidR="00C45A4E">
        <w:t xml:space="preserve">is not likely to be clinically </w:t>
      </w:r>
      <w:r w:rsidRPr="00EF4DA6">
        <w:t>relevant. No significant inhibitory activity wa</w:t>
      </w:r>
      <w:r w:rsidR="00BA4960">
        <w:t>s seen on CYP1A2, 2D6 or 3A4/5.</w:t>
      </w:r>
    </w:p>
    <w:p w:rsidR="00EF4DA6" w:rsidRPr="00EF4DA6" w:rsidRDefault="00EF4DA6" w:rsidP="00BA4960">
      <w:r w:rsidRPr="00EF4DA6">
        <w:t>In vitro, enzalutamide was shown to induce CYP3A4 but not CYP1A2 or 2B6. No in vitro studies were conducted to examine induction of CYP2C9, CYP2C19 or UGTs. The draft P</w:t>
      </w:r>
      <w:r w:rsidR="00C45A4E">
        <w:t xml:space="preserve">I </w:t>
      </w:r>
      <w:r w:rsidRPr="00EF4DA6">
        <w:t xml:space="preserve">document states that enzalutamide was likely to be an inducer of CYP2C9, CYP2C19 and </w:t>
      </w:r>
      <w:proofErr w:type="spellStart"/>
      <w:r w:rsidR="00D166E8" w:rsidRPr="00D166E8">
        <w:t>uridine</w:t>
      </w:r>
      <w:proofErr w:type="spellEnd"/>
      <w:r w:rsidR="00D166E8" w:rsidRPr="00D166E8">
        <w:t xml:space="preserve"> diphosphate </w:t>
      </w:r>
      <w:proofErr w:type="spellStart"/>
      <w:r w:rsidR="00D166E8" w:rsidRPr="00D166E8">
        <w:t>glucuronosyltransferases</w:t>
      </w:r>
      <w:proofErr w:type="spellEnd"/>
      <w:r w:rsidR="00D166E8" w:rsidRPr="00D166E8">
        <w:t xml:space="preserve"> </w:t>
      </w:r>
      <w:r w:rsidR="00D166E8">
        <w:t>(</w:t>
      </w:r>
      <w:r w:rsidRPr="00EF4DA6">
        <w:t>UGTs</w:t>
      </w:r>
      <w:r w:rsidR="004C4551">
        <w:t>)</w:t>
      </w:r>
      <w:r w:rsidRPr="00EF4DA6">
        <w:t xml:space="preserve"> based on in vivo human data. Together, the data indicate that enzalutamide is likely to decrease the exposure of drugs that are metabolised by CY</w:t>
      </w:r>
      <w:r w:rsidR="00BA4960">
        <w:t>P3A4, 2C9, 2C19 or UGTs.</w:t>
      </w:r>
    </w:p>
    <w:p w:rsidR="00C45A4E" w:rsidRDefault="00EF4DA6" w:rsidP="00BA4960">
      <w:r w:rsidRPr="00EF4DA6">
        <w:t xml:space="preserve">No significant inhibitory activity was seen on the transporters </w:t>
      </w:r>
      <w:r w:rsidR="004C4551">
        <w:t>m</w:t>
      </w:r>
      <w:r w:rsidR="004C4551" w:rsidRPr="004C4551">
        <w:t>ultidrug resistance</w:t>
      </w:r>
      <w:r w:rsidR="004C4551">
        <w:t xml:space="preserve"> </w:t>
      </w:r>
      <w:r w:rsidR="004C4551" w:rsidRPr="004C4551">
        <w:t>associated protein 2</w:t>
      </w:r>
      <w:r w:rsidR="004C4551">
        <w:t xml:space="preserve"> (</w:t>
      </w:r>
      <w:r w:rsidRPr="00EF4DA6">
        <w:t>MRP2</w:t>
      </w:r>
      <w:r w:rsidR="004C4551">
        <w:t>)</w:t>
      </w:r>
      <w:r w:rsidRPr="00EF4DA6">
        <w:t>, OCT2 or OAT1 (at concentrati</w:t>
      </w:r>
      <w:r w:rsidR="00E86AD5">
        <w:t>ons of 50, 30-100 and 25</w:t>
      </w:r>
      <w:r w:rsidR="00E86AD5">
        <w:noBreakHyphen/>
        <w:t>50 </w:t>
      </w:r>
      <w:r w:rsidRPr="00EF4DA6">
        <w:t xml:space="preserve">µM enzalutamide, M1 or M2, </w:t>
      </w:r>
      <w:r w:rsidR="00C45A4E">
        <w:t xml:space="preserve">respectively, </w:t>
      </w:r>
      <w:r w:rsidRPr="00EF4DA6">
        <w:t>compared to the respective clinical free Cmax of 0.86, 0.37 and 1.33 µM). While some inhibition of OATP1B3 transport was seen with enzalutamide, M1 or M2, the IC</w:t>
      </w:r>
      <w:r w:rsidRPr="00340F75">
        <w:rPr>
          <w:vertAlign w:val="subscript"/>
        </w:rPr>
        <w:t>50</w:t>
      </w:r>
      <w:r w:rsidRPr="00EF4DA6">
        <w:t xml:space="preserve"> values are high (42.6, 26.3 and &gt; 25 µM, </w:t>
      </w:r>
      <w:r w:rsidRPr="00EF4DA6">
        <w:lastRenderedPageBreak/>
        <w:t>respectively, and are theref</w:t>
      </w:r>
      <w:r w:rsidR="00C45A4E">
        <w:t xml:space="preserve">ore not likely to be clinically </w:t>
      </w:r>
      <w:r w:rsidRPr="00EF4DA6">
        <w:t>relevant. Some inhibition of OATP1B1 was seen with M1 (IC</w:t>
      </w:r>
      <w:r w:rsidRPr="004C4551">
        <w:rPr>
          <w:vertAlign w:val="subscript"/>
        </w:rPr>
        <w:t>50</w:t>
      </w:r>
      <w:r w:rsidRPr="00EF4DA6">
        <w:t xml:space="preserve"> 4.3 µM), and OCT1 and OAT3 with M2 (IC</w:t>
      </w:r>
      <w:r w:rsidRPr="004C4551">
        <w:rPr>
          <w:vertAlign w:val="subscript"/>
        </w:rPr>
        <w:t>50</w:t>
      </w:r>
      <w:r w:rsidRPr="00EF4DA6">
        <w:t xml:space="preserve"> 11.7 and 11.5 µM, respectively) </w:t>
      </w:r>
      <w:r w:rsidR="00C45A4E">
        <w:t xml:space="preserve">at clinically </w:t>
      </w:r>
      <w:r w:rsidRPr="00EF4DA6">
        <w:t>relevant concentrations, and inhibition of these transporters should be considered a</w:t>
      </w:r>
      <w:r w:rsidR="00BA4960">
        <w:t>s possible during clinical use.</w:t>
      </w:r>
    </w:p>
    <w:p w:rsidR="00C45A4E" w:rsidRDefault="00EF4DA6" w:rsidP="00BA4960">
      <w:r w:rsidRPr="00EF4DA6">
        <w:t>Both enzalutamide and M2 inhibited P-</w:t>
      </w:r>
      <w:proofErr w:type="spellStart"/>
      <w:r w:rsidRPr="00EF4DA6">
        <w:t>g</w:t>
      </w:r>
      <w:r w:rsidR="000900C6">
        <w:t>p</w:t>
      </w:r>
      <w:proofErr w:type="spellEnd"/>
      <w:r w:rsidR="000900C6">
        <w:t xml:space="preserve"> </w:t>
      </w:r>
      <w:r w:rsidRPr="00EF4DA6">
        <w:t>transport with IC</w:t>
      </w:r>
      <w:r w:rsidRPr="000900C6">
        <w:rPr>
          <w:vertAlign w:val="subscript"/>
        </w:rPr>
        <w:t>50</w:t>
      </w:r>
      <w:r w:rsidRPr="00EF4DA6">
        <w:t xml:space="preserve"> values (1.67 and 1.09 µM, respectively) similar to the clinical free plasma Cmax levels. Concentrations of enzalutamide in the </w:t>
      </w:r>
      <w:r w:rsidR="000900C6">
        <w:t xml:space="preserve">gastrointestinal </w:t>
      </w:r>
      <w:r w:rsidRPr="00EF4DA6">
        <w:t xml:space="preserve">tract will be significantly higher than plasma levels. Based on the in vitro data, </w:t>
      </w:r>
      <w:r w:rsidR="000900C6">
        <w:t xml:space="preserve">PK </w:t>
      </w:r>
      <w:r w:rsidRPr="00EF4DA6">
        <w:t>drug interactions involving P-</w:t>
      </w:r>
      <w:proofErr w:type="spellStart"/>
      <w:r w:rsidRPr="00EF4DA6">
        <w:t>g</w:t>
      </w:r>
      <w:r w:rsidR="000900C6">
        <w:t>p</w:t>
      </w:r>
      <w:proofErr w:type="spellEnd"/>
      <w:r w:rsidR="000900C6">
        <w:t xml:space="preserve"> </w:t>
      </w:r>
      <w:r w:rsidR="00BA4960">
        <w:t>should be considered likely.</w:t>
      </w:r>
    </w:p>
    <w:p w:rsidR="00EF4DA6" w:rsidRPr="00EF4DA6" w:rsidRDefault="00EF4DA6" w:rsidP="00BA4960">
      <w:r w:rsidRPr="00EF4DA6">
        <w:t>While the IC</w:t>
      </w:r>
      <w:r w:rsidRPr="000900C6">
        <w:rPr>
          <w:vertAlign w:val="subscript"/>
        </w:rPr>
        <w:t>50</w:t>
      </w:r>
      <w:r w:rsidRPr="00EF4DA6">
        <w:t xml:space="preserve"> values for inhibitory activity by enzalutamide, M1 and M2 on BCRP were at least 27 times the clinical free plasma Cmax (based on M2 values), BCRP is expressed in the GI tract. Given the high local concentrations of enzalutamide in the </w:t>
      </w:r>
      <w:r w:rsidR="002D210C">
        <w:t xml:space="preserve">gastrointestinal </w:t>
      </w:r>
      <w:r w:rsidRPr="00EF4DA6">
        <w:t>tract, inhibition of this transporter in the intestines should be considered as possible. Therefore, enzalutamide has the potential to alter the disposition of drugs that are substrates of P-</w:t>
      </w:r>
      <w:proofErr w:type="spellStart"/>
      <w:r w:rsidR="000900C6">
        <w:t>gp</w:t>
      </w:r>
      <w:proofErr w:type="spellEnd"/>
      <w:r w:rsidRPr="00EF4DA6">
        <w:t>, BCRP, OATP1B1, OCT1 or OAT3.</w:t>
      </w:r>
    </w:p>
    <w:p w:rsidR="001B5C90" w:rsidRPr="00BA4960" w:rsidRDefault="008E7846" w:rsidP="00BA4960">
      <w:pPr>
        <w:pStyle w:val="Heading3"/>
      </w:pPr>
      <w:bookmarkStart w:id="56" w:name="_Toc408300834"/>
      <w:r>
        <w:t>Toxicology</w:t>
      </w:r>
      <w:bookmarkEnd w:id="53"/>
      <w:bookmarkEnd w:id="54"/>
      <w:bookmarkEnd w:id="56"/>
    </w:p>
    <w:p w:rsidR="00EF4DA6" w:rsidRPr="00EF4DA6" w:rsidRDefault="00EF4DA6" w:rsidP="00BA4960">
      <w:pPr>
        <w:pStyle w:val="Heading4"/>
      </w:pPr>
      <w:bookmarkStart w:id="57" w:name="_Toc294861727"/>
      <w:r w:rsidRPr="00EF4DA6">
        <w:t xml:space="preserve">Acute </w:t>
      </w:r>
      <w:r w:rsidRPr="00BA4960">
        <w:t>toxicity</w:t>
      </w:r>
      <w:bookmarkEnd w:id="57"/>
    </w:p>
    <w:p w:rsidR="00D540D1" w:rsidRDefault="00EF4DA6" w:rsidP="00BA4960">
      <w:r w:rsidRPr="00EF4DA6">
        <w:t>Single</w:t>
      </w:r>
      <w:r w:rsidR="000900C6">
        <w:t xml:space="preserve"> </w:t>
      </w:r>
      <w:r w:rsidRPr="00EF4DA6">
        <w:t>dose toxicity studies using the oral ro</w:t>
      </w:r>
      <w:r w:rsidR="000900C6">
        <w:t>ute were conducted in mice and c</w:t>
      </w:r>
      <w:r w:rsidRPr="00EF4DA6">
        <w:t xml:space="preserve">ynomolgus monkeys. Neither of the studies </w:t>
      </w:r>
      <w:proofErr w:type="gramStart"/>
      <w:r w:rsidRPr="00EF4DA6">
        <w:t>were</w:t>
      </w:r>
      <w:proofErr w:type="gramEnd"/>
      <w:r w:rsidRPr="00EF4DA6">
        <w:t xml:space="preserve"> compliant</w:t>
      </w:r>
      <w:r w:rsidR="000900C6">
        <w:t xml:space="preserve"> with good laboratory practice (GLP) principles</w:t>
      </w:r>
      <w:r w:rsidRPr="00EF4DA6">
        <w:t xml:space="preserve">. The observation period in the mouse study was relatively short (4 days) </w:t>
      </w:r>
      <w:r w:rsidR="00D540D1">
        <w:t xml:space="preserve">compared with </w:t>
      </w:r>
      <w:r w:rsidRPr="00EF4DA6">
        <w:t>the length recommended</w:t>
      </w:r>
      <w:r w:rsidR="00D540D1">
        <w:t xml:space="preserve"> in the EU guideline for single </w:t>
      </w:r>
      <w:r w:rsidRPr="00EF4DA6">
        <w:t>dose toxicity (3BS1a). While</w:t>
      </w:r>
      <w:r w:rsidR="000900C6">
        <w:t xml:space="preserve"> the observation period in the c</w:t>
      </w:r>
      <w:r w:rsidRPr="00EF4DA6">
        <w:t>ynomolgus monkey study was adequate, animals were not subject to necropsy, and therefore no target organs for toxicity can be identified from this study. These limitations are not expected to hinder an assessment of the toxicity profile of enzalutamide as sufficient information can be obtained from the combined set of toxicity studies. The maximum non-lethal dose was 200 mg/kg PO in mice and the highest tested dose in monkeys (100 mg/kg PO). The Cmax for enzalutamide at these doses were 3.7 and 1.3 times the clinical plasma Cmax. Deaths were seen in mice treated with ≥</w:t>
      </w:r>
      <w:r w:rsidR="000900C6">
        <w:t xml:space="preserve"> </w:t>
      </w:r>
      <w:r w:rsidRPr="00EF4DA6">
        <w:t xml:space="preserve">400 mg/kg PO </w:t>
      </w:r>
      <w:proofErr w:type="spellStart"/>
      <w:r w:rsidRPr="00EF4DA6">
        <w:t>enzalutamide</w:t>
      </w:r>
      <w:proofErr w:type="spellEnd"/>
      <w:r w:rsidRPr="00EF4DA6">
        <w:t xml:space="preserve"> (</w:t>
      </w:r>
      <w:proofErr w:type="spellStart"/>
      <w:r w:rsidRPr="00EF4DA6">
        <w:t>ER</w:t>
      </w:r>
      <w:r w:rsidRPr="000900C6">
        <w:rPr>
          <w:vertAlign w:val="subscript"/>
        </w:rPr>
        <w:t>Cmax</w:t>
      </w:r>
      <w:proofErr w:type="spellEnd"/>
      <w:r w:rsidRPr="00EF4DA6">
        <w:t xml:space="preserve"> 5.6) indicating a relatively high order of acute toxicity. Clinical signs in mice were only seen at lethal doses, with exposures only marginally above those at the maximum non-lethal dose, suggesting a steep do</w:t>
      </w:r>
      <w:r w:rsidR="00BA4960">
        <w:t>se-response curve for toxicity.</w:t>
      </w:r>
    </w:p>
    <w:p w:rsidR="00EF4DA6" w:rsidRPr="00EF4DA6" w:rsidRDefault="00EF4DA6" w:rsidP="00BA4960">
      <w:proofErr w:type="spellStart"/>
      <w:r w:rsidRPr="00EF4DA6">
        <w:t>Perimortem</w:t>
      </w:r>
      <w:proofErr w:type="spellEnd"/>
      <w:r w:rsidRPr="00EF4DA6">
        <w:t xml:space="preserve"> clinical signs included decreased movement, </w:t>
      </w:r>
      <w:proofErr w:type="spellStart"/>
      <w:r w:rsidRPr="00EF4DA6">
        <w:t>clonic</w:t>
      </w:r>
      <w:proofErr w:type="spellEnd"/>
      <w:r w:rsidRPr="00EF4DA6">
        <w:t xml:space="preserve"> convulsions/tremors, irregular respiration, lacrimation and/or prone/lateral position. The convulsions are likely due to of</w:t>
      </w:r>
      <w:r w:rsidR="000900C6">
        <w:t xml:space="preserve">f-target inhibition of the GABA </w:t>
      </w:r>
      <w:r w:rsidRPr="00EF4DA6">
        <w:t>gated chloride channel, while irregular respiration may be due to inadvertent aspiration of the test article. The onset of clinical signs was 1‒2 h post-dose with some (decreased movement) lasting up to 2 days. Clinical signs in monkeys were muddy stools and vomiting, indicating gastrointestinal disturbance. Dark reddish foci were seen on the mucosa of the glandular stomach of mice treated with ≥</w:t>
      </w:r>
      <w:r w:rsidR="000900C6">
        <w:t xml:space="preserve"> </w:t>
      </w:r>
      <w:r w:rsidRPr="00EF4DA6">
        <w:t>400 mg/kg PO enzalutamide.</w:t>
      </w:r>
    </w:p>
    <w:p w:rsidR="00EF4DA6" w:rsidRPr="00BA4960" w:rsidRDefault="00593CCA" w:rsidP="00BA4960">
      <w:pPr>
        <w:pStyle w:val="Heading4"/>
      </w:pPr>
      <w:bookmarkStart w:id="58" w:name="_Toc294861728"/>
      <w:r>
        <w:t xml:space="preserve">Repeat </w:t>
      </w:r>
      <w:r w:rsidR="00EF4DA6" w:rsidRPr="00EF4DA6">
        <w:t>dose toxicity</w:t>
      </w:r>
      <w:bookmarkEnd w:id="58"/>
    </w:p>
    <w:p w:rsidR="00D540D1" w:rsidRDefault="00D540D1" w:rsidP="00BA4960">
      <w:r>
        <w:t xml:space="preserve">Repeat </w:t>
      </w:r>
      <w:r w:rsidR="00EF4DA6" w:rsidRPr="00EF4DA6">
        <w:t>dose toxicity studies were conducted in mice (1 week), rats (up to 26 weeks) and dogs (up to 13 weeks) using the proposed clinical route (PO). All pivotal studies were GLP compliant and were adequately conducted. The duration of the pivotal studies is considered acceptable to support the proposed clinical use (ICH S9), though it</w:t>
      </w:r>
      <w:r w:rsidR="00314044">
        <w:t xml:space="preserve"> is noted that a 39 week repeat dose toxicity study wa</w:t>
      </w:r>
      <w:r w:rsidR="00EF4DA6" w:rsidRPr="00EF4DA6">
        <w:t xml:space="preserve">s on-going. The absence of this study should not preclude registration. Both sexes were included in all studies with the exception of the </w:t>
      </w:r>
      <w:r w:rsidR="00EF4DA6" w:rsidRPr="00EF4DA6">
        <w:lastRenderedPageBreak/>
        <w:t>pivotal 13 week study in dogs in which only males were used. Given the proposed indication,</w:t>
      </w:r>
      <w:r w:rsidR="00BA4960">
        <w:t xml:space="preserve"> this is considered acceptable.</w:t>
      </w:r>
    </w:p>
    <w:p w:rsidR="00EF4DA6" w:rsidRPr="00EF4DA6" w:rsidRDefault="00EF4DA6" w:rsidP="00BA4960">
      <w:r w:rsidRPr="00EF4DA6">
        <w:t xml:space="preserve">Enzalutamide was administered in Labrasol in all studies. At lower doses, enzalutamide was applied as a solution in Labrasol, while, due to solubility limits, high doses of enzalutamide were provided as a suspension in Labrasol, which may have compromised bioavailability. Gavage was used in the rodent studies and the 2 week and pivotal 13 week study in dogs, while enzalutamide was provided in capsules in the 4 week dog study. </w:t>
      </w:r>
      <w:r w:rsidR="00314044">
        <w:t xml:space="preserve">the sponsor’s nonclinical overview </w:t>
      </w:r>
      <w:r w:rsidRPr="00EF4DA6">
        <w:t>states that the maximum doses in the pivotal rat and dog studies were the maximum feasible, based on the maximum dose volume for enzalutamide formulated in Labrasol (2.2 mL/kg in rats and 1.0 mL/kg in dogs</w:t>
      </w:r>
      <w:r w:rsidRPr="00D540D1">
        <w:rPr>
          <w:vertAlign w:val="superscript"/>
        </w:rPr>
        <w:footnoteReference w:id="9"/>
      </w:r>
      <w:r w:rsidRPr="00EF4DA6">
        <w:t xml:space="preserve">) and the maximum solubility of enzalutamide in Labrasol </w:t>
      </w:r>
      <w:r w:rsidR="00D540D1">
        <w:t xml:space="preserve">about </w:t>
      </w:r>
      <w:r w:rsidRPr="00EF4DA6">
        <w:t>45 mg/mL). This seems reasonable.</w:t>
      </w:r>
    </w:p>
    <w:p w:rsidR="00EF4DA6" w:rsidRPr="00EF4DA6" w:rsidRDefault="00EF4DA6" w:rsidP="00BA4960">
      <w:r w:rsidRPr="00EF4DA6">
        <w:t>The highest enzalutamide exposures achieved were in the 26 week rat study and 4 week dog study</w:t>
      </w:r>
      <w:r w:rsidR="00D540D1">
        <w:t>:</w:t>
      </w:r>
      <w:r w:rsidRPr="00EF4DA6">
        <w:t xml:space="preserve"> 3 times the clinical AUC in male rats and dogs, and 5 times the clin</w:t>
      </w:r>
      <w:r w:rsidR="00D540D1">
        <w:t xml:space="preserve">ical AUC in female rats (Table </w:t>
      </w:r>
      <w:r w:rsidR="00EE61EF">
        <w:t>1</w:t>
      </w:r>
      <w:r w:rsidRPr="00EF4DA6">
        <w:t>). Exposures in the 13 week dog study were subclinical and were unusually low c</w:t>
      </w:r>
      <w:r w:rsidR="00D540D1">
        <w:t xml:space="preserve">ompared with </w:t>
      </w:r>
      <w:r w:rsidRPr="00EF4DA6">
        <w:t>those achieved in the 4 week study. The reason for this is unknown but might be related to the different methods of dosing used in the studies</w:t>
      </w:r>
      <w:r w:rsidR="00D540D1">
        <w:t xml:space="preserve">, which was </w:t>
      </w:r>
      <w:r w:rsidRPr="00EF4DA6">
        <w:t xml:space="preserve">via gavage in the 13 week study and in capsules in the 4 week study. Based on preliminary </w:t>
      </w:r>
      <w:proofErr w:type="spellStart"/>
      <w:r w:rsidRPr="00EF4DA6">
        <w:t>toxicokinetic</w:t>
      </w:r>
      <w:proofErr w:type="spellEnd"/>
      <w:r w:rsidRPr="00EF4DA6">
        <w:t xml:space="preserve"> data provided, exposure</w:t>
      </w:r>
      <w:r w:rsidR="00D540D1">
        <w:t xml:space="preserve">s in dogs in the 39 week repeat </w:t>
      </w:r>
      <w:r w:rsidRPr="00EF4DA6">
        <w:t>dose toxicity study, where administration was via gavage, are not significantly greater than those in the 13 week study.</w:t>
      </w:r>
    </w:p>
    <w:p w:rsidR="00EF4DA6" w:rsidRPr="00EF4DA6" w:rsidRDefault="00EF4DA6" w:rsidP="00BA4960">
      <w:r w:rsidRPr="00EF4DA6">
        <w:t>The highest estimated exposures to M1 in rats and dogs are only 1.2‒1.7 those expected in human subjects based on metabolite to parent AUC ratios on day 1. Higher exposures would have been preferable, but such margins are not unusual for anticancer drugs. The highest estimated exposures to M2 were subclinical (≤</w:t>
      </w:r>
      <w:r w:rsidR="00D540D1">
        <w:t xml:space="preserve"> </w:t>
      </w:r>
      <w:r w:rsidRPr="00EF4DA6">
        <w:t>40% those</w:t>
      </w:r>
      <w:r w:rsidR="00EE61EF">
        <w:t xml:space="preserve"> seen in human subjects; Table 1</w:t>
      </w:r>
      <w:r w:rsidRPr="00EF4DA6">
        <w:t>). Therefore, the toxicity profile of this compound has not been adequately assessed in the submitted toxicity studies. Ideally, at least one toxicity study should have been conducted with this metabolite alone. However, M2 has a similar pharmacological profile to enzalutamide (including</w:t>
      </w:r>
      <w:r w:rsidR="00EE61EF">
        <w:t xml:space="preserve"> off-target effects on the GABA </w:t>
      </w:r>
      <w:r w:rsidRPr="00EF4DA6">
        <w:t>gated chloride channel and progesterone receptor). Therefore, the toxicity profile of M2 is likely to be similar to enzalutamide alone. Relative</w:t>
      </w:r>
      <w:r w:rsidR="000F30C5">
        <w:t xml:space="preserve"> exposures to pharmacologically </w:t>
      </w:r>
      <w:r w:rsidRPr="00EF4DA6">
        <w:t xml:space="preserve">active material (enzalutamide and M2) were moderate in the 26 week rat study and 4 week dog study (Table </w:t>
      </w:r>
      <w:r w:rsidR="00EE61EF">
        <w:t>1</w:t>
      </w:r>
      <w:r w:rsidRPr="00EF4DA6">
        <w:t>).</w:t>
      </w:r>
    </w:p>
    <w:p w:rsidR="00EF4DA6" w:rsidRDefault="00EE61EF" w:rsidP="00BA4960">
      <w:pPr>
        <w:pStyle w:val="TableTitle"/>
      </w:pPr>
      <w:proofErr w:type="gramStart"/>
      <w:r>
        <w:lastRenderedPageBreak/>
        <w:t>Table 1</w:t>
      </w:r>
      <w:r w:rsidR="00593CCA">
        <w:t>.</w:t>
      </w:r>
      <w:proofErr w:type="gramEnd"/>
      <w:r w:rsidR="00593CCA">
        <w:t xml:space="preserve"> Relative exposure in repeat </w:t>
      </w:r>
      <w:r w:rsidR="00EF4DA6" w:rsidRPr="00EF4DA6">
        <w:t>dose toxicity studies</w:t>
      </w:r>
    </w:p>
    <w:p w:rsidR="00EE61EF" w:rsidRPr="00EE61EF" w:rsidRDefault="00EE61EF" w:rsidP="00BA4960">
      <w:r>
        <w:rPr>
          <w:noProof/>
          <w:lang w:eastAsia="en-AU"/>
        </w:rPr>
        <w:drawing>
          <wp:inline distT="0" distB="0" distL="0" distR="0" wp14:anchorId="72F6F2AC" wp14:editId="06C8B244">
            <wp:extent cx="4889923" cy="3241141"/>
            <wp:effectExtent l="0" t="0" r="6350" b="0"/>
            <wp:docPr id="5" name="Picture 5" descr="Table 1. Relative exposure in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94214" cy="3243985"/>
                    </a:xfrm>
                    <a:prstGeom prst="rect">
                      <a:avLst/>
                    </a:prstGeom>
                  </pic:spPr>
                </pic:pic>
              </a:graphicData>
            </a:graphic>
          </wp:inline>
        </w:drawing>
      </w:r>
    </w:p>
    <w:p w:rsidR="00EF4DA6" w:rsidRPr="001A5B87" w:rsidRDefault="00EF4DA6" w:rsidP="00BA4960">
      <w:pPr>
        <w:pStyle w:val="TableDescription"/>
      </w:pPr>
      <w:r w:rsidRPr="001A5B87">
        <w:t>Combined data for both sexes for mice and dogs; a dosing was via capsules; b dosing was via gavage; c estimated assuming M2 exposures were 18%, 6%, 2% and 3% the enzalutamide exposures in male rats, female rats and dogs, respectively (not converting to molar values for simplicity); ‒ = not determined</w:t>
      </w:r>
      <w:r w:rsidR="00BA4960">
        <w:t>.</w:t>
      </w:r>
    </w:p>
    <w:p w:rsidR="00EF4DA6" w:rsidRPr="00BA4960" w:rsidRDefault="00EF4DA6" w:rsidP="00BA4960">
      <w:pPr>
        <w:pStyle w:val="Heading5"/>
      </w:pPr>
      <w:r w:rsidRPr="00EF4DA6">
        <w:t>Major toxicities</w:t>
      </w:r>
    </w:p>
    <w:p w:rsidR="00EF4DA6" w:rsidRPr="001A5B87" w:rsidRDefault="00EF4DA6" w:rsidP="00BA4960">
      <w:r w:rsidRPr="001A5B87">
        <w:t>The majority of the toxicities observed with enzalutamide were consistent with the pharmacological action of the drug, with effects on the reproductive organs (male and female), pituitary gland and adrenal gland. Additional findings were seen in the liver, kidney and thyroid gland of rats and the lungs of both rats and dogs.</w:t>
      </w:r>
    </w:p>
    <w:p w:rsidR="00EF4DA6" w:rsidRPr="001A5B87" w:rsidRDefault="00EF4DA6" w:rsidP="00BA4960">
      <w:pPr>
        <w:pStyle w:val="Heading5"/>
      </w:pPr>
      <w:r w:rsidRPr="001A5B87">
        <w:t>Findings associated with pharmacological action</w:t>
      </w:r>
    </w:p>
    <w:p w:rsidR="00EF4DA6" w:rsidRPr="00EF4DA6" w:rsidRDefault="00EF4DA6" w:rsidP="00BA4960">
      <w:r w:rsidRPr="00EF4DA6">
        <w:t xml:space="preserve">As expected for this type of drug, findings in the male reproductive tract included atrophy of the prostate gland and seminal vesicles, degeneration of the seminiferous tubules, with </w:t>
      </w:r>
      <w:proofErr w:type="spellStart"/>
      <w:r w:rsidRPr="00EF4DA6">
        <w:t>hypospermia</w:t>
      </w:r>
      <w:proofErr w:type="spellEnd"/>
      <w:r w:rsidRPr="00EF4DA6">
        <w:t xml:space="preserve"> and decreased secretions at all dose levels (below the clinical exposure). Associated changes in males included pituitary gland hypertrophy/hyperplasia, affecting the </w:t>
      </w:r>
      <w:r w:rsidRPr="001A5B87">
        <w:rPr>
          <w:i/>
        </w:rPr>
        <w:t xml:space="preserve">pars </w:t>
      </w:r>
      <w:proofErr w:type="spellStart"/>
      <w:r w:rsidRPr="001A5B87">
        <w:rPr>
          <w:i/>
        </w:rPr>
        <w:t>distalis</w:t>
      </w:r>
      <w:proofErr w:type="spellEnd"/>
      <w:r w:rsidRPr="00EF4DA6">
        <w:t>, and mammary gland atrophy. All of these have been reported previously in toxicity studies with agents that affect testosterone production or action (</w:t>
      </w:r>
      <w:proofErr w:type="spellStart"/>
      <w:r w:rsidRPr="00EF4DA6">
        <w:t>Pinski</w:t>
      </w:r>
      <w:proofErr w:type="spellEnd"/>
      <w:r w:rsidRPr="00EF4DA6">
        <w:t xml:space="preserve"> et al., 1993</w:t>
      </w:r>
      <w:r w:rsidR="00EE61EF">
        <w:rPr>
          <w:rStyle w:val="FootnoteReference"/>
        </w:rPr>
        <w:footnoteReference w:id="10"/>
      </w:r>
      <w:r w:rsidRPr="00EF4DA6">
        <w:t xml:space="preserve">; </w:t>
      </w:r>
      <w:proofErr w:type="spellStart"/>
      <w:r w:rsidRPr="00EF4DA6">
        <w:t>Iswaran</w:t>
      </w:r>
      <w:proofErr w:type="spellEnd"/>
      <w:r w:rsidRPr="00EF4DA6">
        <w:t xml:space="preserve"> et al., 1997</w:t>
      </w:r>
      <w:r w:rsidR="00EE61EF">
        <w:rPr>
          <w:rStyle w:val="FootnoteReference"/>
        </w:rPr>
        <w:footnoteReference w:id="11"/>
      </w:r>
      <w:r w:rsidRPr="00EF4DA6">
        <w:t>). All findings were reversible. A NOEL was not established for these findings, but they are not considered to be a toxicological concern for the proposed indication.</w:t>
      </w:r>
    </w:p>
    <w:p w:rsidR="00EF4DA6" w:rsidRPr="00EF4DA6" w:rsidRDefault="00EF4DA6" w:rsidP="00BA4960">
      <w:r w:rsidRPr="00EF4DA6">
        <w:t xml:space="preserve">Although the proposed indication is for prostate cancer, female animals were included in the majority of the toxicity studies. Pharmacological effects in female rats included uterine dilatation and adrenal gland hypertrophy and hyperplasia, primarily affecting the </w:t>
      </w:r>
      <w:proofErr w:type="spellStart"/>
      <w:r w:rsidRPr="00EF4DA6">
        <w:t>zona</w:t>
      </w:r>
      <w:proofErr w:type="spellEnd"/>
      <w:r w:rsidRPr="00EF4DA6">
        <w:t xml:space="preserve"> </w:t>
      </w:r>
      <w:proofErr w:type="spellStart"/>
      <w:r w:rsidRPr="00EF4DA6">
        <w:t>fasciculata</w:t>
      </w:r>
      <w:proofErr w:type="spellEnd"/>
      <w:r w:rsidRPr="00EF4DA6">
        <w:t>. Mammary gland changes (lobular hyperplasia, gland dilatation) were also seen.</w:t>
      </w:r>
    </w:p>
    <w:p w:rsidR="00EF4DA6" w:rsidRPr="00BA4960" w:rsidRDefault="00EF4DA6" w:rsidP="00BA4960">
      <w:pPr>
        <w:pStyle w:val="Heading5"/>
      </w:pPr>
      <w:r w:rsidRPr="00EF4DA6">
        <w:lastRenderedPageBreak/>
        <w:t>Findings not associated with pharmacological action</w:t>
      </w:r>
    </w:p>
    <w:p w:rsidR="00EF4DA6" w:rsidRPr="00EF4DA6" w:rsidRDefault="00EF4DA6" w:rsidP="00BA4960">
      <w:r w:rsidRPr="00EF4DA6">
        <w:t>Deaths in toxicity studies were generally associated with</w:t>
      </w:r>
      <w:r w:rsidR="00EE61EF">
        <w:t xml:space="preserve"> CNS effects as a result of off </w:t>
      </w:r>
      <w:r w:rsidRPr="00EF4DA6">
        <w:t>target action on the GABA</w:t>
      </w:r>
      <w:r w:rsidR="00EE61EF">
        <w:t xml:space="preserve"> </w:t>
      </w:r>
      <w:r w:rsidRPr="00EF4DA6">
        <w:t xml:space="preserve">gated chloride channel, or respiratory distress. These are discussed further </w:t>
      </w:r>
      <w:r w:rsidR="001A5B87">
        <w:t xml:space="preserve">under </w:t>
      </w:r>
      <w:r w:rsidRPr="001A5B87">
        <w:rPr>
          <w:i/>
        </w:rPr>
        <w:t>Secondary pharmacodynamics and safety pharmacology</w:t>
      </w:r>
      <w:r w:rsidR="00EE61EF" w:rsidRPr="00EE61EF">
        <w:t>,</w:t>
      </w:r>
      <w:r w:rsidRPr="001A5B87">
        <w:rPr>
          <w:i/>
        </w:rPr>
        <w:t xml:space="preserve"> </w:t>
      </w:r>
      <w:r w:rsidR="001A5B87" w:rsidRPr="001A5B87">
        <w:t>below</w:t>
      </w:r>
      <w:r w:rsidR="00BA4960">
        <w:t>.</w:t>
      </w:r>
    </w:p>
    <w:p w:rsidR="00EF4DA6" w:rsidRPr="001A5B87" w:rsidRDefault="00EF4DA6" w:rsidP="00BA4960">
      <w:r w:rsidRPr="001A5B87">
        <w:t xml:space="preserve">Clinical signs of excessive salivation, gastrointestinal disturbance and respiratory effects may largely be associated Labrasol, but enzalutamide might also contribute to the effects. Diffuse hepatocellular hypertrophy and increased cytoplasmic </w:t>
      </w:r>
      <w:proofErr w:type="spellStart"/>
      <w:r w:rsidRPr="001A5B87">
        <w:t>eosinophils</w:t>
      </w:r>
      <w:proofErr w:type="spellEnd"/>
      <w:r w:rsidRPr="001A5B87">
        <w:t xml:space="preserve"> were seen in rats treated with ≥</w:t>
      </w:r>
      <w:r w:rsidR="001A5B87" w:rsidRPr="001A5B87">
        <w:t xml:space="preserve"> </w:t>
      </w:r>
      <w:r w:rsidRPr="001A5B87">
        <w:t>10 mg/kg/day PO enzalutamide (ER</w:t>
      </w:r>
      <w:r w:rsidRPr="00514E07">
        <w:rPr>
          <w:vertAlign w:val="subscript"/>
        </w:rPr>
        <w:t>AUC</w:t>
      </w:r>
      <w:r w:rsidRPr="001A5B87">
        <w:t xml:space="preserve"> at least 0.5). Elevated liver enzymes (</w:t>
      </w:r>
      <w:r w:rsidR="00514E07">
        <w:t>alanine transaminase (</w:t>
      </w:r>
      <w:r w:rsidRPr="001A5B87">
        <w:t>ALT</w:t>
      </w:r>
      <w:r w:rsidR="00514E07">
        <w:t>)</w:t>
      </w:r>
      <w:r w:rsidRPr="001A5B87">
        <w:t xml:space="preserve"> and </w:t>
      </w:r>
      <w:r w:rsidR="00514E07">
        <w:t>aspartate transaminase (</w:t>
      </w:r>
      <w:r w:rsidRPr="001A5B87">
        <w:t>AST</w:t>
      </w:r>
      <w:r w:rsidR="00514E07">
        <w:t>)</w:t>
      </w:r>
      <w:r w:rsidRPr="001A5B87">
        <w:t>) were not seen in the toxicity studies and the hypertrophic changes may be associated with increased metabolic capacity and enzyme induction. Follicular cell hypertrophy/hyperplasia was seen in the thyroid gland of female rats treated with ≥</w:t>
      </w:r>
      <w:r w:rsidR="001A5B87" w:rsidRPr="001A5B87">
        <w:t xml:space="preserve"> </w:t>
      </w:r>
      <w:r w:rsidRPr="001A5B87">
        <w:t xml:space="preserve">10 mg/kg/day PO enzalutamide. This was suggested to be associated with the hepatocellular hypertrophy. Similar hepatic and thyroid effects have been observed for </w:t>
      </w:r>
      <w:proofErr w:type="spellStart"/>
      <w:r w:rsidRPr="001A5B87">
        <w:t>bicalutamide</w:t>
      </w:r>
      <w:proofErr w:type="spellEnd"/>
      <w:r w:rsidRPr="001A5B87">
        <w:t xml:space="preserve">. There was no evidence of hepatic and thyroid toxicity in dogs. The hepatic and thyroid findings observed in rats </w:t>
      </w:r>
      <w:r w:rsidR="00BA4960">
        <w:t>are of low relevance to humans.</w:t>
      </w:r>
    </w:p>
    <w:p w:rsidR="00EF4DA6" w:rsidRPr="00EF4DA6" w:rsidRDefault="00EF4DA6" w:rsidP="00BA4960">
      <w:r w:rsidRPr="00EF4DA6">
        <w:t>Increased incidences and severity of chronic progressive nephropathy (CPN) was seen in rats treated with ≥</w:t>
      </w:r>
      <w:r w:rsidR="001A5B87">
        <w:t xml:space="preserve"> </w:t>
      </w:r>
      <w:r w:rsidRPr="00EF4DA6">
        <w:t>10 mg/kg/day PO enzalutamide for 26 weeks. CPN occurs spontaneously at a</w:t>
      </w:r>
      <w:r w:rsidR="00514E07">
        <w:t xml:space="preserve"> high incidence in S</w:t>
      </w:r>
      <w:r w:rsidR="001A5B87">
        <w:t xml:space="preserve">prague </w:t>
      </w:r>
      <w:r w:rsidRPr="00EF4DA6">
        <w:t>Dawley rats (in particular males), and some chemicals exacerbate t</w:t>
      </w:r>
      <w:r w:rsidR="00514E07">
        <w:t>his condition (Hard et al., 2004</w:t>
      </w:r>
      <w:r w:rsidR="00514E07">
        <w:rPr>
          <w:rStyle w:val="FootnoteReference"/>
        </w:rPr>
        <w:footnoteReference w:id="12"/>
      </w:r>
      <w:r w:rsidRPr="00EF4DA6">
        <w:t>). While the increase in CPN may be drug-related, such an effect in rats is not generally considered a predictor of renal toxicity in humans (Hard et al., 2009</w:t>
      </w:r>
      <w:r w:rsidR="00514E07">
        <w:rPr>
          <w:rStyle w:val="FootnoteReference"/>
        </w:rPr>
        <w:footnoteReference w:id="13"/>
      </w:r>
      <w:r w:rsidRPr="00EF4DA6">
        <w:t>). There was no evidence of nephrotoxicity in dogs.</w:t>
      </w:r>
    </w:p>
    <w:p w:rsidR="00EF4DA6" w:rsidRPr="00EF4DA6" w:rsidRDefault="00EF4DA6" w:rsidP="00BA4960">
      <w:pPr>
        <w:pStyle w:val="Heading4"/>
      </w:pPr>
      <w:bookmarkStart w:id="59" w:name="_Toc294861729"/>
      <w:r w:rsidRPr="00EF4DA6">
        <w:t>Genotoxicity</w:t>
      </w:r>
      <w:bookmarkEnd w:id="59"/>
      <w:r w:rsidRPr="00EF4DA6">
        <w:t xml:space="preserve"> and carcinogenicity</w:t>
      </w:r>
    </w:p>
    <w:p w:rsidR="001A5B87" w:rsidRDefault="00EF4DA6" w:rsidP="00BA4960">
      <w:r w:rsidRPr="00EF4DA6">
        <w:t>The potential genotoxicity of enzalutamide was assessed in a bacterial mutagenicity assay, an in vitro</w:t>
      </w:r>
      <w:r w:rsidR="001A5B87">
        <w:t xml:space="preserve"> forward mutation assay in </w:t>
      </w:r>
      <w:r w:rsidRPr="00EF4DA6">
        <w:t>mouse lymphoma cells and a mouse micronucleus assay. The main human metabolites, M1 and M2, were also assessed for mutagenicity in bacteria. Appropriate concentrations were used in the in vitro assays, and the highest dose in the in vivo study (30 mg/kg/day PO; ER</w:t>
      </w:r>
      <w:r w:rsidRPr="006D7F7D">
        <w:rPr>
          <w:vertAlign w:val="subscript"/>
        </w:rPr>
        <w:t>AUC</w:t>
      </w:r>
      <w:r w:rsidRPr="00EF4DA6">
        <w:t xml:space="preserve"> for enzalutamide 1.2) was determined to be the maximum tolerate</w:t>
      </w:r>
      <w:r w:rsidR="00BA4960">
        <w:t>d dose in a dose ranging study.</w:t>
      </w:r>
    </w:p>
    <w:p w:rsidR="00EF4DA6" w:rsidRPr="00EF4DA6" w:rsidRDefault="00EF4DA6" w:rsidP="00BA4960">
      <w:r w:rsidRPr="00EF4DA6">
        <w:t xml:space="preserve">Negative results were obtained in all studies. Therefore, enzalutamide is not considered to pose a </w:t>
      </w:r>
      <w:proofErr w:type="spellStart"/>
      <w:r w:rsidRPr="00EF4DA6">
        <w:t>genotoxic</w:t>
      </w:r>
      <w:proofErr w:type="spellEnd"/>
      <w:r w:rsidRPr="00EF4DA6">
        <w:t xml:space="preserve"> risk. While M1 and M2 were not mutagenic, the potential </w:t>
      </w:r>
      <w:proofErr w:type="spellStart"/>
      <w:r w:rsidRPr="00EF4DA6">
        <w:t>clastogenicity</w:t>
      </w:r>
      <w:proofErr w:type="spellEnd"/>
      <w:r w:rsidRPr="00EF4DA6">
        <w:t xml:space="preserve"> of these metabolites has not been adequately assessed as exposures to these compounds were subclinical in the mouse micronucleus assay. This is not considered to be a major deficiency, given the intended patient population.</w:t>
      </w:r>
    </w:p>
    <w:p w:rsidR="00EF4DA6" w:rsidRPr="00EF4DA6" w:rsidRDefault="00EF4DA6" w:rsidP="00BA4960">
      <w:r w:rsidRPr="00EF4DA6">
        <w:t>No carcinogenicity studies were conducted, which is considered acceptable given the indication (ICH S9</w:t>
      </w:r>
      <w:r w:rsidR="006D7F7D">
        <w:t>)</w:t>
      </w:r>
    </w:p>
    <w:p w:rsidR="00EF4DA6" w:rsidRPr="00EF4DA6" w:rsidRDefault="00EF4DA6" w:rsidP="00BA4960">
      <w:pPr>
        <w:pStyle w:val="Heading4"/>
      </w:pPr>
      <w:r w:rsidRPr="00EF4DA6">
        <w:t>Reproductive toxicity</w:t>
      </w:r>
    </w:p>
    <w:p w:rsidR="001A5B87" w:rsidRDefault="00EF4DA6" w:rsidP="00BA4960">
      <w:r w:rsidRPr="00EF4DA6">
        <w:t xml:space="preserve">Reproductive toxicity studies were restricted to a preliminary </w:t>
      </w:r>
      <w:proofErr w:type="spellStart"/>
      <w:r w:rsidRPr="00EF4DA6">
        <w:t>embryofetal</w:t>
      </w:r>
      <w:proofErr w:type="spellEnd"/>
      <w:r w:rsidRPr="00EF4DA6">
        <w:t xml:space="preserve"> development study in mice. The absence of other reproductive toxicity studies is considered acceptable given the</w:t>
      </w:r>
      <w:r w:rsidR="001A5B87">
        <w:t xml:space="preserve"> proposed indication (ICH S9). </w:t>
      </w:r>
      <w:r w:rsidRPr="00EF4DA6">
        <w:t>Based on its mode of action and the effects on the male reproductive organs seen in the toxicity studies, enzalutamide is expected to have a reversible negative effe</w:t>
      </w:r>
      <w:r w:rsidR="00BA4960">
        <w:t>ct on male fertility.</w:t>
      </w:r>
    </w:p>
    <w:p w:rsidR="00EF4DA6" w:rsidRPr="00EF4DA6" w:rsidRDefault="00EF4DA6" w:rsidP="00BA4960">
      <w:r w:rsidRPr="00EF4DA6">
        <w:lastRenderedPageBreak/>
        <w:t xml:space="preserve">Placental transfer of enzalutamide and/or its metabolites has not been assessed. Teratogenicity and </w:t>
      </w:r>
      <w:proofErr w:type="spellStart"/>
      <w:r w:rsidRPr="00EF4DA6">
        <w:t>embryofetal</w:t>
      </w:r>
      <w:proofErr w:type="spellEnd"/>
      <w:r w:rsidRPr="00EF4DA6">
        <w:t xml:space="preserve"> lethality were evident in mice that received ≥</w:t>
      </w:r>
      <w:r w:rsidR="006D7F7D">
        <w:t> </w:t>
      </w:r>
      <w:r w:rsidRPr="00EF4DA6">
        <w:t>10</w:t>
      </w:r>
      <w:r w:rsidR="006D7F7D">
        <w:t> </w:t>
      </w:r>
      <w:r w:rsidRPr="00EF4DA6">
        <w:t xml:space="preserve">mg/kg/day PO enzalutamide during the period of organogenesis; based on </w:t>
      </w:r>
      <w:proofErr w:type="spellStart"/>
      <w:r w:rsidRPr="00EF4DA6">
        <w:t>toxicokinetic</w:t>
      </w:r>
      <w:proofErr w:type="spellEnd"/>
      <w:r w:rsidRPr="00EF4DA6">
        <w:t xml:space="preserve"> data in non-pregnant animals at higher doses, the systemic exposure to enzalutamide and M2 at 10 mg/kg/day was below the clinical exposure based on AUC. The teratogenic effects included cleft palate (with absent palatine bone), cervical rib</w:t>
      </w:r>
      <w:r w:rsidRPr="00EF4DA6" w:rsidDel="00044E11">
        <w:t xml:space="preserve"> </w:t>
      </w:r>
      <w:r w:rsidRPr="00EF4DA6">
        <w:t xml:space="preserve">and decreased </w:t>
      </w:r>
      <w:proofErr w:type="spellStart"/>
      <w:r w:rsidRPr="00EF4DA6">
        <w:t>anogenital</w:t>
      </w:r>
      <w:proofErr w:type="spellEnd"/>
      <w:r w:rsidRPr="00EF4DA6">
        <w:t xml:space="preserve"> distance. The latter finding is consistent with malformations seen with other </w:t>
      </w:r>
      <w:proofErr w:type="spellStart"/>
      <w:r w:rsidRPr="00EF4DA6">
        <w:t>antiandrogens</w:t>
      </w:r>
      <w:proofErr w:type="spellEnd"/>
      <w:r w:rsidRPr="00EF4DA6">
        <w:t xml:space="preserve"> (</w:t>
      </w:r>
      <w:proofErr w:type="spellStart"/>
      <w:r w:rsidRPr="00EF4DA6">
        <w:t>Iswaran</w:t>
      </w:r>
      <w:proofErr w:type="spellEnd"/>
      <w:r w:rsidRPr="00EF4DA6">
        <w:t xml:space="preserve"> et al., 1997</w:t>
      </w:r>
      <w:r w:rsidR="006D7F7D">
        <w:rPr>
          <w:rStyle w:val="FootnoteReference"/>
        </w:rPr>
        <w:footnoteReference w:id="14"/>
      </w:r>
      <w:r w:rsidRPr="00EF4DA6">
        <w:t xml:space="preserve">). Given the critical role of androgens in male </w:t>
      </w:r>
      <w:proofErr w:type="spellStart"/>
      <w:r w:rsidRPr="00EF4DA6">
        <w:t>fetal</w:t>
      </w:r>
      <w:proofErr w:type="spellEnd"/>
      <w:r w:rsidRPr="00EF4DA6">
        <w:t xml:space="preserve"> development, teratogenic effects would be expected with this type of drug.</w:t>
      </w:r>
    </w:p>
    <w:p w:rsidR="00EF4DA6" w:rsidRPr="00BA4960" w:rsidRDefault="00EF4DA6" w:rsidP="00BA4960">
      <w:pPr>
        <w:pStyle w:val="Heading5"/>
      </w:pPr>
      <w:r w:rsidRPr="00EF4DA6">
        <w:t>Pregnancy classification</w:t>
      </w:r>
    </w:p>
    <w:p w:rsidR="00EF4DA6" w:rsidRPr="00EF4DA6" w:rsidRDefault="006D7F7D" w:rsidP="00BA4960">
      <w:r>
        <w:t>The s</w:t>
      </w:r>
      <w:r w:rsidR="00EF4DA6" w:rsidRPr="00EF4DA6">
        <w:t xml:space="preserve">ponsor has proposed Pregnancy Category X. This </w:t>
      </w:r>
      <w:r>
        <w:t xml:space="preserve">category is defined as </w:t>
      </w:r>
      <w:r w:rsidR="00EF4DA6" w:rsidRPr="00BA4960">
        <w:rPr>
          <w:i/>
        </w:rPr>
        <w:t>drugs which have such a high risk of causing permanent damage to the fetus that they should not be used in pregnancy or when there is a possibility of pregnancy</w:t>
      </w:r>
      <w:r w:rsidR="00EF4DA6" w:rsidRPr="00EF4DA6">
        <w:t>. In light of the teratogenic effects seen in mice, this pregnancy category seems acceptable.</w:t>
      </w:r>
    </w:p>
    <w:p w:rsidR="00EF4DA6" w:rsidRPr="00BA4960" w:rsidRDefault="00BA4960" w:rsidP="00BA4960">
      <w:pPr>
        <w:pStyle w:val="Heading4"/>
      </w:pPr>
      <w:proofErr w:type="spellStart"/>
      <w:r>
        <w:t>Phototoxicity</w:t>
      </w:r>
      <w:proofErr w:type="spellEnd"/>
    </w:p>
    <w:p w:rsidR="00EF4DA6" w:rsidRPr="00EF4DA6" w:rsidRDefault="00EF4DA6" w:rsidP="00BA4960">
      <w:proofErr w:type="spellStart"/>
      <w:r w:rsidRPr="00EF4DA6">
        <w:t>Enzalutamide</w:t>
      </w:r>
      <w:proofErr w:type="spellEnd"/>
      <w:r w:rsidRPr="00EF4DA6">
        <w:t xml:space="preserve"> was not phototoxic in a standard in v</w:t>
      </w:r>
      <w:r w:rsidR="00BA4960">
        <w:t xml:space="preserve">itro assay in </w:t>
      </w:r>
      <w:proofErr w:type="spellStart"/>
      <w:r w:rsidR="00BA4960">
        <w:t>Balb</w:t>
      </w:r>
      <w:proofErr w:type="spellEnd"/>
      <w:r w:rsidR="00BA4960">
        <w:t>/c 3T3 cells.</w:t>
      </w:r>
    </w:p>
    <w:p w:rsidR="00EF4DA6" w:rsidRPr="00BA4960" w:rsidRDefault="00BA4960" w:rsidP="00BA4960">
      <w:pPr>
        <w:pStyle w:val="Heading4"/>
      </w:pPr>
      <w:r>
        <w:t>Excipients</w:t>
      </w:r>
    </w:p>
    <w:p w:rsidR="001A5B87" w:rsidRDefault="00EF4DA6" w:rsidP="00BA4960">
      <w:r w:rsidRPr="00EF4DA6">
        <w:t>The proposed formulation of Xtandi contains the novel excipient, Labrasol. All toxicity studies with enzalutamide included Labrasol as an excipient. The hi</w:t>
      </w:r>
      <w:r w:rsidR="006D7F7D">
        <w:t>ghest dose of Labrasol was 10.6 </w:t>
      </w:r>
      <w:r w:rsidRPr="00EF4DA6">
        <w:t>g/kg/day PO in mice, 2.65 g/kg/day in rats and 4.77 g/kg/day in dogs. Toxicities associated with Labrasol were evident in some of the studies and included excessive salivation and respiratory effects (audible or difficulty in breathing with pulmonary inflammation eviden</w:t>
      </w:r>
      <w:r w:rsidR="00BA4960">
        <w:t>t during post-mortem analyses).</w:t>
      </w:r>
    </w:p>
    <w:p w:rsidR="00EF4DA6" w:rsidRPr="00EF4DA6" w:rsidRDefault="00EF4DA6" w:rsidP="00BA4960">
      <w:r w:rsidRPr="00EF4DA6">
        <w:t>Respiratory distress was a cause of death of a number of animals, both rats and dogs. The respiratory effects were probably attributed to an induction of reflux by Labrasol leading to local irritation effects and accidental aspiration of the excipient, Labrasol. The clinical signs of excessive salivation are also an indicator of reflux (</w:t>
      </w:r>
      <w:proofErr w:type="spellStart"/>
      <w:r w:rsidRPr="00EF4DA6">
        <w:t>Damsch</w:t>
      </w:r>
      <w:proofErr w:type="spellEnd"/>
      <w:r w:rsidRPr="00EF4DA6">
        <w:t>, et al., 2011</w:t>
      </w:r>
      <w:r w:rsidR="006D7F7D">
        <w:rPr>
          <w:rStyle w:val="FootnoteReference"/>
        </w:rPr>
        <w:footnoteReference w:id="15"/>
      </w:r>
      <w:r w:rsidRPr="00EF4DA6">
        <w:t>). In general, the incidence and severity of respiratory effects were higher in animals that also received enzalutamide, suggesting a contribution of enzalutamide in the irritancy effect, though the reflux may be associated with Labrasol alone. No adverse respiratory effects were seen in rats that received 2.2 mL/kg/day Labrasol</w:t>
      </w:r>
      <w:r w:rsidR="001A5B87">
        <w:t xml:space="preserve"> (equal to about </w:t>
      </w:r>
      <w:r w:rsidRPr="00EF4DA6">
        <w:t xml:space="preserve">2.3 g/kg/day) for 26 weeks or in dogs that </w:t>
      </w:r>
      <w:r w:rsidR="006D7F7D">
        <w:t>received 0.5 mL/kg/day Labrasol</w:t>
      </w:r>
      <w:r w:rsidRPr="00EF4DA6">
        <w:t xml:space="preserve"> (</w:t>
      </w:r>
      <w:r w:rsidR="001A5B87" w:rsidRPr="001A5B87">
        <w:t xml:space="preserve">equal to about </w:t>
      </w:r>
      <w:r w:rsidRPr="00EF4DA6">
        <w:t xml:space="preserve">0.53 g/kg/day) for 13 weeks. These doses are </w:t>
      </w:r>
      <w:r w:rsidR="0008493B">
        <w:t xml:space="preserve">adequately higher than </w:t>
      </w:r>
      <w:r w:rsidRPr="00EF4DA6">
        <w:t xml:space="preserve">the proposed clinical dose of Labrasol (on </w:t>
      </w:r>
      <w:proofErr w:type="gramStart"/>
      <w:r w:rsidRPr="00EF4DA6">
        <w:t>a</w:t>
      </w:r>
      <w:proofErr w:type="gramEnd"/>
      <w:r w:rsidRPr="00EF4DA6">
        <w:t xml:space="preserve"> mg/kg basis). Therefore, the likelihood of respiratory effects in patients is low. The proposed text in the P</w:t>
      </w:r>
      <w:r w:rsidR="009D3816">
        <w:t xml:space="preserve">I </w:t>
      </w:r>
      <w:r w:rsidRPr="00EF4DA6">
        <w:t>document that states that capsules should be swallowed whole and that they should not be chewed, dissolved or opened seems appropriate.</w:t>
      </w:r>
    </w:p>
    <w:p w:rsidR="00EF4DA6" w:rsidRPr="00EF4DA6" w:rsidRDefault="00EF4DA6" w:rsidP="00BA4960">
      <w:pPr>
        <w:pStyle w:val="Heading4"/>
      </w:pPr>
      <w:r w:rsidRPr="00EF4DA6">
        <w:t>Impurities</w:t>
      </w:r>
    </w:p>
    <w:p w:rsidR="00EF4DA6" w:rsidRPr="00EF4DA6" w:rsidRDefault="00EF4DA6" w:rsidP="00BA4960">
      <w:r w:rsidRPr="00EF4DA6">
        <w:t>Three impurities/degradants in the drug substance and drug product specifications have been specified at levels above the qualification thresholds in the relevant ICH guidelines. The proposed limits for these impurities/degradants have been adequately qualified in the submitted toxicity studies.</w:t>
      </w:r>
    </w:p>
    <w:p w:rsidR="00EF4DA6" w:rsidRPr="00BA4960" w:rsidRDefault="00EF4DA6" w:rsidP="00BA4960">
      <w:pPr>
        <w:pStyle w:val="Heading4"/>
      </w:pPr>
      <w:r w:rsidRPr="00EF4DA6">
        <w:lastRenderedPageBreak/>
        <w:t>Paediatric use</w:t>
      </w:r>
    </w:p>
    <w:p w:rsidR="00EF4DA6" w:rsidRPr="00EF4DA6" w:rsidRDefault="00EF4DA6" w:rsidP="00BA4960">
      <w:r w:rsidRPr="00EF4DA6">
        <w:t>No specific studies in juvenile animals were submitted. Such studies are not considered necessary to support the applicati</w:t>
      </w:r>
      <w:r w:rsidR="00BA4960">
        <w:t>on for the proposed indication.</w:t>
      </w:r>
    </w:p>
    <w:p w:rsidR="008E7846" w:rsidRPr="00BA4960" w:rsidRDefault="008E7846" w:rsidP="00BA4960">
      <w:pPr>
        <w:pStyle w:val="Heading3"/>
      </w:pPr>
      <w:bookmarkStart w:id="60" w:name="_Toc247691515"/>
      <w:bookmarkStart w:id="61" w:name="_Toc314842499"/>
      <w:bookmarkStart w:id="62" w:name="_Toc408300835"/>
      <w:r>
        <w:t>Nonclinical summary and conclusions</w:t>
      </w:r>
      <w:bookmarkEnd w:id="60"/>
      <w:bookmarkEnd w:id="61"/>
      <w:bookmarkEnd w:id="62"/>
    </w:p>
    <w:p w:rsidR="00EF4DA6" w:rsidRPr="00EF4DA6" w:rsidRDefault="00EF4DA6" w:rsidP="00BA4960">
      <w:pPr>
        <w:pStyle w:val="ListBullet"/>
      </w:pPr>
      <w:r w:rsidRPr="00EF4DA6">
        <w:t xml:space="preserve">The submitted Module 4 data were in general accordance </w:t>
      </w:r>
      <w:r w:rsidRPr="00BA4960">
        <w:t>with</w:t>
      </w:r>
      <w:r w:rsidRPr="00EF4DA6">
        <w:t xml:space="preserve"> the ICH guideline on the nonclinical evaluation of anticancer pharmaceuticals (ICH S9). Xtandi contains the novel excipient Labrasol. The formulations of enzalutamide used in the safety studies included this excipient while the safety of the excipient was also evaluated separately. The only notable limitation of the submitted dataset is that the toxicity of the major active human metabolite has not been adequately assessed.</w:t>
      </w:r>
    </w:p>
    <w:p w:rsidR="00EF4DA6" w:rsidRPr="00EF4DA6" w:rsidRDefault="00EF4DA6" w:rsidP="00BA4960">
      <w:pPr>
        <w:pStyle w:val="ListBullet"/>
      </w:pPr>
      <w:r w:rsidRPr="00EF4DA6">
        <w:t>Enzalutamide was a competitive inhibitor at the wild-type AR and its castration-resistant mutant variants, T877A and W741C. No agonistic activity was detectable at the AR. One major human metabolite, M2, also had inhibitory activity at the AR and is likely to contribute significantly to the efficacy of enzalutamide in patients. Decreased tumour growth was seen in a mouse model bearing a castration-resistant prostate cancer cell line.</w:t>
      </w:r>
    </w:p>
    <w:p w:rsidR="00EF4DA6" w:rsidRPr="00EF4DA6" w:rsidRDefault="00EF4DA6" w:rsidP="00EF4DA6">
      <w:pPr>
        <w:pStyle w:val="ListBullet"/>
      </w:pPr>
      <w:r w:rsidRPr="00EF4DA6">
        <w:t>Both enzalutamide and M2 had significant inhibitory activity at the GABA</w:t>
      </w:r>
      <w:r w:rsidR="00C5177E">
        <w:t xml:space="preserve"> </w:t>
      </w:r>
      <w:r w:rsidRPr="00EF4DA6">
        <w:t xml:space="preserve">gated chloride channel and readily crossed the blood-brain barrier. Convulsions were seen in both mice and dogs with plasma concentrations of enzalutamide similar to or marginally above the clinical Cmax. Both enzalutamide and M2 inhibited the </w:t>
      </w:r>
      <w:proofErr w:type="spellStart"/>
      <w:r w:rsidRPr="00EF4DA6">
        <w:t>hERG</w:t>
      </w:r>
      <w:proofErr w:type="spellEnd"/>
      <w:r w:rsidRPr="00EF4DA6">
        <w:t xml:space="preserve"> K</w:t>
      </w:r>
      <w:r w:rsidRPr="00C5177E">
        <w:rPr>
          <w:vertAlign w:val="superscript"/>
        </w:rPr>
        <w:t>+</w:t>
      </w:r>
      <w:r w:rsidRPr="00EF4DA6">
        <w:t xml:space="preserve"> tail current. Insufficient data were provided to exclude a potential for QT prolongation during clinical use. Audible or irregular breathing was seen in rodents and dogs that received enzalutamide in Labrasol. Respiratory distress was a contributing factor in the deaths of a number of animals. The respiratory effects are partly due to reflux and inadvertent aspiration with a consequent local irritation effect of enzalutamide/Labrasol. The NOEL</w:t>
      </w:r>
      <w:r w:rsidR="009D3816">
        <w:t>s</w:t>
      </w:r>
      <w:r w:rsidRPr="00EF4DA6">
        <w:t xml:space="preserve"> for respiratory effects </w:t>
      </w:r>
      <w:r w:rsidR="009D3816">
        <w:t>are</w:t>
      </w:r>
      <w:r w:rsidRPr="00EF4DA6">
        <w:t xml:space="preserve"> at least 7 times the clinical dose. The like</w:t>
      </w:r>
      <w:r w:rsidR="009D3816">
        <w:t>li</w:t>
      </w:r>
      <w:r w:rsidRPr="00EF4DA6">
        <w:t>hood of respiratory effects in patients is low provided the capsules are taken as directed and not chewed or broken prior to swallowing.</w:t>
      </w:r>
    </w:p>
    <w:p w:rsidR="00EF4DA6" w:rsidRPr="00EF4DA6" w:rsidRDefault="00EF4DA6" w:rsidP="00BA4960">
      <w:pPr>
        <w:pStyle w:val="ListBullet"/>
      </w:pPr>
      <w:r w:rsidRPr="00EF4DA6">
        <w:t>Oral absorption was high in rats and dogs. M1 was a moderate metabolite and M2 a minor metabolite in animal species. Both of these are significant metabolites in humans. No significant inter-species differences in plasma protein binding were evident. Both enzalutamide and M2 partitioned into the brain of mice and rats with concentrations similar to those seen in plasma. CYP3A4, 3A5 and 2C8 appear to be involved in the formation of M2. Enzymes involved in the formation of M1 from enzalutamide were not identified.</w:t>
      </w:r>
    </w:p>
    <w:p w:rsidR="00EF4DA6" w:rsidRPr="00EF4DA6" w:rsidRDefault="00EF4DA6" w:rsidP="00BA4960">
      <w:pPr>
        <w:pStyle w:val="ListBullet"/>
      </w:pPr>
      <w:r w:rsidRPr="00EF4DA6">
        <w:t xml:space="preserve">In vitro studies indicated a number of potential </w:t>
      </w:r>
      <w:r w:rsidR="00C5177E">
        <w:t xml:space="preserve">PK </w:t>
      </w:r>
      <w:r w:rsidRPr="00EF4DA6">
        <w:t>drug interaction possibilities:</w:t>
      </w:r>
    </w:p>
    <w:p w:rsidR="00EF4DA6" w:rsidRPr="00EF4DA6" w:rsidRDefault="00EF4DA6" w:rsidP="00BA4960">
      <w:pPr>
        <w:pStyle w:val="ListBullet2"/>
      </w:pPr>
      <w:r w:rsidRPr="00EF4DA6">
        <w:t>Inhibitors or inducers of CYP3A4/5 and 2C8 are likely to alter the plasma kinetics of enzalutamide.</w:t>
      </w:r>
    </w:p>
    <w:p w:rsidR="00EF4DA6" w:rsidRPr="00EF4DA6" w:rsidRDefault="00EF4DA6" w:rsidP="00BA4960">
      <w:pPr>
        <w:pStyle w:val="ListBullet2"/>
      </w:pPr>
      <w:r w:rsidRPr="00EF4DA6">
        <w:t>Enzalutamide is likely to decrease the exposure of drugs that are metabolised by CYP3A4, 2C9, 2C19 or UGTs (also based on in vivo human data).</w:t>
      </w:r>
    </w:p>
    <w:p w:rsidR="00EF4DA6" w:rsidRPr="00EF4DA6" w:rsidRDefault="00EF4DA6" w:rsidP="00BA4960">
      <w:pPr>
        <w:pStyle w:val="ListBullet2"/>
      </w:pPr>
      <w:r w:rsidRPr="00EF4DA6">
        <w:t>Enzalutamide has the potential to alter the disposition of drugs that are substrates of P-</w:t>
      </w:r>
      <w:proofErr w:type="spellStart"/>
      <w:r w:rsidRPr="00EF4DA6">
        <w:t>g</w:t>
      </w:r>
      <w:r w:rsidR="00C5177E">
        <w:t>p</w:t>
      </w:r>
      <w:proofErr w:type="spellEnd"/>
      <w:r w:rsidRPr="00EF4DA6">
        <w:t>. An effect on substrates of BCRP, OATP1B1, OCT1 or OAT3 cannot be excluded.</w:t>
      </w:r>
    </w:p>
    <w:p w:rsidR="00EF4DA6" w:rsidRPr="00EF4DA6" w:rsidRDefault="009D3816" w:rsidP="00BA4960">
      <w:pPr>
        <w:pStyle w:val="ListBullet"/>
      </w:pPr>
      <w:r>
        <w:t xml:space="preserve">Repeat </w:t>
      </w:r>
      <w:r w:rsidR="00EF4DA6" w:rsidRPr="00EF4DA6">
        <w:t>dose toxicity studies were conducted in mice (1 week), rats (up to 26 weeks) and dogs (up to 13 weeks). The toxicities observed were associated with the pharmacology of the drug (effects on the reproductive organs, pituitary gland, mammary gland and adrenal gland),</w:t>
      </w:r>
      <w:r w:rsidR="00C5177E">
        <w:t xml:space="preserve"> off-target effects on the GABA </w:t>
      </w:r>
      <w:r w:rsidR="00EF4DA6" w:rsidRPr="00EF4DA6">
        <w:t xml:space="preserve">gated chloride </w:t>
      </w:r>
      <w:r w:rsidR="00EF4DA6" w:rsidRPr="00EF4DA6">
        <w:lastRenderedPageBreak/>
        <w:t>channel (convulsions) or associated with Labrasol (respiratory effects, salivation and gastrointestinal disturbance). Deaths in toxicity studies were generally associated with CNS or respiratory effects. Findings in the liver, thyroid gland and kidney of rats were considered to be either adapti</w:t>
      </w:r>
      <w:r w:rsidR="00BA4960">
        <w:t>ve or species-specific effects.</w:t>
      </w:r>
    </w:p>
    <w:p w:rsidR="00EF4DA6" w:rsidRPr="00EF4DA6" w:rsidRDefault="00EF4DA6" w:rsidP="00BA4960">
      <w:pPr>
        <w:pStyle w:val="ListBullet"/>
      </w:pPr>
      <w:proofErr w:type="spellStart"/>
      <w:r w:rsidRPr="00EF4DA6">
        <w:t>Enzalutamide</w:t>
      </w:r>
      <w:proofErr w:type="spellEnd"/>
      <w:r w:rsidRPr="00EF4DA6">
        <w:t xml:space="preserve"> was not </w:t>
      </w:r>
      <w:proofErr w:type="spellStart"/>
      <w:r w:rsidRPr="00EF4DA6">
        <w:t>genotoxic</w:t>
      </w:r>
      <w:proofErr w:type="spellEnd"/>
      <w:r w:rsidRPr="00EF4DA6">
        <w:t xml:space="preserve"> in the standard battery of tests. No carcinogenicity studies were submitted, which is considered acceptable.</w:t>
      </w:r>
    </w:p>
    <w:p w:rsidR="00EF4DA6" w:rsidRPr="00EF4DA6" w:rsidRDefault="00EF4DA6" w:rsidP="00BA4960">
      <w:pPr>
        <w:pStyle w:val="ListBullet"/>
      </w:pPr>
      <w:r w:rsidRPr="00EF4DA6">
        <w:t xml:space="preserve">Reproductive toxicity studies were restricted to a </w:t>
      </w:r>
      <w:r w:rsidRPr="00BA4960">
        <w:t>preliminary</w:t>
      </w:r>
      <w:r w:rsidRPr="00EF4DA6">
        <w:t xml:space="preserve"> </w:t>
      </w:r>
      <w:proofErr w:type="spellStart"/>
      <w:r w:rsidRPr="00EF4DA6">
        <w:t>embryofetal</w:t>
      </w:r>
      <w:proofErr w:type="spellEnd"/>
      <w:r w:rsidRPr="00EF4DA6">
        <w:t xml:space="preserve"> development study in mice. Teratogenicity and </w:t>
      </w:r>
      <w:proofErr w:type="spellStart"/>
      <w:r w:rsidRPr="00EF4DA6">
        <w:t>embryofetal</w:t>
      </w:r>
      <w:proofErr w:type="spellEnd"/>
      <w:r w:rsidRPr="00EF4DA6">
        <w:t xml:space="preserve"> lethality were evident at low relative doses.</w:t>
      </w:r>
    </w:p>
    <w:p w:rsidR="00EF4DA6" w:rsidRPr="00EF4DA6" w:rsidRDefault="00EF4DA6" w:rsidP="00BA4960">
      <w:pPr>
        <w:pStyle w:val="ListBullet"/>
      </w:pPr>
      <w:r w:rsidRPr="00EF4DA6">
        <w:t xml:space="preserve">Enzalutamide was not phototoxic in a standard in vitro </w:t>
      </w:r>
      <w:r w:rsidRPr="00BA4960">
        <w:t>assay</w:t>
      </w:r>
      <w:r w:rsidRPr="00EF4DA6">
        <w:t>.</w:t>
      </w:r>
    </w:p>
    <w:p w:rsidR="00EF4DA6" w:rsidRPr="00EF4DA6" w:rsidRDefault="00EF4DA6" w:rsidP="00EF4DA6">
      <w:pPr>
        <w:pStyle w:val="ListBullet"/>
      </w:pPr>
      <w:r w:rsidRPr="00EF4DA6">
        <w:t>The safety of the excipient, Labrasol, has been adequately assessed.</w:t>
      </w:r>
    </w:p>
    <w:p w:rsidR="00EF4DA6" w:rsidRPr="00BA4960" w:rsidRDefault="00C5177E" w:rsidP="00AE0298">
      <w:pPr>
        <w:pStyle w:val="Heading3"/>
      </w:pPr>
      <w:bookmarkStart w:id="63" w:name="_Toc294861479"/>
      <w:bookmarkStart w:id="64" w:name="_Toc295290862"/>
      <w:bookmarkStart w:id="65" w:name="_Toc362257842"/>
      <w:bookmarkStart w:id="66" w:name="_Toc408300836"/>
      <w:r>
        <w:t>C</w:t>
      </w:r>
      <w:r w:rsidRPr="00C5177E">
        <w:t xml:space="preserve">onclusions and </w:t>
      </w:r>
      <w:r w:rsidR="006142E4" w:rsidRPr="00AE0298">
        <w:t>r</w:t>
      </w:r>
      <w:r w:rsidRPr="00AE0298">
        <w:t>ecommendation</w:t>
      </w:r>
      <w:bookmarkEnd w:id="63"/>
      <w:bookmarkEnd w:id="64"/>
      <w:bookmarkEnd w:id="65"/>
      <w:bookmarkEnd w:id="66"/>
    </w:p>
    <w:p w:rsidR="00EF4DA6" w:rsidRPr="00EF4DA6" w:rsidRDefault="00EF4DA6" w:rsidP="00AE0298">
      <w:pPr>
        <w:pStyle w:val="ListBullet"/>
      </w:pPr>
      <w:r w:rsidRPr="00EF4DA6">
        <w:t xml:space="preserve">The </w:t>
      </w:r>
      <w:r w:rsidRPr="00AE0298">
        <w:t>pharmacology</w:t>
      </w:r>
      <w:r w:rsidRPr="00EF4DA6">
        <w:t xml:space="preserve"> studies support the proposed indication.</w:t>
      </w:r>
    </w:p>
    <w:p w:rsidR="00EF4DA6" w:rsidRPr="00EF4DA6" w:rsidRDefault="00EF4DA6" w:rsidP="00AE0298">
      <w:pPr>
        <w:pStyle w:val="ListBullet"/>
      </w:pPr>
      <w:r w:rsidRPr="00EF4DA6">
        <w:t xml:space="preserve">The toxicity of </w:t>
      </w:r>
      <w:r w:rsidRPr="00AE0298">
        <w:t>the</w:t>
      </w:r>
      <w:r w:rsidRPr="00EF4DA6">
        <w:t xml:space="preserve"> major active human metabolite, M2, has not been adequately assessed, but given the similar pharmacological profiles of M2 and enzalutamide, M2 is likely to have a similar toxicity profile to enzalutamide.</w:t>
      </w:r>
    </w:p>
    <w:p w:rsidR="00EF4DA6" w:rsidRPr="00EF4DA6" w:rsidRDefault="00EF4DA6" w:rsidP="00AE0298">
      <w:pPr>
        <w:pStyle w:val="ListBullet"/>
      </w:pPr>
      <w:r w:rsidRPr="00EF4DA6">
        <w:t xml:space="preserve">In vitro studies </w:t>
      </w:r>
      <w:r w:rsidRPr="00AE0298">
        <w:t>indicate</w:t>
      </w:r>
      <w:r w:rsidRPr="00EF4DA6">
        <w:t xml:space="preserve"> a large number of potential </w:t>
      </w:r>
      <w:r w:rsidR="00AA61AD">
        <w:t>PK</w:t>
      </w:r>
      <w:r w:rsidRPr="00EF4DA6">
        <w:t xml:space="preserve"> drug interactions are possible.</w:t>
      </w:r>
    </w:p>
    <w:p w:rsidR="00EF4DA6" w:rsidRPr="00EF4DA6" w:rsidRDefault="00EF4DA6" w:rsidP="00EF4DA6">
      <w:pPr>
        <w:pStyle w:val="ListBullet"/>
      </w:pPr>
      <w:r w:rsidRPr="00EF4DA6">
        <w:t>The only toxicity of clinical relevance is the potential to cause CNS effects (</w:t>
      </w:r>
      <w:r w:rsidR="009D3816">
        <w:t xml:space="preserve">for example, </w:t>
      </w:r>
      <w:r w:rsidRPr="00EF4DA6">
        <w:t>seizures). Other findings are expected with this typ</w:t>
      </w:r>
      <w:r w:rsidR="009D3816">
        <w:t xml:space="preserve">e of drug or are not clinically </w:t>
      </w:r>
      <w:r w:rsidRPr="00EF4DA6">
        <w:t>relevant.</w:t>
      </w:r>
    </w:p>
    <w:p w:rsidR="00EF4DA6" w:rsidRPr="00EF4DA6" w:rsidRDefault="00EF4DA6" w:rsidP="00AE0298">
      <w:pPr>
        <w:pStyle w:val="ListBullet"/>
      </w:pPr>
      <w:r w:rsidRPr="00EF4DA6">
        <w:t xml:space="preserve">Local irritation </w:t>
      </w:r>
      <w:r w:rsidRPr="00AE0298">
        <w:t>effects</w:t>
      </w:r>
      <w:r w:rsidRPr="00EF4DA6">
        <w:t xml:space="preserve"> in the oesophagus and respiratory tract are not expected to occur clinically provided the capsules are taken as directed and not chewed or broken prior to swallowing.</w:t>
      </w:r>
    </w:p>
    <w:p w:rsidR="009D3816" w:rsidRDefault="00EF4DA6" w:rsidP="00AE0298">
      <w:r w:rsidRPr="00EF4DA6">
        <w:t>There are no objections on nonclinical grounds to the proposed registration of enzalutamide for the proposed indication.</w:t>
      </w:r>
    </w:p>
    <w:p w:rsidR="00EF4DA6" w:rsidRPr="00EF4DA6" w:rsidRDefault="009D3816" w:rsidP="00AE0298">
      <w:r>
        <w:t>Recommended revisions to the nonclinical text in the draft PI are beyond the scope of the AusPAR.</w:t>
      </w:r>
    </w:p>
    <w:p w:rsidR="008E7846" w:rsidRPr="00AE0298" w:rsidRDefault="008E7846" w:rsidP="00AE0298">
      <w:pPr>
        <w:pStyle w:val="Heading2"/>
      </w:pPr>
      <w:bookmarkStart w:id="67" w:name="_Toc196046462"/>
      <w:bookmarkStart w:id="68" w:name="_Toc247691516"/>
      <w:bookmarkStart w:id="69" w:name="_Toc314842500"/>
      <w:bookmarkStart w:id="70" w:name="_Toc163441353"/>
      <w:bookmarkStart w:id="71" w:name="_Toc163441348"/>
      <w:bookmarkStart w:id="72" w:name="_Toc408300837"/>
      <w:r>
        <w:t xml:space="preserve">IV. </w:t>
      </w:r>
      <w:r w:rsidRPr="00254787">
        <w:t>Clinical</w:t>
      </w:r>
      <w:bookmarkEnd w:id="67"/>
      <w:r>
        <w:t xml:space="preserve"> </w:t>
      </w:r>
      <w:r w:rsidR="003A7F6C">
        <w:t>f</w:t>
      </w:r>
      <w:r>
        <w:t>indings</w:t>
      </w:r>
      <w:bookmarkEnd w:id="68"/>
      <w:bookmarkEnd w:id="69"/>
      <w:bookmarkEnd w:id="72"/>
    </w:p>
    <w:p w:rsidR="00C80137" w:rsidRDefault="00C80137" w:rsidP="00AE0298">
      <w:bookmarkStart w:id="73"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Pr="00AE0298" w:rsidRDefault="008E7846" w:rsidP="00AE0298">
      <w:pPr>
        <w:pStyle w:val="Heading3"/>
      </w:pPr>
      <w:bookmarkStart w:id="74" w:name="_Toc247691517"/>
      <w:bookmarkStart w:id="75" w:name="_Toc314842501"/>
      <w:bookmarkStart w:id="76" w:name="_Toc408300838"/>
      <w:r w:rsidRPr="00254787">
        <w:t>Introduction</w:t>
      </w:r>
      <w:bookmarkEnd w:id="73"/>
      <w:bookmarkEnd w:id="74"/>
      <w:bookmarkEnd w:id="75"/>
      <w:bookmarkEnd w:id="76"/>
    </w:p>
    <w:p w:rsidR="009619B1" w:rsidRDefault="009619B1" w:rsidP="00AE0298">
      <w:proofErr w:type="spellStart"/>
      <w:r w:rsidRPr="00EB2107">
        <w:t>Enzalutamide</w:t>
      </w:r>
      <w:proofErr w:type="spellEnd"/>
      <w:r w:rsidRPr="00EB2107">
        <w:t xml:space="preserve"> is a potent androgen receptor signalling inhibitor (ARSI) that blocks several steps in the </w:t>
      </w:r>
      <w:r w:rsidR="00BB6145">
        <w:t xml:space="preserve">AR </w:t>
      </w:r>
      <w:r w:rsidRPr="00EB2107">
        <w:t>signalling path</w:t>
      </w:r>
      <w:r w:rsidR="00AE0298">
        <w:t>way. The proposed indication is:</w:t>
      </w:r>
    </w:p>
    <w:p w:rsidR="009619B1" w:rsidRPr="00AE0298" w:rsidRDefault="009619B1" w:rsidP="00AE0298">
      <w:pPr>
        <w:ind w:left="720"/>
        <w:rPr>
          <w:i/>
        </w:rPr>
      </w:pPr>
      <w:proofErr w:type="gramStart"/>
      <w:r w:rsidRPr="00AE0298">
        <w:rPr>
          <w:i/>
        </w:rPr>
        <w:t>for</w:t>
      </w:r>
      <w:proofErr w:type="gramEnd"/>
      <w:r w:rsidRPr="00AE0298">
        <w:rPr>
          <w:i/>
        </w:rPr>
        <w:t xml:space="preserve"> the treatment of patients with metastatic castration-resistant prostate cancer who have previously received docetaxel.</w:t>
      </w:r>
    </w:p>
    <w:p w:rsidR="009619B1" w:rsidRPr="008C04F3" w:rsidRDefault="009619B1" w:rsidP="00AE0298">
      <w:r w:rsidRPr="008C04F3">
        <w:t>The proposed dose of enzalutamide is 160 mg (four 40 mg capsules) as a single oral daily dose with or without food. The capsules are to be swallowed whole with water.</w:t>
      </w:r>
    </w:p>
    <w:p w:rsidR="00605AD4" w:rsidRDefault="00531C9B" w:rsidP="00605AD4">
      <w:pPr>
        <w:pStyle w:val="Heading4"/>
      </w:pPr>
      <w:bookmarkStart w:id="77" w:name="_Toc196046464"/>
      <w:bookmarkStart w:id="78" w:name="_Toc247691518"/>
      <w:bookmarkStart w:id="79" w:name="_Toc314842502"/>
      <w:r>
        <w:lastRenderedPageBreak/>
        <w:t>Clinical r</w:t>
      </w:r>
      <w:r w:rsidR="00605AD4" w:rsidRPr="00605AD4">
        <w:t>ationale</w:t>
      </w:r>
    </w:p>
    <w:p w:rsidR="00A05231" w:rsidRPr="00A12FA5" w:rsidRDefault="00A05231" w:rsidP="00531C9B">
      <w:r w:rsidRPr="00A12FA5">
        <w:t xml:space="preserve">Prostate cancer is known to be androgen sensitive. Hormonal therapies for prostate cancer include surgical castration or medical therapy with </w:t>
      </w:r>
      <w:proofErr w:type="spellStart"/>
      <w:r w:rsidRPr="00A12FA5">
        <w:t>GnR</w:t>
      </w:r>
      <w:r w:rsidR="00C600DB">
        <w:t>H</w:t>
      </w:r>
      <w:proofErr w:type="spellEnd"/>
      <w:r w:rsidR="00C600DB">
        <w:t xml:space="preserve"> analogues, </w:t>
      </w:r>
      <w:proofErr w:type="spellStart"/>
      <w:r w:rsidR="00C600DB">
        <w:t>anti</w:t>
      </w:r>
      <w:r w:rsidRPr="00A12FA5">
        <w:t>androgens</w:t>
      </w:r>
      <w:proofErr w:type="spellEnd"/>
      <w:r w:rsidRPr="00A12FA5">
        <w:t xml:space="preserve"> (</w:t>
      </w:r>
      <w:r w:rsidR="00F551AA">
        <w:t xml:space="preserve">such as </w:t>
      </w:r>
      <w:proofErr w:type="spellStart"/>
      <w:r w:rsidRPr="00A12FA5">
        <w:t>bicalutamide</w:t>
      </w:r>
      <w:proofErr w:type="spellEnd"/>
      <w:r w:rsidRPr="00A12FA5">
        <w:t xml:space="preserve">, </w:t>
      </w:r>
      <w:proofErr w:type="spellStart"/>
      <w:r w:rsidRPr="00A12FA5">
        <w:t>flutamide</w:t>
      </w:r>
      <w:proofErr w:type="spellEnd"/>
      <w:r w:rsidRPr="00A12FA5">
        <w:t xml:space="preserve">, and </w:t>
      </w:r>
      <w:proofErr w:type="spellStart"/>
      <w:r w:rsidRPr="00A12FA5">
        <w:t>nilutamide</w:t>
      </w:r>
      <w:proofErr w:type="spellEnd"/>
      <w:r w:rsidRPr="00A12FA5">
        <w:t>), androgen synthesis blockers (</w:t>
      </w:r>
      <w:r w:rsidR="00F551AA">
        <w:t xml:space="preserve">such as </w:t>
      </w:r>
      <w:r w:rsidRPr="00A12FA5">
        <w:t>ketoconazole), and/or oestrogenic compounds. Tumours that progress despite castrate levels of testosterone in the blood are considered castration-resistant prostate cancer. Castration-resistant progression generally represents a transition to the lethal state of the disease condition. The median survival of patients with CRPC is approximately 1–2 years.</w:t>
      </w:r>
    </w:p>
    <w:p w:rsidR="00A05231" w:rsidRPr="00A12FA5" w:rsidRDefault="00A05231" w:rsidP="00531C9B">
      <w:r w:rsidRPr="00A12FA5">
        <w:t xml:space="preserve">According to the sponsor, results of studies on the molecular profiles of these progressing CRPCs showed that the </w:t>
      </w:r>
      <w:r w:rsidR="00BB6145">
        <w:t>AR</w:t>
      </w:r>
      <w:r w:rsidRPr="00A12FA5">
        <w:t xml:space="preserve"> remains functional, and that despite low or even undetectable levels of androgens, </w:t>
      </w:r>
      <w:r w:rsidR="00BB6145">
        <w:t>AR</w:t>
      </w:r>
      <w:r w:rsidRPr="00A12FA5">
        <w:t xml:space="preserve"> signalling continues t</w:t>
      </w:r>
      <w:r w:rsidR="005A33EE">
        <w:t xml:space="preserve">o promote disease progression. </w:t>
      </w:r>
      <w:r w:rsidRPr="00A12FA5">
        <w:t xml:space="preserve">This leads to the hypothesis that these tumours would respond to therapies directed at the </w:t>
      </w:r>
      <w:r w:rsidR="00BB6145">
        <w:t>AR</w:t>
      </w:r>
      <w:r w:rsidR="00531C9B">
        <w:t xml:space="preserve"> signalling axis.</w:t>
      </w:r>
    </w:p>
    <w:p w:rsidR="00A05231" w:rsidRPr="00A12FA5" w:rsidRDefault="00A05231" w:rsidP="00531C9B">
      <w:r w:rsidRPr="00A12FA5">
        <w:t>Clinical treatment of advanced prostate cancer is also limited by the development of resista</w:t>
      </w:r>
      <w:r w:rsidR="00C600DB">
        <w:t>nce to currently available anti</w:t>
      </w:r>
      <w:r w:rsidRPr="00A12FA5">
        <w:t xml:space="preserve">androgen therapies. In addition, overexpression of the </w:t>
      </w:r>
      <w:r w:rsidR="00BB6145">
        <w:t>AR</w:t>
      </w:r>
      <w:r w:rsidRPr="00A12FA5">
        <w:t xml:space="preserve"> has been documented in upwards of 50% of CRPC specimens and is believed to contribute to tumour progr</w:t>
      </w:r>
      <w:r w:rsidR="00C600DB">
        <w:t xml:space="preserve">ession. Currently approved </w:t>
      </w:r>
      <w:proofErr w:type="spellStart"/>
      <w:r w:rsidR="00C600DB">
        <w:t>anti</w:t>
      </w:r>
      <w:r w:rsidRPr="00A12FA5">
        <w:t>androgens</w:t>
      </w:r>
      <w:proofErr w:type="spellEnd"/>
      <w:r w:rsidRPr="00A12FA5">
        <w:t xml:space="preserve">, including </w:t>
      </w:r>
      <w:proofErr w:type="spellStart"/>
      <w:r w:rsidRPr="00A12FA5">
        <w:t>bicalutamide</w:t>
      </w:r>
      <w:proofErr w:type="spellEnd"/>
      <w:r w:rsidRPr="00A12FA5">
        <w:t xml:space="preserve"> and </w:t>
      </w:r>
      <w:proofErr w:type="spellStart"/>
      <w:r w:rsidRPr="00A12FA5">
        <w:t>flutamide</w:t>
      </w:r>
      <w:proofErr w:type="spellEnd"/>
      <w:r w:rsidRPr="00A12FA5">
        <w:t xml:space="preserve">, have been found to stimulate </w:t>
      </w:r>
      <w:r w:rsidR="00BB6145">
        <w:t>AR</w:t>
      </w:r>
      <w:r w:rsidRPr="00A12FA5">
        <w:t xml:space="preserve"> signalling in the setting of </w:t>
      </w:r>
      <w:r w:rsidR="00BB6145">
        <w:t>AR</w:t>
      </w:r>
      <w:r w:rsidRPr="00A12FA5">
        <w:t xml:space="preserve"> overexpression, thereby potentially exacerbating or accelerating castration-resistant tumour growth. In clinical practice, most patients receive 2 or more hormonal manipulations and are then offered chemotherapy (</w:t>
      </w:r>
      <w:r w:rsidR="00F551AA">
        <w:t xml:space="preserve">for example with </w:t>
      </w:r>
      <w:proofErr w:type="spellStart"/>
      <w:r w:rsidRPr="00A12FA5">
        <w:t>docetaxel</w:t>
      </w:r>
      <w:proofErr w:type="spellEnd"/>
      <w:r w:rsidRPr="00A12FA5">
        <w:t xml:space="preserve"> or </w:t>
      </w:r>
      <w:proofErr w:type="spellStart"/>
      <w:r w:rsidRPr="00A12FA5">
        <w:t>cabazitaxel</w:t>
      </w:r>
      <w:proofErr w:type="spellEnd"/>
      <w:r w:rsidRPr="00A12FA5">
        <w:t>) as their</w:t>
      </w:r>
      <w:r w:rsidR="00531C9B">
        <w:t xml:space="preserve"> disease continues to progress.</w:t>
      </w:r>
    </w:p>
    <w:p w:rsidR="00A05231" w:rsidRPr="00A12FA5" w:rsidRDefault="00A05231" w:rsidP="00A05231">
      <w:r w:rsidRPr="00A12FA5">
        <w:t xml:space="preserve">Three pharmaceutical agents have demonstrated a survival advantage and are approved for the treatment of CRPC: docetaxel with prednisone as front-line chemotherapy; </w:t>
      </w:r>
      <w:proofErr w:type="spellStart"/>
      <w:r w:rsidRPr="00A12FA5">
        <w:t>cabazitaxel</w:t>
      </w:r>
      <w:proofErr w:type="spellEnd"/>
      <w:r w:rsidRPr="00A12FA5">
        <w:t xml:space="preserve"> with prednisone as second-line chemotherapy following docetaxel; and abiraterone acetate (an oral inhibitor of androgen biosynthesis) with prednisone following docetaxel. Once patients progress on docetaxel and require second-line therapy, the options included </w:t>
      </w:r>
      <w:proofErr w:type="spellStart"/>
      <w:r w:rsidRPr="00A12FA5">
        <w:t>cabazitaxel</w:t>
      </w:r>
      <w:proofErr w:type="spellEnd"/>
      <w:r w:rsidRPr="00A12FA5">
        <w:t xml:space="preserve"> plus prednisone or abiraterone plus pre</w:t>
      </w:r>
      <w:r w:rsidR="00C600DB">
        <w:t xml:space="preserve">dnisone. </w:t>
      </w:r>
      <w:proofErr w:type="spellStart"/>
      <w:r w:rsidR="00C600DB">
        <w:t>Cabazitaxel</w:t>
      </w:r>
      <w:proofErr w:type="spellEnd"/>
      <w:r w:rsidR="00C600DB">
        <w:t xml:space="preserve"> is an anti</w:t>
      </w:r>
      <w:r w:rsidRPr="00A12FA5">
        <w:t xml:space="preserve">neoplastic agent and needs to be administered by </w:t>
      </w:r>
      <w:r w:rsidR="00F551AA">
        <w:t xml:space="preserve">IV </w:t>
      </w:r>
      <w:r w:rsidRPr="00A12FA5">
        <w:t xml:space="preserve">infusion, and treatment is complicated by febrile neutropenia, neutropenic deaths, and serious gastrointestinal side effects including diarrhoea. Abiraterone is an oral inhibitor of androgen biosynthesis and treatment requires the co-administration of prednisone, and is complicated by the side effects of mineralocorticoid excess (hypertension, </w:t>
      </w:r>
      <w:proofErr w:type="spellStart"/>
      <w:r w:rsidRPr="00A12FA5">
        <w:t>hypokalemia</w:t>
      </w:r>
      <w:proofErr w:type="spellEnd"/>
      <w:r w:rsidRPr="00A12FA5">
        <w:t>, and fluid overload), hepatotoxicity, and adrenal insufficiency. The sponsor is therefore of the opinion that there is still a medical need for pharmaceutical agents to trea</w:t>
      </w:r>
      <w:r w:rsidR="005A33EE">
        <w:t xml:space="preserve">t CRPC, and that enzalutamide, </w:t>
      </w:r>
      <w:r w:rsidRPr="00A12FA5">
        <w:t xml:space="preserve">in having a mechanism of action (inhibition of the </w:t>
      </w:r>
      <w:r w:rsidR="00BB6145">
        <w:t>AR</w:t>
      </w:r>
      <w:r w:rsidRPr="00A12FA5">
        <w:t xml:space="preserve"> signalling pathway) that is distinct from those of currently approved drugs for CRPC, can be a therapeutic option for these patients.</w:t>
      </w:r>
    </w:p>
    <w:p w:rsidR="00A05231" w:rsidRDefault="00F551AA" w:rsidP="00531C9B">
      <w:pPr>
        <w:ind w:left="720"/>
      </w:pPr>
      <w:r>
        <w:rPr>
          <w:b/>
        </w:rPr>
        <w:t>Evaluator c</w:t>
      </w:r>
      <w:r w:rsidR="00A05231" w:rsidRPr="008C04F3">
        <w:rPr>
          <w:b/>
        </w:rPr>
        <w:t>omments:</w:t>
      </w:r>
      <w:r w:rsidR="00A05231">
        <w:t xml:space="preserve"> </w:t>
      </w:r>
      <w:r w:rsidR="00A05231" w:rsidRPr="00A12FA5">
        <w:t>The clinical rationale is s</w:t>
      </w:r>
      <w:r>
        <w:t xml:space="preserve">ound. </w:t>
      </w:r>
      <w:proofErr w:type="spellStart"/>
      <w:r w:rsidR="00A05231" w:rsidRPr="00A12FA5">
        <w:t>Abiraterone</w:t>
      </w:r>
      <w:proofErr w:type="spellEnd"/>
      <w:r w:rsidR="00A05231" w:rsidRPr="00A12FA5">
        <w:t xml:space="preserve"> (</w:t>
      </w:r>
      <w:proofErr w:type="spellStart"/>
      <w:r w:rsidR="00A05231" w:rsidRPr="00A12FA5">
        <w:t>Zytiga</w:t>
      </w:r>
      <w:proofErr w:type="spellEnd"/>
      <w:r w:rsidR="00A05231" w:rsidRPr="00A12FA5">
        <w:t xml:space="preserve">) is currently approved in Australia and is </w:t>
      </w:r>
      <w:r w:rsidR="00A05231" w:rsidRPr="00531C9B">
        <w:rPr>
          <w:i/>
        </w:rPr>
        <w:t xml:space="preserve">“indicated with prednisone or prednisolone for the treatment of metastatic advanced prostate cancer (castration resistant prostate cancer) in patients who have received prior chemotherapy containing a </w:t>
      </w:r>
      <w:proofErr w:type="spellStart"/>
      <w:r w:rsidR="00A05231" w:rsidRPr="00531C9B">
        <w:rPr>
          <w:i/>
        </w:rPr>
        <w:t>taxane</w:t>
      </w:r>
      <w:proofErr w:type="spellEnd"/>
      <w:r w:rsidR="00A05231" w:rsidRPr="00531C9B">
        <w:rPr>
          <w:i/>
        </w:rPr>
        <w:t>”</w:t>
      </w:r>
      <w:r w:rsidR="00A05231" w:rsidRPr="008C04F3">
        <w:rPr>
          <w:vertAlign w:val="superscript"/>
        </w:rPr>
        <w:footnoteReference w:id="16"/>
      </w:r>
      <w:r w:rsidR="00531C9B">
        <w:t>.</w:t>
      </w:r>
    </w:p>
    <w:p w:rsidR="00605AD4" w:rsidRPr="00531C9B" w:rsidRDefault="00605AD4" w:rsidP="00531C9B">
      <w:pPr>
        <w:pStyle w:val="Heading4"/>
      </w:pPr>
      <w:r w:rsidRPr="00605AD4">
        <w:t>Guidance</w:t>
      </w:r>
    </w:p>
    <w:p w:rsidR="00A05231" w:rsidRPr="008C04F3" w:rsidRDefault="00A05231" w:rsidP="00531C9B">
      <w:r w:rsidRPr="008C04F3">
        <w:t>The sponsor had stated that the specific issues identified as requiring sponsor action in the TGA Planning Letter has been addre</w:t>
      </w:r>
      <w:r w:rsidR="00531C9B">
        <w:t>ssed in the dossier submission.</w:t>
      </w:r>
    </w:p>
    <w:p w:rsidR="00605AD4" w:rsidRPr="00531C9B" w:rsidRDefault="00605AD4" w:rsidP="00531C9B">
      <w:pPr>
        <w:pStyle w:val="Heading4"/>
      </w:pPr>
      <w:r w:rsidRPr="00605AD4">
        <w:lastRenderedPageBreak/>
        <w:t>Contents of the clinical dossier</w:t>
      </w:r>
    </w:p>
    <w:p w:rsidR="009B5AFB" w:rsidRPr="00A12FA5" w:rsidRDefault="009B5AFB" w:rsidP="00531C9B">
      <w:r w:rsidRPr="00A12FA5">
        <w:t>The submission contained the following clinical information:</w:t>
      </w:r>
    </w:p>
    <w:p w:rsidR="009B5AFB" w:rsidRPr="00A12FA5" w:rsidRDefault="009B5AFB" w:rsidP="00531C9B">
      <w:r w:rsidRPr="00A12FA5">
        <w:t>Module 5</w:t>
      </w:r>
      <w:r>
        <w:t>:</w:t>
      </w:r>
    </w:p>
    <w:p w:rsidR="009B5AFB" w:rsidRPr="00F551AA" w:rsidRDefault="009B5AFB" w:rsidP="00531C9B">
      <w:pPr>
        <w:pStyle w:val="ListBullet"/>
      </w:pPr>
      <w:r w:rsidRPr="00F551AA">
        <w:t xml:space="preserve">5 </w:t>
      </w:r>
      <w:r w:rsidRPr="00531C9B">
        <w:t>clinical</w:t>
      </w:r>
      <w:r w:rsidRPr="00F551AA">
        <w:t xml:space="preserve"> pharmacology studies, including 5 that provided </w:t>
      </w:r>
      <w:r w:rsidR="00AA61AD">
        <w:t>PK</w:t>
      </w:r>
      <w:r w:rsidR="00531C9B">
        <w:t xml:space="preserve"> data.</w:t>
      </w:r>
    </w:p>
    <w:p w:rsidR="009B5AFB" w:rsidRPr="00F551AA" w:rsidRDefault="009B5AFB" w:rsidP="00531C9B">
      <w:pPr>
        <w:pStyle w:val="ListBullet"/>
      </w:pPr>
      <w:r w:rsidRPr="00F551AA">
        <w:t xml:space="preserve">5 population </w:t>
      </w:r>
      <w:r w:rsidR="00AA61AD">
        <w:t>PK</w:t>
      </w:r>
      <w:r w:rsidRPr="00F551AA">
        <w:t xml:space="preserve"> analyses.</w:t>
      </w:r>
    </w:p>
    <w:p w:rsidR="009B5AFB" w:rsidRPr="00F551AA" w:rsidRDefault="009B5AFB" w:rsidP="00531C9B">
      <w:pPr>
        <w:pStyle w:val="ListBullet"/>
      </w:pPr>
      <w:r w:rsidRPr="00F551AA">
        <w:t>1 pivotal efficacy/safety studies (AFFIRM study [CRPC2]).</w:t>
      </w:r>
    </w:p>
    <w:p w:rsidR="009B5AFB" w:rsidRPr="00F551AA" w:rsidRDefault="009B5AFB" w:rsidP="00531C9B">
      <w:pPr>
        <w:pStyle w:val="ListBullet"/>
      </w:pPr>
      <w:r w:rsidRPr="00F551AA">
        <w:t>1 dose-finding study (Study S-3100-1-01).</w:t>
      </w:r>
    </w:p>
    <w:p w:rsidR="009B5AFB" w:rsidRPr="00F551AA" w:rsidRDefault="009B5AFB" w:rsidP="00531C9B">
      <w:pPr>
        <w:pStyle w:val="ListBullet"/>
      </w:pPr>
      <w:r w:rsidRPr="00F551AA">
        <w:t>2 other efficacy/safety studies (Study S-3100-1-01 and Study CRPC-MDA-1).</w:t>
      </w:r>
    </w:p>
    <w:p w:rsidR="009B5AFB" w:rsidRPr="00F551AA" w:rsidRDefault="009B5AFB" w:rsidP="00531C9B">
      <w:pPr>
        <w:pStyle w:val="ListBullet"/>
      </w:pPr>
      <w:r w:rsidRPr="00F551AA">
        <w:t xml:space="preserve">Statistical Analysis Plan for the Summary of Clinical Safety (SCS; </w:t>
      </w:r>
      <w:r w:rsidRPr="00531C9B">
        <w:t>which</w:t>
      </w:r>
      <w:r w:rsidRPr="00F551AA">
        <w:t xml:space="preserve"> includes integrated safety results across studies).</w:t>
      </w:r>
    </w:p>
    <w:p w:rsidR="009B5AFB" w:rsidRPr="00A12FA5" w:rsidRDefault="009B5AFB" w:rsidP="00531C9B">
      <w:r w:rsidRPr="00A12FA5">
        <w:t>Module 2</w:t>
      </w:r>
      <w:r w:rsidR="005A33EE">
        <w:t>:</w:t>
      </w:r>
    </w:p>
    <w:p w:rsidR="009B5AFB" w:rsidRPr="00A12FA5" w:rsidRDefault="009B5AFB" w:rsidP="00531C9B">
      <w:pPr>
        <w:pStyle w:val="ListBullet"/>
      </w:pPr>
      <w:r w:rsidRPr="00A12FA5">
        <w:t xml:space="preserve">Clinical </w:t>
      </w:r>
      <w:r w:rsidR="005A33EE">
        <w:t>O</w:t>
      </w:r>
      <w:r w:rsidRPr="00A12FA5">
        <w:t xml:space="preserve">verview, Summary of Clinical Efficacy, </w:t>
      </w:r>
      <w:r w:rsidR="006563D1">
        <w:t>SCS,</w:t>
      </w:r>
      <w:r w:rsidRPr="00A12FA5">
        <w:t xml:space="preserve"> and literature references.</w:t>
      </w:r>
    </w:p>
    <w:p w:rsidR="00605AD4" w:rsidRPr="00531C9B" w:rsidRDefault="00605AD4" w:rsidP="00531C9B">
      <w:pPr>
        <w:pStyle w:val="Heading4"/>
      </w:pPr>
      <w:r w:rsidRPr="00605AD4">
        <w:t>Paediatric data</w:t>
      </w:r>
    </w:p>
    <w:p w:rsidR="009B5AFB" w:rsidRPr="008C04F3" w:rsidRDefault="009B5AFB" w:rsidP="00531C9B">
      <w:r w:rsidRPr="008C04F3">
        <w:t>The submission did not include paediatric data. The sponsor has also stated that there have been no studies conducted with enzalutamide in the paediatric population as the main indication for enzalutamide is limited to prostate cancer and hence not relevant to the paediatric population.</w:t>
      </w:r>
    </w:p>
    <w:p w:rsidR="00605AD4" w:rsidRPr="00531C9B" w:rsidRDefault="00605AD4" w:rsidP="00531C9B">
      <w:pPr>
        <w:pStyle w:val="Heading4"/>
      </w:pPr>
      <w:r w:rsidRPr="00605AD4">
        <w:t>Good clinical practice</w:t>
      </w:r>
    </w:p>
    <w:p w:rsidR="009B5AFB" w:rsidRPr="008C04F3" w:rsidRDefault="009B5AFB" w:rsidP="00531C9B">
      <w:r w:rsidRPr="008C04F3">
        <w:t xml:space="preserve">The clinical studies reviewed in this evaluation were in compliance with CPMP/ICH/135/95 </w:t>
      </w:r>
      <w:r w:rsidRPr="00F551AA">
        <w:rPr>
          <w:i/>
        </w:rPr>
        <w:t>Note for Guidance on Good Clinical Practice</w:t>
      </w:r>
      <w:r w:rsidRPr="008C04F3">
        <w:t>.</w:t>
      </w:r>
    </w:p>
    <w:p w:rsidR="008E7846" w:rsidRPr="00531C9B" w:rsidRDefault="008E7846" w:rsidP="00531C9B">
      <w:pPr>
        <w:pStyle w:val="Heading3"/>
      </w:pPr>
      <w:bookmarkStart w:id="80" w:name="_Toc408300839"/>
      <w:r w:rsidRPr="00254787">
        <w:t>Pharmacokinetics</w:t>
      </w:r>
      <w:bookmarkEnd w:id="70"/>
      <w:bookmarkEnd w:id="77"/>
      <w:bookmarkEnd w:id="78"/>
      <w:bookmarkEnd w:id="79"/>
      <w:bookmarkEnd w:id="80"/>
    </w:p>
    <w:p w:rsidR="00605AD4" w:rsidRPr="00531C9B" w:rsidRDefault="00605AD4" w:rsidP="00531C9B">
      <w:pPr>
        <w:pStyle w:val="Heading4"/>
      </w:pPr>
      <w:r>
        <w:t xml:space="preserve">Studies </w:t>
      </w:r>
      <w:r w:rsidR="00531C9B">
        <w:t>providing pharmacokinetic data</w:t>
      </w:r>
    </w:p>
    <w:p w:rsidR="009B5AFB" w:rsidRPr="00087464" w:rsidRDefault="005A33EE" w:rsidP="00531C9B">
      <w:r>
        <w:t>Table 2</w:t>
      </w:r>
      <w:r w:rsidR="009B5AFB" w:rsidRPr="00087464">
        <w:t xml:space="preserve"> shows the studies relating to each </w:t>
      </w:r>
      <w:r w:rsidR="00AA61AD">
        <w:t>PK</w:t>
      </w:r>
      <w:r w:rsidR="009B5AFB" w:rsidRPr="00087464">
        <w:t xml:space="preserve"> topic.</w:t>
      </w:r>
    </w:p>
    <w:p w:rsidR="009B5AFB" w:rsidRPr="008C04F3" w:rsidRDefault="009B5AFB" w:rsidP="00531C9B">
      <w:pPr>
        <w:pStyle w:val="TableTitle"/>
      </w:pPr>
      <w:bookmarkStart w:id="81" w:name="_Ref272426277"/>
      <w:bookmarkStart w:id="82" w:name="_Toc290888900"/>
      <w:bookmarkStart w:id="83" w:name="_Toc381783703"/>
      <w:proofErr w:type="gramStart"/>
      <w:r w:rsidRPr="008C04F3">
        <w:t>Table</w:t>
      </w:r>
      <w:bookmarkEnd w:id="81"/>
      <w:r w:rsidR="005A33EE">
        <w:t xml:space="preserve"> 2:</w:t>
      </w:r>
      <w:r w:rsidRPr="008C04F3">
        <w:t xml:space="preserve"> Submitted pharmacokinetic studies.</w:t>
      </w:r>
      <w:bookmarkEnd w:id="82"/>
      <w:bookmarkEnd w:id="83"/>
      <w:proofErr w:type="gramEnd"/>
    </w:p>
    <w:tbl>
      <w:tblPr>
        <w:tblStyle w:val="TableTGAblue"/>
        <w:tblW w:w="8613" w:type="dxa"/>
        <w:tblLayout w:type="fixed"/>
        <w:tblLook w:val="04A0" w:firstRow="1" w:lastRow="0" w:firstColumn="1" w:lastColumn="0" w:noHBand="0" w:noVBand="1"/>
      </w:tblPr>
      <w:tblGrid>
        <w:gridCol w:w="1384"/>
        <w:gridCol w:w="1701"/>
        <w:gridCol w:w="1701"/>
        <w:gridCol w:w="3827"/>
      </w:tblGrid>
      <w:tr w:rsidR="009B5AFB" w:rsidRPr="008C04F3" w:rsidTr="005A33EE">
        <w:trPr>
          <w:cnfStyle w:val="100000000000" w:firstRow="1" w:lastRow="0" w:firstColumn="0" w:lastColumn="0" w:oddVBand="0" w:evenVBand="0" w:oddHBand="0" w:evenHBand="0" w:firstRowFirstColumn="0" w:firstRowLastColumn="0" w:lastRowFirstColumn="0" w:lastRowLastColumn="0"/>
        </w:trPr>
        <w:tc>
          <w:tcPr>
            <w:tcW w:w="1384" w:type="dxa"/>
          </w:tcPr>
          <w:p w:rsidR="009B5AFB" w:rsidRPr="008C04F3" w:rsidRDefault="009B5AFB" w:rsidP="001B7D48">
            <w:pPr>
              <w:ind w:left="0" w:right="34"/>
            </w:pPr>
            <w:r w:rsidRPr="008C04F3">
              <w:t>PK topic</w:t>
            </w:r>
          </w:p>
        </w:tc>
        <w:tc>
          <w:tcPr>
            <w:tcW w:w="1701" w:type="dxa"/>
          </w:tcPr>
          <w:p w:rsidR="009B5AFB" w:rsidRPr="008C04F3" w:rsidRDefault="009B5AFB" w:rsidP="001B7D48">
            <w:pPr>
              <w:ind w:left="0" w:right="34"/>
            </w:pPr>
            <w:r w:rsidRPr="008C04F3">
              <w:t>Subtopic</w:t>
            </w:r>
          </w:p>
        </w:tc>
        <w:tc>
          <w:tcPr>
            <w:tcW w:w="1701" w:type="dxa"/>
          </w:tcPr>
          <w:p w:rsidR="009B5AFB" w:rsidRPr="008C04F3" w:rsidRDefault="009B5AFB" w:rsidP="001B7D48">
            <w:pPr>
              <w:ind w:left="0" w:right="34"/>
            </w:pPr>
            <w:r w:rsidRPr="008C04F3">
              <w:t>Study ID</w:t>
            </w:r>
          </w:p>
        </w:tc>
        <w:tc>
          <w:tcPr>
            <w:tcW w:w="3827" w:type="dxa"/>
          </w:tcPr>
          <w:p w:rsidR="009B5AFB" w:rsidRPr="008C04F3" w:rsidRDefault="009B5AFB" w:rsidP="001B7D48">
            <w:pPr>
              <w:ind w:left="0" w:right="34"/>
            </w:pPr>
            <w:r w:rsidRPr="008C04F3">
              <w:t>*</w:t>
            </w:r>
          </w:p>
        </w:tc>
      </w:tr>
      <w:tr w:rsidR="009B5AFB" w:rsidRPr="008C04F3" w:rsidTr="005A33EE">
        <w:tc>
          <w:tcPr>
            <w:tcW w:w="1384" w:type="dxa"/>
            <w:vMerge w:val="restart"/>
          </w:tcPr>
          <w:p w:rsidR="009B5AFB" w:rsidRPr="008C04F3" w:rsidRDefault="009B5AFB" w:rsidP="001B7D48">
            <w:pPr>
              <w:ind w:left="0" w:right="34"/>
            </w:pPr>
            <w:r w:rsidRPr="008C04F3">
              <w:t>PK in healthy adults</w:t>
            </w:r>
          </w:p>
        </w:tc>
        <w:tc>
          <w:tcPr>
            <w:tcW w:w="1701" w:type="dxa"/>
          </w:tcPr>
          <w:p w:rsidR="005A33EE" w:rsidRDefault="005A33EE" w:rsidP="001B7D48">
            <w:pPr>
              <w:ind w:left="0" w:right="34"/>
            </w:pPr>
            <w:r>
              <w:t>General PK</w:t>
            </w:r>
          </w:p>
          <w:p w:rsidR="009B5AFB" w:rsidRPr="005A33EE" w:rsidRDefault="005A33EE" w:rsidP="001B7D48">
            <w:pPr>
              <w:ind w:left="0" w:right="34"/>
            </w:pPr>
            <w:r w:rsidRPr="005A33EE">
              <w:t>-</w:t>
            </w:r>
            <w:r>
              <w:t xml:space="preserve"> </w:t>
            </w:r>
            <w:r w:rsidR="009B5AFB" w:rsidRPr="005A33EE">
              <w:t>Single dose</w:t>
            </w:r>
          </w:p>
        </w:tc>
        <w:tc>
          <w:tcPr>
            <w:tcW w:w="1701" w:type="dxa"/>
          </w:tcPr>
          <w:p w:rsidR="009B5AFB" w:rsidRPr="008C04F3" w:rsidRDefault="009B5AFB" w:rsidP="001B7D48">
            <w:pPr>
              <w:ind w:left="0" w:right="34"/>
            </w:pPr>
            <w:r w:rsidRPr="008C04F3">
              <w:t>9785-CL-0001</w:t>
            </w:r>
          </w:p>
        </w:tc>
        <w:tc>
          <w:tcPr>
            <w:tcW w:w="3827" w:type="dxa"/>
          </w:tcPr>
          <w:p w:rsidR="009B5AFB" w:rsidRPr="008C04F3" w:rsidRDefault="009B5AFB" w:rsidP="001B7D48">
            <w:pPr>
              <w:ind w:left="0" w:right="34"/>
            </w:pPr>
            <w:r w:rsidRPr="008C04F3">
              <w:t xml:space="preserve">To evaluate the PK, metabolism, and excretion of </w:t>
            </w:r>
            <w:r w:rsidR="00916EB0">
              <w:t>enzalutamide</w:t>
            </w:r>
            <w:r w:rsidRPr="008C04F3">
              <w:t xml:space="preserve"> in plasma, urine, and faeces a</w:t>
            </w:r>
            <w:r>
              <w:t>fter a single oral 160 mg (100 µ</w:t>
            </w:r>
            <w:r w:rsidRPr="008C04F3">
              <w:t xml:space="preserve">Ci) dose of </w:t>
            </w:r>
            <w:r w:rsidRPr="00241C1C">
              <w:rPr>
                <w:vertAlign w:val="superscript"/>
              </w:rPr>
              <w:t>14</w:t>
            </w:r>
            <w:r w:rsidRPr="008C04F3">
              <w:t>C-</w:t>
            </w:r>
            <w:r w:rsidR="00916EB0" w:rsidRPr="00916EB0">
              <w:t>enzalutamide</w:t>
            </w:r>
            <w:r w:rsidRPr="008C04F3">
              <w:t>.</w:t>
            </w:r>
          </w:p>
        </w:tc>
      </w:tr>
      <w:tr w:rsidR="009B5AFB" w:rsidRPr="008C04F3" w:rsidTr="005A33EE">
        <w:trPr>
          <w:cantSplit/>
        </w:trPr>
        <w:tc>
          <w:tcPr>
            <w:tcW w:w="1384" w:type="dxa"/>
            <w:vMerge/>
          </w:tcPr>
          <w:p w:rsidR="009B5AFB" w:rsidRPr="008C04F3" w:rsidRDefault="009B5AFB" w:rsidP="001B7D48">
            <w:pPr>
              <w:ind w:left="0" w:right="34"/>
            </w:pPr>
          </w:p>
        </w:tc>
        <w:tc>
          <w:tcPr>
            <w:tcW w:w="1701" w:type="dxa"/>
          </w:tcPr>
          <w:p w:rsidR="009B5AFB" w:rsidRPr="008C04F3" w:rsidRDefault="009B5AFB" w:rsidP="001B7D48">
            <w:pPr>
              <w:ind w:left="0" w:right="34"/>
            </w:pPr>
            <w:r w:rsidRPr="008C04F3">
              <w:t xml:space="preserve">Bioequivalence† </w:t>
            </w:r>
          </w:p>
          <w:p w:rsidR="009B5AFB" w:rsidRPr="008C04F3" w:rsidRDefault="009B5AFB" w:rsidP="001B7D48">
            <w:pPr>
              <w:ind w:left="0" w:right="34"/>
            </w:pPr>
            <w:r w:rsidRPr="008C04F3">
              <w:t>- Single dose</w:t>
            </w:r>
          </w:p>
        </w:tc>
        <w:tc>
          <w:tcPr>
            <w:tcW w:w="1701" w:type="dxa"/>
          </w:tcPr>
          <w:p w:rsidR="009B5AFB" w:rsidRPr="008C04F3" w:rsidRDefault="009B5AFB" w:rsidP="001B7D48">
            <w:pPr>
              <w:ind w:left="0" w:right="34"/>
            </w:pPr>
            <w:r w:rsidRPr="008C04F3">
              <w:t>MDV3100-05</w:t>
            </w:r>
          </w:p>
        </w:tc>
        <w:tc>
          <w:tcPr>
            <w:tcW w:w="3827" w:type="dxa"/>
          </w:tcPr>
          <w:p w:rsidR="009B5AFB" w:rsidRPr="008C04F3" w:rsidRDefault="009B5AFB" w:rsidP="001B7D48">
            <w:pPr>
              <w:ind w:left="0" w:right="34"/>
            </w:pPr>
            <w:r w:rsidRPr="008C04F3">
              <w:t xml:space="preserve">To evaluate the bioequivalence of two oral formulations of </w:t>
            </w:r>
            <w:r w:rsidR="00916EB0" w:rsidRPr="00916EB0">
              <w:t>enzalutamide</w:t>
            </w:r>
            <w:r w:rsidRPr="008C04F3">
              <w:t xml:space="preserve"> following a single 160 mg dose in healthy male subjects under fasted and fed conditions; and to assess the effects of food on the rate and extent of absorption of the two oral formulations following a single 160 mg dose in healthy male subjects.</w:t>
            </w:r>
          </w:p>
        </w:tc>
      </w:tr>
      <w:tr w:rsidR="009B5AFB" w:rsidRPr="008C04F3" w:rsidTr="005A33EE">
        <w:trPr>
          <w:cantSplit/>
        </w:trPr>
        <w:tc>
          <w:tcPr>
            <w:tcW w:w="1384" w:type="dxa"/>
            <w:vMerge/>
          </w:tcPr>
          <w:p w:rsidR="009B5AFB" w:rsidRPr="008C04F3" w:rsidRDefault="009B5AFB" w:rsidP="001B7D48">
            <w:pPr>
              <w:ind w:left="0" w:right="34"/>
            </w:pPr>
          </w:p>
        </w:tc>
        <w:tc>
          <w:tcPr>
            <w:tcW w:w="1701" w:type="dxa"/>
          </w:tcPr>
          <w:p w:rsidR="009B5AFB" w:rsidRPr="008C04F3" w:rsidRDefault="009B5AFB" w:rsidP="001B7D48">
            <w:pPr>
              <w:ind w:left="0" w:right="34"/>
            </w:pPr>
            <w:r w:rsidRPr="008C04F3">
              <w:t>Food effect</w:t>
            </w:r>
          </w:p>
        </w:tc>
        <w:tc>
          <w:tcPr>
            <w:tcW w:w="1701" w:type="dxa"/>
          </w:tcPr>
          <w:p w:rsidR="009B5AFB" w:rsidRPr="008C04F3" w:rsidRDefault="009B5AFB" w:rsidP="001B7D48">
            <w:pPr>
              <w:ind w:left="0" w:right="34"/>
            </w:pPr>
            <w:r w:rsidRPr="008C04F3">
              <w:t>MDV3100-05</w:t>
            </w:r>
          </w:p>
        </w:tc>
        <w:tc>
          <w:tcPr>
            <w:tcW w:w="3827" w:type="dxa"/>
          </w:tcPr>
          <w:p w:rsidR="009B5AFB" w:rsidRPr="008C04F3" w:rsidRDefault="009B5AFB" w:rsidP="001B7D48">
            <w:pPr>
              <w:ind w:left="0" w:right="34"/>
            </w:pPr>
            <w:r w:rsidRPr="008C04F3">
              <w:t>See above</w:t>
            </w:r>
          </w:p>
        </w:tc>
      </w:tr>
      <w:tr w:rsidR="009B5AFB" w:rsidRPr="008C04F3" w:rsidTr="0082320F">
        <w:trPr>
          <w:cantSplit/>
        </w:trPr>
        <w:tc>
          <w:tcPr>
            <w:tcW w:w="1384" w:type="dxa"/>
            <w:vMerge w:val="restart"/>
          </w:tcPr>
          <w:p w:rsidR="009B5AFB" w:rsidRPr="008C04F3" w:rsidRDefault="009B5AFB" w:rsidP="001B7D48">
            <w:pPr>
              <w:ind w:left="0" w:right="34"/>
            </w:pPr>
            <w:r w:rsidRPr="008C04F3">
              <w:t>PK in special populations</w:t>
            </w:r>
          </w:p>
        </w:tc>
        <w:tc>
          <w:tcPr>
            <w:tcW w:w="1701" w:type="dxa"/>
          </w:tcPr>
          <w:p w:rsidR="009B5AFB" w:rsidRPr="008C04F3" w:rsidRDefault="005A33EE" w:rsidP="001B7D48">
            <w:pPr>
              <w:ind w:left="0" w:right="34"/>
            </w:pPr>
            <w:r>
              <w:t>Target population</w:t>
            </w:r>
            <w:r w:rsidR="009B5AFB" w:rsidRPr="008C04F3">
              <w:t>§</w:t>
            </w:r>
          </w:p>
          <w:p w:rsidR="009B5AFB" w:rsidRPr="008C04F3" w:rsidRDefault="009B5AFB" w:rsidP="001B7D48">
            <w:pPr>
              <w:ind w:left="0" w:right="34"/>
            </w:pPr>
            <w:r w:rsidRPr="008C04F3">
              <w:t>- Single dose and multi-dose</w:t>
            </w:r>
          </w:p>
        </w:tc>
        <w:tc>
          <w:tcPr>
            <w:tcW w:w="1701" w:type="dxa"/>
          </w:tcPr>
          <w:p w:rsidR="009B5AFB" w:rsidRPr="008C04F3" w:rsidRDefault="009B5AFB" w:rsidP="001B7D48">
            <w:pPr>
              <w:ind w:left="0" w:right="34"/>
            </w:pPr>
            <w:r w:rsidRPr="008C04F3">
              <w:t>S-3100-1-01</w:t>
            </w:r>
          </w:p>
        </w:tc>
        <w:tc>
          <w:tcPr>
            <w:tcW w:w="3827" w:type="dxa"/>
          </w:tcPr>
          <w:p w:rsidR="009B5AFB" w:rsidRPr="008C04F3" w:rsidRDefault="009B5AFB" w:rsidP="001B7D48">
            <w:pPr>
              <w:ind w:left="0" w:right="34"/>
            </w:pPr>
            <w:r w:rsidRPr="008C04F3">
              <w:t xml:space="preserve">To determine the safety and tolerability profile of </w:t>
            </w:r>
            <w:r w:rsidR="00916EB0" w:rsidRPr="00916EB0">
              <w:t>enzalutamide</w:t>
            </w:r>
            <w:r w:rsidRPr="008C04F3">
              <w:t xml:space="preserve"> (30, 60, 150, 240, 360, 480, </w:t>
            </w:r>
            <w:r w:rsidR="006F774B">
              <w:t xml:space="preserve">and 600 mg), including the dose </w:t>
            </w:r>
            <w:r w:rsidRPr="008C04F3">
              <w:t>limiting toxicities, and the maximum tolerated dose when administered orally to patients with CRPC.</w:t>
            </w:r>
          </w:p>
        </w:tc>
      </w:tr>
      <w:tr w:rsidR="009B5AFB" w:rsidRPr="008C04F3" w:rsidTr="005A33EE">
        <w:tc>
          <w:tcPr>
            <w:tcW w:w="1384" w:type="dxa"/>
            <w:vMerge/>
          </w:tcPr>
          <w:p w:rsidR="009B5AFB" w:rsidRPr="008C04F3" w:rsidRDefault="009B5AFB" w:rsidP="001B7D48">
            <w:pPr>
              <w:ind w:left="0" w:right="34"/>
            </w:pPr>
          </w:p>
        </w:tc>
        <w:tc>
          <w:tcPr>
            <w:tcW w:w="1701" w:type="dxa"/>
          </w:tcPr>
          <w:p w:rsidR="009B5AFB" w:rsidRPr="008C04F3" w:rsidRDefault="009B5AFB" w:rsidP="001B7D48">
            <w:pPr>
              <w:ind w:left="0" w:right="34"/>
            </w:pPr>
            <w:r w:rsidRPr="008C04F3">
              <w:t>Hepatic impairment</w:t>
            </w:r>
          </w:p>
        </w:tc>
        <w:tc>
          <w:tcPr>
            <w:tcW w:w="1701" w:type="dxa"/>
          </w:tcPr>
          <w:p w:rsidR="009B5AFB" w:rsidRPr="008C04F3" w:rsidRDefault="009B5AFB" w:rsidP="001B7D48">
            <w:pPr>
              <w:ind w:left="0" w:right="34"/>
            </w:pPr>
            <w:r w:rsidRPr="008C04F3">
              <w:t>9785-CL-0009</w:t>
            </w:r>
          </w:p>
        </w:tc>
        <w:tc>
          <w:tcPr>
            <w:tcW w:w="3827" w:type="dxa"/>
          </w:tcPr>
          <w:p w:rsidR="009B5AFB" w:rsidRPr="008C04F3" w:rsidRDefault="009B5AFB" w:rsidP="001B7D48">
            <w:pPr>
              <w:ind w:left="0" w:right="34"/>
            </w:pPr>
            <w:r w:rsidRPr="008C04F3">
              <w:t xml:space="preserve">To compare the single-dose PK of </w:t>
            </w:r>
            <w:r w:rsidR="00916EB0" w:rsidRPr="00916EB0">
              <w:t>enzalutamide</w:t>
            </w:r>
            <w:r w:rsidRPr="008C04F3">
              <w:t xml:space="preserve"> (160</w:t>
            </w:r>
            <w:r w:rsidR="00C313D0">
              <w:t xml:space="preserve"> </w:t>
            </w:r>
            <w:r w:rsidRPr="008C04F3">
              <w:t>mg; four 40 mg capsules) in subjects with mild and moderate hepatic impairment to matched control subjects with normal hepatic function</w:t>
            </w:r>
          </w:p>
        </w:tc>
      </w:tr>
      <w:tr w:rsidR="009B5AFB" w:rsidRPr="008C04F3" w:rsidTr="005A33EE">
        <w:tc>
          <w:tcPr>
            <w:tcW w:w="1384" w:type="dxa"/>
            <w:vMerge w:val="restart"/>
          </w:tcPr>
          <w:p w:rsidR="009B5AFB" w:rsidRPr="008C04F3" w:rsidRDefault="009B5AFB" w:rsidP="001B7D48">
            <w:pPr>
              <w:ind w:left="0" w:right="34"/>
            </w:pPr>
            <w:r w:rsidRPr="008C04F3">
              <w:t>PK interactions</w:t>
            </w:r>
          </w:p>
        </w:tc>
        <w:tc>
          <w:tcPr>
            <w:tcW w:w="1701" w:type="dxa"/>
          </w:tcPr>
          <w:p w:rsidR="009B5AFB" w:rsidRPr="008C04F3" w:rsidRDefault="009B5AFB" w:rsidP="001B7D48">
            <w:pPr>
              <w:ind w:left="0" w:right="34"/>
            </w:pPr>
            <w:r w:rsidRPr="008C04F3">
              <w:t>Gemfibrozil; itraconazole</w:t>
            </w:r>
          </w:p>
        </w:tc>
        <w:tc>
          <w:tcPr>
            <w:tcW w:w="1701" w:type="dxa"/>
          </w:tcPr>
          <w:p w:rsidR="009B5AFB" w:rsidRPr="008C04F3" w:rsidRDefault="009B5AFB" w:rsidP="001B7D48">
            <w:pPr>
              <w:ind w:left="0" w:right="34"/>
            </w:pPr>
            <w:r w:rsidRPr="008C04F3">
              <w:t>9785-CL-0006</w:t>
            </w:r>
          </w:p>
        </w:tc>
        <w:tc>
          <w:tcPr>
            <w:tcW w:w="3827" w:type="dxa"/>
          </w:tcPr>
          <w:p w:rsidR="009B5AFB" w:rsidRPr="008C04F3" w:rsidRDefault="009B5AFB" w:rsidP="001B7D48">
            <w:pPr>
              <w:ind w:left="0" w:right="34"/>
            </w:pPr>
            <w:r w:rsidRPr="008C04F3">
              <w:t xml:space="preserve">To investigate the effect of multiple oral doses of 600 mg gemfibrozil twice daily on the PK of a single oral dose of 160 mg </w:t>
            </w:r>
            <w:r w:rsidR="00916EB0" w:rsidRPr="00916EB0">
              <w:t>enzalutamide</w:t>
            </w:r>
            <w:r w:rsidRPr="008C04F3">
              <w:t xml:space="preserve">; and to investigate the effect of multiple oral doses of 200 mg itraconazole once daily on the PK of a single oral dose of 160 mg </w:t>
            </w:r>
            <w:r w:rsidR="00916EB0" w:rsidRPr="00916EB0">
              <w:t>enzalutamide</w:t>
            </w:r>
            <w:r w:rsidRPr="008C04F3">
              <w:t>.</w:t>
            </w:r>
          </w:p>
        </w:tc>
      </w:tr>
      <w:tr w:rsidR="009B5AFB" w:rsidRPr="008C04F3" w:rsidTr="005A33EE">
        <w:trPr>
          <w:cantSplit/>
        </w:trPr>
        <w:tc>
          <w:tcPr>
            <w:tcW w:w="1384" w:type="dxa"/>
            <w:vMerge/>
          </w:tcPr>
          <w:p w:rsidR="009B5AFB" w:rsidRPr="008C04F3" w:rsidRDefault="009B5AFB" w:rsidP="001B7D48">
            <w:pPr>
              <w:ind w:left="0" w:right="34"/>
            </w:pPr>
          </w:p>
        </w:tc>
        <w:tc>
          <w:tcPr>
            <w:tcW w:w="1701" w:type="dxa"/>
          </w:tcPr>
          <w:p w:rsidR="009B5AFB" w:rsidRPr="008C04F3" w:rsidRDefault="009B5AFB" w:rsidP="001B7D48">
            <w:pPr>
              <w:ind w:left="0" w:right="34"/>
            </w:pPr>
            <w:r w:rsidRPr="008C04F3">
              <w:t>Pioglitazone; drug cocktail of S-warfarin, omeprazole and</w:t>
            </w:r>
            <w:r w:rsidR="001B7D48">
              <w:t xml:space="preserve"> </w:t>
            </w:r>
            <w:r w:rsidRPr="008C04F3">
              <w:t>midazolam</w:t>
            </w:r>
          </w:p>
        </w:tc>
        <w:tc>
          <w:tcPr>
            <w:tcW w:w="1701" w:type="dxa"/>
          </w:tcPr>
          <w:p w:rsidR="009B5AFB" w:rsidRPr="008C04F3" w:rsidRDefault="009B5AFB" w:rsidP="001B7D48">
            <w:pPr>
              <w:ind w:left="0" w:right="34"/>
            </w:pPr>
            <w:r w:rsidRPr="008C04F3">
              <w:t>9785-CL-0007</w:t>
            </w:r>
          </w:p>
        </w:tc>
        <w:tc>
          <w:tcPr>
            <w:tcW w:w="3827" w:type="dxa"/>
          </w:tcPr>
          <w:p w:rsidR="009B5AFB" w:rsidRPr="008C04F3" w:rsidRDefault="009B5AFB" w:rsidP="001B7D48">
            <w:pPr>
              <w:ind w:left="0" w:right="34"/>
            </w:pPr>
            <w:r w:rsidRPr="008C04F3">
              <w:t xml:space="preserve">To determine the effect of multiple once daily administration of </w:t>
            </w:r>
            <w:r w:rsidR="00916EB0" w:rsidRPr="00916EB0">
              <w:t>enzalutamide</w:t>
            </w:r>
            <w:r w:rsidRPr="008C04F3">
              <w:t xml:space="preserve"> (160</w:t>
            </w:r>
            <w:r w:rsidR="00916EB0">
              <w:t xml:space="preserve"> </w:t>
            </w:r>
            <w:r w:rsidRPr="008C04F3">
              <w:t>mg; four 40 mg capsules) on the PK of a single dose of pioglitazone (CYP2C8 substrate), S-warfarin (CYP2C9 substrate), omeprazole (CYP2C19 substrate) and midazolam (CYP3A4 substrate) in patients with CRPC.</w:t>
            </w:r>
          </w:p>
        </w:tc>
      </w:tr>
      <w:tr w:rsidR="009B5AFB" w:rsidRPr="008C04F3" w:rsidTr="005A33EE">
        <w:tc>
          <w:tcPr>
            <w:tcW w:w="1384" w:type="dxa"/>
            <w:vMerge w:val="restart"/>
          </w:tcPr>
          <w:p w:rsidR="009B5AFB" w:rsidRPr="008C04F3" w:rsidRDefault="009B5AFB" w:rsidP="001B7D48">
            <w:pPr>
              <w:ind w:left="0" w:right="34"/>
            </w:pPr>
            <w:r w:rsidRPr="008C04F3">
              <w:t>Population PK analyses</w:t>
            </w:r>
          </w:p>
        </w:tc>
        <w:tc>
          <w:tcPr>
            <w:tcW w:w="1701" w:type="dxa"/>
          </w:tcPr>
          <w:p w:rsidR="009B5AFB" w:rsidRPr="008C04F3" w:rsidRDefault="009B5AFB" w:rsidP="001B7D48">
            <w:pPr>
              <w:ind w:left="0" w:right="34"/>
            </w:pPr>
            <w:r w:rsidRPr="008C04F3">
              <w:t>Healthy subjects</w:t>
            </w:r>
          </w:p>
        </w:tc>
        <w:tc>
          <w:tcPr>
            <w:tcW w:w="1701" w:type="dxa"/>
          </w:tcPr>
          <w:p w:rsidR="009B5AFB" w:rsidRPr="008C04F3" w:rsidRDefault="009B5AFB" w:rsidP="001B7D48">
            <w:pPr>
              <w:ind w:left="0" w:right="34"/>
            </w:pPr>
            <w:r w:rsidRPr="008C04F3">
              <w:t>Study report 9785-PK-0002</w:t>
            </w:r>
          </w:p>
        </w:tc>
        <w:tc>
          <w:tcPr>
            <w:tcW w:w="3827" w:type="dxa"/>
          </w:tcPr>
          <w:p w:rsidR="009B5AFB" w:rsidRPr="008C04F3" w:rsidRDefault="009B5AFB" w:rsidP="001B7D48">
            <w:pPr>
              <w:ind w:left="0" w:right="34"/>
            </w:pPr>
            <w:r w:rsidRPr="008C04F3">
              <w:t xml:space="preserve">To assess the extent of drug-drug interaction of gemfibrozil and itraconazole on single dose </w:t>
            </w:r>
            <w:r w:rsidR="00916EB0" w:rsidRPr="00916EB0">
              <w:t>enzalutamide</w:t>
            </w:r>
            <w:r w:rsidRPr="008C04F3">
              <w:t xml:space="preserve"> PK, using data from study 9785-CL-0006.</w:t>
            </w:r>
          </w:p>
        </w:tc>
      </w:tr>
      <w:tr w:rsidR="005A33EE" w:rsidRPr="008C04F3" w:rsidTr="005A33EE">
        <w:tc>
          <w:tcPr>
            <w:tcW w:w="1384" w:type="dxa"/>
            <w:vMerge/>
          </w:tcPr>
          <w:p w:rsidR="005A33EE" w:rsidRPr="008C04F3" w:rsidRDefault="005A33EE" w:rsidP="001B7D48">
            <w:pPr>
              <w:ind w:left="0" w:right="34"/>
            </w:pPr>
          </w:p>
        </w:tc>
        <w:tc>
          <w:tcPr>
            <w:tcW w:w="1701" w:type="dxa"/>
            <w:vMerge w:val="restart"/>
          </w:tcPr>
          <w:p w:rsidR="005A33EE" w:rsidRPr="008C04F3" w:rsidRDefault="005A33EE" w:rsidP="001B7D48">
            <w:pPr>
              <w:ind w:left="0" w:right="34"/>
            </w:pPr>
            <w:r w:rsidRPr="008C04F3">
              <w:t>Target population</w:t>
            </w:r>
          </w:p>
        </w:tc>
        <w:tc>
          <w:tcPr>
            <w:tcW w:w="1701" w:type="dxa"/>
          </w:tcPr>
          <w:p w:rsidR="005A33EE" w:rsidRPr="008C04F3" w:rsidRDefault="005A33EE" w:rsidP="001B7D48">
            <w:pPr>
              <w:ind w:left="0" w:right="34"/>
            </w:pPr>
            <w:r w:rsidRPr="008C04F3">
              <w:t>Study report 9785-PK-0001</w:t>
            </w:r>
          </w:p>
        </w:tc>
        <w:tc>
          <w:tcPr>
            <w:tcW w:w="3827" w:type="dxa"/>
          </w:tcPr>
          <w:p w:rsidR="005A33EE" w:rsidRPr="008C04F3" w:rsidRDefault="005A33EE" w:rsidP="001B7D48">
            <w:pPr>
              <w:ind w:left="0" w:right="34"/>
            </w:pPr>
            <w:r w:rsidRPr="008C04F3">
              <w:t xml:space="preserve">To develop a population PK model of </w:t>
            </w:r>
            <w:r w:rsidRPr="00916EB0">
              <w:t>enzalutamide</w:t>
            </w:r>
            <w:r w:rsidRPr="008C04F3">
              <w:t>, and population PK-PD models for its effect on PSA concentration (a biomarker for prostate cancer progression) and spontaneously reported fatigue (the most frequently reported adverse event), using data from Study S-3100-1-01.</w:t>
            </w:r>
          </w:p>
        </w:tc>
      </w:tr>
      <w:tr w:rsidR="005A33EE" w:rsidRPr="008C04F3" w:rsidTr="005A33EE">
        <w:tc>
          <w:tcPr>
            <w:tcW w:w="1384" w:type="dxa"/>
            <w:vMerge/>
          </w:tcPr>
          <w:p w:rsidR="005A33EE" w:rsidRPr="008C04F3" w:rsidRDefault="005A33EE" w:rsidP="001B7D48">
            <w:pPr>
              <w:ind w:left="0" w:right="34"/>
            </w:pPr>
          </w:p>
        </w:tc>
        <w:tc>
          <w:tcPr>
            <w:tcW w:w="1701" w:type="dxa"/>
            <w:vMerge/>
          </w:tcPr>
          <w:p w:rsidR="005A33EE" w:rsidRPr="008C04F3" w:rsidRDefault="005A33EE" w:rsidP="001B7D48">
            <w:pPr>
              <w:ind w:left="0" w:right="34"/>
            </w:pPr>
          </w:p>
        </w:tc>
        <w:tc>
          <w:tcPr>
            <w:tcW w:w="1701" w:type="dxa"/>
          </w:tcPr>
          <w:p w:rsidR="005A33EE" w:rsidRPr="008C04F3" w:rsidRDefault="005A33EE" w:rsidP="001B7D48">
            <w:pPr>
              <w:ind w:left="0" w:right="34"/>
            </w:pPr>
            <w:r w:rsidRPr="008C04F3">
              <w:t>Study report icon2147020</w:t>
            </w:r>
          </w:p>
        </w:tc>
        <w:tc>
          <w:tcPr>
            <w:tcW w:w="3827" w:type="dxa"/>
          </w:tcPr>
          <w:p w:rsidR="005A33EE" w:rsidRPr="008C04F3" w:rsidRDefault="005A33EE" w:rsidP="001B7D48">
            <w:pPr>
              <w:ind w:left="0" w:right="34"/>
            </w:pPr>
            <w:r w:rsidRPr="008C04F3">
              <w:t xml:space="preserve">To investigate potential factors that may cause increases in plasma concentrations of </w:t>
            </w:r>
            <w:r w:rsidRPr="00916EB0">
              <w:t>enzalutamide</w:t>
            </w:r>
            <w:r w:rsidRPr="008C04F3">
              <w:t xml:space="preserve"> metabolite M1 (also referred to as MDCP0001) in CRPC patients in Study CRPC2.</w:t>
            </w:r>
          </w:p>
        </w:tc>
      </w:tr>
      <w:tr w:rsidR="005A33EE" w:rsidRPr="008C04F3" w:rsidTr="005A33EE">
        <w:tc>
          <w:tcPr>
            <w:tcW w:w="1384" w:type="dxa"/>
            <w:vMerge/>
          </w:tcPr>
          <w:p w:rsidR="005A33EE" w:rsidRPr="008C04F3" w:rsidRDefault="005A33EE" w:rsidP="001B7D48">
            <w:pPr>
              <w:ind w:left="0" w:right="34"/>
            </w:pPr>
          </w:p>
        </w:tc>
        <w:tc>
          <w:tcPr>
            <w:tcW w:w="1701" w:type="dxa"/>
            <w:vMerge/>
          </w:tcPr>
          <w:p w:rsidR="005A33EE" w:rsidRPr="008C04F3" w:rsidRDefault="005A33EE" w:rsidP="001B7D48">
            <w:pPr>
              <w:ind w:left="0" w:right="34"/>
            </w:pPr>
          </w:p>
        </w:tc>
        <w:tc>
          <w:tcPr>
            <w:tcW w:w="1701" w:type="dxa"/>
          </w:tcPr>
          <w:p w:rsidR="005A33EE" w:rsidRPr="008C04F3" w:rsidRDefault="005A33EE" w:rsidP="001B7D48">
            <w:pPr>
              <w:ind w:left="0" w:right="34"/>
            </w:pPr>
            <w:r w:rsidRPr="008C04F3">
              <w:t>Study report icon2147016</w:t>
            </w:r>
          </w:p>
        </w:tc>
        <w:tc>
          <w:tcPr>
            <w:tcW w:w="3827" w:type="dxa"/>
          </w:tcPr>
          <w:p w:rsidR="005A33EE" w:rsidRPr="008C04F3" w:rsidRDefault="005A33EE" w:rsidP="001B7D48">
            <w:pPr>
              <w:ind w:left="0" w:right="34"/>
            </w:pPr>
            <w:r w:rsidRPr="008C04F3">
              <w:t xml:space="preserve">To document the relationship(s) of </w:t>
            </w:r>
            <w:r w:rsidRPr="00916EB0">
              <w:t>enzalutamide</w:t>
            </w:r>
            <w:r w:rsidRPr="008C04F3">
              <w:t xml:space="preserve"> and its major active metabolite M2 (also referred to as MDPC0002) steady‐state pre‐dose plasma concentrations (Cmin) with study efficacy and safety outcomes in Study CRPC2.</w:t>
            </w:r>
          </w:p>
        </w:tc>
      </w:tr>
      <w:tr w:rsidR="009B5AFB" w:rsidRPr="008C04F3" w:rsidTr="005A33EE">
        <w:trPr>
          <w:cantSplit/>
        </w:trPr>
        <w:tc>
          <w:tcPr>
            <w:tcW w:w="1384" w:type="dxa"/>
            <w:vMerge/>
          </w:tcPr>
          <w:p w:rsidR="009B5AFB" w:rsidRPr="008C04F3" w:rsidRDefault="009B5AFB" w:rsidP="001B7D48">
            <w:pPr>
              <w:ind w:left="0" w:right="34"/>
            </w:pPr>
          </w:p>
        </w:tc>
        <w:tc>
          <w:tcPr>
            <w:tcW w:w="1701" w:type="dxa"/>
          </w:tcPr>
          <w:p w:rsidR="009B5AFB" w:rsidRPr="008C04F3" w:rsidRDefault="009B5AFB" w:rsidP="001B7D48">
            <w:pPr>
              <w:ind w:left="0" w:right="34"/>
            </w:pPr>
            <w:r w:rsidRPr="008C04F3">
              <w:t>Both healthy and target population</w:t>
            </w:r>
          </w:p>
        </w:tc>
        <w:tc>
          <w:tcPr>
            <w:tcW w:w="1701" w:type="dxa"/>
          </w:tcPr>
          <w:p w:rsidR="009B5AFB" w:rsidRPr="008C04F3" w:rsidRDefault="009B5AFB" w:rsidP="001B7D48">
            <w:pPr>
              <w:ind w:left="0" w:right="34"/>
            </w:pPr>
            <w:r w:rsidRPr="008C04F3">
              <w:t>Study report icon2147014</w:t>
            </w:r>
          </w:p>
        </w:tc>
        <w:tc>
          <w:tcPr>
            <w:tcW w:w="3827" w:type="dxa"/>
          </w:tcPr>
          <w:p w:rsidR="009B5AFB" w:rsidRPr="008C04F3" w:rsidRDefault="009B5AFB" w:rsidP="001B7D48">
            <w:pPr>
              <w:ind w:left="0" w:right="34"/>
            </w:pPr>
            <w:r w:rsidRPr="008C04F3">
              <w:t xml:space="preserve">To build a population PK model of </w:t>
            </w:r>
            <w:r w:rsidR="00916EB0" w:rsidRPr="00916EB0">
              <w:t>enzalutamide</w:t>
            </w:r>
            <w:r w:rsidRPr="008C04F3">
              <w:t xml:space="preserve"> after oral administration of </w:t>
            </w:r>
            <w:r w:rsidR="00916EB0" w:rsidRPr="00916EB0">
              <w:t>enzalutamide</w:t>
            </w:r>
            <w:r w:rsidRPr="008C04F3">
              <w:t xml:space="preserve"> liquid-filled capsules in healthy male subjects and in patients with CRPC, including cofactors that contribute to inter-individual variability in </w:t>
            </w:r>
            <w:r w:rsidR="00916EB0" w:rsidRPr="00916EB0">
              <w:t>enzalutamide</w:t>
            </w:r>
            <w:r w:rsidRPr="008C04F3">
              <w:t xml:space="preserve"> PK, using PK data from studies S-3100-1-01, MDV3100-05, and CRPC2.</w:t>
            </w:r>
          </w:p>
        </w:tc>
      </w:tr>
    </w:tbl>
    <w:p w:rsidR="009B5AFB" w:rsidRPr="008C04F3" w:rsidRDefault="009B5AFB" w:rsidP="001B7D48">
      <w:pPr>
        <w:pStyle w:val="TableDescription"/>
      </w:pPr>
      <w:r w:rsidRPr="008C04F3">
        <w:t>* Indicates the primary aim of the study.</w:t>
      </w:r>
    </w:p>
    <w:p w:rsidR="009B5AFB" w:rsidRPr="008C04F3" w:rsidRDefault="009B5AFB" w:rsidP="001B7D48">
      <w:pPr>
        <w:pStyle w:val="TableDescription"/>
      </w:pPr>
      <w:r w:rsidRPr="008C04F3">
        <w:t>† Bioequivalence of different formulations.</w:t>
      </w:r>
    </w:p>
    <w:p w:rsidR="009B5AFB" w:rsidRPr="008C04F3" w:rsidRDefault="009B5AFB" w:rsidP="001B7D48">
      <w:pPr>
        <w:pStyle w:val="TableDescription"/>
      </w:pPr>
      <w:r w:rsidRPr="008C04F3">
        <w:t>§ Subjects who would be eligible to receive the drug if approved for the proposed indication.</w:t>
      </w:r>
    </w:p>
    <w:p w:rsidR="009B5AFB" w:rsidRPr="00087464" w:rsidRDefault="009B5AFB" w:rsidP="001B7D48">
      <w:r w:rsidRPr="00087464">
        <w:t xml:space="preserve">None of the </w:t>
      </w:r>
      <w:r w:rsidR="00AA61AD">
        <w:t>PK</w:t>
      </w:r>
      <w:r w:rsidRPr="00087464">
        <w:t xml:space="preserve"> studies had deficiencies that excluded their results from consideration.</w:t>
      </w:r>
    </w:p>
    <w:p w:rsidR="00605AD4" w:rsidRPr="001B7D48" w:rsidRDefault="00605AD4" w:rsidP="001B7D48">
      <w:pPr>
        <w:pStyle w:val="Heading4"/>
      </w:pPr>
      <w:r>
        <w:t xml:space="preserve">Evaluator’s </w:t>
      </w:r>
      <w:r w:rsidR="009B5AFB">
        <w:t xml:space="preserve">summary and </w:t>
      </w:r>
      <w:r>
        <w:t>conclusions on pharmacokinetics</w:t>
      </w:r>
    </w:p>
    <w:p w:rsidR="006F774B" w:rsidRDefault="009B5AFB" w:rsidP="001B7D48">
      <w:r w:rsidRPr="00037849">
        <w:t xml:space="preserve">Overall, the PK data is adequate with respect to evaluation of this application. </w:t>
      </w:r>
      <w:r w:rsidR="00F551AA">
        <w:t>E</w:t>
      </w:r>
      <w:r w:rsidR="00916EB0" w:rsidRPr="00916EB0">
        <w:t>nzalutamide</w:t>
      </w:r>
      <w:r w:rsidRPr="00037849">
        <w:t xml:space="preserve"> was absorbed rapidly after oral administration in patients, with Cmax observed 1 to 2 h</w:t>
      </w:r>
      <w:r w:rsidR="00F551AA">
        <w:t xml:space="preserve"> </w:t>
      </w:r>
      <w:r w:rsidRPr="00037849">
        <w:t xml:space="preserve">after administration. Based on a mass balance study in healthy human subjects, oral absorption of </w:t>
      </w:r>
      <w:r w:rsidR="00916EB0" w:rsidRPr="00916EB0">
        <w:t>enzalutamide</w:t>
      </w:r>
      <w:r w:rsidRPr="00037849">
        <w:t xml:space="preserve"> was estimated to be at least 84.2%. Food effect study showed that food had no clinically significant effect on the extent of absorption. The mean apparent volume of distribution (V/F) of </w:t>
      </w:r>
      <w:r w:rsidR="00916EB0" w:rsidRPr="00916EB0">
        <w:t>enzalutamide</w:t>
      </w:r>
      <w:r w:rsidRPr="00037849">
        <w:t xml:space="preserve"> in patients after a single oral dose was 110 L (29% </w:t>
      </w:r>
      <w:r w:rsidR="00F551AA">
        <w:t xml:space="preserve">coefficient of variation, </w:t>
      </w:r>
      <w:r w:rsidR="001B7D48">
        <w:t>CV).</w:t>
      </w:r>
    </w:p>
    <w:p w:rsidR="006F774B" w:rsidRDefault="00916EB0" w:rsidP="001B7D48">
      <w:r>
        <w:t>E</w:t>
      </w:r>
      <w:r w:rsidRPr="00916EB0">
        <w:t>nzalutamide</w:t>
      </w:r>
      <w:r w:rsidR="009B5AFB" w:rsidRPr="00037849">
        <w:t xml:space="preserve"> and its metabolites M1 and M2 were found to be highly bound to plasma proteins (96% to 98%). </w:t>
      </w:r>
      <w:r>
        <w:t>E</w:t>
      </w:r>
      <w:r w:rsidRPr="00916EB0">
        <w:t>nzalutamide</w:t>
      </w:r>
      <w:r w:rsidR="009B5AFB" w:rsidRPr="00037849">
        <w:t xml:space="preserve"> was found to be extensively metabolised. There </w:t>
      </w:r>
      <w:r w:rsidR="009B5AFB" w:rsidRPr="00037849">
        <w:lastRenderedPageBreak/>
        <w:t>were two major metabolites in human plasma: M2 (N-</w:t>
      </w:r>
      <w:proofErr w:type="spellStart"/>
      <w:r w:rsidR="009B5AFB" w:rsidRPr="00037849">
        <w:t>desmethyl</w:t>
      </w:r>
      <w:proofErr w:type="spellEnd"/>
      <w:r w:rsidR="009B5AFB" w:rsidRPr="00037849">
        <w:t xml:space="preserve"> </w:t>
      </w:r>
      <w:proofErr w:type="spellStart"/>
      <w:r w:rsidR="009B5AFB" w:rsidRPr="00037849">
        <w:t>enzalutamide</w:t>
      </w:r>
      <w:proofErr w:type="spellEnd"/>
      <w:r w:rsidR="009B5AFB" w:rsidRPr="00037849">
        <w:t>; active metabolite) and M1 (a carboxylic acid de</w:t>
      </w:r>
      <w:r w:rsidR="001B7D48">
        <w:t>rivative; inactive metabolite).</w:t>
      </w:r>
    </w:p>
    <w:p w:rsidR="006F774B" w:rsidRDefault="009B5AFB" w:rsidP="001B7D48">
      <w:r w:rsidRPr="00037849">
        <w:t xml:space="preserve">Drug interaction studies showed that CYP2C8 played an important role in the metabolism of </w:t>
      </w:r>
      <w:r w:rsidR="00916EB0">
        <w:t>e</w:t>
      </w:r>
      <w:r w:rsidR="00916EB0" w:rsidRPr="00916EB0">
        <w:t>nzalutamide</w:t>
      </w:r>
      <w:r w:rsidRPr="00037849">
        <w:t xml:space="preserve"> and the formation of M2, while CYP3A4 played a more minor role. The mean apparent clearance (CL/F) of </w:t>
      </w:r>
      <w:r w:rsidR="00916EB0" w:rsidRPr="00916EB0">
        <w:t>enzalutamide</w:t>
      </w:r>
      <w:r w:rsidRPr="00037849">
        <w:t xml:space="preserve"> in CRPC patients was 0.564 L/h after single dose and 0.6</w:t>
      </w:r>
      <w:r w:rsidR="001B7D48">
        <w:t>14 L/h after multiple dosing.</w:t>
      </w:r>
    </w:p>
    <w:p w:rsidR="009B5AFB" w:rsidRPr="00037849" w:rsidRDefault="009B5AFB" w:rsidP="001B7D48">
      <w:r w:rsidRPr="00037849">
        <w:t xml:space="preserve">Following oral administration of </w:t>
      </w:r>
      <w:r w:rsidRPr="00241C1C">
        <w:rPr>
          <w:vertAlign w:val="superscript"/>
        </w:rPr>
        <w:t>14</w:t>
      </w:r>
      <w:r w:rsidRPr="00037849">
        <w:t>C-</w:t>
      </w:r>
      <w:r w:rsidR="00916EB0" w:rsidRPr="00916EB0">
        <w:t>enzalutamide</w:t>
      </w:r>
      <w:r w:rsidRPr="00037849">
        <w:t xml:space="preserve">, 84.6% of the radioactivity was recovered by 77 days post dose: 71.0% was recovered in urine (primarily as M1, with trace amount of </w:t>
      </w:r>
      <w:r w:rsidR="00916EB0" w:rsidRPr="00916EB0">
        <w:t>enzalutamide</w:t>
      </w:r>
      <w:r w:rsidRPr="00037849">
        <w:t xml:space="preserve"> and M2), and 13.6% was recovered in faeces (0.39% of dose as unchanged parent </w:t>
      </w:r>
      <w:r w:rsidR="00916EB0" w:rsidRPr="00916EB0">
        <w:t>enzalutamide</w:t>
      </w:r>
      <w:r w:rsidRPr="00037849">
        <w:t xml:space="preserve">). Based on this result, renal excretion appeared to be a minor elimination pathway for unchanged parent </w:t>
      </w:r>
      <w:r w:rsidR="00916EB0" w:rsidRPr="00916EB0">
        <w:t>enzalutamide</w:t>
      </w:r>
      <w:r w:rsidRPr="00037849">
        <w:t xml:space="preserve"> and the active metabolite M2.</w:t>
      </w:r>
    </w:p>
    <w:p w:rsidR="009B5AFB" w:rsidRPr="00037849" w:rsidRDefault="009B5AFB" w:rsidP="001B7D48">
      <w:r w:rsidRPr="00037849">
        <w:t xml:space="preserve">The PK of </w:t>
      </w:r>
      <w:r w:rsidR="00916EB0" w:rsidRPr="00916EB0">
        <w:t>enzalutamide</w:t>
      </w:r>
      <w:r w:rsidRPr="00037849">
        <w:t xml:space="preserve"> were examined in subjects with baseline mild (n</w:t>
      </w:r>
      <w:r w:rsidR="00F551AA">
        <w:t xml:space="preserve"> </w:t>
      </w:r>
      <w:r w:rsidRPr="00037849">
        <w:t>=</w:t>
      </w:r>
      <w:r w:rsidR="00F551AA">
        <w:t xml:space="preserve"> </w:t>
      </w:r>
      <w:r w:rsidRPr="00037849">
        <w:t>6) or moderate (n</w:t>
      </w:r>
      <w:r w:rsidR="00F551AA">
        <w:t xml:space="preserve"> </w:t>
      </w:r>
      <w:r w:rsidRPr="00037849">
        <w:t>=</w:t>
      </w:r>
      <w:r w:rsidR="00F551AA">
        <w:t xml:space="preserve"> </w:t>
      </w:r>
      <w:r w:rsidRPr="00037849">
        <w:t>8) hepatic impairment (Child-Pugh Class A and B</w:t>
      </w:r>
      <w:r w:rsidR="00BB6145">
        <w:rPr>
          <w:rStyle w:val="FootnoteReference"/>
        </w:rPr>
        <w:footnoteReference w:id="17"/>
      </w:r>
      <w:r w:rsidRPr="00037849">
        <w:t xml:space="preserve">, respectively) and in 14 matched control subjects with normal hepatic function. Results showed that following a single oral 160 mg dose of </w:t>
      </w:r>
      <w:r w:rsidR="00916EB0" w:rsidRPr="00916EB0">
        <w:t>enzalutamide</w:t>
      </w:r>
      <w:r w:rsidRPr="00037849">
        <w:t xml:space="preserve">, exposure parameters for </w:t>
      </w:r>
      <w:r w:rsidR="00916EB0" w:rsidRPr="00916EB0">
        <w:t>enzalutamide</w:t>
      </w:r>
      <w:r w:rsidR="00F551AA">
        <w:t xml:space="preserve"> increased by up to 1.24</w:t>
      </w:r>
      <w:r w:rsidRPr="00037849">
        <w:t xml:space="preserve"> </w:t>
      </w:r>
      <w:r w:rsidR="00F551AA">
        <w:t xml:space="preserve">fold </w:t>
      </w:r>
      <w:r w:rsidRPr="00037849">
        <w:t>and 1.29</w:t>
      </w:r>
      <w:r w:rsidR="00F551AA">
        <w:t xml:space="preserve"> </w:t>
      </w:r>
      <w:r w:rsidRPr="00037849">
        <w:t>fold in subjects with mild and moderate hepatic impairment, respectively, compared to healthy control subjects. Based on the study results, no dose adjustment was considered necessary for patients with baseline mild or moderate hepatic impairment.</w:t>
      </w:r>
    </w:p>
    <w:p w:rsidR="009B5AFB" w:rsidRPr="00037849" w:rsidRDefault="009B5AFB" w:rsidP="001B7D48">
      <w:r w:rsidRPr="00037849">
        <w:t xml:space="preserve">No formal renal impairment study for </w:t>
      </w:r>
      <w:r w:rsidR="00916EB0" w:rsidRPr="00916EB0">
        <w:t>enzalutamide</w:t>
      </w:r>
      <w:r w:rsidRPr="00037849">
        <w:t xml:space="preserve"> had been conducted. Based on the results of a population PK analysis (</w:t>
      </w:r>
      <w:r w:rsidR="00F551AA">
        <w:t xml:space="preserve">Study </w:t>
      </w:r>
      <w:r w:rsidRPr="00037849">
        <w:t>icon2147014) which showed that creatinine clearance (</w:t>
      </w:r>
      <w:proofErr w:type="spellStart"/>
      <w:r w:rsidR="00956DB4">
        <w:t>CrCL</w:t>
      </w:r>
      <w:proofErr w:type="spellEnd"/>
      <w:r w:rsidR="00956DB4">
        <w:t xml:space="preserve">; </w:t>
      </w:r>
      <w:r w:rsidRPr="00037849">
        <w:t xml:space="preserve">≥ 30 mL/min; estimated by the Cockcroft and </w:t>
      </w:r>
      <w:proofErr w:type="spellStart"/>
      <w:r w:rsidRPr="00037849">
        <w:t>Gault</w:t>
      </w:r>
      <w:proofErr w:type="spellEnd"/>
      <w:r w:rsidRPr="00037849">
        <w:t xml:space="preserve"> formula) did not have clinically meaningful influence on the exposures to </w:t>
      </w:r>
      <w:r w:rsidR="00916EB0" w:rsidRPr="00916EB0">
        <w:t>enzalutamide</w:t>
      </w:r>
      <w:r w:rsidRPr="00037849">
        <w:t xml:space="preserve">, no dose adjustment was considered necessary for patients with </w:t>
      </w:r>
      <w:proofErr w:type="spellStart"/>
      <w:r w:rsidR="00956DB4" w:rsidRPr="00956DB4">
        <w:t>CrCL</w:t>
      </w:r>
      <w:proofErr w:type="spellEnd"/>
      <w:r w:rsidR="00956DB4" w:rsidRPr="00956DB4">
        <w:t xml:space="preserve"> </w:t>
      </w:r>
      <w:r w:rsidRPr="00037849">
        <w:t>values</w:t>
      </w:r>
      <w:r w:rsidRPr="00F551AA">
        <w:t xml:space="preserve"> ≥</w:t>
      </w:r>
      <w:r w:rsidRPr="00037849">
        <w:t xml:space="preserve"> 30 mL/min.</w:t>
      </w:r>
    </w:p>
    <w:p w:rsidR="009B5AFB" w:rsidRPr="00037849" w:rsidRDefault="009B5AFB" w:rsidP="001B7D48">
      <w:r w:rsidRPr="00037849">
        <w:t xml:space="preserve">Drug interaction studies showed that CYP2C8 played an important role in the metabolism of </w:t>
      </w:r>
      <w:r w:rsidR="00916EB0" w:rsidRPr="00916EB0">
        <w:t>enzalutamide</w:t>
      </w:r>
      <w:r w:rsidRPr="00037849">
        <w:t>, while CYP3A4 played a more minor role. Hence strong inhibitors (</w:t>
      </w:r>
      <w:r w:rsidR="00F551AA">
        <w:t xml:space="preserve">such as </w:t>
      </w:r>
      <w:r w:rsidRPr="00037849">
        <w:t>gemfibrozil) or inducers (</w:t>
      </w:r>
      <w:r w:rsidR="00F551AA">
        <w:t xml:space="preserve">for example, </w:t>
      </w:r>
      <w:r w:rsidRPr="00037849">
        <w:t xml:space="preserve">rifampicin) of CYP2C8 are to be avoided or used with caution during treatment with </w:t>
      </w:r>
      <w:r w:rsidR="00916EB0" w:rsidRPr="00916EB0">
        <w:t>enzalutamide</w:t>
      </w:r>
      <w:r w:rsidRPr="00037849">
        <w:t xml:space="preserve">, but no dose adjustment is considered necessary when </w:t>
      </w:r>
      <w:r w:rsidR="00916EB0" w:rsidRPr="00916EB0">
        <w:t>enzalutamide</w:t>
      </w:r>
      <w:r w:rsidRPr="00037849">
        <w:t xml:space="preserve"> is co-administered with inhibitors or inducers of CYP3A4. Drug interaction studies looking at the effects of </w:t>
      </w:r>
      <w:r w:rsidR="00916EB0" w:rsidRPr="00916EB0">
        <w:t>enzalutamide</w:t>
      </w:r>
      <w:r w:rsidRPr="00037849">
        <w:t xml:space="preserve"> on other medicines showed that </w:t>
      </w:r>
      <w:r w:rsidR="00916EB0" w:rsidRPr="00916EB0">
        <w:t>enzalutamide</w:t>
      </w:r>
      <w:r w:rsidRPr="00037849">
        <w:t xml:space="preserve"> was a strong inducer of CYP3A4, a moderate inducer of CYP2C9 and CYP2C19, but had no clinically relevant effect on CYP2C8.</w:t>
      </w:r>
    </w:p>
    <w:p w:rsidR="009B5AFB" w:rsidRPr="00037849" w:rsidRDefault="009B5AFB" w:rsidP="001B7D48">
      <w:r w:rsidRPr="00037849">
        <w:t xml:space="preserve">The sponsor had provided justification for not submitting absolute bioavailability data in this application, that an </w:t>
      </w:r>
      <w:r w:rsidR="00F551AA">
        <w:t xml:space="preserve">IV </w:t>
      </w:r>
      <w:r w:rsidRPr="00037849">
        <w:t xml:space="preserve">formulation of </w:t>
      </w:r>
      <w:r w:rsidR="00916EB0" w:rsidRPr="00916EB0">
        <w:t>enzalutamide</w:t>
      </w:r>
      <w:r w:rsidRPr="00037849">
        <w:t xml:space="preserve"> for humans was not available because of its limited aqueous solubility, but that non-clinical and clinical studies showed that </w:t>
      </w:r>
      <w:r w:rsidR="00916EB0" w:rsidRPr="00916EB0">
        <w:t>enzalutamide</w:t>
      </w:r>
      <w:r w:rsidRPr="00037849">
        <w:t xml:space="preserve"> had a high oral bioavailability. The evaluator considered this justification reasonable.</w:t>
      </w:r>
    </w:p>
    <w:p w:rsidR="008E7846" w:rsidRDefault="008E7846" w:rsidP="001B7D48">
      <w:pPr>
        <w:pStyle w:val="Heading3"/>
      </w:pPr>
      <w:bookmarkStart w:id="84" w:name="_Toc196046481"/>
      <w:bookmarkStart w:id="85" w:name="_Toc247691520"/>
      <w:bookmarkStart w:id="86" w:name="_Toc314842503"/>
      <w:bookmarkStart w:id="87" w:name="_Toc408300840"/>
      <w:r w:rsidRPr="00254787">
        <w:t>Pharmacodynamics</w:t>
      </w:r>
      <w:bookmarkEnd w:id="71"/>
      <w:bookmarkEnd w:id="84"/>
      <w:bookmarkEnd w:id="85"/>
      <w:bookmarkEnd w:id="86"/>
      <w:bookmarkEnd w:id="87"/>
    </w:p>
    <w:p w:rsidR="00EC715A" w:rsidRPr="00EC715A" w:rsidRDefault="00EC715A" w:rsidP="001B7D48">
      <w:pPr>
        <w:pStyle w:val="Heading4"/>
      </w:pPr>
      <w:r w:rsidRPr="00EC715A">
        <w:t>Studies providing pharmacodynamic data</w:t>
      </w:r>
    </w:p>
    <w:p w:rsidR="0046476B" w:rsidRPr="00037849" w:rsidRDefault="00BB6145" w:rsidP="001B7D48">
      <w:r>
        <w:t xml:space="preserve">The </w:t>
      </w:r>
      <w:r w:rsidR="0046476B" w:rsidRPr="00037849">
        <w:t>studies relating to pharmacodynamic</w:t>
      </w:r>
      <w:r>
        <w:t>s included the following:</w:t>
      </w:r>
    </w:p>
    <w:p w:rsidR="0046476B" w:rsidRPr="00087464" w:rsidRDefault="0046476B" w:rsidP="001B7D48">
      <w:pPr>
        <w:pStyle w:val="TableTitle"/>
      </w:pPr>
      <w:bookmarkStart w:id="88" w:name="_Ref269985397"/>
      <w:bookmarkStart w:id="89" w:name="_Toc290888902"/>
      <w:bookmarkStart w:id="90" w:name="_Toc381783706"/>
      <w:proofErr w:type="gramStart"/>
      <w:r w:rsidRPr="00087464">
        <w:lastRenderedPageBreak/>
        <w:t>Table</w:t>
      </w:r>
      <w:bookmarkEnd w:id="88"/>
      <w:r>
        <w:t xml:space="preserve"> 3:</w:t>
      </w:r>
      <w:r w:rsidRPr="00087464">
        <w:t xml:space="preserve"> Submitted pharmacodynamic studies.</w:t>
      </w:r>
      <w:bookmarkEnd w:id="89"/>
      <w:bookmarkEnd w:id="90"/>
      <w:proofErr w:type="gramEnd"/>
    </w:p>
    <w:tbl>
      <w:tblPr>
        <w:tblStyle w:val="TableTGAblue"/>
        <w:tblW w:w="8350" w:type="dxa"/>
        <w:tblLayout w:type="fixed"/>
        <w:tblLook w:val="04A0" w:firstRow="1" w:lastRow="0" w:firstColumn="1" w:lastColumn="0" w:noHBand="0" w:noVBand="1"/>
      </w:tblPr>
      <w:tblGrid>
        <w:gridCol w:w="1668"/>
        <w:gridCol w:w="1275"/>
        <w:gridCol w:w="1701"/>
        <w:gridCol w:w="3706"/>
      </w:tblGrid>
      <w:tr w:rsidR="0046476B" w:rsidRPr="00037849" w:rsidTr="00916EB0">
        <w:trPr>
          <w:cnfStyle w:val="100000000000" w:firstRow="1" w:lastRow="0" w:firstColumn="0" w:lastColumn="0" w:oddVBand="0" w:evenVBand="0" w:oddHBand="0" w:evenHBand="0" w:firstRowFirstColumn="0" w:firstRowLastColumn="0" w:lastRowFirstColumn="0" w:lastRowLastColumn="0"/>
        </w:trPr>
        <w:tc>
          <w:tcPr>
            <w:tcW w:w="1668" w:type="dxa"/>
          </w:tcPr>
          <w:p w:rsidR="0046476B" w:rsidRPr="00037849" w:rsidRDefault="0046476B" w:rsidP="001B7D48">
            <w:pPr>
              <w:ind w:left="0" w:right="34"/>
            </w:pPr>
            <w:r w:rsidRPr="00037849">
              <w:t>PD Topic</w:t>
            </w:r>
          </w:p>
        </w:tc>
        <w:tc>
          <w:tcPr>
            <w:tcW w:w="1275" w:type="dxa"/>
          </w:tcPr>
          <w:p w:rsidR="0046476B" w:rsidRPr="00037849" w:rsidRDefault="0046476B" w:rsidP="001B7D48">
            <w:pPr>
              <w:ind w:left="0" w:right="34"/>
            </w:pPr>
            <w:r w:rsidRPr="00037849">
              <w:t>Subtopic</w:t>
            </w:r>
          </w:p>
        </w:tc>
        <w:tc>
          <w:tcPr>
            <w:tcW w:w="1701" w:type="dxa"/>
          </w:tcPr>
          <w:p w:rsidR="0046476B" w:rsidRPr="00037849" w:rsidRDefault="0046476B" w:rsidP="001B7D48">
            <w:pPr>
              <w:ind w:left="0" w:right="34"/>
            </w:pPr>
            <w:r w:rsidRPr="00037849">
              <w:t>Study ID</w:t>
            </w:r>
          </w:p>
        </w:tc>
        <w:tc>
          <w:tcPr>
            <w:tcW w:w="3706" w:type="dxa"/>
          </w:tcPr>
          <w:p w:rsidR="0046476B" w:rsidRPr="00037849" w:rsidRDefault="0046476B" w:rsidP="001B7D48">
            <w:pPr>
              <w:ind w:left="0" w:right="34"/>
            </w:pPr>
            <w:r w:rsidRPr="00037849">
              <w:t>*</w:t>
            </w:r>
          </w:p>
        </w:tc>
      </w:tr>
      <w:tr w:rsidR="0046476B" w:rsidRPr="00037849" w:rsidTr="00916EB0">
        <w:tc>
          <w:tcPr>
            <w:tcW w:w="1668" w:type="dxa"/>
          </w:tcPr>
          <w:p w:rsidR="0046476B" w:rsidRPr="00037849" w:rsidRDefault="0046476B" w:rsidP="001B7D48">
            <w:pPr>
              <w:ind w:left="0" w:right="34"/>
            </w:pPr>
            <w:r w:rsidRPr="00037849">
              <w:t>Population PD and PK-PD analyses</w:t>
            </w:r>
          </w:p>
        </w:tc>
        <w:tc>
          <w:tcPr>
            <w:tcW w:w="1275" w:type="dxa"/>
          </w:tcPr>
          <w:p w:rsidR="0046476B" w:rsidRPr="00037849" w:rsidRDefault="0046476B" w:rsidP="001B7D48">
            <w:pPr>
              <w:ind w:left="0" w:right="34"/>
            </w:pPr>
            <w:r w:rsidRPr="00037849">
              <w:t>Target population</w:t>
            </w:r>
            <w:r w:rsidR="006F774B" w:rsidRPr="006F774B">
              <w:t>§</w:t>
            </w:r>
          </w:p>
        </w:tc>
        <w:tc>
          <w:tcPr>
            <w:tcW w:w="1701" w:type="dxa"/>
          </w:tcPr>
          <w:p w:rsidR="0046476B" w:rsidRPr="00037849" w:rsidRDefault="0046476B" w:rsidP="001B7D48">
            <w:pPr>
              <w:ind w:left="0" w:right="34"/>
            </w:pPr>
            <w:r w:rsidRPr="00037849">
              <w:t>Study report 9785-PK-0001</w:t>
            </w:r>
          </w:p>
        </w:tc>
        <w:tc>
          <w:tcPr>
            <w:tcW w:w="3706" w:type="dxa"/>
          </w:tcPr>
          <w:p w:rsidR="0046476B" w:rsidRPr="00037849" w:rsidRDefault="0046476B" w:rsidP="001B7D48">
            <w:pPr>
              <w:ind w:left="0" w:right="34"/>
            </w:pPr>
            <w:r w:rsidRPr="00037849">
              <w:t xml:space="preserve">To develop a population PK model of </w:t>
            </w:r>
            <w:r w:rsidR="00916EB0" w:rsidRPr="00916EB0">
              <w:t>enzalutamide</w:t>
            </w:r>
            <w:r w:rsidRPr="00037849">
              <w:t>, and population PK-PD models for its effect on PSA concentration (a biomarker for prostate cancer progression) and spontaneously reported fatigue (the most frequently reported adverse event), using data from Study S-3100-1-01.</w:t>
            </w:r>
          </w:p>
        </w:tc>
      </w:tr>
    </w:tbl>
    <w:p w:rsidR="0046476B" w:rsidRPr="00037849" w:rsidRDefault="0046476B" w:rsidP="001B7D48">
      <w:pPr>
        <w:pStyle w:val="TableDescription"/>
      </w:pPr>
      <w:r w:rsidRPr="00037849">
        <w:t>* Indicates the primary aim of the study. ‡ And adolescents if applicable.</w:t>
      </w:r>
    </w:p>
    <w:p w:rsidR="0046476B" w:rsidRPr="00037849" w:rsidRDefault="0046476B" w:rsidP="001B7D48">
      <w:pPr>
        <w:pStyle w:val="TableDescription"/>
      </w:pPr>
      <w:r w:rsidRPr="00037849">
        <w:t>§ Subjects who would be eligible to receive the drug if approved for the proposed indication.</w:t>
      </w:r>
    </w:p>
    <w:p w:rsidR="0046476B" w:rsidRDefault="0046476B" w:rsidP="001B7D48">
      <w:r w:rsidRPr="00087464">
        <w:t>None of the pharmacodynamic studies had deficiencies that excluded their results from consideration.</w:t>
      </w:r>
    </w:p>
    <w:p w:rsidR="00EC715A" w:rsidRPr="001B7D48" w:rsidRDefault="00EC715A" w:rsidP="001B7D48">
      <w:pPr>
        <w:pStyle w:val="Heading5"/>
      </w:pPr>
      <w:r>
        <w:t>Mechanism of action</w:t>
      </w:r>
    </w:p>
    <w:p w:rsidR="00EC715A" w:rsidRPr="00087464" w:rsidRDefault="00EC715A" w:rsidP="001B7D48">
      <w:r>
        <w:t xml:space="preserve">Mechanism of action was studied in </w:t>
      </w:r>
      <w:r w:rsidR="00A76A72">
        <w:t xml:space="preserve">Study CRPC-MDA-1, a single </w:t>
      </w:r>
      <w:r w:rsidRPr="00087464">
        <w:t xml:space="preserve">centre, single arm, open-label study of patients with metastatic progressive CRPC treated with oral </w:t>
      </w:r>
      <w:r>
        <w:t>e</w:t>
      </w:r>
      <w:r w:rsidRPr="00EC715A">
        <w:t xml:space="preserve">nzalutamide </w:t>
      </w:r>
      <w:r w:rsidRPr="00087464">
        <w:t>(160 mg/day)</w:t>
      </w:r>
      <w:r>
        <w:t>. I</w:t>
      </w:r>
      <w:r w:rsidRPr="00087464">
        <w:t xml:space="preserve">mmunohistochemistry for </w:t>
      </w:r>
      <w:r>
        <w:t xml:space="preserve">AR </w:t>
      </w:r>
      <w:r w:rsidRPr="00087464">
        <w:t xml:space="preserve">in bone marrow samples was performed and subcellular distribution of </w:t>
      </w:r>
      <w:r>
        <w:t xml:space="preserve">AR </w:t>
      </w:r>
      <w:r w:rsidRPr="00087464">
        <w:t>was recorded (membranous, cytosolic, nuclear, or combination).</w:t>
      </w:r>
    </w:p>
    <w:p w:rsidR="00EC715A" w:rsidRDefault="00EC715A" w:rsidP="001B7D48">
      <w:r>
        <w:t>Of the</w:t>
      </w:r>
      <w:r w:rsidRPr="00087464">
        <w:t xml:space="preserve"> 16 patients who were evaluable for assessment of bone marrow </w:t>
      </w:r>
      <w:r>
        <w:t xml:space="preserve">AR </w:t>
      </w:r>
      <w:r w:rsidRPr="00087464">
        <w:t>expression by immunohistochemistry, 5 were prostate specific antigen (</w:t>
      </w:r>
      <w:r>
        <w:t>PSA) responders (defined by a ≥ </w:t>
      </w:r>
      <w:r w:rsidRPr="00087464">
        <w:t xml:space="preserve">50% reduction from baseline in PSA at Week 9) and 11 were PSA non-responders. Of the evaluable 5 PSA responders, all 5 showed reduction in nuclear </w:t>
      </w:r>
      <w:r w:rsidR="00BB6145">
        <w:t>AR</w:t>
      </w:r>
      <w:r w:rsidRPr="00087464">
        <w:t xml:space="preserve"> localisation. Of the evaluable 11 PSA non-responders, 2 showed reduction in nuclear </w:t>
      </w:r>
      <w:r w:rsidR="00BB6145">
        <w:t>AR</w:t>
      </w:r>
      <w:r w:rsidRPr="00087464">
        <w:t xml:space="preserve"> localisation and 9 showed no change or increase in nuclear </w:t>
      </w:r>
      <w:r w:rsidR="00BB6145">
        <w:t>AR</w:t>
      </w:r>
      <w:r w:rsidRPr="00087464">
        <w:t xml:space="preserve"> localisation. Statistical correlation was not assessed due to low numbers of evaluable patients.</w:t>
      </w:r>
    </w:p>
    <w:p w:rsidR="00EC715A" w:rsidRPr="00087464" w:rsidRDefault="00EC715A" w:rsidP="001B7D48">
      <w:pPr>
        <w:pStyle w:val="Heading5"/>
      </w:pPr>
      <w:r>
        <w:t>Secondary pharmacodynamic study</w:t>
      </w:r>
    </w:p>
    <w:p w:rsidR="00EC715A" w:rsidRDefault="00EC715A" w:rsidP="008F044E">
      <w:r w:rsidRPr="00087464">
        <w:t xml:space="preserve">A population PK/PD model (Study report 9785-PK-0001) was developed to examine the effect of </w:t>
      </w:r>
      <w:r w:rsidRPr="00EC715A">
        <w:t>enzalutamide</w:t>
      </w:r>
      <w:r w:rsidRPr="00087464">
        <w:t xml:space="preserve"> exposures on PSA concentrations (a biomarker for prostate cancer progression), using data from Study S-3100-1-01. Results showed that at the start of treatment, </w:t>
      </w:r>
      <w:r w:rsidRPr="00EC715A">
        <w:t>enzalutamide</w:t>
      </w:r>
      <w:r w:rsidRPr="00087464">
        <w:t xml:space="preserve"> administration induced a decrease in PSA concentrations, and that during treatment, </w:t>
      </w:r>
      <w:r w:rsidRPr="00EC715A">
        <w:t xml:space="preserve">enzalutamide </w:t>
      </w:r>
      <w:r w:rsidRPr="00087464">
        <w:t>slowed the rate of PSA conc</w:t>
      </w:r>
      <w:r w:rsidR="00101C69">
        <w:t xml:space="preserve">entration increase. In the cell </w:t>
      </w:r>
      <w:r w:rsidRPr="00087464">
        <w:t>growth model, the 50% effective concentration (EC</w:t>
      </w:r>
      <w:r w:rsidRPr="00EC715A">
        <w:rPr>
          <w:vertAlign w:val="subscript"/>
        </w:rPr>
        <w:t>50</w:t>
      </w:r>
      <w:r w:rsidRPr="00087464">
        <w:t xml:space="preserve">) was estimated to be much lower than </w:t>
      </w:r>
      <w:r w:rsidRPr="00EC715A">
        <w:t>enzalutamide</w:t>
      </w:r>
      <w:r w:rsidRPr="00087464">
        <w:t xml:space="preserve"> concentrations attained even for the lowest doses tested (30</w:t>
      </w:r>
      <w:r>
        <w:t> </w:t>
      </w:r>
      <w:r w:rsidRPr="00087464">
        <w:t xml:space="preserve">mg), suggesting that the effect of </w:t>
      </w:r>
      <w:r w:rsidRPr="00EC715A">
        <w:t>enzalutamide</w:t>
      </w:r>
      <w:r w:rsidRPr="00087464">
        <w:t xml:space="preserve"> on PSA was already at a maximum at the lowest dose tested in this study. Simulation results showed that the 2 patient populations in this study (chemo-naïve patients and post-chemotherapy patients) appeared to respond differently to </w:t>
      </w:r>
      <w:r w:rsidRPr="00EC715A">
        <w:t>enzalutamide</w:t>
      </w:r>
      <w:r w:rsidRPr="00087464">
        <w:t xml:space="preserve"> treatment, with a greater treatment benefit in the chemo-naïve patients (Figure </w:t>
      </w:r>
      <w:r>
        <w:t>2)</w:t>
      </w:r>
      <w:r w:rsidRPr="00087464">
        <w:t>.</w:t>
      </w:r>
    </w:p>
    <w:p w:rsidR="00EC715A" w:rsidRPr="00EF329E" w:rsidRDefault="00EC715A" w:rsidP="008F044E">
      <w:pPr>
        <w:pStyle w:val="FigureTitle"/>
      </w:pPr>
      <w:r>
        <w:lastRenderedPageBreak/>
        <w:t xml:space="preserve">Figure 2: </w:t>
      </w:r>
      <w:r w:rsidRPr="00EF329E">
        <w:t>Kaplan-Meier survival curve for time until treatment failure (weeks) and bar chart for distribution of the fraction responders by patient population for the simulated data set using a dose of 160 mg/day, Study 9785-PK-0001</w:t>
      </w:r>
    </w:p>
    <w:p w:rsidR="00EC715A" w:rsidRPr="00087464" w:rsidRDefault="00EC715A" w:rsidP="007F2B1B">
      <w:r>
        <w:rPr>
          <w:noProof/>
          <w:lang w:eastAsia="en-AU"/>
        </w:rPr>
        <w:drawing>
          <wp:inline distT="0" distB="0" distL="0" distR="0" wp14:anchorId="5C6B7EE4" wp14:editId="22EFE6C4">
            <wp:extent cx="4229100" cy="2482038"/>
            <wp:effectExtent l="0" t="0" r="0" b="0"/>
            <wp:docPr id="40" name="Picture 40" descr="Figure 2: Kaplan-Meier survival curve for time until treatment failure (weeks) and bar chart for distribution of the fraction responders by patient population for the simulated data set using a dose of 160 mg/day, Study 9785-PK-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6707" cy="2480634"/>
                    </a:xfrm>
                    <a:prstGeom prst="rect">
                      <a:avLst/>
                    </a:prstGeom>
                    <a:noFill/>
                    <a:ln>
                      <a:noFill/>
                    </a:ln>
                  </pic:spPr>
                </pic:pic>
              </a:graphicData>
            </a:graphic>
          </wp:inline>
        </w:drawing>
      </w:r>
    </w:p>
    <w:p w:rsidR="00EC715A" w:rsidRPr="00EF329E" w:rsidRDefault="006F774B" w:rsidP="007F2B1B">
      <w:pPr>
        <w:pStyle w:val="FigureDescription"/>
      </w:pPr>
      <w:r>
        <w:t>T</w:t>
      </w:r>
      <w:r w:rsidR="00EC715A" w:rsidRPr="00EF329E">
        <w:t>reatment failure = increase in PSA to 25% above baseline</w:t>
      </w:r>
      <w:r w:rsidR="00EC715A">
        <w:t xml:space="preserve">; </w:t>
      </w:r>
      <w:r w:rsidR="00EC715A" w:rsidRPr="00EF329E">
        <w:t>responders = subjects showing a decrease in PSA of more than 50% from baseline</w:t>
      </w:r>
    </w:p>
    <w:p w:rsidR="00605AD4" w:rsidRPr="007F2B1B" w:rsidRDefault="00605AD4" w:rsidP="007F2B1B">
      <w:pPr>
        <w:pStyle w:val="Heading4"/>
      </w:pPr>
      <w:r>
        <w:t>Evaluator’s conclusions on pharmacodynamics</w:t>
      </w:r>
    </w:p>
    <w:p w:rsidR="00EC715A" w:rsidRPr="00F31949" w:rsidRDefault="00EC715A" w:rsidP="007F2B1B">
      <w:r w:rsidRPr="00F31949">
        <w:t>Overall, the PD data is adequate with respect to evaluation of this application.</w:t>
      </w:r>
    </w:p>
    <w:p w:rsidR="008E7846" w:rsidRPr="007F2B1B" w:rsidRDefault="00605AD4" w:rsidP="007F2B1B">
      <w:pPr>
        <w:pStyle w:val="Heading3"/>
      </w:pPr>
      <w:bookmarkStart w:id="91" w:name="_Toc408300841"/>
      <w:r>
        <w:t>Dosage selection for the pivotal studies</w:t>
      </w:r>
      <w:bookmarkEnd w:id="91"/>
    </w:p>
    <w:p w:rsidR="00536612" w:rsidRPr="00087464" w:rsidRDefault="00536612" w:rsidP="007F2B1B">
      <w:r w:rsidRPr="00087464">
        <w:t xml:space="preserve">Dose selection of </w:t>
      </w:r>
      <w:proofErr w:type="spellStart"/>
      <w:r w:rsidRPr="00536612">
        <w:t>enzalutamide</w:t>
      </w:r>
      <w:proofErr w:type="spellEnd"/>
      <w:r w:rsidRPr="00087464">
        <w:t xml:space="preserve"> for the pivotal study was based o</w:t>
      </w:r>
      <w:r w:rsidR="00101C69">
        <w:t xml:space="preserve">n the results of a Phase I dose </w:t>
      </w:r>
      <w:r w:rsidRPr="00087464">
        <w:t>es</w:t>
      </w:r>
      <w:r>
        <w:t xml:space="preserve">calation study, S-3100-1-01. </w:t>
      </w:r>
      <w:r w:rsidRPr="00087464">
        <w:t>With regards to dose selection for the pivotal study, the maximum tolerated dose in this study was determined to be 240 mg daily, based upon the occurrence of dose</w:t>
      </w:r>
      <w:r w:rsidR="006F774B">
        <w:t xml:space="preserve"> </w:t>
      </w:r>
      <w:r w:rsidRPr="00087464">
        <w:t xml:space="preserve">limiting toxicities as well as adverse events </w:t>
      </w:r>
      <w:r w:rsidR="00763C63">
        <w:t xml:space="preserve">(AEs) </w:t>
      </w:r>
      <w:r w:rsidRPr="00087464">
        <w:t xml:space="preserve">of fatigue leading to dose reductions at </w:t>
      </w:r>
      <w:r w:rsidR="006F774B">
        <w:t xml:space="preserve">higher doses. There were 5 dose </w:t>
      </w:r>
      <w:r w:rsidRPr="00087464">
        <w:t xml:space="preserve">limiting toxicities reported in Study S-3100-1-01, all occurring at doses of 360 mg daily or higher (3 events of seizure, and 1 each of rash and confusion). There was also a dose-dependent increase in </w:t>
      </w:r>
      <w:r w:rsidR="00763C63">
        <w:t>AE</w:t>
      </w:r>
      <w:r w:rsidRPr="00087464">
        <w:t xml:space="preserve">s of fatigue leading to dose reduction, with a 2.9% incidence at 240 </w:t>
      </w:r>
      <w:r w:rsidR="006F774B">
        <w:t>mg daily, 7.5% incidence at 360 </w:t>
      </w:r>
      <w:r w:rsidRPr="00087464">
        <w:t>mg daily, and 2</w:t>
      </w:r>
      <w:r w:rsidR="007F2B1B">
        <w:t>0.0% incidence at 480 mg daily.</w:t>
      </w:r>
    </w:p>
    <w:p w:rsidR="00536612" w:rsidRPr="00087464" w:rsidRDefault="00536612" w:rsidP="007F2B1B">
      <w:r w:rsidRPr="00087464">
        <w:t>With regards to efficacy, the proportion of patients who had received previous chemotherapy without evidence of progression by any means (PSA, radiographic, or clinical) at 12 and 24 weeks were 54% and 31%, respectively, for the 150 mg/day dose cohort, and 67% and 33%, respectively, for the 240 mg/day dose cohort. The proportion of patients showing a 50% decrease from baseline in PSA increased in a dose-dependent manner up to 150 mg/day (33.3% of patients at 30 mg/day, 59.3% at 60 mg/day and 66.7% at 150 mg/day) with no obvious additional benefit recorded for increased doses above 150 mg/ day (58.6% at 240 mg/day, 67.9% at 360 mg/day, 28.6% at 480 mg</w:t>
      </w:r>
      <w:r w:rsidR="007F2B1B">
        <w:t>/day, and 66.7% at 600 mg/day).</w:t>
      </w:r>
    </w:p>
    <w:p w:rsidR="00536612" w:rsidRPr="00087464" w:rsidRDefault="00536612" w:rsidP="007F2B1B">
      <w:r w:rsidRPr="00087464">
        <w:t>Given the comparable efficacy of doses ≥ 150 mg/day, and the incr</w:t>
      </w:r>
      <w:r>
        <w:t xml:space="preserve">easing safety issues at doses ≥ </w:t>
      </w:r>
      <w:r w:rsidRPr="00087464">
        <w:t>240 mg/day, a dose of 160 mg/day was selected for the CRPC2 study. According to the sponsor, a dose of 160 mg/day was selected rather than 150 mg/day because the dosage strength of the capsules had been changed from 30 mg to 40 mg per capsule in order to reduce the total number of capsules required.</w:t>
      </w:r>
    </w:p>
    <w:p w:rsidR="00536612" w:rsidRPr="00087464" w:rsidRDefault="00121195" w:rsidP="007F2B1B">
      <w:pPr>
        <w:ind w:left="720"/>
      </w:pPr>
      <w:r>
        <w:rPr>
          <w:b/>
        </w:rPr>
        <w:t>Evaluator comment</w:t>
      </w:r>
      <w:r w:rsidR="00536612">
        <w:t xml:space="preserve">: </w:t>
      </w:r>
      <w:r w:rsidR="00536612" w:rsidRPr="00087464">
        <w:t>The rationale for the dose selection in the Phase III study is sound.</w:t>
      </w:r>
    </w:p>
    <w:p w:rsidR="008E7846" w:rsidRPr="007F2B1B" w:rsidRDefault="008E7846" w:rsidP="007F2B1B">
      <w:pPr>
        <w:pStyle w:val="Heading3"/>
      </w:pPr>
      <w:bookmarkStart w:id="92" w:name="_Toc163441372"/>
      <w:bookmarkStart w:id="93" w:name="_Toc196046485"/>
      <w:bookmarkStart w:id="94" w:name="_Toc247691521"/>
      <w:bookmarkStart w:id="95" w:name="_Toc314842504"/>
      <w:bookmarkStart w:id="96" w:name="_Toc408300842"/>
      <w:r w:rsidRPr="00254787">
        <w:lastRenderedPageBreak/>
        <w:t>Efficacy</w:t>
      </w:r>
      <w:bookmarkEnd w:id="92"/>
      <w:bookmarkEnd w:id="93"/>
      <w:bookmarkEnd w:id="94"/>
      <w:bookmarkEnd w:id="95"/>
      <w:bookmarkEnd w:id="96"/>
    </w:p>
    <w:p w:rsidR="00605AD4" w:rsidRDefault="00605AD4" w:rsidP="007F2B1B">
      <w:pPr>
        <w:pStyle w:val="Heading4"/>
      </w:pPr>
      <w:bookmarkStart w:id="97" w:name="_Toc184439992"/>
      <w:bookmarkStart w:id="98" w:name="_Toc184440279"/>
      <w:bookmarkStart w:id="99" w:name="_Toc184444657"/>
      <w:bookmarkStart w:id="100" w:name="_Toc196046487"/>
      <w:r>
        <w:t>Studies providing efficacy data</w:t>
      </w:r>
    </w:p>
    <w:p w:rsidR="00121195" w:rsidRDefault="00121195" w:rsidP="007F2B1B">
      <w:pPr>
        <w:pStyle w:val="Heading5"/>
      </w:pPr>
      <w:bookmarkStart w:id="101" w:name="_Ref271037274"/>
      <w:bookmarkStart w:id="102" w:name="_Toc272414652"/>
      <w:bookmarkStart w:id="103" w:name="_Toc290846274"/>
      <w:bookmarkStart w:id="104" w:name="_Toc381783627"/>
      <w:r>
        <w:t xml:space="preserve">Pivotal </w:t>
      </w:r>
      <w:r w:rsidRPr="007F2B1B">
        <w:t>study</w:t>
      </w:r>
    </w:p>
    <w:p w:rsidR="00121195" w:rsidRPr="00121195" w:rsidRDefault="00121195" w:rsidP="007F2B1B">
      <w:r w:rsidRPr="00121195">
        <w:t xml:space="preserve">Pivotal efficacy </w:t>
      </w:r>
      <w:bookmarkStart w:id="105" w:name="_Ref243301615"/>
      <w:bookmarkStart w:id="106" w:name="_Ref271040927"/>
      <w:bookmarkStart w:id="107" w:name="_Ref271040932"/>
      <w:bookmarkStart w:id="108" w:name="_Toc272414653"/>
      <w:bookmarkStart w:id="109" w:name="_Toc290846275"/>
      <w:bookmarkStart w:id="110" w:name="_Toc381783628"/>
      <w:bookmarkEnd w:id="101"/>
      <w:bookmarkEnd w:id="102"/>
      <w:bookmarkEnd w:id="103"/>
      <w:bookmarkEnd w:id="104"/>
      <w:r w:rsidRPr="00121195">
        <w:t xml:space="preserve">Study </w:t>
      </w:r>
      <w:bookmarkEnd w:id="105"/>
      <w:r w:rsidRPr="00121195">
        <w:t>CRPC2 (AFFIRM</w:t>
      </w:r>
      <w:bookmarkEnd w:id="106"/>
      <w:bookmarkEnd w:id="107"/>
      <w:bookmarkEnd w:id="108"/>
      <w:bookmarkEnd w:id="109"/>
      <w:r w:rsidRPr="00121195">
        <w:t>)</w:t>
      </w:r>
      <w:bookmarkEnd w:id="110"/>
      <w:r>
        <w:t xml:space="preserve"> was </w:t>
      </w:r>
      <w:r w:rsidRPr="00121195">
        <w:t>a m</w:t>
      </w:r>
      <w:r>
        <w:t xml:space="preserve">ulti-centre, randomised, double </w:t>
      </w:r>
      <w:r w:rsidRPr="00121195">
        <w:t>blind, placebo</w:t>
      </w:r>
      <w:r>
        <w:t xml:space="preserve"> </w:t>
      </w:r>
      <w:r w:rsidRPr="00121195">
        <w:t>controlled, Phase III study evaluating the efficacy and safety of enzalutamide in patients with progressive CRPC who had been previously treated with 1 or 2 chemotherapy regimens, at least 1 of which was docetaxel-based. The primary objective was to determine the benefit of enzalutamide compared to placebo as assessed by overall survival</w:t>
      </w:r>
      <w:r w:rsidR="004672F0">
        <w:t xml:space="preserve"> (OS)</w:t>
      </w:r>
      <w:r w:rsidRPr="00121195">
        <w:t>.</w:t>
      </w:r>
    </w:p>
    <w:p w:rsidR="00121195" w:rsidRDefault="00121195" w:rsidP="007F2B1B">
      <w:pPr>
        <w:pStyle w:val="Heading5"/>
      </w:pPr>
      <w:r>
        <w:t>Other efficacy studies</w:t>
      </w:r>
    </w:p>
    <w:p w:rsidR="00121195" w:rsidRDefault="00121195" w:rsidP="007F2B1B">
      <w:r w:rsidRPr="008C0ACC">
        <w:t>Study S-3100-1-01 was a multi-centre, Phase I,</w:t>
      </w:r>
      <w:r w:rsidR="00A76A72">
        <w:t xml:space="preserve"> open-</w:t>
      </w:r>
      <w:r>
        <w:t xml:space="preserve">label, uncontrolled, dose </w:t>
      </w:r>
      <w:r w:rsidRPr="008C0ACC">
        <w:t xml:space="preserve">escalation safety and PK study of </w:t>
      </w:r>
      <w:r w:rsidRPr="00121195">
        <w:t>enzalutamide</w:t>
      </w:r>
      <w:r>
        <w:t xml:space="preserve"> with dose </w:t>
      </w:r>
      <w:r w:rsidRPr="008C0ACC">
        <w:t xml:space="preserve">expansion at the tolerated doses, in patients with CRPC. The primary objective was to determine the safety and tolerability profile of </w:t>
      </w:r>
      <w:r w:rsidRPr="00121195">
        <w:t>enzalutamide</w:t>
      </w:r>
      <w:r w:rsidR="00101C69">
        <w:t xml:space="preserve">, including the dose </w:t>
      </w:r>
      <w:r w:rsidRPr="008C0ACC">
        <w:t>limiting toxicities, and the maximum tolerated dose when administered orally to patients with CRPC. The study was ongoing at</w:t>
      </w:r>
      <w:r w:rsidR="007F2B1B">
        <w:t xml:space="preserve"> the time of this submission.</w:t>
      </w:r>
    </w:p>
    <w:p w:rsidR="00121195" w:rsidRPr="00121195" w:rsidRDefault="00121195" w:rsidP="007F2B1B">
      <w:r w:rsidRPr="00121195">
        <w:t>Study CRPC-MDA-1</w:t>
      </w:r>
      <w:r>
        <w:t xml:space="preserve"> </w:t>
      </w:r>
      <w:r w:rsidR="00A76A72">
        <w:t>was a single centre, single arm, open-</w:t>
      </w:r>
      <w:r w:rsidRPr="00121195">
        <w:t>label study of patients with metastatic progressive CRPC treated with oral enzalutamide (160 mg/day)</w:t>
      </w:r>
      <w:r w:rsidR="00C66AF6">
        <w:t>,</w:t>
      </w:r>
      <w:r w:rsidRPr="00121195">
        <w:t xml:space="preserve"> evaluating the tumour micro-environment. The primary objective was to explore the effect of treatment with enzalutamide on </w:t>
      </w:r>
      <w:r>
        <w:t xml:space="preserve">AR </w:t>
      </w:r>
      <w:r w:rsidRPr="00121195">
        <w:t>signalling and expression of survival/resistance pathways in the bone marrow metastases of CRPC patients in correlation with measures of anti</w:t>
      </w:r>
      <w:r>
        <w:t>-</w:t>
      </w:r>
      <w:r w:rsidRPr="00121195">
        <w:t xml:space="preserve">tumour activity to identify predictors of response or resistance to therapy. The study was ongoing </w:t>
      </w:r>
      <w:r w:rsidR="007F2B1B">
        <w:t>at the time of this submission.</w:t>
      </w:r>
    </w:p>
    <w:p w:rsidR="008E7846" w:rsidRDefault="00605AD4" w:rsidP="007F2B1B">
      <w:pPr>
        <w:pStyle w:val="Heading4"/>
      </w:pPr>
      <w:r>
        <w:t xml:space="preserve">Evaluator’s conclusions on </w:t>
      </w:r>
      <w:r w:rsidRPr="007F2B1B">
        <w:t>efficacy</w:t>
      </w:r>
    </w:p>
    <w:p w:rsidR="00121195" w:rsidRPr="0087566B" w:rsidRDefault="00121195" w:rsidP="007F2B1B">
      <w:r w:rsidRPr="0087566B">
        <w:t xml:space="preserve">Overall, the study design, study inclusion and exclusion criteria, and study endpoints of the pivotal Phase III study (CRPC2) were appropriate. The study primary endpoint allowed evaluation of the effect of </w:t>
      </w:r>
      <w:r w:rsidRPr="00121195">
        <w:t>enzalutamide</w:t>
      </w:r>
      <w:r w:rsidRPr="0087566B">
        <w:t xml:space="preserve"> on survival, while the key secondary endpoints allowed evaluations of effect on changes in PSA and on bone and soft-tissue disease. Other study endpoints allowed further characterisations of potential effects on pain, quality of life </w:t>
      </w:r>
      <w:r w:rsidR="00765C39">
        <w:t>(</w:t>
      </w:r>
      <w:proofErr w:type="spellStart"/>
      <w:r w:rsidR="00765C39">
        <w:t>QoL</w:t>
      </w:r>
      <w:proofErr w:type="spellEnd"/>
      <w:r w:rsidR="00765C39">
        <w:t xml:space="preserve">) </w:t>
      </w:r>
      <w:r w:rsidRPr="0087566B">
        <w:t>and functional status. Baseline demographic and disease characteristics were comparable between treatment groups, and were generally consistent with the target patient population.</w:t>
      </w:r>
    </w:p>
    <w:p w:rsidR="00121195" w:rsidRPr="0087566B" w:rsidRDefault="00121195" w:rsidP="007F2B1B">
      <w:r w:rsidRPr="0087566B">
        <w:t xml:space="preserve">Primary efficacy analysis showed that there was a statistically significant increase in the duration of </w:t>
      </w:r>
      <w:r w:rsidR="004672F0">
        <w:t>OS</w:t>
      </w:r>
      <w:r w:rsidRPr="0087566B">
        <w:t xml:space="preserve"> among patients treated with </w:t>
      </w:r>
      <w:r w:rsidRPr="00121195">
        <w:t>enzalutamide</w:t>
      </w:r>
      <w:r w:rsidRPr="0087566B">
        <w:t xml:space="preserve"> compared with patients treated with placebo (median survival duration of 18.4 months with </w:t>
      </w:r>
      <w:r w:rsidRPr="00121195">
        <w:t>enzalutamide</w:t>
      </w:r>
      <w:r w:rsidRPr="0087566B">
        <w:t xml:space="preserve"> v</w:t>
      </w:r>
      <w:r>
        <w:t>ersus</w:t>
      </w:r>
      <w:r w:rsidRPr="0087566B">
        <w:t xml:space="preserve"> 13.6 months with placebo; p &lt; 0.0001). The stratified hazard ratio for death for </w:t>
      </w:r>
      <w:r w:rsidRPr="00121195">
        <w:t xml:space="preserve">enzalutamide </w:t>
      </w:r>
      <w:r w:rsidRPr="0087566B">
        <w:t xml:space="preserve">treated patients relative to placebo was 0.631, indicating a 37% decrease in the risk of death for patients receiving </w:t>
      </w:r>
      <w:r w:rsidR="00755DBA" w:rsidRPr="00755DBA">
        <w:t>enzalutamide</w:t>
      </w:r>
      <w:r w:rsidRPr="0087566B">
        <w:t xml:space="preserve"> compared to those receiving placebo. There was also a statistically significant increase in time to PSA progression among </w:t>
      </w:r>
      <w:r w:rsidR="00755DBA" w:rsidRPr="00755DBA">
        <w:t>enzalutamide</w:t>
      </w:r>
      <w:r w:rsidRPr="0087566B">
        <w:t xml:space="preserve"> treated</w:t>
      </w:r>
      <w:r w:rsidR="00755DBA">
        <w:t xml:space="preserve"> patients compared with placebo </w:t>
      </w:r>
      <w:r w:rsidRPr="0087566B">
        <w:t xml:space="preserve">treated patients (median time to PSA progression of 8.3 months with </w:t>
      </w:r>
      <w:r w:rsidR="00755DBA" w:rsidRPr="00755DBA">
        <w:t xml:space="preserve">enzalutamide </w:t>
      </w:r>
      <w:r w:rsidR="00755DBA">
        <w:t xml:space="preserve">versus </w:t>
      </w:r>
      <w:r w:rsidRPr="0087566B">
        <w:t xml:space="preserve">3.0 months with placebo; p &lt; 0.0001). The stratified hazard ratio for time to PSA progression in the </w:t>
      </w:r>
      <w:r w:rsidR="00755DBA" w:rsidRPr="00755DBA">
        <w:t>enzalutamide</w:t>
      </w:r>
      <w:r w:rsidRPr="0087566B">
        <w:t xml:space="preserve"> group relative to the placebo group was 0.248, indicating a 75% decrease in the risk of PSA progression for patients receiving </w:t>
      </w:r>
      <w:r w:rsidR="00755DBA" w:rsidRPr="00755DBA">
        <w:t>enzalutamide</w:t>
      </w:r>
      <w:r w:rsidRPr="0087566B">
        <w:t xml:space="preserve"> compared to those receiving placebo.</w:t>
      </w:r>
    </w:p>
    <w:p w:rsidR="00121195" w:rsidRPr="0087566B" w:rsidRDefault="00121195" w:rsidP="007F2B1B">
      <w:r w:rsidRPr="0087566B">
        <w:t xml:space="preserve">In terms of effect on bone and soft tissue disease, study results showed that the time to radiographic progression was statistically significantly longer in </w:t>
      </w:r>
      <w:r w:rsidR="00755DBA" w:rsidRPr="00755DBA">
        <w:t xml:space="preserve">enzalutamide </w:t>
      </w:r>
      <w:r w:rsidRPr="0087566B">
        <w:t>treated</w:t>
      </w:r>
      <w:r w:rsidR="00755DBA">
        <w:t xml:space="preserve"> patients compared with placebo </w:t>
      </w:r>
      <w:r w:rsidRPr="0087566B">
        <w:t>treated patients (median duration of radiographic progression-free surviv</w:t>
      </w:r>
      <w:r w:rsidR="00755DBA">
        <w:t xml:space="preserve">al </w:t>
      </w:r>
      <w:r w:rsidR="008C45CE">
        <w:t xml:space="preserve">(PFS) </w:t>
      </w:r>
      <w:r w:rsidR="00755DBA">
        <w:t xml:space="preserve">of 8.3 months with </w:t>
      </w:r>
      <w:r w:rsidR="00755DBA" w:rsidRPr="00755DBA">
        <w:t xml:space="preserve">enzalutamide </w:t>
      </w:r>
      <w:r w:rsidR="00755DBA">
        <w:t>versus</w:t>
      </w:r>
      <w:r w:rsidRPr="0087566B">
        <w:t xml:space="preserve"> 2.9 months with </w:t>
      </w:r>
      <w:r w:rsidRPr="0087566B">
        <w:lastRenderedPageBreak/>
        <w:t xml:space="preserve">placebo; p &lt; 0.0001). The stratified hazard ratio for time to radiographic progression in the </w:t>
      </w:r>
      <w:r w:rsidR="00755DBA" w:rsidRPr="00755DBA">
        <w:t>enzalutamide</w:t>
      </w:r>
      <w:r w:rsidRPr="0087566B">
        <w:t xml:space="preserve"> group relative to the placebo group was 0.404, indicating a 60% decrease in the risk of radiographic progression with </w:t>
      </w:r>
      <w:r w:rsidR="00755DBA" w:rsidRPr="00755DBA">
        <w:t>enzalutamide</w:t>
      </w:r>
      <w:r w:rsidRPr="0087566B">
        <w:t xml:space="preserve"> compared to placebo. </w:t>
      </w:r>
      <w:r w:rsidR="00252D23">
        <w:t>The time to first skeletal-</w:t>
      </w:r>
      <w:r w:rsidRPr="0087566B">
        <w:t xml:space="preserve">related events was also statistically significantly longer among </w:t>
      </w:r>
      <w:r w:rsidR="00755DBA" w:rsidRPr="00755DBA">
        <w:t xml:space="preserve">enzalutamide </w:t>
      </w:r>
      <w:r w:rsidRPr="0087566B">
        <w:t>treated</w:t>
      </w:r>
      <w:r w:rsidR="00A76A72">
        <w:t xml:space="preserve"> patients compared with placebo </w:t>
      </w:r>
      <w:r w:rsidRPr="0087566B">
        <w:t xml:space="preserve">treated patients (median time to first skeletal-related events of </w:t>
      </w:r>
      <w:r w:rsidR="00A81F60">
        <w:t>1</w:t>
      </w:r>
      <w:r w:rsidRPr="0087566B">
        <w:t xml:space="preserve">6.7 months with </w:t>
      </w:r>
      <w:r w:rsidR="00755DBA" w:rsidRPr="00755DBA">
        <w:t xml:space="preserve">enzalutamide </w:t>
      </w:r>
      <w:r w:rsidR="00755DBA">
        <w:t xml:space="preserve">versus </w:t>
      </w:r>
      <w:r w:rsidRPr="0087566B">
        <w:t>13.3 months with placebo; p = 0.0001). The stratified hazard r</w:t>
      </w:r>
      <w:r w:rsidR="00252D23">
        <w:t>atio for time to first skeletal-</w:t>
      </w:r>
      <w:r w:rsidRPr="0087566B">
        <w:t xml:space="preserve">related event in the </w:t>
      </w:r>
      <w:r w:rsidR="00755DBA" w:rsidRPr="00755DBA">
        <w:t>enzalutamide</w:t>
      </w:r>
      <w:r w:rsidRPr="0087566B">
        <w:t xml:space="preserve"> group relative to the placebo group was 0.688, indicating a 31% decrease in the risk of skeletal-related events with </w:t>
      </w:r>
      <w:r w:rsidR="00755DBA" w:rsidRPr="00755DBA">
        <w:t>enzalutamide</w:t>
      </w:r>
      <w:r w:rsidRPr="0087566B">
        <w:t xml:space="preserve"> compared to placebo. The proportion of patients </w:t>
      </w:r>
      <w:r w:rsidR="00D36D73">
        <w:t xml:space="preserve">for whom the </w:t>
      </w:r>
      <w:r w:rsidRPr="0087566B">
        <w:t xml:space="preserve">best overall soft tissue radiographic response was complete or partial response was 28.9% in the </w:t>
      </w:r>
      <w:r w:rsidR="00755DBA" w:rsidRPr="00755DBA">
        <w:t>enzalutamide</w:t>
      </w:r>
      <w:r w:rsidRPr="0087566B">
        <w:t xml:space="preserve"> group compared with 3.8% in the placebo group (difference of 25.08%; p &lt; 0.0001).</w:t>
      </w:r>
    </w:p>
    <w:p w:rsidR="00121195" w:rsidRPr="0087566B" w:rsidRDefault="00121195" w:rsidP="007F2B1B">
      <w:r w:rsidRPr="0087566B">
        <w:t xml:space="preserve">With regards to the effect on pain, the rate of pain palliation at Week 13 was 44.9% among </w:t>
      </w:r>
      <w:r w:rsidR="00755DBA" w:rsidRPr="00755DBA">
        <w:t xml:space="preserve">enzalutamide </w:t>
      </w:r>
      <w:r w:rsidRPr="0087566B">
        <w:t>treated patients, compared to 6.7% among placebo</w:t>
      </w:r>
      <w:r w:rsidR="00A76A72">
        <w:t xml:space="preserve"> </w:t>
      </w:r>
      <w:r w:rsidRPr="0087566B">
        <w:t xml:space="preserve">treated patients (difference of 38.2%; p = 0.0079). The proportion of patients with pain progression at Week 13 was 27.8% in the </w:t>
      </w:r>
      <w:r w:rsidR="00755DBA" w:rsidRPr="00755DBA">
        <w:t>enzalutamide</w:t>
      </w:r>
      <w:r w:rsidRPr="0087566B">
        <w:t xml:space="preserve"> group compared to 39.0% in the placebo group (difference of 11.2%; p = 0.0018). In terms of effect on </w:t>
      </w:r>
      <w:proofErr w:type="spellStart"/>
      <w:r w:rsidR="00765C39">
        <w:t>QoL</w:t>
      </w:r>
      <w:proofErr w:type="spellEnd"/>
      <w:r w:rsidRPr="0087566B">
        <w:t xml:space="preserve">, the </w:t>
      </w:r>
      <w:r w:rsidR="00C66AF6" w:rsidRPr="00C66AF6">
        <w:t xml:space="preserve">Functional Assessment of Cancer Therapy–Prostate </w:t>
      </w:r>
      <w:r w:rsidR="00C66AF6">
        <w:t>(</w:t>
      </w:r>
      <w:r w:rsidRPr="0087566B">
        <w:t>FACT-P</w:t>
      </w:r>
      <w:r w:rsidR="00C66AF6">
        <w:t>)</w:t>
      </w:r>
      <w:r w:rsidRPr="0087566B">
        <w:t xml:space="preserve"> response rate was 43.2% with </w:t>
      </w:r>
      <w:r w:rsidR="00C04990" w:rsidRPr="00C04990">
        <w:t>enzalutamide</w:t>
      </w:r>
      <w:r w:rsidRPr="0087566B">
        <w:t xml:space="preserve"> compared to 18.3% with placebo (difference of 24.9%; p &lt; 0.0001). However, the </w:t>
      </w:r>
      <w:r w:rsidR="00C66AF6" w:rsidRPr="00C66AF6">
        <w:t xml:space="preserve">European Quality of Life Five-Domain Scale </w:t>
      </w:r>
      <w:r w:rsidR="00C66AF6">
        <w:t>(</w:t>
      </w:r>
      <w:r w:rsidRPr="0087566B">
        <w:t>EQ-5D</w:t>
      </w:r>
      <w:r w:rsidR="00C66AF6">
        <w:t>)</w:t>
      </w:r>
      <w:r w:rsidRPr="0087566B">
        <w:t xml:space="preserve"> scores were generally comparable between both treatment groups, although analyses on the </w:t>
      </w:r>
      <w:proofErr w:type="spellStart"/>
      <w:r w:rsidR="00765C39">
        <w:t>QoL</w:t>
      </w:r>
      <w:proofErr w:type="spellEnd"/>
      <w:r w:rsidR="00765C39">
        <w:t xml:space="preserve"> </w:t>
      </w:r>
      <w:r w:rsidRPr="0087566B">
        <w:t xml:space="preserve">over time using the EQ-5D were difficult to interpret due to the small sample size of evaluable patients and the large decrease in the number of patients completing the questionnaire over time. In terms of effect on functional status, analyses on the </w:t>
      </w:r>
      <w:r w:rsidR="00C66AF6" w:rsidRPr="00C66AF6">
        <w:t xml:space="preserve">Eastern Cooperative Oncology Group (ECOG) </w:t>
      </w:r>
      <w:r w:rsidRPr="0087566B">
        <w:t xml:space="preserve">performance status over time showed that the mean ECOG performance status deterioration from baseline was greater in the placebo group compared with the </w:t>
      </w:r>
      <w:r w:rsidR="00C04990" w:rsidRPr="00C04990">
        <w:t>enzalutamide</w:t>
      </w:r>
      <w:r w:rsidRPr="0087566B">
        <w:t xml:space="preserve"> group, across all assessed time points (Weeks 9, 17, 25, 37 and 49).</w:t>
      </w:r>
    </w:p>
    <w:p w:rsidR="00121195" w:rsidRPr="00121195" w:rsidRDefault="00121195" w:rsidP="007F2B1B">
      <w:r w:rsidRPr="0087566B">
        <w:t xml:space="preserve">Results of the supportive efficacy studies (S-3100-1-01 and CRPC-MDA-1) were generally supportive of the results in the pivotal study. Results in Study S-3100-1-01 showed that 62.1% of the overall study population had a ≥ 50% decrease in PSA levels from baseline. This effect was seen in patients with and without previous chemotherapy (69.8% of patients without previous chemotherapy and 54.0% of patients with previous chemotherapy had a ≥ 50% decrease in PSA levels from baseline). Results in Study CRPC-MDA-1 showed that 41.1% of overall study population had ≥ 50% decrease from baseline at Week 9. In Study S-3100-1-01, the proportion of patients </w:t>
      </w:r>
      <w:proofErr w:type="gramStart"/>
      <w:r w:rsidRPr="0087566B">
        <w:t>whose</w:t>
      </w:r>
      <w:proofErr w:type="gramEnd"/>
      <w:r w:rsidRPr="0087566B">
        <w:t xml:space="preserve"> best overall radiographic response was partial or stable response was 61.6% in the overall study population. This proportion was 71.0% in patients without previous chemotherapy, and 54.8% in patients with previous chemotherapy.</w:t>
      </w:r>
    </w:p>
    <w:p w:rsidR="008E7846" w:rsidRPr="002E238E" w:rsidRDefault="008E7846" w:rsidP="004C3058">
      <w:pPr>
        <w:pStyle w:val="Heading3"/>
      </w:pPr>
      <w:bookmarkStart w:id="111" w:name="_Toc163441378"/>
      <w:bookmarkStart w:id="112" w:name="_Toc196046495"/>
      <w:bookmarkStart w:id="113" w:name="_Toc247691522"/>
      <w:bookmarkStart w:id="114" w:name="_Toc314842505"/>
      <w:bookmarkStart w:id="115" w:name="_Toc408300843"/>
      <w:bookmarkEnd w:id="97"/>
      <w:bookmarkEnd w:id="98"/>
      <w:bookmarkEnd w:id="99"/>
      <w:bookmarkEnd w:id="100"/>
      <w:r w:rsidRPr="004C3058">
        <w:t>Safety</w:t>
      </w:r>
      <w:bookmarkEnd w:id="111"/>
      <w:bookmarkEnd w:id="112"/>
      <w:bookmarkEnd w:id="113"/>
      <w:bookmarkEnd w:id="114"/>
      <w:bookmarkEnd w:id="115"/>
    </w:p>
    <w:p w:rsidR="00605AD4" w:rsidRDefault="00605AD4" w:rsidP="004C3058">
      <w:pPr>
        <w:pStyle w:val="Heading4"/>
      </w:pPr>
      <w:bookmarkStart w:id="116" w:name="_Toc247691524"/>
      <w:bookmarkStart w:id="117" w:name="_Toc314842508"/>
      <w:bookmarkStart w:id="118" w:name="_Toc196046504"/>
      <w:bookmarkStart w:id="119" w:name="_Toc163441390"/>
      <w:r w:rsidRPr="004C3058">
        <w:t>Studies</w:t>
      </w:r>
      <w:r w:rsidRPr="00605AD4">
        <w:t xml:space="preserve"> providing safety data</w:t>
      </w:r>
    </w:p>
    <w:p w:rsidR="00CE09A7" w:rsidRPr="00130798" w:rsidRDefault="00CE09A7" w:rsidP="004C3058">
      <w:r w:rsidRPr="00130798">
        <w:t>In the pivotal efficacy study (CRPC2), the following safety data were collected:</w:t>
      </w:r>
    </w:p>
    <w:p w:rsidR="00CE09A7" w:rsidRPr="009E31F6" w:rsidRDefault="00CE09A7" w:rsidP="004C3058">
      <w:pPr>
        <w:pStyle w:val="ListBullet"/>
      </w:pPr>
      <w:r w:rsidRPr="009E31F6">
        <w:t xml:space="preserve">General </w:t>
      </w:r>
      <w:r w:rsidR="00763C63">
        <w:t>AE</w:t>
      </w:r>
      <w:r w:rsidR="004C3058">
        <w:t>s</w:t>
      </w:r>
    </w:p>
    <w:p w:rsidR="00832D81" w:rsidRPr="00130798" w:rsidRDefault="00832D81" w:rsidP="004C3058">
      <w:pPr>
        <w:pStyle w:val="ListBullet"/>
      </w:pPr>
      <w:r w:rsidRPr="00130798">
        <w:t>A</w:t>
      </w:r>
      <w:r w:rsidR="00763C63">
        <w:t xml:space="preserve">dverse </w:t>
      </w:r>
      <w:r w:rsidR="00763C63" w:rsidRPr="004C3058">
        <w:t>events</w:t>
      </w:r>
      <w:r w:rsidR="00763C63">
        <w:t xml:space="preserve"> </w:t>
      </w:r>
      <w:r w:rsidRPr="00130798">
        <w:t>of special interest were not pre-specified in the protocol. Based on analyses of AEs in Study CRPC2, additional analyses were performed by the sponsor looking at AEs in study CRPC2 of fatigue, diarrhoea, hot flush, musculoskeletal pain, and spinal cord</w:t>
      </w:r>
      <w:r>
        <w:t xml:space="preserve"> compression</w:t>
      </w:r>
    </w:p>
    <w:p w:rsidR="00CE09A7" w:rsidRPr="009E31F6" w:rsidRDefault="00CE09A7" w:rsidP="004C3058">
      <w:pPr>
        <w:pStyle w:val="ListBullet"/>
      </w:pPr>
      <w:r w:rsidRPr="009E31F6">
        <w:t>Laboratory tests</w:t>
      </w:r>
      <w:r w:rsidR="009E31F6" w:rsidRPr="009E31F6">
        <w:t>,</w:t>
      </w:r>
      <w:r w:rsidRPr="009E31F6">
        <w:t xml:space="preserve"> included haematol</w:t>
      </w:r>
      <w:r w:rsidR="004C3058">
        <w:t>ogy and routine blood chemistry</w:t>
      </w:r>
    </w:p>
    <w:p w:rsidR="00CE09A7" w:rsidRPr="009E31F6" w:rsidRDefault="009E31F6" w:rsidP="004C3058">
      <w:pPr>
        <w:pStyle w:val="ListBullet"/>
      </w:pPr>
      <w:r>
        <w:lastRenderedPageBreak/>
        <w:t>V</w:t>
      </w:r>
      <w:r w:rsidR="00CE09A7" w:rsidRPr="009E31F6">
        <w:t>ital signs and 12-lead ECG. A thorough QT/QTc evaluation was embedded into the study, in which all ECGs were read centrally at an independent and blinded ECG laboratory.</w:t>
      </w:r>
    </w:p>
    <w:p w:rsidR="00CE09A7" w:rsidRPr="00130798" w:rsidRDefault="00CE09A7" w:rsidP="004C3058">
      <w:r w:rsidRPr="00130798">
        <w:t>The dose-response and non-pivotal efficacy studies provided safety data, as follows:</w:t>
      </w:r>
    </w:p>
    <w:p w:rsidR="00CE09A7" w:rsidRPr="009E31F6" w:rsidRDefault="00CE09A7" w:rsidP="004C3058">
      <w:pPr>
        <w:pStyle w:val="ListBullet"/>
      </w:pPr>
      <w:r w:rsidRPr="009E31F6">
        <w:t>Study S-</w:t>
      </w:r>
      <w:r w:rsidRPr="004C3058">
        <w:t>3100</w:t>
      </w:r>
      <w:r w:rsidRPr="009E31F6">
        <w:t xml:space="preserve">-1-01 provided data on </w:t>
      </w:r>
      <w:r w:rsidR="00763C63">
        <w:t>AE</w:t>
      </w:r>
      <w:r w:rsidRPr="009E31F6">
        <w:t>s, vital signs, routine laboratory evaluations and 12-lead ECG.</w:t>
      </w:r>
    </w:p>
    <w:p w:rsidR="00CE09A7" w:rsidRPr="009E31F6" w:rsidRDefault="00CE09A7" w:rsidP="004C3058">
      <w:pPr>
        <w:pStyle w:val="ListBullet"/>
      </w:pPr>
      <w:r w:rsidRPr="009E31F6">
        <w:t xml:space="preserve">Study CPRC-MDA-1 provided data on </w:t>
      </w:r>
      <w:r w:rsidR="00763C63">
        <w:t>AE</w:t>
      </w:r>
      <w:r w:rsidRPr="009E31F6">
        <w:t>s, vital signs, routine laboratory evaluations and 12-lead ECG.</w:t>
      </w:r>
    </w:p>
    <w:p w:rsidR="00CE09A7" w:rsidRDefault="00CE09A7" w:rsidP="004C3058">
      <w:pPr>
        <w:ind w:left="360"/>
      </w:pPr>
      <w:r w:rsidRPr="00E44F74">
        <w:rPr>
          <w:b/>
        </w:rPr>
        <w:t>Comments</w:t>
      </w:r>
      <w:r w:rsidRPr="00130798">
        <w:t>:</w:t>
      </w:r>
      <w:r>
        <w:t xml:space="preserve"> </w:t>
      </w:r>
      <w:r w:rsidRPr="00130798">
        <w:t>The sponsor had provided within the SCS safety results in 3 safety populations: the safety population from the pivotal Phase III study CRPC2, the integrated safety populations of 3 open-label uncontrolled studies (S3100-1-01, CRPC-MDA-1, and 9785-CL-0111</w:t>
      </w:r>
      <w:r w:rsidRPr="00E44F74">
        <w:rPr>
          <w:vertAlign w:val="superscript"/>
        </w:rPr>
        <w:footnoteReference w:id="18"/>
      </w:r>
      <w:r>
        <w:t xml:space="preserve">), and </w:t>
      </w:r>
      <w:r w:rsidRPr="00130798">
        <w:t>the integrated safety populations of all 4 studies (</w:t>
      </w:r>
      <w:r w:rsidR="009E31F6">
        <w:t>S</w:t>
      </w:r>
      <w:r w:rsidRPr="00130798">
        <w:t xml:space="preserve">tudies CRPC2, S3100-1-01, CRPC-MDA-1, and 9785-CL-0111). In addition, the SCS contains the individual presentation of the safety results of 5 Phase I PK studies (9785-CL-0007, 9785-CL-0009, 9785-CL-0001, MDV3100-05, and 9785-CL-0006), as well as updated safety information (serious </w:t>
      </w:r>
      <w:r w:rsidR="00763C63">
        <w:t>AE</w:t>
      </w:r>
      <w:r w:rsidRPr="00130798">
        <w:t xml:space="preserve">s </w:t>
      </w:r>
      <w:r w:rsidR="00763C63">
        <w:t xml:space="preserve">(SAEs) </w:t>
      </w:r>
      <w:r w:rsidRPr="00130798">
        <w:t>and deaths) for 2 ongoing</w:t>
      </w:r>
      <w:r w:rsidR="005B7F57">
        <w:t>,</w:t>
      </w:r>
      <w:r w:rsidRPr="00130798">
        <w:t xml:space="preserve"> Phase II</w:t>
      </w:r>
      <w:r w:rsidR="005B7F57">
        <w:t>,</w:t>
      </w:r>
      <w:r w:rsidRPr="00130798">
        <w:t xml:space="preserve"> open-label studies (9785-CL-0121 [open-label extension of the DDI study 9785-CL-0007] and 9785-CL-0321 [open-label single-arm, efficacy and safety study in patients with hormone-naïve prostate cancer]).</w:t>
      </w:r>
    </w:p>
    <w:p w:rsidR="00CE09A7" w:rsidRPr="00E44F74" w:rsidRDefault="005841C6" w:rsidP="004C3058">
      <w:pPr>
        <w:ind w:left="360"/>
      </w:pPr>
      <w:r>
        <w:t>T</w:t>
      </w:r>
      <w:r w:rsidR="00CE09A7" w:rsidRPr="00E44F74">
        <w:t xml:space="preserve">he safety results in the pivotal Phase III study (CRPC2) and the integrated results of the 3 open-label uncontrolled studies (S3100-1-01, CRPC-MDA-1, and 9785-CL-0111) </w:t>
      </w:r>
      <w:r>
        <w:t>are presented in the clinical evaluation report (see Attachment 2 of this AusPAR)</w:t>
      </w:r>
      <w:r w:rsidR="00CE09A7" w:rsidRPr="00E44F74">
        <w:t>. The individual safety results of studies S3100-1-01 and CRPC-MDA-1, the integrated safety results of CRPC2 and the 3 open-label uncontrolled studies, the individual safety results of the 5 Phase I PK studies stated above and the updated safety information of the 2 ongoing Phase II open-label studies stated above, were evaluated for the purpose of this submission and no maj</w:t>
      </w:r>
      <w:r w:rsidR="004C3058">
        <w:t>or safety concerns were raised.</w:t>
      </w:r>
    </w:p>
    <w:p w:rsidR="00605AD4" w:rsidRPr="004C3058" w:rsidRDefault="00605AD4" w:rsidP="004C3058">
      <w:pPr>
        <w:pStyle w:val="Heading4"/>
      </w:pPr>
      <w:r w:rsidRPr="00605AD4">
        <w:t>Patient exposure</w:t>
      </w:r>
    </w:p>
    <w:p w:rsidR="00CE09A7" w:rsidRDefault="00CE09A7" w:rsidP="004C3058">
      <w:r w:rsidRPr="00130798">
        <w:t xml:space="preserve">In study CRPC2, the overall median duration of exposure was 8.3 and 3.0 months in the </w:t>
      </w:r>
      <w:r w:rsidR="009E31F6" w:rsidRPr="009E31F6">
        <w:t>enzalutamide</w:t>
      </w:r>
      <w:r w:rsidR="009E31F6">
        <w:t xml:space="preserve"> </w:t>
      </w:r>
      <w:r w:rsidRPr="00130798">
        <w:t xml:space="preserve">and placebo groups, respectively. Overall, 61.1% (489/800) and 17.8% (71/399) of patients in the </w:t>
      </w:r>
      <w:r w:rsidR="009E31F6" w:rsidRPr="009E31F6">
        <w:t>enzalutamide</w:t>
      </w:r>
      <w:r w:rsidRPr="00130798">
        <w:t xml:space="preserve"> and placebo groups, respectively, had an exposure of ≥ 6 months, while 24.8% (198/800) and 4.5% (18/399), respectively, h</w:t>
      </w:r>
      <w:r w:rsidR="004C3058">
        <w:t>ad an exposure of ≥ 12 months.</w:t>
      </w:r>
    </w:p>
    <w:p w:rsidR="00CE09A7" w:rsidRDefault="00CE09A7" w:rsidP="004C3058">
      <w:r w:rsidRPr="00130798">
        <w:t>In the integ</w:t>
      </w:r>
      <w:r w:rsidR="00A76A72">
        <w:t>rated safety data of the 3 open-</w:t>
      </w:r>
      <w:r w:rsidRPr="00130798">
        <w:t xml:space="preserve">label uncontrolled studies, the overall median exposure to </w:t>
      </w:r>
      <w:r w:rsidR="00916EB0" w:rsidRPr="00916EB0">
        <w:t>enzalutamide</w:t>
      </w:r>
      <w:r w:rsidRPr="00130798">
        <w:t xml:space="preserve"> was 4.6 months. Overall, 37.0% (84/227) of patients had an exposure of ≥ 6 months and 23.3% (53/227)</w:t>
      </w:r>
      <w:r>
        <w:t xml:space="preserve"> </w:t>
      </w:r>
      <w:r w:rsidRPr="00130798">
        <w:t>had an exposure of ≥ 12 months.</w:t>
      </w:r>
    </w:p>
    <w:p w:rsidR="00CE09A7" w:rsidRPr="00130798" w:rsidRDefault="00CE09A7" w:rsidP="004C3058">
      <w:pPr>
        <w:ind w:left="720"/>
      </w:pPr>
      <w:r w:rsidRPr="000D4128">
        <w:rPr>
          <w:b/>
        </w:rPr>
        <w:t>Comments</w:t>
      </w:r>
      <w:r>
        <w:t xml:space="preserve">: </w:t>
      </w:r>
      <w:r w:rsidRPr="00130798">
        <w:t xml:space="preserve">Overall, the study drug exposure is adequate to assess the safety profile of </w:t>
      </w:r>
      <w:r w:rsidR="00916EB0" w:rsidRPr="00916EB0">
        <w:t>enzalutamide</w:t>
      </w:r>
      <w:r w:rsidRPr="00130798">
        <w:t>.</w:t>
      </w:r>
    </w:p>
    <w:p w:rsidR="00605AD4" w:rsidRPr="004C3058" w:rsidRDefault="00605AD4" w:rsidP="004C3058">
      <w:pPr>
        <w:pStyle w:val="Heading4"/>
      </w:pPr>
      <w:r w:rsidRPr="00605AD4">
        <w:lastRenderedPageBreak/>
        <w:t>Safety issues with the potential for major regulatory impact</w:t>
      </w:r>
    </w:p>
    <w:p w:rsidR="004B0745" w:rsidRPr="004B0745" w:rsidRDefault="004B0745" w:rsidP="004C3058">
      <w:pPr>
        <w:pStyle w:val="ListBullet"/>
      </w:pPr>
      <w:bookmarkStart w:id="120" w:name="_Toc272414682"/>
      <w:bookmarkStart w:id="121" w:name="_Toc290846320"/>
      <w:bookmarkStart w:id="122" w:name="_Toc381783665"/>
      <w:r w:rsidRPr="004B0745">
        <w:t xml:space="preserve">Haematological </w:t>
      </w:r>
      <w:bookmarkEnd w:id="120"/>
      <w:bookmarkEnd w:id="121"/>
      <w:r w:rsidRPr="004B0745">
        <w:t>effect</w:t>
      </w:r>
      <w:bookmarkEnd w:id="122"/>
    </w:p>
    <w:p w:rsidR="004B0745" w:rsidRPr="004B0745" w:rsidRDefault="004B0745" w:rsidP="004B0745">
      <w:pPr>
        <w:pStyle w:val="ListBullet"/>
      </w:pPr>
      <w:bookmarkStart w:id="123" w:name="_Toc381783666"/>
      <w:r w:rsidRPr="004B0745">
        <w:t>Neuropsychiatric effect</w:t>
      </w:r>
      <w:bookmarkEnd w:id="123"/>
    </w:p>
    <w:p w:rsidR="004B0745" w:rsidRDefault="004B0745" w:rsidP="004C3058">
      <w:pPr>
        <w:pStyle w:val="ListBullet"/>
      </w:pPr>
      <w:r w:rsidRPr="004B0745">
        <w:t>Cardiovascular safety</w:t>
      </w:r>
    </w:p>
    <w:p w:rsidR="00C313D0" w:rsidRPr="00C313D0" w:rsidRDefault="00C313D0" w:rsidP="004C3058">
      <w:r w:rsidRPr="00C313D0">
        <w:t>These are discussed below.</w:t>
      </w:r>
    </w:p>
    <w:p w:rsidR="00605AD4" w:rsidRPr="004C3058" w:rsidRDefault="00605AD4" w:rsidP="004C3058">
      <w:pPr>
        <w:pStyle w:val="Heading4"/>
      </w:pPr>
      <w:r w:rsidRPr="00605AD4">
        <w:t>Evaluator’s conclusions on safety</w:t>
      </w:r>
    </w:p>
    <w:p w:rsidR="004B0745" w:rsidRPr="004B0745" w:rsidRDefault="004B0745" w:rsidP="004C3058">
      <w:r w:rsidRPr="004B0745">
        <w:t xml:space="preserve">Overall, safety results in the pivotal Phase III study (CRPC2) did not raise any major safety concerns. The incidences of all-causality AEs, treatment-related AEs, deaths, SAEs, and AEs leading to discontinuation of study drug were either comparable or lower in the </w:t>
      </w:r>
      <w:r w:rsidR="00916EB0" w:rsidRPr="00916EB0">
        <w:t>enzalutamide</w:t>
      </w:r>
      <w:r w:rsidRPr="004B0745">
        <w:t xml:space="preserve"> group </w:t>
      </w:r>
      <w:r w:rsidR="008C2725">
        <w:t>versus</w:t>
      </w:r>
      <w:r w:rsidRPr="004B0745">
        <w:t xml:space="preserve"> the placebo group. The m</w:t>
      </w:r>
      <w:r w:rsidR="00C313D0">
        <w:t xml:space="preserve">ost commonly reported treatment </w:t>
      </w:r>
      <w:r w:rsidRPr="004B0745">
        <w:t>related AEs by preferred term in the enzalutamide</w:t>
      </w:r>
      <w:r>
        <w:t xml:space="preserve"> </w:t>
      </w:r>
      <w:r w:rsidRPr="004B0745">
        <w:t xml:space="preserve">group were fatigue (21.5% </w:t>
      </w:r>
      <w:r w:rsidR="008C2725">
        <w:t>versus</w:t>
      </w:r>
      <w:r w:rsidRPr="004B0745">
        <w:t xml:space="preserve"> 17.8% </w:t>
      </w:r>
      <w:r>
        <w:t>with placebo), nausea (20.1% versus</w:t>
      </w:r>
      <w:r w:rsidRPr="004B0745">
        <w:t xml:space="preserve"> 24.8%), and hot flush (15.0% </w:t>
      </w:r>
      <w:r w:rsidR="008C2725">
        <w:t>versus</w:t>
      </w:r>
      <w:r w:rsidR="00C313D0">
        <w:t xml:space="preserve"> 8%). Treatment </w:t>
      </w:r>
      <w:r w:rsidRPr="004B0745">
        <w:t xml:space="preserve">related AEs occurring at ≥ 1% frequency and with an incidence of at least 2% higher in the </w:t>
      </w:r>
      <w:r w:rsidR="00E602E6" w:rsidRPr="00E602E6">
        <w:t xml:space="preserve">enzalutamide </w:t>
      </w:r>
      <w:r w:rsidRPr="004B0745">
        <w:t>treated group than the placebo</w:t>
      </w:r>
      <w:r w:rsidR="00A76A72">
        <w:t xml:space="preserve"> </w:t>
      </w:r>
      <w:r w:rsidRPr="004B0745">
        <w:t xml:space="preserve">treated group were fatigue, hot flush, and headache (4.5% </w:t>
      </w:r>
      <w:r w:rsidR="008C2725">
        <w:t>versus</w:t>
      </w:r>
      <w:r w:rsidRPr="004B0745">
        <w:t xml:space="preserve"> 2.3%).</w:t>
      </w:r>
    </w:p>
    <w:p w:rsidR="004B0745" w:rsidRPr="004B0745" w:rsidRDefault="00A76A72" w:rsidP="004C3058">
      <w:r>
        <w:t>Safety results in the 3 open-</w:t>
      </w:r>
      <w:r w:rsidR="004B0745" w:rsidRPr="004B0745">
        <w:t>label studies (S3100-1-01, CRPC-MDA-1, and 9785-CL-0111) were generally consistent with those of the pivotal study. Safety results in Study S3100-1-01 showed that there was no obvious dose-dependen</w:t>
      </w:r>
      <w:r w:rsidR="00C313D0">
        <w:t>t trend in the incidence of all</w:t>
      </w:r>
      <w:r w:rsidR="00C313D0">
        <w:noBreakHyphen/>
      </w:r>
      <w:r w:rsidR="004B0745" w:rsidRPr="004B0745">
        <w:t>causality AEs, SAEs, or treatment</w:t>
      </w:r>
      <w:r w:rsidR="00C313D0">
        <w:t xml:space="preserve"> </w:t>
      </w:r>
      <w:r w:rsidR="004B0745" w:rsidRPr="004B0745">
        <w:t>related AEs, but with a possible dose</w:t>
      </w:r>
      <w:r w:rsidR="00C313D0">
        <w:t xml:space="preserve"> </w:t>
      </w:r>
      <w:r w:rsidR="004B0745" w:rsidRPr="004B0745">
        <w:t>dependent relationship in the incidence of AEs leading to study drug discontinuation and AEs leading to dose reduction. Among the most commonly reported all</w:t>
      </w:r>
      <w:r w:rsidR="00C313D0">
        <w:t xml:space="preserve">-causality AEs, a possible dose </w:t>
      </w:r>
      <w:r w:rsidR="004B0745" w:rsidRPr="004B0745">
        <w:t>dependent increase in nausea was observed (incidence of 33.3%, 14.3%, 19.6%, 21.7%, 45.3%, 36.0% and 33.3% in the 30</w:t>
      </w:r>
      <w:r w:rsidR="00C313D0">
        <w:t xml:space="preserve"> </w:t>
      </w:r>
      <w:r w:rsidR="004B0745" w:rsidRPr="004B0745">
        <w:t>mg, 60</w:t>
      </w:r>
      <w:r w:rsidR="00C313D0">
        <w:t xml:space="preserve"> </w:t>
      </w:r>
      <w:r w:rsidR="004B0745" w:rsidRPr="004B0745">
        <w:t>mg, 150/160</w:t>
      </w:r>
      <w:r w:rsidR="00C313D0">
        <w:t xml:space="preserve"> </w:t>
      </w:r>
      <w:r w:rsidR="004B0745" w:rsidRPr="004B0745">
        <w:t>mg, 240</w:t>
      </w:r>
      <w:r w:rsidR="00C313D0">
        <w:t xml:space="preserve"> </w:t>
      </w:r>
      <w:r w:rsidR="004B0745" w:rsidRPr="004B0745">
        <w:t>mg, 360</w:t>
      </w:r>
      <w:r w:rsidR="00C313D0">
        <w:t xml:space="preserve"> </w:t>
      </w:r>
      <w:r w:rsidR="004B0745" w:rsidRPr="004B0745">
        <w:t>mg, 480</w:t>
      </w:r>
      <w:r w:rsidR="00C313D0">
        <w:t xml:space="preserve"> </w:t>
      </w:r>
      <w:r w:rsidR="004B0745" w:rsidRPr="004B0745">
        <w:t>mg and 600</w:t>
      </w:r>
      <w:r w:rsidR="00C313D0">
        <w:t xml:space="preserve"> </w:t>
      </w:r>
      <w:r w:rsidR="004B0745" w:rsidRPr="004B0745">
        <w:t>mg/day dose groups respectively). Overall, the most commonly reported SAE was fatigue (2.9%), but there was no obvious dose-dependent trend in the incidences of the SAEs by preferred term. The most commonly reported treatment-related AE by preferred term was also fatigue (58.6%). Among the most commonly reported treatment-related AEs, there</w:t>
      </w:r>
      <w:r w:rsidR="00C313D0">
        <w:t xml:space="preserve"> appeared to be a possible dose </w:t>
      </w:r>
      <w:r w:rsidR="004B0745" w:rsidRPr="004B0745">
        <w:t>dependant trend for treatment-related fatigue, from doses of 30</w:t>
      </w:r>
      <w:r w:rsidR="00C313D0">
        <w:t xml:space="preserve"> </w:t>
      </w:r>
      <w:r w:rsidR="004B0745" w:rsidRPr="004B0745">
        <w:t>mg to 480 mg /day (incidences of 33.3%, 39.3%, 45.1%, 43.5%, 54.7%, and 60.0% in the 30</w:t>
      </w:r>
      <w:r w:rsidR="00C313D0">
        <w:t xml:space="preserve"> </w:t>
      </w:r>
      <w:r w:rsidR="004B0745" w:rsidRPr="004B0745">
        <w:t>mg, 60</w:t>
      </w:r>
      <w:r w:rsidR="00C313D0">
        <w:t xml:space="preserve"> </w:t>
      </w:r>
      <w:r w:rsidR="004B0745" w:rsidRPr="004B0745">
        <w:t>mg, 150/160</w:t>
      </w:r>
      <w:r w:rsidR="00C313D0">
        <w:t xml:space="preserve"> </w:t>
      </w:r>
      <w:r w:rsidR="004B0745" w:rsidRPr="004B0745">
        <w:t>mg, 240</w:t>
      </w:r>
      <w:r w:rsidR="00C313D0">
        <w:t xml:space="preserve"> </w:t>
      </w:r>
      <w:r w:rsidR="004B0745" w:rsidRPr="004B0745">
        <w:t>mg, 360</w:t>
      </w:r>
      <w:r w:rsidR="00C313D0">
        <w:t xml:space="preserve"> </w:t>
      </w:r>
      <w:r w:rsidR="004B0745" w:rsidRPr="004B0745">
        <w:t>mg, and 480</w:t>
      </w:r>
      <w:r w:rsidR="00C313D0">
        <w:t xml:space="preserve"> </w:t>
      </w:r>
      <w:r w:rsidR="004B0745" w:rsidRPr="004B0745">
        <w:t>mg dose groups, respectively). The most commonly reported AE leading to study drug discontinuation was fatigue (2.9%), as was the most commonly reported AE leading to dose reduction (7</w:t>
      </w:r>
      <w:r w:rsidR="00C313D0">
        <w:t xml:space="preserve">.9%). There was no obvious dose </w:t>
      </w:r>
      <w:r w:rsidR="004B0745" w:rsidRPr="004B0745">
        <w:t>dependent trends in the AEs (preferred term) leading to study drug discontinuation, but among the AEs (preferred term) leading to dose reducti</w:t>
      </w:r>
      <w:r w:rsidR="00C313D0">
        <w:t xml:space="preserve">on, there appeared to be a dose </w:t>
      </w:r>
      <w:r w:rsidR="004B0745" w:rsidRPr="004B0745">
        <w:t>dependent increase in the AE of fatigue with a 2.9% incidence at 240 mg daily, 7.5% incidence at 360 mg daily, and 20.0% incidence at 480 mg daily.</w:t>
      </w:r>
    </w:p>
    <w:p w:rsidR="004B0745" w:rsidRPr="00C25498" w:rsidRDefault="004B0745" w:rsidP="00C25498">
      <w:r w:rsidRPr="00C25498">
        <w:t xml:space="preserve">In Study CRPC2, among all-causality AEs with a higher incidence with </w:t>
      </w:r>
      <w:r w:rsidR="00916EB0" w:rsidRPr="00C25498">
        <w:t>enzalutamide</w:t>
      </w:r>
      <w:r w:rsidRPr="00C25498">
        <w:t xml:space="preserve"> </w:t>
      </w:r>
      <w:r w:rsidR="008C2725" w:rsidRPr="00C25498">
        <w:t>versus</w:t>
      </w:r>
      <w:r w:rsidRPr="00C25498">
        <w:t xml:space="preserve"> placebo, the largest imbalances between treatment groups (as represented by the greatest absolute increase in frequency) were in the events of  hot flush (20.3% with </w:t>
      </w:r>
      <w:r w:rsidR="00916EB0" w:rsidRPr="00C25498">
        <w:t>enzalutamide</w:t>
      </w:r>
      <w:r w:rsidRPr="00C25498">
        <w:t xml:space="preserve"> </w:t>
      </w:r>
      <w:r w:rsidR="008C2725" w:rsidRPr="00C25498">
        <w:t>versus</w:t>
      </w:r>
      <w:r w:rsidRPr="00C25498">
        <w:t xml:space="preserve"> 10.3% with placebo), headache (11.6% </w:t>
      </w:r>
      <w:r w:rsidR="008C2725" w:rsidRPr="00C25498">
        <w:t>versus</w:t>
      </w:r>
      <w:r w:rsidRPr="00C25498">
        <w:t xml:space="preserve"> 5.5%), fatigue (33.6% </w:t>
      </w:r>
      <w:r w:rsidR="008C2725" w:rsidRPr="00C25498">
        <w:t>versus</w:t>
      </w:r>
      <w:r w:rsidRPr="00C25498">
        <w:t xml:space="preserve"> 29.1%), diarrhoea (21.4% </w:t>
      </w:r>
      <w:r w:rsidR="008C2725" w:rsidRPr="00C25498">
        <w:t>versus</w:t>
      </w:r>
      <w:r w:rsidRPr="00C25498">
        <w:t xml:space="preserve"> 17.5%), hypertension (6.1% </w:t>
      </w:r>
      <w:r w:rsidR="008C2725" w:rsidRPr="00C25498">
        <w:t>versus</w:t>
      </w:r>
      <w:r w:rsidRPr="00C25498">
        <w:t xml:space="preserve"> 2.8%), and musculoskeletal pain (14.5% </w:t>
      </w:r>
      <w:r w:rsidR="008C2725" w:rsidRPr="00C25498">
        <w:t>versus</w:t>
      </w:r>
      <w:r w:rsidRPr="00C25498">
        <w:t xml:space="preserve"> 11.5%). As the median duration of treatment in the </w:t>
      </w:r>
      <w:r w:rsidR="00916EB0" w:rsidRPr="00C25498">
        <w:t>enzalutamide</w:t>
      </w:r>
      <w:r w:rsidRPr="00C25498">
        <w:t xml:space="preserve"> treatment group was more than 5 months longer than in the placebo group (8.3 months </w:t>
      </w:r>
      <w:r w:rsidR="008C2725" w:rsidRPr="00C25498">
        <w:t>versus</w:t>
      </w:r>
      <w:r w:rsidRPr="00C25498">
        <w:t xml:space="preserve"> 3.0 months), the sponsor had performed additional analyses looking at the incidences of these AEs starting within the first 60 days of treatment and the event rates/100 patient-years. In these 2 additional analyses, the higher incidences with </w:t>
      </w:r>
      <w:r w:rsidR="00916EB0" w:rsidRPr="00C25498">
        <w:t>enzalutamide</w:t>
      </w:r>
      <w:r w:rsidRPr="00C25498">
        <w:t xml:space="preserve"> compared to placebo remained for the AEs of hot flush, headache, and hypertension.</w:t>
      </w:r>
    </w:p>
    <w:p w:rsidR="004B0745" w:rsidRPr="00C25498" w:rsidRDefault="004B0745" w:rsidP="004C3058">
      <w:r w:rsidRPr="00C25498">
        <w:lastRenderedPageBreak/>
        <w:t xml:space="preserve">With regards to AE of hot flush, the majority of AEs of hot flush among </w:t>
      </w:r>
      <w:r w:rsidR="00916EB0" w:rsidRPr="00C25498">
        <w:t xml:space="preserve">enzalutamide </w:t>
      </w:r>
      <w:r w:rsidRPr="00C25498">
        <w:t xml:space="preserve">treated patients in Study CRPC2 were of Grade 1, and there was no incidence of SAE of hot flush or of AE of hot flush leading to discontinuation of study drug in the </w:t>
      </w:r>
      <w:r w:rsidR="00916EB0" w:rsidRPr="00C25498">
        <w:t xml:space="preserve">enzalutamide </w:t>
      </w:r>
      <w:r w:rsidRPr="00C25498">
        <w:t xml:space="preserve">group. When the event rates for the AE of hot flush were adjusted by </w:t>
      </w:r>
      <w:r w:rsidR="00763C63">
        <w:t>AE</w:t>
      </w:r>
      <w:r w:rsidRPr="00C25498">
        <w:t xml:space="preserve"> reporting period, the event rates per 100 patient-years at risk remained higher in the </w:t>
      </w:r>
      <w:r w:rsidR="00916EB0" w:rsidRPr="00C25498">
        <w:t>enzalutamide</w:t>
      </w:r>
      <w:r w:rsidRPr="00C25498">
        <w:t xml:space="preserve"> group compared to the placebo group (27.4 with </w:t>
      </w:r>
      <w:r w:rsidR="00916EB0" w:rsidRPr="00C25498">
        <w:t>enzalutamide</w:t>
      </w:r>
      <w:r w:rsidRPr="00C25498">
        <w:t xml:space="preserve"> </w:t>
      </w:r>
      <w:r w:rsidR="008C2725" w:rsidRPr="00C25498">
        <w:t>versus</w:t>
      </w:r>
      <w:r w:rsidRPr="00C25498">
        <w:t xml:space="preserve"> 24.6 with placebo).</w:t>
      </w:r>
    </w:p>
    <w:p w:rsidR="004B0745" w:rsidRPr="00C25498" w:rsidRDefault="004B0745" w:rsidP="004C3058">
      <w:r w:rsidRPr="00C25498">
        <w:t xml:space="preserve">With regards to AE of headache, the majority of AEs of headache among </w:t>
      </w:r>
      <w:r w:rsidR="00916EB0" w:rsidRPr="00C25498">
        <w:t xml:space="preserve">enzalutamide </w:t>
      </w:r>
      <w:r w:rsidRPr="00C25498">
        <w:t xml:space="preserve">treated patients in Study CRPC2 were of Grade 1. The incidences of SAE of headache (0.1% with </w:t>
      </w:r>
      <w:r w:rsidR="00916EB0" w:rsidRPr="00C25498">
        <w:t>enzalutamide</w:t>
      </w:r>
      <w:r w:rsidRPr="00C25498">
        <w:t xml:space="preserve"> </w:t>
      </w:r>
      <w:r w:rsidR="008C2725" w:rsidRPr="00C25498">
        <w:t>versus</w:t>
      </w:r>
      <w:r w:rsidRPr="00C25498">
        <w:t xml:space="preserve"> 0.2% with placebo) and of AE of headache leading to discontinuation of study drug (0.0% </w:t>
      </w:r>
      <w:r w:rsidR="008C2725" w:rsidRPr="00C25498">
        <w:t>versus</w:t>
      </w:r>
      <w:r w:rsidRPr="00C25498">
        <w:t xml:space="preserve"> 0.3%) were low in the </w:t>
      </w:r>
      <w:r w:rsidR="00916EB0" w:rsidRPr="00C25498">
        <w:t>enzalutamide</w:t>
      </w:r>
      <w:r w:rsidRPr="00C25498">
        <w:t xml:space="preserve"> group. When the event rates for the AE of headache were adjusted by </w:t>
      </w:r>
      <w:r w:rsidR="00763C63">
        <w:t>AE</w:t>
      </w:r>
      <w:r w:rsidRPr="00C25498">
        <w:t xml:space="preserve"> reporting period, the event rates per 100 patient-years at risk remained higher in the </w:t>
      </w:r>
      <w:r w:rsidR="00916EB0" w:rsidRPr="00C25498">
        <w:t>enzalutamide</w:t>
      </w:r>
      <w:r w:rsidRPr="00C25498">
        <w:t xml:space="preserve"> group compared to the placebo group (17.7 with </w:t>
      </w:r>
      <w:r w:rsidR="00916EB0" w:rsidRPr="00C25498">
        <w:t>enzalutamide</w:t>
      </w:r>
      <w:r w:rsidRPr="00C25498">
        <w:t xml:space="preserve"> </w:t>
      </w:r>
      <w:r w:rsidR="008C2725" w:rsidRPr="00C25498">
        <w:t>versus</w:t>
      </w:r>
      <w:r w:rsidRPr="00C25498">
        <w:t xml:space="preserve"> 14.4 with placebo).</w:t>
      </w:r>
    </w:p>
    <w:p w:rsidR="004B0745" w:rsidRPr="00C25498" w:rsidRDefault="004B0745" w:rsidP="004C3058">
      <w:r w:rsidRPr="00C25498">
        <w:t>With regards to effect on blood pressure</w:t>
      </w:r>
      <w:r w:rsidR="00CD6DB5">
        <w:t xml:space="preserve"> (BP)</w:t>
      </w:r>
      <w:r w:rsidRPr="00C25498">
        <w:t xml:space="preserve">, analyses of the vital signs in Study CRPC showed that there appeared to be an association of </w:t>
      </w:r>
      <w:r w:rsidR="00916EB0" w:rsidRPr="00C25498">
        <w:t>enzalutamide</w:t>
      </w:r>
      <w:r w:rsidRPr="00C25498">
        <w:t xml:space="preserve"> treatment with increased </w:t>
      </w:r>
      <w:r w:rsidR="00CD6DB5">
        <w:t>BP</w:t>
      </w:r>
      <w:r w:rsidRPr="00C25498">
        <w:t xml:space="preserve">. Analyses of </w:t>
      </w:r>
      <w:r w:rsidR="00CD6DB5">
        <w:t xml:space="preserve">BP </w:t>
      </w:r>
      <w:r w:rsidRPr="00C25498">
        <w:t xml:space="preserve">across timepoints in Study CRPC2 showed that in the </w:t>
      </w:r>
      <w:r w:rsidR="00916EB0" w:rsidRPr="00C25498">
        <w:t>enzalutamide</w:t>
      </w:r>
      <w:r w:rsidRPr="00C25498">
        <w:t xml:space="preserve"> group, mean </w:t>
      </w:r>
      <w:r w:rsidR="00CD6DB5">
        <w:t>systolic BPs (</w:t>
      </w:r>
      <w:r w:rsidRPr="00C25498">
        <w:t>SBPs</w:t>
      </w:r>
      <w:r w:rsidR="00CD6DB5">
        <w:t>)</w:t>
      </w:r>
      <w:r w:rsidRPr="00C25498">
        <w:t xml:space="preserve"> and </w:t>
      </w:r>
      <w:r w:rsidR="00CD6DB5">
        <w:t>diastolic BPs (</w:t>
      </w:r>
      <w:r w:rsidRPr="00C25498">
        <w:t>DBPs</w:t>
      </w:r>
      <w:r w:rsidR="00CD6DB5">
        <w:t>)</w:t>
      </w:r>
      <w:r w:rsidRPr="00C25498">
        <w:t xml:space="preserve"> were slightly higher than baseline at post-baseline timepoints up through the Week 49 visit. However, the maximum mean increase from baseline was small (SBP: maximum mean increase of 2.1 mmHg from baseline [observed at Week 5]; DBP: maximum mean increase of 1.2 mmHg from baseline [observed at Week 9]). Additional analyses looking at the occurrence of </w:t>
      </w:r>
      <w:r w:rsidR="00763C63">
        <w:t>AE</w:t>
      </w:r>
      <w:r w:rsidRPr="00C25498">
        <w:t xml:space="preserve">s of hypertension in Study CRPC2 showed that there was no incidence of AE of hypertensive crisis in the </w:t>
      </w:r>
      <w:r w:rsidR="00916EB0" w:rsidRPr="00C25498">
        <w:t>enzalutamide</w:t>
      </w:r>
      <w:r w:rsidRPr="00C25498">
        <w:t xml:space="preserve"> group </w:t>
      </w:r>
      <w:r w:rsidR="008C2725" w:rsidRPr="00C25498">
        <w:t>versus</w:t>
      </w:r>
      <w:r w:rsidRPr="00C25498">
        <w:t xml:space="preserve"> 0.3% (1/399) in the placebo group. The majority of AEs of hypertension among </w:t>
      </w:r>
      <w:r w:rsidR="00916EB0" w:rsidRPr="00C25498">
        <w:t xml:space="preserve">enzalutamide </w:t>
      </w:r>
      <w:r w:rsidRPr="00C25498">
        <w:t xml:space="preserve">treated patients in Study CRPC2 were of Grades 1 and 2. There was no incidence of SAE of hypertension in the </w:t>
      </w:r>
      <w:r w:rsidR="00916EB0" w:rsidRPr="00C25498">
        <w:t>enzalutamide</w:t>
      </w:r>
      <w:r w:rsidRPr="00C25498">
        <w:t xml:space="preserve"> group </w:t>
      </w:r>
      <w:r w:rsidR="008C2725" w:rsidRPr="00C25498">
        <w:t>versus</w:t>
      </w:r>
      <w:r w:rsidRPr="00C25498">
        <w:t xml:space="preserve"> 0.3% (1/399) in the placebo group. The incidence of AE of hypertension leading to discontinuation of study drug was low in the </w:t>
      </w:r>
      <w:r w:rsidR="00916EB0" w:rsidRPr="00C25498">
        <w:t>enzalutamide</w:t>
      </w:r>
      <w:r w:rsidRPr="00C25498">
        <w:t xml:space="preserve"> group (0.1% with </w:t>
      </w:r>
      <w:r w:rsidR="00916EB0" w:rsidRPr="00C25498">
        <w:t>enzalutamide</w:t>
      </w:r>
      <w:r w:rsidRPr="00C25498">
        <w:t xml:space="preserve"> </w:t>
      </w:r>
      <w:r w:rsidR="008C2725" w:rsidRPr="00C25498">
        <w:t>versus</w:t>
      </w:r>
      <w:r w:rsidRPr="00C25498">
        <w:t xml:space="preserve"> 0.0% with placebo). When the event rates for the AE of hypertension were adjusted by </w:t>
      </w:r>
      <w:r w:rsidR="00763C63">
        <w:t>AE</w:t>
      </w:r>
      <w:r w:rsidRPr="00C25498">
        <w:t xml:space="preserve"> reporting period, the event rates per 100 patient-years at risk remained higher in the </w:t>
      </w:r>
      <w:r w:rsidR="00916EB0" w:rsidRPr="00C25498">
        <w:t>enzalutamide</w:t>
      </w:r>
      <w:r w:rsidRPr="00C25498">
        <w:t xml:space="preserve"> group compared to the placebo group (8.4 with </w:t>
      </w:r>
      <w:r w:rsidR="00C100AB" w:rsidRPr="00C25498">
        <w:t>enzalutamide</w:t>
      </w:r>
      <w:r w:rsidRPr="00C25498">
        <w:t xml:space="preserve"> </w:t>
      </w:r>
      <w:r w:rsidR="008C2725" w:rsidRPr="00C25498">
        <w:t>versus</w:t>
      </w:r>
      <w:r w:rsidRPr="00C25498">
        <w:t xml:space="preserve"> 7.2 with placebo).</w:t>
      </w:r>
    </w:p>
    <w:p w:rsidR="004B0745" w:rsidRPr="00C25498" w:rsidRDefault="00DA5E15" w:rsidP="004C3058">
      <w:r>
        <w:t>Haematological analyses in S</w:t>
      </w:r>
      <w:r w:rsidR="004B0745" w:rsidRPr="00C25498">
        <w:t xml:space="preserve">tudy CRPC2 also showed that there appeared to be an association of </w:t>
      </w:r>
      <w:r w:rsidR="00C100AB" w:rsidRPr="00C25498">
        <w:t>enzalutamide</w:t>
      </w:r>
      <w:r w:rsidR="004B0745" w:rsidRPr="00C25498">
        <w:t xml:space="preserve"> treatment with decreased leukocyte and neutrophil counts. There was a decline in mean white blood cell counts and neutrophil counts from baseline to Week 21 in the </w:t>
      </w:r>
      <w:r w:rsidR="00C100AB" w:rsidRPr="00C25498">
        <w:t>enzalutamide</w:t>
      </w:r>
      <w:r w:rsidR="004B0745" w:rsidRPr="00C25498">
        <w:t xml:space="preserve"> group, whereas mean white blood cell counts and neutrophil counts in the placebo group remained at around baseline level during this period of time. The change from baseline was greatest at the Week 5 visit with a maximum mean decline of approximately 800/</w:t>
      </w:r>
      <w:r w:rsidR="00C313D0" w:rsidRPr="00C25498">
        <w:t>µ</w:t>
      </w:r>
      <w:r w:rsidR="004B0745" w:rsidRPr="00C25498">
        <w:t>L in leukocyte counts and a maximum mea</w:t>
      </w:r>
      <w:r w:rsidR="00C313D0" w:rsidRPr="00C25498">
        <w:t>n decline of approximately 700/µ</w:t>
      </w:r>
      <w:r w:rsidR="004B0745" w:rsidRPr="00C25498">
        <w:t xml:space="preserve">L in neutrophil counts. According to the sponsor, the aetiology for the decrease in neutrophil counts (and corresponding white blood cell counts) associated with </w:t>
      </w:r>
      <w:r w:rsidR="00C100AB" w:rsidRPr="00C25498">
        <w:t>enzalutamide</w:t>
      </w:r>
      <w:r w:rsidR="004B0745" w:rsidRPr="00C25498">
        <w:t xml:space="preserve"> were not known but it was noted that neutropenia was not implicated in any SAEs in study CRPC2. The overall incidence of AEs of leucopenia and neutropenia in the </w:t>
      </w:r>
      <w:r w:rsidR="00C100AB" w:rsidRPr="00C25498">
        <w:t>enzalutamide</w:t>
      </w:r>
      <w:r w:rsidR="004B0745" w:rsidRPr="00C25498">
        <w:t xml:space="preserve"> group was low (AE by preferred term of “white blood cell count decreased”: 0.3% </w:t>
      </w:r>
      <w:r w:rsidR="008C2725" w:rsidRPr="00C25498">
        <w:t>versus</w:t>
      </w:r>
      <w:r w:rsidR="004B0745" w:rsidRPr="00C25498">
        <w:t xml:space="preserve"> 0.3% in placebo group; AE by preferred term of “neutropenia” or “neutrophil count decreased”: 1.3% </w:t>
      </w:r>
      <w:r w:rsidR="008C2725" w:rsidRPr="00C25498">
        <w:t>versus</w:t>
      </w:r>
      <w:r w:rsidR="004B0745" w:rsidRPr="00C25498">
        <w:t xml:space="preserve"> 0.8% in placebo group).</w:t>
      </w:r>
    </w:p>
    <w:p w:rsidR="00605AD4" w:rsidRPr="00605AD4" w:rsidRDefault="00605AD4" w:rsidP="004C3058">
      <w:pPr>
        <w:pStyle w:val="Heading3"/>
        <w:rPr>
          <w:rFonts w:eastAsia="Cambria"/>
        </w:rPr>
      </w:pPr>
      <w:bookmarkStart w:id="124" w:name="_Toc408300844"/>
      <w:r w:rsidRPr="00605AD4">
        <w:rPr>
          <w:rFonts w:eastAsia="Cambria"/>
        </w:rPr>
        <w:t xml:space="preserve">First </w:t>
      </w:r>
      <w:r w:rsidR="004C3058">
        <w:rPr>
          <w:rFonts w:eastAsia="Cambria"/>
        </w:rPr>
        <w:t>r</w:t>
      </w:r>
      <w:r w:rsidRPr="00605AD4">
        <w:rPr>
          <w:rFonts w:eastAsia="Cambria"/>
        </w:rPr>
        <w:t xml:space="preserve">ound </w:t>
      </w:r>
      <w:r w:rsidR="004C3058">
        <w:rPr>
          <w:rFonts w:eastAsia="Cambria"/>
        </w:rPr>
        <w:t>b</w:t>
      </w:r>
      <w:r w:rsidRPr="00605AD4">
        <w:rPr>
          <w:rFonts w:eastAsia="Cambria"/>
        </w:rPr>
        <w:t>enefit-</w:t>
      </w:r>
      <w:r w:rsidR="004C3058">
        <w:rPr>
          <w:rFonts w:eastAsia="Cambria"/>
        </w:rPr>
        <w:t>r</w:t>
      </w:r>
      <w:r w:rsidRPr="00605AD4">
        <w:rPr>
          <w:rFonts w:eastAsia="Cambria"/>
        </w:rPr>
        <w:t xml:space="preserve">isk </w:t>
      </w:r>
      <w:r w:rsidR="004C3058" w:rsidRPr="004C3058">
        <w:rPr>
          <w:rFonts w:eastAsia="Cambria"/>
        </w:rPr>
        <w:t>a</w:t>
      </w:r>
      <w:r w:rsidRPr="004C3058">
        <w:rPr>
          <w:rFonts w:eastAsia="Cambria"/>
        </w:rPr>
        <w:t>ssessment</w:t>
      </w:r>
      <w:bookmarkEnd w:id="124"/>
    </w:p>
    <w:p w:rsidR="00605AD4" w:rsidRDefault="00605AD4" w:rsidP="004C3058">
      <w:pPr>
        <w:pStyle w:val="Heading4"/>
      </w:pPr>
      <w:r w:rsidRPr="00605AD4">
        <w:t>First round assessment of benefits</w:t>
      </w:r>
    </w:p>
    <w:p w:rsidR="00C313D0" w:rsidRPr="00C25498" w:rsidRDefault="00C313D0" w:rsidP="004C3058">
      <w:r w:rsidRPr="00C25498">
        <w:t>The benefits of enzalutamide in the proposed usage are:</w:t>
      </w:r>
    </w:p>
    <w:p w:rsidR="00C313D0" w:rsidRPr="00C25498" w:rsidRDefault="00C313D0" w:rsidP="004C3058">
      <w:pPr>
        <w:pStyle w:val="ListBullet"/>
      </w:pPr>
      <w:r w:rsidRPr="00C25498">
        <w:lastRenderedPageBreak/>
        <w:t xml:space="preserve">treatment of patients with metastatic CRPC who have previously received docetaxel, in terms of potential benefits in improving </w:t>
      </w:r>
      <w:r w:rsidR="004672F0">
        <w:t>OS</w:t>
      </w:r>
      <w:r w:rsidRPr="00C25498">
        <w:t>, prolonging t</w:t>
      </w:r>
      <w:r w:rsidR="00DA5E15">
        <w:t xml:space="preserve">ime to disease progression and </w:t>
      </w:r>
      <w:r w:rsidRPr="00C25498">
        <w:t>symptom relief</w:t>
      </w:r>
    </w:p>
    <w:p w:rsidR="00483533" w:rsidRDefault="00C313D0" w:rsidP="004C3058">
      <w:r w:rsidRPr="00C25498">
        <w:t xml:space="preserve">Efficacy results in the pivotal study (CRPC2) showed that there was a statistically significant increase in the duration of </w:t>
      </w:r>
      <w:r w:rsidR="004672F0">
        <w:t>OS</w:t>
      </w:r>
      <w:r w:rsidRPr="00C25498">
        <w:t xml:space="preserve"> among patients treated with </w:t>
      </w:r>
      <w:r w:rsidR="00C100AB" w:rsidRPr="00DA5E15">
        <w:t>enzalutamide</w:t>
      </w:r>
      <w:r w:rsidRPr="00C25498">
        <w:t xml:space="preserve"> compared with patients treated with placebo (median survival duration of 18.4 months with MDV3100 v</w:t>
      </w:r>
      <w:r w:rsidR="00DA5E15">
        <w:t xml:space="preserve">ersus </w:t>
      </w:r>
      <w:r w:rsidRPr="00C25498">
        <w:t xml:space="preserve">13.6 months with placebo; p &lt; 0.0001), and a 37% decrease in the risk of death for patients receiving </w:t>
      </w:r>
      <w:r w:rsidR="00C100AB" w:rsidRPr="00DA5E15">
        <w:t>enzalutamide</w:t>
      </w:r>
      <w:r w:rsidRPr="00C25498">
        <w:t xml:space="preserve"> compared to those receiving placebo. There was also a statistically significant increase in time to PSA progression among </w:t>
      </w:r>
      <w:r w:rsidR="00C100AB" w:rsidRPr="00DA5E15">
        <w:t>enzalutamide</w:t>
      </w:r>
      <w:r w:rsidRPr="00C25498">
        <w:t xml:space="preserve"> treated</w:t>
      </w:r>
      <w:r w:rsidR="00DA5E15">
        <w:t xml:space="preserve"> patients compared with placebo </w:t>
      </w:r>
      <w:r w:rsidRPr="00C25498">
        <w:t xml:space="preserve">treated patients (median time to PSA progression of 8.3 months with </w:t>
      </w:r>
      <w:r w:rsidR="00C100AB" w:rsidRPr="00DA5E15">
        <w:t>enzalutamide</w:t>
      </w:r>
      <w:r w:rsidR="00DA5E15">
        <w:t xml:space="preserve"> versus</w:t>
      </w:r>
      <w:r w:rsidRPr="00C25498">
        <w:t xml:space="preserve"> 3.0 mo</w:t>
      </w:r>
      <w:r w:rsidR="004C3058">
        <w:t>nths with placebo; p &lt; 0.0001).</w:t>
      </w:r>
    </w:p>
    <w:p w:rsidR="00C313D0" w:rsidRPr="00C25498" w:rsidRDefault="00C313D0" w:rsidP="004C3058">
      <w:r w:rsidRPr="00C25498">
        <w:t xml:space="preserve">The time to radiographic progression was statistically significantly longer in </w:t>
      </w:r>
      <w:r w:rsidR="00C100AB" w:rsidRPr="00DA5E15">
        <w:t>enzalutamide</w:t>
      </w:r>
      <w:r w:rsidR="00DA5E15" w:rsidRPr="00DA5E15">
        <w:t xml:space="preserve"> </w:t>
      </w:r>
      <w:r w:rsidRPr="00C25498">
        <w:t>treated</w:t>
      </w:r>
      <w:r w:rsidR="00DA5E15">
        <w:t xml:space="preserve"> patients compared with placebo </w:t>
      </w:r>
      <w:r w:rsidRPr="00C25498">
        <w:t xml:space="preserve">treated patients (median duration of radiographic </w:t>
      </w:r>
      <w:r w:rsidR="008C45CE">
        <w:t xml:space="preserve">PFS </w:t>
      </w:r>
      <w:r w:rsidRPr="00C25498">
        <w:t xml:space="preserve">of 8.3 months with </w:t>
      </w:r>
      <w:r w:rsidR="00C100AB" w:rsidRPr="00DA5E15">
        <w:t>enzalutamide</w:t>
      </w:r>
      <w:r w:rsidR="00DA5E15">
        <w:t xml:space="preserve"> versus </w:t>
      </w:r>
      <w:r w:rsidRPr="00C25498">
        <w:t>2.9 months with placebo; p &lt; 0.0001), as</w:t>
      </w:r>
      <w:r w:rsidR="00DA5E15">
        <w:t xml:space="preserve"> was the time to first skeletal-</w:t>
      </w:r>
      <w:r w:rsidRPr="00C25498">
        <w:t xml:space="preserve">related events was also statistically significantly longer among </w:t>
      </w:r>
      <w:r w:rsidR="00C100AB" w:rsidRPr="00DA5E15">
        <w:t>enzalutamide</w:t>
      </w:r>
      <w:r w:rsidR="00DA5E15" w:rsidRPr="00DA5E15">
        <w:t xml:space="preserve"> </w:t>
      </w:r>
      <w:r w:rsidRPr="00C25498">
        <w:t>treated</w:t>
      </w:r>
      <w:r w:rsidR="00DA5E15">
        <w:t xml:space="preserve"> patients compared with placebo </w:t>
      </w:r>
      <w:r w:rsidRPr="00C25498">
        <w:t>treated patients (median time to first skeletal-related events of</w:t>
      </w:r>
      <w:r w:rsidR="00DA5E15">
        <w:t xml:space="preserve"> </w:t>
      </w:r>
      <w:r w:rsidR="00A81F60">
        <w:t>1</w:t>
      </w:r>
      <w:r w:rsidRPr="00C25498">
        <w:t xml:space="preserve">6.7 months with </w:t>
      </w:r>
      <w:r w:rsidR="00C100AB" w:rsidRPr="00DA5E15">
        <w:t>enzalutamide</w:t>
      </w:r>
      <w:r w:rsidRPr="00C25498">
        <w:t xml:space="preserve"> </w:t>
      </w:r>
      <w:r w:rsidR="00DA5E15">
        <w:t>versus</w:t>
      </w:r>
      <w:r w:rsidRPr="00C25498">
        <w:t xml:space="preserve">13.3 months with placebo; p = 0.0001). The proportion of patients </w:t>
      </w:r>
      <w:r w:rsidR="00D36D73">
        <w:t xml:space="preserve">for whom the </w:t>
      </w:r>
      <w:r w:rsidRPr="00C25498">
        <w:t xml:space="preserve">best overall soft tissue radiographic response was complete or partial response was 28.9% in the </w:t>
      </w:r>
      <w:r w:rsidR="00C100AB" w:rsidRPr="00DA5E15">
        <w:t>enzalutamide</w:t>
      </w:r>
      <w:r w:rsidRPr="00C25498">
        <w:t xml:space="preserve"> group compared with 3.8% in the placebo group (difference of 25.08%; p &lt; 0.0001).</w:t>
      </w:r>
    </w:p>
    <w:p w:rsidR="00C313D0" w:rsidRPr="00C25498" w:rsidRDefault="00C313D0" w:rsidP="00C25498">
      <w:r w:rsidRPr="00C25498">
        <w:t xml:space="preserve">With regards to the effect on pain, the rate of pain palliation at Week 13 was statistically significantly higher with </w:t>
      </w:r>
      <w:r w:rsidR="00C100AB" w:rsidRPr="008C5063">
        <w:t>enzalutamide</w:t>
      </w:r>
      <w:r w:rsidRPr="00C25498">
        <w:t xml:space="preserve"> compared to placebo (44.9% among </w:t>
      </w:r>
      <w:r w:rsidR="00C100AB" w:rsidRPr="008C5063">
        <w:t>enzalutamide</w:t>
      </w:r>
      <w:r w:rsidR="008C5063" w:rsidRPr="008C5063">
        <w:t xml:space="preserve"> </w:t>
      </w:r>
      <w:r w:rsidRPr="00C25498">
        <w:t>treated patients, compared to 6.7% among p</w:t>
      </w:r>
      <w:r w:rsidR="008C5063">
        <w:t xml:space="preserve">lacebo </w:t>
      </w:r>
      <w:r w:rsidRPr="00C25498">
        <w:t xml:space="preserve">treated patients; p = 0.0079). The proportion of patients with pain progression at Week 13 was statistically significantly lower with </w:t>
      </w:r>
      <w:r w:rsidR="00C100AB" w:rsidRPr="008C5063">
        <w:t>enzalutamide</w:t>
      </w:r>
      <w:r w:rsidRPr="00C25498">
        <w:t xml:space="preserve"> compared to placebo (27.8% in the </w:t>
      </w:r>
      <w:r w:rsidR="00C100AB" w:rsidRPr="008C5063">
        <w:t>enzalutamide</w:t>
      </w:r>
      <w:r w:rsidRPr="00C25498">
        <w:t xml:space="preserve"> group v</w:t>
      </w:r>
      <w:r w:rsidR="008C5063">
        <w:t>ersus</w:t>
      </w:r>
      <w:r w:rsidRPr="00C25498">
        <w:t xml:space="preserve"> 39.0% in the placebo group; p = 0.0018). Measurement of effect on </w:t>
      </w:r>
      <w:proofErr w:type="spellStart"/>
      <w:r w:rsidR="00765C39">
        <w:t>QoL</w:t>
      </w:r>
      <w:proofErr w:type="spellEnd"/>
      <w:r w:rsidRPr="00C25498">
        <w:t xml:space="preserve"> using the FACT-P showed that there was a statistically significantly higher FACT-P response rate with </w:t>
      </w:r>
      <w:r w:rsidR="00C100AB" w:rsidRPr="008C5063">
        <w:t>enzalutamide</w:t>
      </w:r>
      <w:r w:rsidRPr="00C25498">
        <w:t xml:space="preserve"> compared to placebo (43.2% with </w:t>
      </w:r>
      <w:r w:rsidR="00C100AB" w:rsidRPr="008C5063">
        <w:t>enzalutamide</w:t>
      </w:r>
      <w:r w:rsidRPr="00C25498">
        <w:t xml:space="preserve"> </w:t>
      </w:r>
      <w:r w:rsidR="008C5063">
        <w:t>versus</w:t>
      </w:r>
      <w:r w:rsidRPr="00C25498">
        <w:t xml:space="preserve"> 1</w:t>
      </w:r>
      <w:r w:rsidR="004C3058">
        <w:t>8.3% with placebo; p &lt; 0.0001).</w:t>
      </w:r>
    </w:p>
    <w:p w:rsidR="00605AD4" w:rsidRPr="004C3058" w:rsidRDefault="00605AD4" w:rsidP="004C3058">
      <w:pPr>
        <w:pStyle w:val="Heading4"/>
      </w:pPr>
      <w:r w:rsidRPr="00605AD4">
        <w:t>First round assessment of risks</w:t>
      </w:r>
    </w:p>
    <w:p w:rsidR="00C313D0" w:rsidRPr="00C25498" w:rsidRDefault="00C313D0" w:rsidP="004C3058">
      <w:r w:rsidRPr="00C25498">
        <w:t xml:space="preserve">The risks of </w:t>
      </w:r>
      <w:proofErr w:type="spellStart"/>
      <w:r w:rsidRPr="00C25498">
        <w:t>enzalutamide</w:t>
      </w:r>
      <w:proofErr w:type="spellEnd"/>
      <w:r w:rsidRPr="00C25498">
        <w:t xml:space="preserve"> in the proposed usage are:</w:t>
      </w:r>
    </w:p>
    <w:p w:rsidR="00C313D0" w:rsidRPr="00C25498" w:rsidRDefault="00C313D0" w:rsidP="004C3058">
      <w:pPr>
        <w:pStyle w:val="ListBullet"/>
      </w:pPr>
      <w:r w:rsidRPr="00C25498">
        <w:t>fatigue</w:t>
      </w:r>
    </w:p>
    <w:p w:rsidR="00C313D0" w:rsidRPr="00C25498" w:rsidRDefault="00C313D0" w:rsidP="004C3058">
      <w:pPr>
        <w:pStyle w:val="ListBullet"/>
      </w:pPr>
      <w:r w:rsidRPr="00C25498">
        <w:t>hot flush</w:t>
      </w:r>
    </w:p>
    <w:p w:rsidR="00C313D0" w:rsidRPr="00C25498" w:rsidRDefault="00C313D0" w:rsidP="00FB03ED">
      <w:pPr>
        <w:pStyle w:val="ListBullet"/>
      </w:pPr>
      <w:r w:rsidRPr="00C25498">
        <w:t>headache</w:t>
      </w:r>
    </w:p>
    <w:p w:rsidR="00C313D0" w:rsidRPr="00C25498" w:rsidRDefault="00C313D0" w:rsidP="004C3058">
      <w:pPr>
        <w:pStyle w:val="ListBullet"/>
      </w:pPr>
      <w:r w:rsidRPr="00C25498">
        <w:t>increased in blood pressure</w:t>
      </w:r>
    </w:p>
    <w:p w:rsidR="00C313D0" w:rsidRPr="00C25498" w:rsidRDefault="00C313D0" w:rsidP="00FB03ED">
      <w:pPr>
        <w:pStyle w:val="ListBullet"/>
      </w:pPr>
      <w:r w:rsidRPr="00C25498">
        <w:t>decreased leukocyte and neutrophil counts</w:t>
      </w:r>
    </w:p>
    <w:p w:rsidR="00C313D0" w:rsidRPr="00C25498" w:rsidRDefault="00C313D0" w:rsidP="004C3058">
      <w:pPr>
        <w:pStyle w:val="ListBullet"/>
      </w:pPr>
      <w:r w:rsidRPr="00C25498">
        <w:t>seizures</w:t>
      </w:r>
    </w:p>
    <w:p w:rsidR="00C313D0" w:rsidRPr="00C25498" w:rsidRDefault="00C313D0" w:rsidP="004C3058">
      <w:r w:rsidRPr="00C25498">
        <w:t xml:space="preserve">Safety results in Study CRPC2 showed that treatment- related AEs occurring at ≥ 1% frequency and with an incidence at least 2% higher in the </w:t>
      </w:r>
      <w:r w:rsidR="00C100AB" w:rsidRPr="00C01786">
        <w:t>enzalutamide</w:t>
      </w:r>
      <w:r w:rsidR="00C01786" w:rsidRPr="00C01786">
        <w:t xml:space="preserve"> </w:t>
      </w:r>
      <w:r w:rsidR="00C01786">
        <w:t xml:space="preserve">treated group than the placebo </w:t>
      </w:r>
      <w:r w:rsidRPr="00C25498">
        <w:t xml:space="preserve">treated group were fatigue (21.5% </w:t>
      </w:r>
      <w:r w:rsidR="00C01786">
        <w:t>versus</w:t>
      </w:r>
      <w:r w:rsidRPr="00C25498">
        <w:t xml:space="preserve"> 17.8% with placebo), hot flush (15.0% </w:t>
      </w:r>
      <w:r w:rsidR="00C01786">
        <w:t>versus</w:t>
      </w:r>
      <w:r w:rsidRPr="00C25498">
        <w:t xml:space="preserve"> 8%), and headache (4.5% </w:t>
      </w:r>
      <w:r w:rsidR="00C01786">
        <w:t>versus</w:t>
      </w:r>
      <w:r w:rsidRPr="00C25498">
        <w:t xml:space="preserve"> 2.3%).</w:t>
      </w:r>
    </w:p>
    <w:p w:rsidR="00C313D0" w:rsidRPr="00C25498" w:rsidRDefault="00C313D0" w:rsidP="004C3058">
      <w:r w:rsidRPr="00C25498">
        <w:t xml:space="preserve">With regards to AEs of fatigue, hot flush and headache, the majority of these all-causality AEs in Study CRPC2 were of Grades 1 or 2 in severity. The incidences of SAEs of these AE preferred terms, and of these AEs leading to discontinuation of study drug were low in the </w:t>
      </w:r>
      <w:r w:rsidR="00C100AB" w:rsidRPr="00C01786">
        <w:t>enzalutamide</w:t>
      </w:r>
      <w:r w:rsidRPr="00C25498">
        <w:t xml:space="preserve"> group in Study CRPC2.</w:t>
      </w:r>
    </w:p>
    <w:p w:rsidR="00C313D0" w:rsidRPr="00C25498" w:rsidRDefault="00C313D0" w:rsidP="007E328E">
      <w:r w:rsidRPr="00C25498">
        <w:lastRenderedPageBreak/>
        <w:t xml:space="preserve">With regards to effect on </w:t>
      </w:r>
      <w:r w:rsidR="00CD6DB5">
        <w:t>BP</w:t>
      </w:r>
      <w:r w:rsidRPr="00C25498">
        <w:t xml:space="preserve">, analyses of the vital signs in Study CRPC showed that there appeared to be an association of </w:t>
      </w:r>
      <w:r w:rsidR="00C100AB" w:rsidRPr="00C01786">
        <w:t>enzalutamide</w:t>
      </w:r>
      <w:r w:rsidRPr="00C25498">
        <w:t xml:space="preserve"> treatment with increased </w:t>
      </w:r>
      <w:r w:rsidR="00CD6DB5">
        <w:t>BP</w:t>
      </w:r>
      <w:r w:rsidRPr="00C25498">
        <w:t xml:space="preserve">, with mean SBPs and DBPs observed to be slightly higher than baseline at post-baseline timepoints up through the Week 49 visit. However, the maximum mean increase from baseline was small (SBP: maximum mean increase of 2.1 mmHg from baseline [observed at Week 5]; DBP: maximum mean increase of 1.2 mmHg from baseline [observed at Week 9]). There was also no incidence of AE of hypertensive crisis in the </w:t>
      </w:r>
      <w:r w:rsidR="00C100AB" w:rsidRPr="00C01786">
        <w:t>enzalutamide</w:t>
      </w:r>
      <w:r w:rsidRPr="00C25498">
        <w:t xml:space="preserve"> group v</w:t>
      </w:r>
      <w:r w:rsidR="00C01786">
        <w:t>ersus</w:t>
      </w:r>
      <w:r w:rsidRPr="00C25498">
        <w:t xml:space="preserve"> 0.3% (1/399) in the placebo group in Study CRPC2. In addition, the majority of AEs of hypertension among </w:t>
      </w:r>
      <w:r w:rsidR="00C100AB" w:rsidRPr="00C01786">
        <w:t>enzalutamide</w:t>
      </w:r>
      <w:r w:rsidR="00C01786" w:rsidRPr="00C01786">
        <w:t xml:space="preserve"> </w:t>
      </w:r>
      <w:r w:rsidRPr="00C25498">
        <w:t xml:space="preserve">treated patients in Study CRPC2 were of Grades 1 and 2, there was no incidence of SAE of hypertension in the </w:t>
      </w:r>
      <w:r w:rsidR="00C100AB" w:rsidRPr="00C01786">
        <w:t>enzalutamide</w:t>
      </w:r>
      <w:r w:rsidRPr="00C25498">
        <w:t xml:space="preserve"> group, and the incidence of AE of hypertension leading to discontinuation of study drug was low in the </w:t>
      </w:r>
      <w:r w:rsidR="00C100AB" w:rsidRPr="00C01786">
        <w:t>enzalutamide</w:t>
      </w:r>
      <w:r w:rsidRPr="00C25498">
        <w:t xml:space="preserve"> group (0.1%). It also needs to be taken into consideration that this AE </w:t>
      </w:r>
      <w:r w:rsidR="005506E0">
        <w:t xml:space="preserve">can be monitored </w:t>
      </w:r>
      <w:r w:rsidRPr="00C25498">
        <w:t>by routine BP measurements.</w:t>
      </w:r>
    </w:p>
    <w:p w:rsidR="00C313D0" w:rsidRPr="00C25498" w:rsidRDefault="00C313D0" w:rsidP="00C25498">
      <w:r w:rsidRPr="00C25498">
        <w:t xml:space="preserve">Haematological analyses in study CRPC2 also showed that there appeared to be an association of </w:t>
      </w:r>
      <w:r w:rsidR="00C100AB" w:rsidRPr="00C01786">
        <w:t>enzalutamide</w:t>
      </w:r>
      <w:r w:rsidRPr="00C25498">
        <w:t xml:space="preserve"> treatment with decreased leukocyte and neutrophil counts, with a decline in mean white blood cell counts and neutrophil counts from baseline to Week 21 observed in the </w:t>
      </w:r>
      <w:r w:rsidR="00C100AB" w:rsidRPr="00C01786">
        <w:t>enzalutamide</w:t>
      </w:r>
      <w:r w:rsidRPr="00C25498">
        <w:t xml:space="preserve"> group. However, the maximum mean decline from baseline was small (maximum mean decline of approximately 800/</w:t>
      </w:r>
      <w:r w:rsidR="005D117A">
        <w:t>µ</w:t>
      </w:r>
      <w:r w:rsidRPr="00C25498">
        <w:t>L and 700/</w:t>
      </w:r>
      <w:r w:rsidR="005D117A">
        <w:t>µ</w:t>
      </w:r>
      <w:r w:rsidRPr="00C25498">
        <w:t xml:space="preserve">L in leukocyte counts and neutrophil counts, respectively, at Week 5). In addition, neutropenia was not implicated in any SAEs in study CRPC2, and the overall incidence of AEs of leucopenia and neutropenia in the </w:t>
      </w:r>
      <w:r w:rsidR="00C100AB" w:rsidRPr="00C01786">
        <w:t>enzalutamide</w:t>
      </w:r>
      <w:r w:rsidRPr="00C25498">
        <w:t xml:space="preserve"> group was low (AE by preferred term of “white blood cell count decreased”: 0.3% v</w:t>
      </w:r>
      <w:r w:rsidR="00C01786">
        <w:t>ersus</w:t>
      </w:r>
      <w:r w:rsidRPr="00C25498">
        <w:t xml:space="preserve"> 0.3% in placebo group; AE by preferred term of “neutropenia” or “neut</w:t>
      </w:r>
      <w:r w:rsidR="00C01786">
        <w:t>rophil count decreased”: 1.3% versus</w:t>
      </w:r>
      <w:r w:rsidRPr="00C25498">
        <w:t xml:space="preserve"> 0.8% in placebo group). It also needs to be taken into consideration that this AE </w:t>
      </w:r>
      <w:r w:rsidR="00D36D73">
        <w:t xml:space="preserve">can be monitored </w:t>
      </w:r>
      <w:r w:rsidRPr="00C25498">
        <w:t>by routine clinical laboratory tests.</w:t>
      </w:r>
    </w:p>
    <w:p w:rsidR="00C313D0" w:rsidRPr="00C25498" w:rsidRDefault="00C313D0" w:rsidP="007E328E">
      <w:r w:rsidRPr="00C25498">
        <w:t xml:space="preserve">Of clinical concern was the potential risk of seizures. Seizure was a known potential toxicity of </w:t>
      </w:r>
      <w:r w:rsidR="00C100AB" w:rsidRPr="00C01786">
        <w:t>enzalutamide</w:t>
      </w:r>
      <w:r w:rsidR="00483533">
        <w:t>, based on non</w:t>
      </w:r>
      <w:r w:rsidRPr="00C25498">
        <w:t>clinical findings, and had been identified as a dose</w:t>
      </w:r>
      <w:r w:rsidR="00C01786">
        <w:t xml:space="preserve"> </w:t>
      </w:r>
      <w:r w:rsidR="00483533">
        <w:t>limiting toxicity in the dose escalation study, Study S-</w:t>
      </w:r>
      <w:r w:rsidRPr="00C25498">
        <w:t xml:space="preserve">3100-1-01. Analysis in Study CRPC2 of the incidence of seizures showed that the incidence in the </w:t>
      </w:r>
      <w:r w:rsidR="00C100AB" w:rsidRPr="00C01786">
        <w:t>enzalutamide</w:t>
      </w:r>
      <w:r w:rsidR="00C01786">
        <w:t xml:space="preserve"> group was low (0.8% [6/800] versus</w:t>
      </w:r>
      <w:r w:rsidRPr="00C25498">
        <w:t xml:space="preserve"> 0% with placebo), although it is noted that Study CRPC2 excluded patients with medical conditions that could predispose them to seizures and medications known to decrease the seizure threshold. Five of these AEs of seizures were considered </w:t>
      </w:r>
      <w:r w:rsidR="00C01786">
        <w:t xml:space="preserve">serious </w:t>
      </w:r>
      <w:r w:rsidRPr="00C25498">
        <w:t xml:space="preserve">AEs (preferred terms of convulsion [n=2], partial seizure [n=2], or status </w:t>
      </w:r>
      <w:proofErr w:type="spellStart"/>
      <w:r w:rsidRPr="00C25498">
        <w:t>epilepticus</w:t>
      </w:r>
      <w:proofErr w:type="spellEnd"/>
      <w:r w:rsidRPr="00C25498">
        <w:t xml:space="preserve"> [n=1])</w:t>
      </w:r>
      <w:r w:rsidRPr="00C01786">
        <w:rPr>
          <w:vertAlign w:val="superscript"/>
        </w:rPr>
        <w:footnoteReference w:id="19"/>
      </w:r>
      <w:r w:rsidRPr="00C25498">
        <w:t>. The sponsor had observed that dose appeared to be an important predictor of the risk of seizure, based on findings of dose-dependent convulsions observed i</w:t>
      </w:r>
      <w:r w:rsidR="00C01786">
        <w:t xml:space="preserve">n mice, that seizure was a dose </w:t>
      </w:r>
      <w:r w:rsidRPr="00C25498">
        <w:t xml:space="preserve">limiting toxicity in Study S-3100-1-01, occurring only at doses ≥ 360 mg, and that of the 5 patients who experienced a seizure in CRPC2, 4 patients had PK data available, and their </w:t>
      </w:r>
      <w:r w:rsidR="00C100AB" w:rsidRPr="00C01786">
        <w:t>enzalutamide</w:t>
      </w:r>
      <w:r w:rsidRPr="00C25498">
        <w:t xml:space="preserve"> Cmin plasma concentrations were in the upper two quartiles (Study icon2147016). It is noted that the potential risk of seizure has been clearly indicated in the proposed PI under the heading of “</w:t>
      </w:r>
      <w:r w:rsidRPr="00C01786">
        <w:rPr>
          <w:i/>
        </w:rPr>
        <w:t>Precautions</w:t>
      </w:r>
      <w:r w:rsidRPr="00C25498">
        <w:t>”, that “</w:t>
      </w:r>
      <w:r w:rsidRPr="00C01786">
        <w:rPr>
          <w:i/>
        </w:rPr>
        <w:t>Caution should be used in administering XTANDI to patients with a history of seizures or other predisposing factors including, but not limited to, underlying brain injury, stroke, primary brain tumours or brain metastases, or alcoholism. In addition, the risk of seizure may be increased in patients receiving concomitant medicines that lower the seizure threshold</w:t>
      </w:r>
      <w:r w:rsidRPr="00C25498">
        <w:t>”. This is considered appropriate.</w:t>
      </w:r>
    </w:p>
    <w:p w:rsidR="00605AD4" w:rsidRPr="007E328E" w:rsidRDefault="00605AD4" w:rsidP="007E328E">
      <w:pPr>
        <w:pStyle w:val="Heading4"/>
      </w:pPr>
      <w:r w:rsidRPr="00605AD4">
        <w:t>First round assessment of benefit-risk balance</w:t>
      </w:r>
    </w:p>
    <w:p w:rsidR="00C313D0" w:rsidRPr="00C25498" w:rsidRDefault="00C313D0" w:rsidP="007E328E">
      <w:r w:rsidRPr="00C25498">
        <w:t>The benefit-risk balance of enzalutamide, given the proposed usage, is favourable.</w:t>
      </w:r>
    </w:p>
    <w:p w:rsidR="00C313D0" w:rsidRPr="00C25498" w:rsidRDefault="00C313D0" w:rsidP="007E328E">
      <w:r w:rsidRPr="00C25498">
        <w:lastRenderedPageBreak/>
        <w:t xml:space="preserve">Efficacy results showed that treatment with enzalutamide in CRPC patients led to a statistically significant increase in the duration of </w:t>
      </w:r>
      <w:r w:rsidR="004672F0">
        <w:t>OS</w:t>
      </w:r>
      <w:r w:rsidRPr="00C25498">
        <w:t xml:space="preserve"> (median survival</w:t>
      </w:r>
      <w:r w:rsidRPr="00F61DB0">
        <w:t xml:space="preserve"> </w:t>
      </w:r>
      <w:r w:rsidRPr="00C25498">
        <w:t>duration of 18</w:t>
      </w:r>
      <w:r w:rsidR="00C01786">
        <w:t>.4 months with enzalutamide versus</w:t>
      </w:r>
      <w:r w:rsidRPr="00C25498">
        <w:t xml:space="preserve"> 13.6 months with placebo), and a 37% decrease in the risk of death for CRPC patients receiving enzalutamide compared to those receiving placebo. There was also a statistically significant increase in time to PSA progression </w:t>
      </w:r>
      <w:r w:rsidR="00C01786">
        <w:t xml:space="preserve">among enzalutamide </w:t>
      </w:r>
      <w:r w:rsidRPr="00C25498">
        <w:t>treated</w:t>
      </w:r>
      <w:r w:rsidR="00C01786">
        <w:t xml:space="preserve"> patients compared with placebo </w:t>
      </w:r>
      <w:r w:rsidRPr="00C25498">
        <w:t>treated patients (median time to PSA progressi</w:t>
      </w:r>
      <w:r w:rsidR="00C01786">
        <w:t xml:space="preserve">on of 8.3 months with </w:t>
      </w:r>
      <w:r w:rsidR="00483533" w:rsidRPr="00483533">
        <w:t>enzalutamide</w:t>
      </w:r>
      <w:r w:rsidR="00C01786">
        <w:t xml:space="preserve"> versus</w:t>
      </w:r>
      <w:r w:rsidRPr="00C25498">
        <w:t xml:space="preserve"> 3.0 months with placebo), as well as in time to radiographic progression (median duration of radiographic </w:t>
      </w:r>
      <w:r w:rsidR="008C45CE">
        <w:t xml:space="preserve">PFS </w:t>
      </w:r>
      <w:r w:rsidRPr="00C25498">
        <w:t xml:space="preserve">of 8.3 months with </w:t>
      </w:r>
      <w:r w:rsidR="00483533" w:rsidRPr="00483533">
        <w:t>enzalutamide</w:t>
      </w:r>
      <w:r w:rsidRPr="00C25498">
        <w:t xml:space="preserve"> v</w:t>
      </w:r>
      <w:r w:rsidR="00483533">
        <w:t>ersus</w:t>
      </w:r>
      <w:r w:rsidRPr="00C25498">
        <w:t xml:space="preserve"> 2.9 months with placebo).</w:t>
      </w:r>
    </w:p>
    <w:p w:rsidR="00C313D0" w:rsidRPr="00C25498" w:rsidRDefault="00C313D0" w:rsidP="007E328E">
      <w:r w:rsidRPr="00C25498">
        <w:t xml:space="preserve">Safety result showed that common AEs associated with enzalutamide were fatigue, hot flush and headache. In Study CRPC2, these AEs were mostly of Grades 1 or 2 in severity, with low incidences of SAEs. Enzalutamide appeared to be associated with an increase in </w:t>
      </w:r>
      <w:r w:rsidR="00CD6DB5">
        <w:t xml:space="preserve">BP </w:t>
      </w:r>
      <w:r w:rsidRPr="00C25498">
        <w:t xml:space="preserve">and a decrease in leukocyte and neutrophil counts. However, the effect on </w:t>
      </w:r>
      <w:r w:rsidR="00CD6DB5">
        <w:t>BP</w:t>
      </w:r>
      <w:r w:rsidRPr="00C25498">
        <w:t xml:space="preserve"> appeared to be small (maximum mean increase from baseline in SBP and DBP of 2.1 mmHg and 1.2 mmHg, respectively). The majority of AEs of </w:t>
      </w:r>
      <w:r w:rsidR="00C01786">
        <w:t xml:space="preserve">hypertension among enzalutamide </w:t>
      </w:r>
      <w:r w:rsidRPr="00C25498">
        <w:t xml:space="preserve">treated patients in Study CRPC2 were of Grades 1 and 2 in severity, and there was no incidence of SAE of hypertension in the enzalutamide group. In addition, this effect on </w:t>
      </w:r>
      <w:r w:rsidR="00CD6DB5">
        <w:t xml:space="preserve">BP </w:t>
      </w:r>
      <w:r w:rsidR="00D36D73">
        <w:t xml:space="preserve">can be monitored </w:t>
      </w:r>
      <w:r w:rsidRPr="00C25498">
        <w:t>by routine BP measurements. The effect on leukocyte and neutrophil counts also appeared to be small (maximum mean decline of approximately 800/</w:t>
      </w:r>
      <w:r w:rsidR="005D117A">
        <w:t>µ</w:t>
      </w:r>
      <w:r w:rsidRPr="00C25498">
        <w:t>L and 700/</w:t>
      </w:r>
      <w:r w:rsidR="005D117A">
        <w:t>µ</w:t>
      </w:r>
      <w:r w:rsidRPr="00C25498">
        <w:t xml:space="preserve">L in leukocyte counts and neutrophil counts, respectively). Neutropenia was not implicated in any SAEs in study CRPC2, and the overall incidence of AEs of leucopenia and neutropenia in the enzalutamide group was low (≤ 1.3%). In addition this effect on leukocyte and neutrophil counts </w:t>
      </w:r>
      <w:r w:rsidR="00D36D73">
        <w:t xml:space="preserve">can be monitored </w:t>
      </w:r>
      <w:r w:rsidRPr="00C25498">
        <w:t>by routine clinical laboratory tests.</w:t>
      </w:r>
    </w:p>
    <w:p w:rsidR="00C313D0" w:rsidRPr="00C25498" w:rsidRDefault="00C313D0" w:rsidP="007E328E">
      <w:r w:rsidRPr="00C25498">
        <w:t>Of main clinical concern was the potential risk of seizures with enzalutamide. The risk of seizures appeared to</w:t>
      </w:r>
      <w:r w:rsidR="00C01786">
        <w:t xml:space="preserve"> be dose-dependent. In the dose </w:t>
      </w:r>
      <w:r w:rsidRPr="00C25498">
        <w:t>escalation study, Study S-3100-1-01, seizures occurred only at doses ≥ 360 mg. In Study CRPC2, where patients were on a dose of 160 mg/day, the incidence of seizures with enzalutamide was low, although it was high</w:t>
      </w:r>
      <w:r w:rsidR="00C01786">
        <w:t>er compared to placebo (0.8% versus</w:t>
      </w:r>
      <w:r w:rsidRPr="00C25498">
        <w:t xml:space="preserve"> 0% with placebo). Study CRPC2 excluded patients with medical conditions that could predispose them to seizures and medications known to decrease the seizure threshold. It is noted that the potential risk of seizure has been clearly indicated in the proposed PI under the heading of “</w:t>
      </w:r>
      <w:r w:rsidRPr="00C01786">
        <w:rPr>
          <w:i/>
        </w:rPr>
        <w:t>Precautions</w:t>
      </w:r>
      <w:r w:rsidRPr="00C25498">
        <w:t>”, including the need for caution in patients with history of seizures or predisposing factors to seizures, or receiving concomitant medicines that cou</w:t>
      </w:r>
      <w:r w:rsidR="007E328E">
        <w:t>ld lower the seizure threshold.</w:t>
      </w:r>
    </w:p>
    <w:p w:rsidR="00605AD4" w:rsidRPr="00605AD4" w:rsidRDefault="00605AD4" w:rsidP="007E328E">
      <w:pPr>
        <w:pStyle w:val="Heading3"/>
        <w:rPr>
          <w:rFonts w:eastAsia="Cambria"/>
        </w:rPr>
      </w:pPr>
      <w:bookmarkStart w:id="125" w:name="_Toc408300845"/>
      <w:r w:rsidRPr="00605AD4">
        <w:rPr>
          <w:rFonts w:eastAsia="Cambria"/>
        </w:rPr>
        <w:t xml:space="preserve">First </w:t>
      </w:r>
      <w:r w:rsidR="007E328E">
        <w:rPr>
          <w:rFonts w:eastAsia="Cambria"/>
        </w:rPr>
        <w:t>r</w:t>
      </w:r>
      <w:r w:rsidRPr="007E328E">
        <w:rPr>
          <w:rFonts w:eastAsia="Cambria"/>
        </w:rPr>
        <w:t>ound</w:t>
      </w:r>
      <w:r w:rsidRPr="00605AD4">
        <w:rPr>
          <w:rFonts w:eastAsia="Cambria"/>
        </w:rPr>
        <w:t xml:space="preserve"> </w:t>
      </w:r>
      <w:r w:rsidR="007E328E">
        <w:rPr>
          <w:rFonts w:eastAsia="Cambria"/>
        </w:rPr>
        <w:t>r</w:t>
      </w:r>
      <w:r w:rsidRPr="00605AD4">
        <w:rPr>
          <w:rFonts w:eastAsia="Cambria"/>
        </w:rPr>
        <w:t xml:space="preserve">ecommendation </w:t>
      </w:r>
      <w:r w:rsidR="007E328E">
        <w:rPr>
          <w:rFonts w:eastAsia="Cambria"/>
        </w:rPr>
        <w:t>r</w:t>
      </w:r>
      <w:r w:rsidRPr="00605AD4">
        <w:rPr>
          <w:rFonts w:eastAsia="Cambria"/>
        </w:rPr>
        <w:t xml:space="preserve">egarding </w:t>
      </w:r>
      <w:r w:rsidR="007E328E" w:rsidRPr="007E328E">
        <w:rPr>
          <w:rFonts w:eastAsia="Cambria"/>
        </w:rPr>
        <w:t>a</w:t>
      </w:r>
      <w:r w:rsidRPr="007E328E">
        <w:rPr>
          <w:rFonts w:eastAsia="Cambria"/>
        </w:rPr>
        <w:t>uthorisation</w:t>
      </w:r>
      <w:bookmarkEnd w:id="125"/>
    </w:p>
    <w:p w:rsidR="00C313D0" w:rsidRPr="00C313D0" w:rsidRDefault="00C313D0" w:rsidP="007E328E">
      <w:r w:rsidRPr="00C313D0">
        <w:t xml:space="preserve">It is recommended that the application for the registration of enzalutamide for the treatment of patients with metastatic CRPC who have previously received docetaxel be approved. This is subject to a satisfactory response to the clinical questions raised </w:t>
      </w:r>
      <w:r w:rsidR="00C01786">
        <w:t>below</w:t>
      </w:r>
      <w:r w:rsidRPr="00C313D0">
        <w:t>.</w:t>
      </w:r>
    </w:p>
    <w:p w:rsidR="00605AD4" w:rsidRPr="00605AD4" w:rsidRDefault="00605AD4" w:rsidP="007E328E">
      <w:pPr>
        <w:pStyle w:val="Heading3"/>
        <w:rPr>
          <w:rFonts w:eastAsia="Cambria"/>
        </w:rPr>
      </w:pPr>
      <w:bookmarkStart w:id="126" w:name="_Toc408300846"/>
      <w:r w:rsidRPr="00605AD4">
        <w:rPr>
          <w:rFonts w:eastAsia="Cambria"/>
        </w:rPr>
        <w:t xml:space="preserve">Clinical </w:t>
      </w:r>
      <w:r w:rsidR="007E328E">
        <w:rPr>
          <w:rFonts w:eastAsia="Cambria"/>
        </w:rPr>
        <w:t>q</w:t>
      </w:r>
      <w:r w:rsidRPr="00605AD4">
        <w:rPr>
          <w:rFonts w:eastAsia="Cambria"/>
        </w:rPr>
        <w:t>uestions</w:t>
      </w:r>
      <w:bookmarkEnd w:id="126"/>
    </w:p>
    <w:p w:rsidR="00C313D0" w:rsidRPr="007E328E" w:rsidRDefault="00C313D0" w:rsidP="007E328E">
      <w:pPr>
        <w:pStyle w:val="Heading4"/>
      </w:pPr>
      <w:bookmarkStart w:id="127" w:name="_Toc402797636"/>
      <w:r w:rsidRPr="00C313D0">
        <w:t>Safety</w:t>
      </w:r>
      <w:bookmarkEnd w:id="127"/>
    </w:p>
    <w:p w:rsidR="00C313D0" w:rsidRPr="00C313D0" w:rsidRDefault="00C313D0" w:rsidP="007E328E">
      <w:r w:rsidRPr="00C313D0">
        <w:t xml:space="preserve">Please provide analysis of the results for </w:t>
      </w:r>
      <w:r w:rsidR="00CD6DB5">
        <w:t xml:space="preserve">SBP </w:t>
      </w:r>
      <w:r w:rsidRPr="00C313D0">
        <w:t xml:space="preserve">and </w:t>
      </w:r>
      <w:r w:rsidR="00CD6DB5">
        <w:t xml:space="preserve">DBP </w:t>
      </w:r>
      <w:r w:rsidRPr="00C313D0">
        <w:t>measurements study S3100-1-01 according to the dose groups.</w:t>
      </w:r>
    </w:p>
    <w:p w:rsidR="00C313D0" w:rsidRPr="00C313D0" w:rsidRDefault="00C01786" w:rsidP="007E328E">
      <w:r>
        <w:t>A</w:t>
      </w:r>
      <w:r w:rsidR="00C313D0" w:rsidRPr="00C313D0">
        <w:t xml:space="preserve">nalyses of </w:t>
      </w:r>
      <w:r w:rsidR="00CD6DB5">
        <w:t xml:space="preserve">SBP </w:t>
      </w:r>
      <w:r w:rsidR="00C313D0" w:rsidRPr="00C313D0">
        <w:t xml:space="preserve">and </w:t>
      </w:r>
      <w:r w:rsidR="00CD6DB5">
        <w:t xml:space="preserve">DBP </w:t>
      </w:r>
      <w:r w:rsidR="00C313D0" w:rsidRPr="00C313D0">
        <w:t>in the integrated safety results of the 3 open-label studies did not show any obvious dose relationship. However, as noted by the sponsor, the interpretation of dose relationships in the integrated analysis was limited by the method of assigning patients to dose group. An attempt to look at possible dose-related trend in the dose</w:t>
      </w:r>
      <w:r>
        <w:t xml:space="preserve"> </w:t>
      </w:r>
      <w:r w:rsidR="00C313D0" w:rsidRPr="00C313D0">
        <w:t xml:space="preserve">escalation study S3100-1-01 could not be done as </w:t>
      </w:r>
      <w:r w:rsidR="00CD6DB5">
        <w:t xml:space="preserve">SBP </w:t>
      </w:r>
      <w:r w:rsidR="00C313D0" w:rsidRPr="00C313D0">
        <w:t xml:space="preserve">and </w:t>
      </w:r>
      <w:r w:rsidR="00CD6DB5">
        <w:t xml:space="preserve">DBP </w:t>
      </w:r>
      <w:r w:rsidR="00C313D0" w:rsidRPr="00C313D0">
        <w:t xml:space="preserve">in different dose groups in Study S3100-1-01 was not presented in the clinical study report </w:t>
      </w:r>
      <w:r w:rsidR="00F30CA2">
        <w:t xml:space="preserve">(CSR) </w:t>
      </w:r>
      <w:r w:rsidR="007E328E">
        <w:t>of the study.</w:t>
      </w:r>
    </w:p>
    <w:p w:rsidR="00605AD4" w:rsidRPr="00C313D0" w:rsidRDefault="007E328E" w:rsidP="007E328E">
      <w:pPr>
        <w:pStyle w:val="Heading3"/>
        <w:rPr>
          <w:rFonts w:eastAsia="Cambria"/>
        </w:rPr>
      </w:pPr>
      <w:bookmarkStart w:id="128" w:name="_Toc408300847"/>
      <w:r>
        <w:rPr>
          <w:rFonts w:eastAsia="Cambria"/>
        </w:rPr>
        <w:lastRenderedPageBreak/>
        <w:t>Second r</w:t>
      </w:r>
      <w:r w:rsidR="00605AD4" w:rsidRPr="00C313D0">
        <w:rPr>
          <w:rFonts w:eastAsia="Cambria"/>
        </w:rPr>
        <w:t xml:space="preserve">ound </w:t>
      </w:r>
      <w:r w:rsidRPr="007E328E">
        <w:rPr>
          <w:rFonts w:eastAsia="Cambria"/>
        </w:rPr>
        <w:t>e</w:t>
      </w:r>
      <w:r w:rsidR="00605AD4" w:rsidRPr="007E328E">
        <w:rPr>
          <w:rFonts w:eastAsia="Cambria"/>
        </w:rPr>
        <w:t>valuation</w:t>
      </w:r>
      <w:r w:rsidR="00605AD4" w:rsidRPr="00C313D0">
        <w:rPr>
          <w:rFonts w:eastAsia="Cambria"/>
        </w:rPr>
        <w:t xml:space="preserve"> of clinical data submitted in response to questions</w:t>
      </w:r>
      <w:bookmarkEnd w:id="128"/>
    </w:p>
    <w:p w:rsidR="00C313D0" w:rsidRPr="00C313D0" w:rsidRDefault="00C01786" w:rsidP="007E328E">
      <w:r w:rsidRPr="00C01786">
        <w:rPr>
          <w:i/>
        </w:rPr>
        <w:t>Sponsor’s response</w:t>
      </w:r>
      <w:r>
        <w:t>: The s</w:t>
      </w:r>
      <w:r w:rsidR="00C313D0" w:rsidRPr="00C313D0">
        <w:t xml:space="preserve">ponsor assessed the </w:t>
      </w:r>
      <w:r w:rsidR="00CD6DB5">
        <w:t xml:space="preserve">SBP </w:t>
      </w:r>
      <w:r w:rsidR="00C313D0" w:rsidRPr="00C313D0">
        <w:t xml:space="preserve">and </w:t>
      </w:r>
      <w:r w:rsidR="00CD6DB5">
        <w:t xml:space="preserve">DBP </w:t>
      </w:r>
      <w:r w:rsidR="00C313D0" w:rsidRPr="00C313D0">
        <w:t xml:space="preserve">measurements </w:t>
      </w:r>
      <w:r>
        <w:t>from Study S3100-1-01, a Phase I</w:t>
      </w:r>
      <w:r w:rsidR="00C313D0" w:rsidRPr="00C313D0">
        <w:t>, open</w:t>
      </w:r>
      <w:r w:rsidR="00A76A72">
        <w:t>-</w:t>
      </w:r>
      <w:r w:rsidR="00C313D0" w:rsidRPr="00C313D0">
        <w:t>label, uncontrolled, dose</w:t>
      </w:r>
      <w:r>
        <w:t xml:space="preserve"> </w:t>
      </w:r>
      <w:r w:rsidR="00C313D0" w:rsidRPr="00C313D0">
        <w:t xml:space="preserve">escalation safety and </w:t>
      </w:r>
      <w:r>
        <w:t xml:space="preserve">PK </w:t>
      </w:r>
      <w:r w:rsidR="00C313D0" w:rsidRPr="00C313D0">
        <w:t>study with dose</w:t>
      </w:r>
      <w:r>
        <w:t xml:space="preserve"> </w:t>
      </w:r>
      <w:r w:rsidR="00C313D0" w:rsidRPr="00C313D0">
        <w:t>expansion at the tolerated doses for patients with progressive CRPC, both pre- and post-chemotherapy.</w:t>
      </w:r>
    </w:p>
    <w:p w:rsidR="00C313D0" w:rsidRDefault="00C313D0" w:rsidP="007E328E">
      <w:r w:rsidRPr="00C313D0">
        <w:t xml:space="preserve">In this study, the dose of any individual patient could have changed after week 13 (as described in the study report). Therefore, analyses of </w:t>
      </w:r>
      <w:r w:rsidR="00CD6DB5">
        <w:t xml:space="preserve">SBP </w:t>
      </w:r>
      <w:r w:rsidRPr="00C313D0">
        <w:t xml:space="preserve">and </w:t>
      </w:r>
      <w:r w:rsidR="00CD6DB5">
        <w:t xml:space="preserve">DBP </w:t>
      </w:r>
      <w:r w:rsidRPr="00C313D0">
        <w:t xml:space="preserve">measurements, as requested by the </w:t>
      </w:r>
      <w:r w:rsidR="00C01786">
        <w:t>TGA</w:t>
      </w:r>
      <w:r w:rsidRPr="00C313D0">
        <w:t>, have been c</w:t>
      </w:r>
      <w:r w:rsidR="00C01786">
        <w:t>onducted from baseline through W</w:t>
      </w:r>
      <w:r w:rsidRPr="00C313D0">
        <w:t>eek 13 of enzalutamide treatment. As pre-specified in the protocol, only a small number of patients were included</w:t>
      </w:r>
      <w:r w:rsidRPr="00F61DB0">
        <w:t xml:space="preserve"> in each dose group during this study. A summary of the mean change in </w:t>
      </w:r>
      <w:r w:rsidR="00CD6DB5">
        <w:t xml:space="preserve">BP </w:t>
      </w:r>
      <w:r w:rsidRPr="00F61DB0">
        <w:t>measurements is present</w:t>
      </w:r>
      <w:r>
        <w:t xml:space="preserve">ed by dose groups </w:t>
      </w:r>
      <w:r w:rsidR="00C01786">
        <w:t xml:space="preserve">in </w:t>
      </w:r>
      <w:r>
        <w:t xml:space="preserve">Table </w:t>
      </w:r>
      <w:r w:rsidR="00A91607">
        <w:t>4.</w:t>
      </w:r>
    </w:p>
    <w:p w:rsidR="00C313D0" w:rsidRDefault="00A91607" w:rsidP="007E328E">
      <w:pPr>
        <w:pStyle w:val="TableTitle"/>
      </w:pPr>
      <w:r>
        <w:t>Table 4</w:t>
      </w:r>
      <w:r w:rsidR="00C313D0">
        <w:t>: Mean change in systolic and diastolic blood pressure measurements from Baseline to Week 13</w:t>
      </w:r>
    </w:p>
    <w:p w:rsidR="00C313D0" w:rsidRPr="00F61DB0" w:rsidRDefault="00C313D0" w:rsidP="007E328E">
      <w:r>
        <w:rPr>
          <w:noProof/>
          <w:lang w:eastAsia="en-AU"/>
        </w:rPr>
        <w:drawing>
          <wp:inline distT="0" distB="0" distL="0" distR="0" wp14:anchorId="72EC632F" wp14:editId="71A5FEC1">
            <wp:extent cx="4110273" cy="1507333"/>
            <wp:effectExtent l="0" t="0" r="5080" b="0"/>
            <wp:docPr id="15" name="Picture 15" descr="Table 4: Mean change in systolic and diastolic blood pressure measurements from Baseline to We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11448" cy="1507764"/>
                    </a:xfrm>
                    <a:prstGeom prst="rect">
                      <a:avLst/>
                    </a:prstGeom>
                  </pic:spPr>
                </pic:pic>
              </a:graphicData>
            </a:graphic>
          </wp:inline>
        </w:drawing>
      </w:r>
    </w:p>
    <w:p w:rsidR="00C313D0" w:rsidRPr="005670AB" w:rsidRDefault="00C313D0" w:rsidP="007E328E">
      <w:r w:rsidRPr="005670AB">
        <w:t xml:space="preserve">Based on this data, there was no apparent dose-response for </w:t>
      </w:r>
      <w:r w:rsidR="00CD6DB5">
        <w:t xml:space="preserve">SBP </w:t>
      </w:r>
      <w:r w:rsidRPr="005670AB">
        <w:t xml:space="preserve">or </w:t>
      </w:r>
      <w:r w:rsidR="00CD6DB5">
        <w:t xml:space="preserve">DBP </w:t>
      </w:r>
      <w:r w:rsidRPr="005670AB">
        <w:t>measurements. Overall, the benefit/risk ratio of enzalutamide is favourable in the intended patient population, metastatic CRPC patients who have previously received docetaxel.</w:t>
      </w:r>
    </w:p>
    <w:p w:rsidR="00C313D0" w:rsidRPr="005670AB" w:rsidRDefault="00483533" w:rsidP="007E328E">
      <w:pPr>
        <w:ind w:left="720"/>
      </w:pPr>
      <w:r>
        <w:rPr>
          <w:b/>
        </w:rPr>
        <w:t>Evaluator’s c</w:t>
      </w:r>
      <w:r w:rsidR="00C313D0" w:rsidRPr="00F61DB0">
        <w:rPr>
          <w:b/>
        </w:rPr>
        <w:t>omments</w:t>
      </w:r>
      <w:r w:rsidR="00C313D0" w:rsidRPr="005670AB">
        <w:t>:</w:t>
      </w:r>
      <w:r w:rsidR="00C313D0">
        <w:t xml:space="preserve"> </w:t>
      </w:r>
      <w:r w:rsidR="00C313D0" w:rsidRPr="005670AB">
        <w:t xml:space="preserve">The sponsor provided additional analyses of </w:t>
      </w:r>
      <w:r w:rsidR="00CD6DB5">
        <w:t xml:space="preserve">SBP </w:t>
      </w:r>
      <w:r w:rsidR="00C313D0" w:rsidRPr="005670AB">
        <w:t xml:space="preserve">and </w:t>
      </w:r>
      <w:r w:rsidR="00CD6DB5">
        <w:t xml:space="preserve">DBP </w:t>
      </w:r>
      <w:r w:rsidR="00423EB2">
        <w:t>measurements in S</w:t>
      </w:r>
      <w:r w:rsidR="00C313D0" w:rsidRPr="005670AB">
        <w:t>tudy S3100-1-01 according to the dose groups. As the dose of the study drug any individual pa</w:t>
      </w:r>
      <w:r w:rsidR="00423EB2">
        <w:t>tient could have changed after W</w:t>
      </w:r>
      <w:r w:rsidR="00C313D0" w:rsidRPr="005670AB">
        <w:t xml:space="preserve">eek 13 in this study, the sponsor looked at changes in </w:t>
      </w:r>
      <w:r w:rsidR="00CD6DB5">
        <w:t xml:space="preserve">SBPs </w:t>
      </w:r>
      <w:r w:rsidR="00C313D0" w:rsidRPr="005670AB">
        <w:t xml:space="preserve">and </w:t>
      </w:r>
      <w:r w:rsidR="00CD6DB5">
        <w:t xml:space="preserve">DBPs </w:t>
      </w:r>
      <w:r w:rsidR="00423EB2">
        <w:t>from baseline through W</w:t>
      </w:r>
      <w:r w:rsidR="00C313D0" w:rsidRPr="005670AB">
        <w:t xml:space="preserve">eek 13 of enzalutamide treatment. This is considered by the evaluator to be appropriate. The results showed that there was no obvious dose relationship for </w:t>
      </w:r>
      <w:r w:rsidR="00CD6DB5">
        <w:t xml:space="preserve">SBP </w:t>
      </w:r>
      <w:r w:rsidR="00C313D0" w:rsidRPr="005670AB">
        <w:t xml:space="preserve">or </w:t>
      </w:r>
      <w:r w:rsidR="00CD6DB5">
        <w:t xml:space="preserve">DBP </w:t>
      </w:r>
      <w:r w:rsidR="00C313D0" w:rsidRPr="005670AB">
        <w:t>measurements, although the small sample size in each dose group made interpretation difficult. The sponsor’s response to this question has not resulted in any changes to the conclusions of the first round of evaluation.</w:t>
      </w:r>
    </w:p>
    <w:p w:rsidR="00605AD4" w:rsidRPr="00605AD4" w:rsidRDefault="00605AD4" w:rsidP="007E328E">
      <w:pPr>
        <w:pStyle w:val="Heading3"/>
        <w:rPr>
          <w:rFonts w:eastAsia="Cambria"/>
        </w:rPr>
      </w:pPr>
      <w:bookmarkStart w:id="129" w:name="_Toc408300848"/>
      <w:r w:rsidRPr="00605AD4">
        <w:rPr>
          <w:rFonts w:eastAsia="Cambria"/>
        </w:rPr>
        <w:t xml:space="preserve">Second </w:t>
      </w:r>
      <w:r w:rsidR="007E328E">
        <w:rPr>
          <w:rFonts w:eastAsia="Cambria"/>
        </w:rPr>
        <w:t>r</w:t>
      </w:r>
      <w:r w:rsidRPr="00605AD4">
        <w:rPr>
          <w:rFonts w:eastAsia="Cambria"/>
        </w:rPr>
        <w:t xml:space="preserve">ound </w:t>
      </w:r>
      <w:r w:rsidR="007E328E">
        <w:rPr>
          <w:rFonts w:eastAsia="Cambria"/>
        </w:rPr>
        <w:t>b</w:t>
      </w:r>
      <w:r w:rsidRPr="00605AD4">
        <w:rPr>
          <w:rFonts w:eastAsia="Cambria"/>
        </w:rPr>
        <w:t>enefit-</w:t>
      </w:r>
      <w:r w:rsidR="007E328E">
        <w:rPr>
          <w:rFonts w:eastAsia="Cambria"/>
        </w:rPr>
        <w:t>r</w:t>
      </w:r>
      <w:r w:rsidRPr="00605AD4">
        <w:rPr>
          <w:rFonts w:eastAsia="Cambria"/>
        </w:rPr>
        <w:t xml:space="preserve">isk </w:t>
      </w:r>
      <w:r w:rsidR="007E328E" w:rsidRPr="007E328E">
        <w:rPr>
          <w:rFonts w:eastAsia="Cambria"/>
        </w:rPr>
        <w:t>a</w:t>
      </w:r>
      <w:r w:rsidRPr="007E328E">
        <w:rPr>
          <w:rFonts w:eastAsia="Cambria"/>
        </w:rPr>
        <w:t>ssessment</w:t>
      </w:r>
      <w:bookmarkEnd w:id="129"/>
    </w:p>
    <w:p w:rsidR="00C313D0" w:rsidRPr="00C313D0" w:rsidRDefault="00C313D0" w:rsidP="007E328E">
      <w:pPr>
        <w:pStyle w:val="Heading4"/>
      </w:pPr>
      <w:bookmarkStart w:id="130" w:name="_Toc272414709"/>
      <w:bookmarkStart w:id="131" w:name="_Toc290846349"/>
      <w:bookmarkStart w:id="132" w:name="_Toc381783689"/>
      <w:bookmarkStart w:id="133" w:name="_Toc402797640"/>
      <w:r w:rsidRPr="00C313D0">
        <w:t>Second round assessment of benefits</w:t>
      </w:r>
      <w:bookmarkEnd w:id="130"/>
      <w:bookmarkEnd w:id="131"/>
      <w:bookmarkEnd w:id="132"/>
      <w:bookmarkEnd w:id="133"/>
    </w:p>
    <w:p w:rsidR="00C313D0" w:rsidRPr="00C313D0" w:rsidRDefault="00C313D0" w:rsidP="007E328E">
      <w:bookmarkStart w:id="134" w:name="_Toc272414710"/>
      <w:bookmarkStart w:id="135" w:name="_Toc290846350"/>
      <w:r w:rsidRPr="00C313D0">
        <w:t xml:space="preserve">After consideration of the responses to clinical questions, the benefits of enzalutamide in the proposed usage are unchanged from those identified </w:t>
      </w:r>
      <w:r w:rsidR="00C01786">
        <w:t xml:space="preserve">under </w:t>
      </w:r>
      <w:r w:rsidR="00C01786">
        <w:rPr>
          <w:i/>
        </w:rPr>
        <w:t xml:space="preserve">First </w:t>
      </w:r>
      <w:r w:rsidRPr="00C01786">
        <w:rPr>
          <w:i/>
        </w:rPr>
        <w:t>round assessment of benefits</w:t>
      </w:r>
      <w:r w:rsidR="00C01786">
        <w:t>,</w:t>
      </w:r>
      <w:r w:rsidR="00C01786" w:rsidRPr="00C01786">
        <w:t xml:space="preserve"> </w:t>
      </w:r>
      <w:r w:rsidR="00C01786">
        <w:t>above</w:t>
      </w:r>
      <w:r w:rsidRPr="00C313D0">
        <w:t>.</w:t>
      </w:r>
    </w:p>
    <w:p w:rsidR="00C313D0" w:rsidRPr="00C313D0" w:rsidRDefault="00C313D0" w:rsidP="007E328E">
      <w:pPr>
        <w:pStyle w:val="Heading4"/>
      </w:pPr>
      <w:bookmarkStart w:id="136" w:name="_Toc381783690"/>
      <w:bookmarkStart w:id="137" w:name="_Toc402797641"/>
      <w:r w:rsidRPr="00C313D0">
        <w:t>Second round assessment of risks</w:t>
      </w:r>
      <w:bookmarkEnd w:id="134"/>
      <w:bookmarkEnd w:id="135"/>
      <w:bookmarkEnd w:id="136"/>
      <w:bookmarkEnd w:id="137"/>
    </w:p>
    <w:p w:rsidR="00C313D0" w:rsidRPr="00C313D0" w:rsidRDefault="00C313D0" w:rsidP="007E328E">
      <w:bookmarkStart w:id="138" w:name="_Toc272414711"/>
      <w:bookmarkStart w:id="139" w:name="_Toc290846351"/>
      <w:r w:rsidRPr="00C313D0">
        <w:t>After consideration of the responses to clinical questions, the risks of enzalutamide in the proposed usage are unchanged from those identified</w:t>
      </w:r>
      <w:r w:rsidR="00C01786">
        <w:t xml:space="preserve"> under</w:t>
      </w:r>
      <w:r w:rsidRPr="00C313D0">
        <w:t xml:space="preserve"> </w:t>
      </w:r>
      <w:r w:rsidR="00C01786" w:rsidRPr="00C01786">
        <w:rPr>
          <w:i/>
        </w:rPr>
        <w:t xml:space="preserve">First round assessment of </w:t>
      </w:r>
      <w:r w:rsidR="00C01786">
        <w:rPr>
          <w:i/>
        </w:rPr>
        <w:t>risks</w:t>
      </w:r>
      <w:r w:rsidR="00C01786" w:rsidRPr="00C01786">
        <w:t>, above</w:t>
      </w:r>
      <w:r w:rsidRPr="00C313D0">
        <w:t>.</w:t>
      </w:r>
    </w:p>
    <w:p w:rsidR="00C313D0" w:rsidRPr="007E328E" w:rsidRDefault="00C313D0" w:rsidP="007E328E">
      <w:pPr>
        <w:pStyle w:val="Heading4"/>
      </w:pPr>
      <w:bookmarkStart w:id="140" w:name="_Toc381783691"/>
      <w:bookmarkStart w:id="141" w:name="_Toc402797642"/>
      <w:r w:rsidRPr="00C313D0">
        <w:lastRenderedPageBreak/>
        <w:t>Second round assessment of benefit-risk balance</w:t>
      </w:r>
      <w:bookmarkEnd w:id="138"/>
      <w:bookmarkEnd w:id="139"/>
      <w:bookmarkEnd w:id="140"/>
      <w:bookmarkEnd w:id="141"/>
    </w:p>
    <w:p w:rsidR="00C313D0" w:rsidRPr="00C313D0" w:rsidRDefault="00C313D0" w:rsidP="007E328E">
      <w:r w:rsidRPr="00C313D0">
        <w:t>The benefit-risk balance of enzalutamide, given the proposed usage, is favourable.</w:t>
      </w:r>
    </w:p>
    <w:p w:rsidR="00C313D0" w:rsidRPr="00C313D0" w:rsidRDefault="00C313D0" w:rsidP="007E328E">
      <w:pPr>
        <w:pStyle w:val="Heading3"/>
      </w:pPr>
      <w:bookmarkStart w:id="142" w:name="_Toc402797643"/>
      <w:bookmarkStart w:id="143" w:name="_Toc408300849"/>
      <w:r w:rsidRPr="00C313D0">
        <w:t xml:space="preserve">Second round recommendation regarding </w:t>
      </w:r>
      <w:r w:rsidRPr="007E328E">
        <w:t>authorisation</w:t>
      </w:r>
      <w:bookmarkEnd w:id="142"/>
      <w:bookmarkEnd w:id="143"/>
    </w:p>
    <w:p w:rsidR="00C313D0" w:rsidRPr="00C313D0" w:rsidRDefault="00C313D0" w:rsidP="007E328E">
      <w:r w:rsidRPr="00C313D0">
        <w:t>It is recommended that the application for the registration of enzalutamide for the treatment of patients with metastatic CRPC who have previously received docetaxel be approved.</w:t>
      </w:r>
    </w:p>
    <w:p w:rsidR="008E7846" w:rsidRPr="007D562F" w:rsidRDefault="008E7846" w:rsidP="007D562F">
      <w:pPr>
        <w:pStyle w:val="Heading2"/>
      </w:pPr>
      <w:bookmarkStart w:id="144" w:name="_Toc408300850"/>
      <w:r w:rsidRPr="00E41208">
        <w:t xml:space="preserve">V. </w:t>
      </w:r>
      <w:proofErr w:type="spellStart"/>
      <w:r w:rsidRPr="00E41208">
        <w:t>Pharmacovigilance</w:t>
      </w:r>
      <w:proofErr w:type="spellEnd"/>
      <w:r w:rsidRPr="00E41208">
        <w:t xml:space="preserve"> </w:t>
      </w:r>
      <w:r>
        <w:t>f</w:t>
      </w:r>
      <w:r w:rsidRPr="00E41208">
        <w:t>indings</w:t>
      </w:r>
      <w:bookmarkEnd w:id="116"/>
      <w:bookmarkEnd w:id="117"/>
      <w:bookmarkEnd w:id="144"/>
    </w:p>
    <w:p w:rsidR="008E7846" w:rsidRPr="007D562F" w:rsidRDefault="00386150" w:rsidP="007D562F">
      <w:pPr>
        <w:pStyle w:val="Heading3"/>
      </w:pPr>
      <w:bookmarkStart w:id="145" w:name="_Toc247691526"/>
      <w:bookmarkStart w:id="146" w:name="_Toc314842509"/>
      <w:bookmarkStart w:id="147" w:name="_Toc408300851"/>
      <w:r>
        <w:rPr>
          <w:lang w:eastAsia="en-AU"/>
        </w:rPr>
        <w:t>Risk m</w:t>
      </w:r>
      <w:r w:rsidR="008E7846">
        <w:rPr>
          <w:lang w:eastAsia="en-AU"/>
        </w:rPr>
        <w:t xml:space="preserve">anagement </w:t>
      </w:r>
      <w:r>
        <w:rPr>
          <w:lang w:eastAsia="en-AU"/>
        </w:rPr>
        <w:t>p</w:t>
      </w:r>
      <w:r w:rsidR="008E7846">
        <w:rPr>
          <w:lang w:eastAsia="en-AU"/>
        </w:rPr>
        <w:t>lan</w:t>
      </w:r>
      <w:bookmarkEnd w:id="145"/>
      <w:bookmarkEnd w:id="146"/>
      <w:bookmarkEnd w:id="147"/>
    </w:p>
    <w:p w:rsidR="008E7846" w:rsidRDefault="008E7846" w:rsidP="007D562F">
      <w:pPr>
        <w:rPr>
          <w:lang w:eastAsia="en-AU"/>
        </w:rPr>
      </w:pPr>
      <w:r>
        <w:rPr>
          <w:lang w:eastAsia="en-AU"/>
        </w:rPr>
        <w:t>The sponsor submitted a Risk Management Plan</w:t>
      </w:r>
      <w:r w:rsidR="00F11936">
        <w:rPr>
          <w:lang w:eastAsia="en-AU"/>
        </w:rPr>
        <w:t xml:space="preserve"> </w:t>
      </w:r>
      <w:r w:rsidR="00F11936" w:rsidRPr="00F11936">
        <w:rPr>
          <w:lang w:eastAsia="en-AU"/>
        </w:rPr>
        <w:t>EU-RMP Version 4.0, dated 25</w:t>
      </w:r>
      <w:r w:rsidR="00F11936" w:rsidRPr="00F11936">
        <w:rPr>
          <w:vertAlign w:val="superscript"/>
          <w:lang w:eastAsia="en-AU"/>
        </w:rPr>
        <w:t>th</w:t>
      </w:r>
      <w:r w:rsidR="00F11936" w:rsidRPr="00F11936">
        <w:rPr>
          <w:lang w:eastAsia="en-AU"/>
        </w:rPr>
        <w:t xml:space="preserve"> April 2013 with an Australian Specific Annex Version 1.0, dated 23</w:t>
      </w:r>
      <w:r w:rsidR="00F11936" w:rsidRPr="00F11936">
        <w:rPr>
          <w:vertAlign w:val="superscript"/>
          <w:lang w:eastAsia="en-AU"/>
        </w:rPr>
        <w:t>rd</w:t>
      </w:r>
      <w:r w:rsidR="00F11936" w:rsidRPr="00F11936">
        <w:rPr>
          <w:lang w:eastAsia="en-AU"/>
        </w:rPr>
        <w:t xml:space="preserve"> May 2013</w:t>
      </w:r>
      <w:r w:rsidR="00F11936">
        <w:rPr>
          <w:lang w:eastAsia="en-AU"/>
        </w:rPr>
        <w:t xml:space="preserve"> </w:t>
      </w:r>
      <w:r>
        <w:rPr>
          <w:lang w:eastAsia="en-AU"/>
        </w:rPr>
        <w:t>which was reviewed by the TGA’s Office of Product Review (OPR).</w:t>
      </w:r>
    </w:p>
    <w:p w:rsidR="008E7846" w:rsidRDefault="003A7F6C" w:rsidP="007D562F">
      <w:pPr>
        <w:pStyle w:val="Heading4"/>
        <w:rPr>
          <w:lang w:eastAsia="en-AU"/>
        </w:rPr>
      </w:pPr>
      <w:r>
        <w:rPr>
          <w:lang w:eastAsia="en-AU"/>
        </w:rPr>
        <w:t>Safety s</w:t>
      </w:r>
      <w:r w:rsidR="008E7846">
        <w:rPr>
          <w:lang w:eastAsia="en-AU"/>
        </w:rPr>
        <w:t>pecification</w:t>
      </w:r>
    </w:p>
    <w:p w:rsidR="008E7846" w:rsidRDefault="008E7846" w:rsidP="007D562F">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w:t>
      </w:r>
      <w:r w:rsidR="00C6361B">
        <w:rPr>
          <w:lang w:eastAsia="en-AU"/>
        </w:rPr>
        <w:t xml:space="preserve">cerns which are shown at Table </w:t>
      </w:r>
      <w:r w:rsidR="00A91607">
        <w:rPr>
          <w:lang w:eastAsia="en-AU"/>
        </w:rPr>
        <w:t>5</w:t>
      </w:r>
      <w:r>
        <w:rPr>
          <w:lang w:eastAsia="en-AU"/>
        </w:rPr>
        <w:t>.</w:t>
      </w:r>
    </w:p>
    <w:p w:rsidR="00F11936" w:rsidRPr="00F11936" w:rsidRDefault="00C6361B" w:rsidP="007D562F">
      <w:pPr>
        <w:pStyle w:val="TableTitle"/>
      </w:pPr>
      <w:r>
        <w:t xml:space="preserve">Table </w:t>
      </w:r>
      <w:r w:rsidR="00A91607">
        <w:t>5</w:t>
      </w:r>
      <w:r>
        <w:t>:</w:t>
      </w:r>
      <w:r w:rsidR="00F11936" w:rsidRPr="00F11936">
        <w:t xml:space="preserve"> Important identified risks, potential risks and areas of missing information</w:t>
      </w:r>
    </w:p>
    <w:tbl>
      <w:tblPr>
        <w:tblStyle w:val="TableTGAblue"/>
        <w:tblW w:w="0" w:type="auto"/>
        <w:tblInd w:w="108" w:type="dxa"/>
        <w:tblLook w:val="04A0" w:firstRow="1" w:lastRow="0" w:firstColumn="1" w:lastColumn="0" w:noHBand="0" w:noVBand="1"/>
      </w:tblPr>
      <w:tblGrid>
        <w:gridCol w:w="2694"/>
        <w:gridCol w:w="5670"/>
      </w:tblGrid>
      <w:tr w:rsidR="00F11936" w:rsidRPr="00F11936" w:rsidTr="00C6361B">
        <w:trPr>
          <w:cnfStyle w:val="100000000000" w:firstRow="1" w:lastRow="0" w:firstColumn="0" w:lastColumn="0" w:oddVBand="0" w:evenVBand="0" w:oddHBand="0" w:evenHBand="0" w:firstRowFirstColumn="0" w:firstRowLastColumn="0" w:lastRowFirstColumn="0" w:lastRowLastColumn="0"/>
        </w:trPr>
        <w:tc>
          <w:tcPr>
            <w:tcW w:w="8364" w:type="dxa"/>
            <w:gridSpan w:val="2"/>
          </w:tcPr>
          <w:p w:rsidR="00F11936" w:rsidRPr="00F11936" w:rsidRDefault="00F11936" w:rsidP="007D562F">
            <w:r w:rsidRPr="00F11936">
              <w:t>Safety concerns</w:t>
            </w:r>
          </w:p>
        </w:tc>
      </w:tr>
      <w:tr w:rsidR="00F11936" w:rsidRPr="00F11936" w:rsidTr="00C6361B">
        <w:tc>
          <w:tcPr>
            <w:tcW w:w="2694" w:type="dxa"/>
          </w:tcPr>
          <w:p w:rsidR="00F11936" w:rsidRPr="00F11936" w:rsidRDefault="00F11936" w:rsidP="007D562F">
            <w:r w:rsidRPr="00F11936">
              <w:t>Important Identified Risks</w:t>
            </w:r>
          </w:p>
        </w:tc>
        <w:tc>
          <w:tcPr>
            <w:tcW w:w="5670" w:type="dxa"/>
          </w:tcPr>
          <w:p w:rsidR="00F11936" w:rsidRPr="00F11936" w:rsidRDefault="00F11936" w:rsidP="007D562F">
            <w:r w:rsidRPr="00F11936">
              <w:t>Seizures</w:t>
            </w:r>
          </w:p>
          <w:p w:rsidR="00F11936" w:rsidRPr="00F11936" w:rsidRDefault="00F11936" w:rsidP="007D562F">
            <w:r w:rsidRPr="00F11936">
              <w:t>Hypertension</w:t>
            </w:r>
          </w:p>
          <w:p w:rsidR="00F11936" w:rsidRPr="00F11936" w:rsidRDefault="00F11936" w:rsidP="007D562F">
            <w:r w:rsidRPr="00F11936">
              <w:t>Falls</w:t>
            </w:r>
          </w:p>
          <w:p w:rsidR="00F11936" w:rsidRPr="00F11936" w:rsidRDefault="00F11936" w:rsidP="007D562F">
            <w:r w:rsidRPr="00F11936">
              <w:t>Hallucination</w:t>
            </w:r>
          </w:p>
          <w:p w:rsidR="00F11936" w:rsidRPr="00F11936" w:rsidRDefault="00F11936" w:rsidP="007D562F">
            <w:r w:rsidRPr="00F11936">
              <w:t>Neutrophil count decreased</w:t>
            </w:r>
          </w:p>
          <w:p w:rsidR="00F11936" w:rsidRPr="00F11936" w:rsidRDefault="00F11936" w:rsidP="007D562F">
            <w:r w:rsidRPr="00F11936">
              <w:t>Non-pathologic fracture</w:t>
            </w:r>
          </w:p>
          <w:p w:rsidR="00F11936" w:rsidRPr="00F11936" w:rsidRDefault="00F11936" w:rsidP="007D562F">
            <w:r w:rsidRPr="00F11936">
              <w:t>Interactions with strong inhibitors or inducers of CYP2C8</w:t>
            </w:r>
          </w:p>
          <w:p w:rsidR="00F11936" w:rsidRPr="00F11936" w:rsidRDefault="00F11936" w:rsidP="007D562F">
            <w:r w:rsidRPr="00F11936">
              <w:t>Interactions with medicinal products that are substrates of</w:t>
            </w:r>
            <w:r>
              <w:t xml:space="preserve"> </w:t>
            </w:r>
            <w:r w:rsidRPr="00F11936">
              <w:t>CYP3A4, CYP2C9 or CYP2C19</w:t>
            </w:r>
          </w:p>
        </w:tc>
      </w:tr>
      <w:tr w:rsidR="00F11936" w:rsidRPr="00F11936" w:rsidTr="00C6361B">
        <w:tc>
          <w:tcPr>
            <w:tcW w:w="2694" w:type="dxa"/>
          </w:tcPr>
          <w:p w:rsidR="00F11936" w:rsidRPr="00F11936" w:rsidRDefault="00F11936" w:rsidP="007D562F">
            <w:r w:rsidRPr="00F11936">
              <w:t>Important Potential Risks</w:t>
            </w:r>
          </w:p>
        </w:tc>
        <w:tc>
          <w:tcPr>
            <w:tcW w:w="5670" w:type="dxa"/>
          </w:tcPr>
          <w:p w:rsidR="00F11936" w:rsidRPr="00F11936" w:rsidRDefault="00F11936" w:rsidP="007D562F">
            <w:r w:rsidRPr="00F11936">
              <w:t>Cognitive/memory impairment</w:t>
            </w:r>
          </w:p>
        </w:tc>
      </w:tr>
      <w:tr w:rsidR="00F11936" w:rsidRPr="00F11936" w:rsidTr="00C6361B">
        <w:tc>
          <w:tcPr>
            <w:tcW w:w="2694" w:type="dxa"/>
          </w:tcPr>
          <w:p w:rsidR="00F11936" w:rsidRPr="00F11936" w:rsidRDefault="00F11936" w:rsidP="007D562F">
            <w:r w:rsidRPr="00F11936">
              <w:t>Important Missing</w:t>
            </w:r>
            <w:r>
              <w:t xml:space="preserve"> </w:t>
            </w:r>
            <w:r w:rsidRPr="00F11936">
              <w:t>Information</w:t>
            </w:r>
          </w:p>
        </w:tc>
        <w:tc>
          <w:tcPr>
            <w:tcW w:w="5670" w:type="dxa"/>
          </w:tcPr>
          <w:p w:rsidR="00F11936" w:rsidRPr="00F11936" w:rsidRDefault="00F11936" w:rsidP="007D562F">
            <w:r w:rsidRPr="00F11936">
              <w:t>Patients with severe renal impairment</w:t>
            </w:r>
          </w:p>
          <w:p w:rsidR="00F11936" w:rsidRPr="00F11936" w:rsidRDefault="00F11936" w:rsidP="007D562F">
            <w:r w:rsidRPr="00F11936">
              <w:t>Patients with moderate or severe hepatic impairment</w:t>
            </w:r>
          </w:p>
          <w:p w:rsidR="00F11936" w:rsidRPr="00F11936" w:rsidRDefault="00F11936" w:rsidP="007D562F">
            <w:r w:rsidRPr="00F11936">
              <w:t>Reproduction/fertility</w:t>
            </w:r>
          </w:p>
          <w:p w:rsidR="00F11936" w:rsidRPr="00F11936" w:rsidRDefault="00F11936" w:rsidP="007D562F">
            <w:r w:rsidRPr="00F11936">
              <w:t>Patients of non-White race</w:t>
            </w:r>
          </w:p>
          <w:p w:rsidR="00F11936" w:rsidRPr="00F11936" w:rsidRDefault="00F11936" w:rsidP="007D562F">
            <w:r w:rsidRPr="00F11936">
              <w:t xml:space="preserve">Patients with ECOG PS </w:t>
            </w:r>
            <w:r w:rsidR="00BE69ED">
              <w:t xml:space="preserve">≥ </w:t>
            </w:r>
            <w:r w:rsidRPr="00F11936">
              <w:t>2</w:t>
            </w:r>
          </w:p>
          <w:p w:rsidR="00F11936" w:rsidRPr="00F11936" w:rsidRDefault="00F11936" w:rsidP="007D562F">
            <w:r w:rsidRPr="00F11936">
              <w:t>Patients with severe cardiovascular disease</w:t>
            </w:r>
          </w:p>
          <w:p w:rsidR="00F11936" w:rsidRPr="00F11936" w:rsidRDefault="00F11936" w:rsidP="007D562F">
            <w:r w:rsidRPr="00F11936">
              <w:t xml:space="preserve">Patients with brain metastases or with baseline </w:t>
            </w:r>
            <w:r w:rsidRPr="00F11936">
              <w:lastRenderedPageBreak/>
              <w:t>factors</w:t>
            </w:r>
            <w:r>
              <w:t xml:space="preserve"> </w:t>
            </w:r>
            <w:r w:rsidRPr="00F11936">
              <w:t>predisposing for seizure</w:t>
            </w:r>
          </w:p>
          <w:p w:rsidR="00F11936" w:rsidRPr="00F11936" w:rsidRDefault="00F11936" w:rsidP="007D562F">
            <w:r w:rsidRPr="00F11936">
              <w:t>Patients with metastatic castration-resistant prostate cancer</w:t>
            </w:r>
            <w:r>
              <w:t xml:space="preserve"> </w:t>
            </w:r>
            <w:r w:rsidRPr="00F11936">
              <w:t>previously treated with abiraterone acetate.</w:t>
            </w:r>
          </w:p>
        </w:tc>
      </w:tr>
    </w:tbl>
    <w:p w:rsidR="008E7846" w:rsidRPr="007D562F" w:rsidRDefault="008E7846" w:rsidP="007D562F">
      <w:pPr>
        <w:pStyle w:val="Heading4"/>
      </w:pPr>
      <w:proofErr w:type="spellStart"/>
      <w:r>
        <w:rPr>
          <w:lang w:eastAsia="en-AU"/>
        </w:rPr>
        <w:lastRenderedPageBreak/>
        <w:t>Pharmacovigilance</w:t>
      </w:r>
      <w:proofErr w:type="spellEnd"/>
      <w:r>
        <w:rPr>
          <w:lang w:eastAsia="en-AU"/>
        </w:rPr>
        <w:t xml:space="preserve"> </w:t>
      </w:r>
      <w:r w:rsidR="003A7F6C">
        <w:rPr>
          <w:lang w:eastAsia="en-AU"/>
        </w:rPr>
        <w:t>p</w:t>
      </w:r>
      <w:r>
        <w:rPr>
          <w:lang w:eastAsia="en-AU"/>
        </w:rPr>
        <w:t>lan</w:t>
      </w:r>
    </w:p>
    <w:p w:rsidR="008C7438" w:rsidRDefault="00F11936" w:rsidP="007D562F">
      <w:pPr>
        <w:rPr>
          <w:lang w:eastAsia="en-AU"/>
        </w:rPr>
      </w:pPr>
      <w:r w:rsidRPr="00F11936">
        <w:rPr>
          <w:lang w:eastAsia="en-AU"/>
        </w:rPr>
        <w:t>The sponsor proposes routine pharmacovigilance activities for all important identified and potential</w:t>
      </w:r>
      <w:r w:rsidR="007D562F">
        <w:rPr>
          <w:lang w:eastAsia="en-AU"/>
        </w:rPr>
        <w:t xml:space="preserve"> risks and missing information.</w:t>
      </w:r>
    </w:p>
    <w:p w:rsidR="008E7846" w:rsidRPr="008C7438" w:rsidRDefault="00F11936" w:rsidP="007D562F">
      <w:r w:rsidRPr="00F11936">
        <w:rPr>
          <w:lang w:eastAsia="en-AU"/>
        </w:rPr>
        <w:t>Additional pharmacovigilance activities</w:t>
      </w:r>
      <w:r w:rsidR="00EE12F4">
        <w:rPr>
          <w:lang w:eastAsia="en-AU"/>
        </w:rPr>
        <w:t xml:space="preserve">, comprising 3 </w:t>
      </w:r>
      <w:r w:rsidR="00C6361B">
        <w:rPr>
          <w:lang w:eastAsia="en-AU"/>
        </w:rPr>
        <w:t xml:space="preserve">clinical </w:t>
      </w:r>
      <w:r w:rsidR="00EE12F4">
        <w:rPr>
          <w:lang w:eastAsia="en-AU"/>
        </w:rPr>
        <w:t xml:space="preserve">studies, </w:t>
      </w:r>
      <w:r w:rsidRPr="00F11936">
        <w:rPr>
          <w:lang w:eastAsia="en-AU"/>
        </w:rPr>
        <w:t xml:space="preserve">are planned </w:t>
      </w:r>
      <w:r w:rsidR="008C7438" w:rsidRPr="008C7438">
        <w:t>to further elucidate the risks of seizure</w:t>
      </w:r>
      <w:r w:rsidR="00EE12F4">
        <w:t xml:space="preserve">, sever hepatic impairment and moderate hepatic </w:t>
      </w:r>
      <w:r w:rsidR="008C7438" w:rsidRPr="008C7438">
        <w:t>impairment</w:t>
      </w:r>
      <w:r w:rsidR="00EE12F4">
        <w:t>, respectively</w:t>
      </w:r>
      <w:r w:rsidR="008C7438" w:rsidRPr="008C7438">
        <w:t xml:space="preserve">. There is an additional planned study proposed described by the </w:t>
      </w:r>
      <w:r w:rsidR="008C7438">
        <w:t>s</w:t>
      </w:r>
      <w:r w:rsidR="008C7438" w:rsidRPr="008C7438">
        <w:t>ponsor as “</w:t>
      </w:r>
      <w:r w:rsidR="008C7438" w:rsidRPr="008C7438">
        <w:rPr>
          <w:i/>
        </w:rPr>
        <w:t>a post-authorisation efficacy study to collect data on the efficacy and safety of enzalutamide in patients with metastatic castration-resistant prostate cancer previously treated with abiraterone acetate</w:t>
      </w:r>
      <w:r w:rsidR="008C7438" w:rsidRPr="008C7438">
        <w:t>”</w:t>
      </w:r>
      <w:r w:rsidRPr="008C7438">
        <w:t>.</w:t>
      </w:r>
    </w:p>
    <w:p w:rsidR="008E7846" w:rsidRDefault="008E7846" w:rsidP="007D562F">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F11936" w:rsidRPr="00F11936" w:rsidRDefault="00F11936" w:rsidP="007D562F">
      <w:pPr>
        <w:pStyle w:val="Heading5"/>
      </w:pPr>
      <w:bookmarkStart w:id="148" w:name="_Toc247691527"/>
      <w:r w:rsidRPr="00F11936">
        <w:t>Sponsor’s conclusion in regard to the need for risk minimisation activities</w:t>
      </w:r>
    </w:p>
    <w:p w:rsidR="00F11936" w:rsidRPr="00F11936" w:rsidRDefault="008C7438" w:rsidP="007D562F">
      <w:r>
        <w:t>The s</w:t>
      </w:r>
      <w:r w:rsidR="00F11936" w:rsidRPr="00F11936">
        <w:t xml:space="preserve">ponsor makes the following statement in </w:t>
      </w:r>
      <w:r w:rsidR="00C6361B">
        <w:t xml:space="preserve">the </w:t>
      </w:r>
      <w:r w:rsidR="00F11936" w:rsidRPr="00F11936">
        <w:t xml:space="preserve">RMP regarding the need for risk minimisation activities: </w:t>
      </w:r>
      <w:r w:rsidR="00F11936" w:rsidRPr="007D562F">
        <w:rPr>
          <w:i/>
        </w:rPr>
        <w:t xml:space="preserve">“The product information is sufficient to mitigate the current identified and potential risks of enzalutamide. The necessary information to ensure appropriate use of the product will be included in the relevant sections of the </w:t>
      </w:r>
      <w:proofErr w:type="spellStart"/>
      <w:r w:rsidR="00F11936" w:rsidRPr="007D562F">
        <w:rPr>
          <w:i/>
        </w:rPr>
        <w:t>SmPC</w:t>
      </w:r>
      <w:proofErr w:type="spellEnd"/>
      <w:r w:rsidR="00F11936" w:rsidRPr="007D562F">
        <w:rPr>
          <w:i/>
        </w:rPr>
        <w:t xml:space="preserve"> to avoid or prevent any severe and life-threatening consequences. No additional measures for risk minimisation are considered necessary by the MAH at this time.”</w:t>
      </w:r>
    </w:p>
    <w:p w:rsidR="00F11936" w:rsidRPr="008C7438" w:rsidRDefault="00F11936" w:rsidP="007D562F">
      <w:r w:rsidRPr="008C7438">
        <w:t>OPR</w:t>
      </w:r>
      <w:r w:rsidR="008C7438" w:rsidRPr="008C7438">
        <w:t xml:space="preserve"> reviewer comment: </w:t>
      </w:r>
      <w:r w:rsidRPr="008C7438">
        <w:t xml:space="preserve">The </w:t>
      </w:r>
      <w:r w:rsidR="008C7438" w:rsidRPr="008C7438">
        <w:t>s</w:t>
      </w:r>
      <w:r w:rsidRPr="008C7438">
        <w:t>pon</w:t>
      </w:r>
      <w:r w:rsidR="008C7438" w:rsidRPr="008C7438">
        <w:t xml:space="preserve">sor’s conclusion is acceptable </w:t>
      </w:r>
      <w:r w:rsidRPr="008C7438">
        <w:t>and is consistent with other drugs of similar indication.</w:t>
      </w:r>
    </w:p>
    <w:p w:rsidR="008C7438" w:rsidRPr="007D562F" w:rsidRDefault="008C7438" w:rsidP="007D562F">
      <w:pPr>
        <w:pStyle w:val="Heading5"/>
      </w:pPr>
      <w:r w:rsidRPr="008C7438">
        <w:t>Planned actions</w:t>
      </w:r>
    </w:p>
    <w:p w:rsidR="008C7438" w:rsidRPr="008C7438" w:rsidRDefault="008C7438" w:rsidP="007D562F">
      <w:r>
        <w:t>T</w:t>
      </w:r>
      <w:r w:rsidRPr="008C7438">
        <w:t>he sponsor proposes routine pharmacovigilance and risk minimisation activities for all important identified risks and important potential risks and important areas of missing information.</w:t>
      </w:r>
    </w:p>
    <w:p w:rsidR="006F25B8" w:rsidRPr="007D562F" w:rsidRDefault="006F25B8" w:rsidP="007D562F">
      <w:pPr>
        <w:pStyle w:val="Heading4"/>
      </w:pPr>
      <w:r w:rsidRPr="006F25B8">
        <w:rPr>
          <w:lang w:eastAsia="en-AU"/>
        </w:rPr>
        <w:t xml:space="preserve">Reconciliation of issues outlined in the RMP report </w:t>
      </w:r>
    </w:p>
    <w:p w:rsidR="006F25B8" w:rsidRPr="00D44977" w:rsidRDefault="00D44977" w:rsidP="007D562F">
      <w:r>
        <w:t>This section</w:t>
      </w:r>
      <w:r w:rsidR="004321FA" w:rsidRPr="00D44977">
        <w:t xml:space="preserve"> summarise</w:t>
      </w:r>
      <w:r w:rsidR="006F25B8" w:rsidRPr="00D44977">
        <w:t xml:space="preserve"> the </w:t>
      </w:r>
      <w:r w:rsidR="00C6361B">
        <w:t xml:space="preserve">recommendations in the </w:t>
      </w:r>
      <w:r w:rsidR="006F25B8" w:rsidRPr="00D44977">
        <w:t>OPR’s first round evaluation of the RMP, the sponsor’s responses to issues raised by the OPR</w:t>
      </w:r>
      <w:r w:rsidR="00C6361B">
        <w:t>,</w:t>
      </w:r>
      <w:r w:rsidR="006F25B8" w:rsidRPr="00D44977">
        <w:t xml:space="preserve"> and the OPR’s evaluat</w:t>
      </w:r>
      <w:r w:rsidR="00EE12F4" w:rsidRPr="00D44977">
        <w:t>ion of the sponsor’s responses.</w:t>
      </w:r>
    </w:p>
    <w:p w:rsidR="004321FA" w:rsidRPr="007D562F" w:rsidRDefault="004321FA" w:rsidP="007D562F">
      <w:pPr>
        <w:pStyle w:val="Heading5"/>
      </w:pPr>
      <w:r w:rsidRPr="00D44977">
        <w:t>Recommendation in RMP evaluation report</w:t>
      </w:r>
    </w:p>
    <w:p w:rsidR="004321FA" w:rsidRPr="00D44977" w:rsidRDefault="004321FA" w:rsidP="007D562F">
      <w:r w:rsidRPr="00D44977">
        <w:t>Safety considerations may be raised by the nonclinical and clinical evaluators through the consolidated TGA request for information and/or the nonclinical and clinical evaluation reports. It is important to ensure that the information provided in response to these include</w:t>
      </w:r>
      <w:r w:rsidR="00C44760">
        <w:t>s</w:t>
      </w:r>
      <w:r w:rsidRPr="00D44977">
        <w:t xml:space="preserve"> a consideration of the relevance for the RMP, and any specific information needed to address this issue in the RMP. For any safety considerations so raised, the sponsor should provide information that is relevant and necessary to address the issue in the RMP.</w:t>
      </w:r>
    </w:p>
    <w:p w:rsidR="004321FA" w:rsidRPr="007D562F" w:rsidRDefault="004321FA" w:rsidP="007D562F">
      <w:pPr>
        <w:pStyle w:val="Heading5"/>
      </w:pPr>
      <w:r w:rsidRPr="00D44977">
        <w:t>Sponsor’s response</w:t>
      </w:r>
    </w:p>
    <w:p w:rsidR="004321FA" w:rsidRPr="00D44977" w:rsidRDefault="004321FA" w:rsidP="007D562F">
      <w:r w:rsidRPr="00D44977">
        <w:t>The sponsor will provide the information as requested.</w:t>
      </w:r>
    </w:p>
    <w:p w:rsidR="004321FA" w:rsidRPr="007D562F" w:rsidRDefault="004321FA" w:rsidP="007D562F">
      <w:pPr>
        <w:pStyle w:val="Heading5"/>
      </w:pPr>
      <w:r w:rsidRPr="00D44977">
        <w:lastRenderedPageBreak/>
        <w:t>OPR evaluator’s comment</w:t>
      </w:r>
    </w:p>
    <w:p w:rsidR="004321FA" w:rsidRPr="00D44977" w:rsidRDefault="004321FA" w:rsidP="007D562F">
      <w:r w:rsidRPr="00D44977">
        <w:t>This is acceptable</w:t>
      </w:r>
      <w:r w:rsidR="007D562F">
        <w:t>.</w:t>
      </w:r>
    </w:p>
    <w:p w:rsidR="004321FA" w:rsidRPr="00D44977" w:rsidRDefault="004321FA" w:rsidP="007D562F">
      <w:pPr>
        <w:pStyle w:val="Heading5"/>
      </w:pPr>
      <w:r w:rsidRPr="00D44977">
        <w:t>Recommendation in RMP evaluation report</w:t>
      </w:r>
    </w:p>
    <w:p w:rsidR="004321FA" w:rsidRPr="00D44977" w:rsidRDefault="004321FA" w:rsidP="007D562F">
      <w:r w:rsidRPr="00D44977">
        <w:t>The TGA appreciates the sponsor supplying the evaluation reports from the US. To further assist the evaluation process, it would be appreciated if the sponsor could also consider providing the full evaluation reports from Canada and the EU.</w:t>
      </w:r>
    </w:p>
    <w:p w:rsidR="004321FA" w:rsidRPr="00D44977" w:rsidRDefault="004321FA" w:rsidP="007D562F">
      <w:pPr>
        <w:pStyle w:val="Heading5"/>
      </w:pPr>
      <w:r w:rsidRPr="00D44977">
        <w:t xml:space="preserve">Sponsor’s </w:t>
      </w:r>
      <w:r w:rsidRPr="007D562F">
        <w:t>response</w:t>
      </w:r>
    </w:p>
    <w:p w:rsidR="00D44977" w:rsidRDefault="004321FA" w:rsidP="007D562F">
      <w:r w:rsidRPr="00D44977">
        <w:t xml:space="preserve">The full evaluation reports from </w:t>
      </w:r>
      <w:r w:rsidR="007D562F">
        <w:t>Canada and the EU are provided.</w:t>
      </w:r>
    </w:p>
    <w:p w:rsidR="004321FA" w:rsidRPr="00D44977" w:rsidRDefault="004321FA" w:rsidP="007D562F">
      <w:r w:rsidRPr="00D44977">
        <w:t>Of note, for the Australian RMP, the sponsor proposed not to include ‘moderate hepatic impairment’ as Important Missing Information and to include only se</w:t>
      </w:r>
      <w:r w:rsidR="00AA61AD">
        <w:t>vere hepatic impairment. The PK</w:t>
      </w:r>
      <w:r w:rsidRPr="00D44977">
        <w:t xml:space="preserve"> of enzalutamide </w:t>
      </w:r>
      <w:proofErr w:type="gramStart"/>
      <w:r w:rsidRPr="00D44977">
        <w:t>were</w:t>
      </w:r>
      <w:proofErr w:type="gramEnd"/>
      <w:r w:rsidRPr="00D44977">
        <w:t xml:space="preserve"> examined in subjects with baseline mild or moderate hepatic impairment (Child-Pugh Class A and B, respectively) and no dose adjustment is necessary for this patient population. The revised </w:t>
      </w:r>
      <w:r w:rsidRPr="00D44977">
        <w:rPr>
          <w:i/>
        </w:rPr>
        <w:t>Hepatic impairment</w:t>
      </w:r>
      <w:r w:rsidRPr="00D44977">
        <w:t xml:space="preserve"> section in the </w:t>
      </w:r>
      <w:r w:rsidRPr="00D44977">
        <w:rPr>
          <w:i/>
        </w:rPr>
        <w:t>Precautions</w:t>
      </w:r>
      <w:r w:rsidRPr="00D44977">
        <w:t xml:space="preserve"> [section of the PI] provides appropriate guidance for the use of enzalutamide in patients with moderate or severe hepatic impairment.</w:t>
      </w:r>
    </w:p>
    <w:p w:rsidR="004321FA" w:rsidRPr="00D44977" w:rsidRDefault="004321FA" w:rsidP="007D562F">
      <w:pPr>
        <w:pStyle w:val="Heading5"/>
      </w:pPr>
      <w:r w:rsidRPr="00D44977">
        <w:t>OPR evaluator’s comment</w:t>
      </w:r>
    </w:p>
    <w:p w:rsidR="004321FA" w:rsidRPr="00D44977" w:rsidRDefault="00D44977" w:rsidP="007D562F">
      <w:r>
        <w:t>The EU-RMP includes ‘</w:t>
      </w:r>
      <w:r w:rsidR="004321FA" w:rsidRPr="00D44977">
        <w:t>moderate he</w:t>
      </w:r>
      <w:r>
        <w:t>patic impairment’</w:t>
      </w:r>
      <w:r w:rsidR="004321FA" w:rsidRPr="00D44977">
        <w:t xml:space="preserve"> as Important Missing Information. The OPR accepts the EU-RMP with ASA</w:t>
      </w:r>
      <w:r w:rsidR="00BE69ED">
        <w:t>.</w:t>
      </w:r>
    </w:p>
    <w:p w:rsidR="004321FA" w:rsidRPr="00D44977" w:rsidRDefault="004321FA" w:rsidP="007D562F">
      <w:pPr>
        <w:pStyle w:val="Heading5"/>
      </w:pPr>
      <w:r w:rsidRPr="00D44977">
        <w:t>Recommendation in RMP evaluation report</w:t>
      </w:r>
    </w:p>
    <w:p w:rsidR="004321FA" w:rsidRPr="00D44977" w:rsidRDefault="004321FA" w:rsidP="007D562F">
      <w:r w:rsidRPr="00D44977">
        <w:t>The “use of concomitant QT interval prolonging medication” should be added as important missing information.</w:t>
      </w:r>
    </w:p>
    <w:p w:rsidR="004321FA" w:rsidRPr="00D44977" w:rsidRDefault="004321FA" w:rsidP="007D562F">
      <w:pPr>
        <w:pStyle w:val="Heading5"/>
      </w:pPr>
      <w:r w:rsidRPr="00D44977">
        <w:t>Sponsor’s response</w:t>
      </w:r>
    </w:p>
    <w:p w:rsidR="00D44977" w:rsidRDefault="004321FA" w:rsidP="007D562F">
      <w:r w:rsidRPr="00D44977">
        <w:t>The clinical findings suggest that enzalutamide is not associated with an increased risk of QT prolongation. Patients on concomitant QT interval prolonging medications were excluded from the Phase III trial as is standard for studies including a thorough ECG assessment. Inclusion of these patients could potentially have limited the ability to detect a treatment effect on QT prolongation; they were not excluded due to a potential safety concern. The available data from Study CRPC2, based on the results of a comprehensive ECG (in triplicate) evaluation analysed by a validated ECG core laboratory, do not suggest that enzalutamide is associated with clinically meaningful effects on QTcF</w:t>
      </w:r>
      <w:r w:rsidR="00C6361B">
        <w:rPr>
          <w:rStyle w:val="FootnoteReference"/>
        </w:rPr>
        <w:footnoteReference w:id="20"/>
      </w:r>
      <w:r w:rsidRPr="00D44977">
        <w:t>, including predicted changes in QTcF at maximum concentrations of enzalutamide</w:t>
      </w:r>
      <w:r w:rsidR="007D562F">
        <w:t xml:space="preserve"> and the active metabolite, M2.</w:t>
      </w:r>
    </w:p>
    <w:p w:rsidR="00516E3B" w:rsidRDefault="004321FA" w:rsidP="007D562F">
      <w:r w:rsidRPr="00D44977">
        <w:t>In Study CRPC2, there were few placebo</w:t>
      </w:r>
      <w:r w:rsidR="00A76A72">
        <w:t xml:space="preserve"> </w:t>
      </w:r>
      <w:r w:rsidRPr="00D44977">
        <w:t>corrected mean changes from baseline in QTcF greater than the clinically</w:t>
      </w:r>
      <w:r w:rsidR="00D44977">
        <w:t xml:space="preserve"> </w:t>
      </w:r>
      <w:r w:rsidRPr="00D44977">
        <w:t xml:space="preserve">relevant increase of 5 </w:t>
      </w:r>
      <w:proofErr w:type="spellStart"/>
      <w:r w:rsidRPr="00D44977">
        <w:t>ms</w:t>
      </w:r>
      <w:proofErr w:type="spellEnd"/>
      <w:r w:rsidRPr="00D44977">
        <w:t xml:space="preserve">; however, for the increases at these time points and the analyses of predicted QTcF changes at Cmax, the upper bound of the CI did not exceed 10 </w:t>
      </w:r>
      <w:proofErr w:type="spellStart"/>
      <w:proofErr w:type="gramStart"/>
      <w:r w:rsidRPr="00D44977">
        <w:t>ms</w:t>
      </w:r>
      <w:proofErr w:type="spellEnd"/>
      <w:proofErr w:type="gramEnd"/>
      <w:r w:rsidRPr="00D44977">
        <w:t>. Therefore these increases are not considered clinically meaningful. In addition, there were no AEs of torsade de pointes and no difference between treatment groups in the frequencies of AEs that were potentially related to tors</w:t>
      </w:r>
      <w:r w:rsidR="007D562F">
        <w:t>ade de pointes/QT prolongation.</w:t>
      </w:r>
    </w:p>
    <w:p w:rsidR="004321FA" w:rsidRPr="00D44977" w:rsidRDefault="004321FA" w:rsidP="00D44977">
      <w:r w:rsidRPr="00D44977">
        <w:t xml:space="preserve">Although </w:t>
      </w:r>
      <w:proofErr w:type="spellStart"/>
      <w:r w:rsidRPr="00D44977">
        <w:t>hERG</w:t>
      </w:r>
      <w:proofErr w:type="spellEnd"/>
      <w:r w:rsidRPr="00D44977">
        <w:t xml:space="preserve"> inhibition was demonstrated (using </w:t>
      </w:r>
      <w:proofErr w:type="spellStart"/>
      <w:r w:rsidRPr="00D44977">
        <w:t>hERG</w:t>
      </w:r>
      <w:proofErr w:type="spellEnd"/>
      <w:r w:rsidRPr="00D44977">
        <w:t>-expressing human embr</w:t>
      </w:r>
      <w:r w:rsidR="00516E3B">
        <w:t>yonic kidney [HEK] cells), the s</w:t>
      </w:r>
      <w:r w:rsidRPr="00D44977">
        <w:t>ponsor considers this to be of little pharmacological significance at the therapeutic plasma levels of enzalutamide and the active metabolite, M2 in patients. The sponsor does not consider the use of enzalutamide in patients taking medications known to prolong QT interval as meaningful missing information, and therefore not appropriate to include in the RMP.</w:t>
      </w:r>
    </w:p>
    <w:p w:rsidR="004321FA" w:rsidRPr="007D562F" w:rsidRDefault="007D562F" w:rsidP="007D562F">
      <w:pPr>
        <w:pStyle w:val="Heading5"/>
      </w:pPr>
      <w:r>
        <w:lastRenderedPageBreak/>
        <w:t>OPR evaluator’s comment</w:t>
      </w:r>
    </w:p>
    <w:p w:rsidR="004321FA" w:rsidRPr="00D44977" w:rsidRDefault="004321FA" w:rsidP="007D562F">
      <w:r w:rsidRPr="00D44977">
        <w:t>This is acceptable.</w:t>
      </w:r>
    </w:p>
    <w:p w:rsidR="004321FA" w:rsidRPr="00D44977" w:rsidRDefault="004321FA" w:rsidP="007D562F">
      <w:pPr>
        <w:pStyle w:val="Heading5"/>
      </w:pPr>
      <w:r w:rsidRPr="00D44977">
        <w:t>Recommendation in RMP evaluation report</w:t>
      </w:r>
    </w:p>
    <w:p w:rsidR="004321FA" w:rsidRPr="00D44977" w:rsidRDefault="004321FA" w:rsidP="007D562F">
      <w:r w:rsidRPr="00D44977">
        <w:t>“</w:t>
      </w:r>
      <w:r w:rsidR="00516E3B">
        <w:t>A</w:t>
      </w:r>
      <w:r w:rsidRPr="00D44977">
        <w:t xml:space="preserve">trial fibrillation” should be included as an important identified risk. As stated by the </w:t>
      </w:r>
      <w:r w:rsidR="00516E3B">
        <w:t>s</w:t>
      </w:r>
      <w:r w:rsidRPr="00D44977">
        <w:t xml:space="preserve">ponsor in the RMP: </w:t>
      </w:r>
      <w:r w:rsidRPr="007D562F">
        <w:rPr>
          <w:i/>
        </w:rPr>
        <w:t>“Compared to enzalutamide-treated patients younger than 75 years, enzalutamide-treated patients 75 years and older were more likely to experience atrial fibrillation...</w:t>
      </w:r>
      <w:proofErr w:type="gramStart"/>
      <w:r w:rsidRPr="007D562F">
        <w:rPr>
          <w:i/>
        </w:rPr>
        <w:t>”.</w:t>
      </w:r>
      <w:proofErr w:type="gramEnd"/>
      <w:r w:rsidRPr="00D44977">
        <w:t xml:space="preserve"> Considering the serious nature of atrial fibrillation (including risk of death) and the substantial proportion of prostate cancer diagnosis in men aged over 75years, it is reasonable to include this as an ongoing safety concern.</w:t>
      </w:r>
    </w:p>
    <w:p w:rsidR="004321FA" w:rsidRPr="007D562F" w:rsidRDefault="004321FA" w:rsidP="007D562F">
      <w:pPr>
        <w:pStyle w:val="Heading5"/>
      </w:pPr>
      <w:r w:rsidRPr="00D44977">
        <w:t>Sponsor’s response</w:t>
      </w:r>
    </w:p>
    <w:p w:rsidR="00F779C9" w:rsidRDefault="004321FA" w:rsidP="007D562F">
      <w:r w:rsidRPr="00D44977">
        <w:t>The sponsor does not agree with adding atrial fibrillation (AF) as an identified risk based on the information stated in the RMP. In the general population, the risk factors for AF include advancing age, European ancestry, body size, electrocardiography features like left ventricular hypertrophy, diabetes, hypertension, cardiovascular disease, hyperthyroidism, chronic kidney disease, heavy alcohol consumption, and family history (Go et al</w:t>
      </w:r>
      <w:r w:rsidR="0001091D">
        <w:t>.</w:t>
      </w:r>
      <w:r w:rsidRPr="00D44977">
        <w:t>, 2013</w:t>
      </w:r>
      <w:r w:rsidR="00117F25">
        <w:rPr>
          <w:rStyle w:val="FootnoteReference"/>
        </w:rPr>
        <w:footnoteReference w:id="21"/>
      </w:r>
      <w:r w:rsidRPr="00D44977">
        <w:t>). In the general practice setting in Australia, AF patients are disproportionately older and male (</w:t>
      </w:r>
      <w:proofErr w:type="spellStart"/>
      <w:r w:rsidRPr="00D44977">
        <w:t>Fahridin</w:t>
      </w:r>
      <w:proofErr w:type="spellEnd"/>
      <w:r w:rsidRPr="00D44977">
        <w:t xml:space="preserve"> et al</w:t>
      </w:r>
      <w:r w:rsidR="0001091D">
        <w:t>.</w:t>
      </w:r>
      <w:r w:rsidRPr="00D44977">
        <w:t>, 2007</w:t>
      </w:r>
      <w:r w:rsidR="00117F25">
        <w:rPr>
          <w:rStyle w:val="FootnoteReference"/>
        </w:rPr>
        <w:footnoteReference w:id="22"/>
      </w:r>
      <w:r w:rsidRPr="00D44977">
        <w:t>). This observation is consist</w:t>
      </w:r>
      <w:r w:rsidR="007D562F">
        <w:t>ent with the inpatient setting.</w:t>
      </w:r>
    </w:p>
    <w:p w:rsidR="004321FA" w:rsidRPr="00D44977" w:rsidRDefault="004321FA" w:rsidP="007D562F">
      <w:r w:rsidRPr="00D44977">
        <w:t xml:space="preserve">Based on the analyses from Australian National Hospital Morbidity </w:t>
      </w:r>
      <w:r w:rsidR="00F779C9">
        <w:t>Dataset, the rates of hospitalis</w:t>
      </w:r>
      <w:r w:rsidRPr="00D44977">
        <w:t>ations with a principal diagnosis of AF were 140 per 10,000 males &gt; 80 years of age, 110 per 10,000 males 70 to 79 years of age, 75 per 10,000 males 60 to 69 years of age, and 35 per 10,000 males &lt; 60 years of age in 2007 (Wong et al</w:t>
      </w:r>
      <w:r w:rsidR="0001091D">
        <w:t>.</w:t>
      </w:r>
      <w:r w:rsidRPr="00D44977">
        <w:t>, 2012</w:t>
      </w:r>
      <w:r w:rsidR="00117F25">
        <w:rPr>
          <w:rStyle w:val="FootnoteReference"/>
        </w:rPr>
        <w:footnoteReference w:id="23"/>
      </w:r>
      <w:r w:rsidRPr="00D44977">
        <w:t xml:space="preserve">). Data from the rest of the world consistently show that the incidence rates of AF are higher </w:t>
      </w:r>
      <w:r w:rsidR="00F779C9">
        <w:t>in males and increase with age (</w:t>
      </w:r>
      <w:r w:rsidRPr="00D44977">
        <w:t>Jensen et al</w:t>
      </w:r>
      <w:r w:rsidR="0001091D">
        <w:t>.</w:t>
      </w:r>
      <w:r w:rsidRPr="00D44977">
        <w:t>, 2013</w:t>
      </w:r>
      <w:r w:rsidR="00117F25">
        <w:rPr>
          <w:rStyle w:val="FootnoteReference"/>
        </w:rPr>
        <w:footnoteReference w:id="24"/>
      </w:r>
      <w:r w:rsidRPr="00D44977">
        <w:t xml:space="preserve">; </w:t>
      </w:r>
      <w:proofErr w:type="spellStart"/>
      <w:r w:rsidRPr="00D44977">
        <w:t>Piccini</w:t>
      </w:r>
      <w:proofErr w:type="spellEnd"/>
      <w:r w:rsidRPr="00D44977">
        <w:t xml:space="preserve"> et al</w:t>
      </w:r>
      <w:r w:rsidR="0001091D">
        <w:t>.</w:t>
      </w:r>
      <w:r w:rsidRPr="00D44977">
        <w:t xml:space="preserve">, </w:t>
      </w:r>
      <w:r w:rsidR="00F779C9">
        <w:t>2012</w:t>
      </w:r>
      <w:r w:rsidR="00117F25">
        <w:rPr>
          <w:rStyle w:val="FootnoteReference"/>
        </w:rPr>
        <w:footnoteReference w:id="25"/>
      </w:r>
      <w:r w:rsidR="00F779C9">
        <w:t xml:space="preserve">; </w:t>
      </w:r>
      <w:proofErr w:type="spellStart"/>
      <w:r w:rsidR="00F779C9">
        <w:t>Stefansdottir</w:t>
      </w:r>
      <w:proofErr w:type="spellEnd"/>
      <w:r w:rsidR="00F779C9">
        <w:t xml:space="preserve"> et al</w:t>
      </w:r>
      <w:r w:rsidR="0001091D">
        <w:t>.</w:t>
      </w:r>
      <w:r w:rsidR="00F779C9">
        <w:t>, 2011</w:t>
      </w:r>
      <w:r w:rsidR="00117F25">
        <w:rPr>
          <w:rStyle w:val="FootnoteReference"/>
        </w:rPr>
        <w:footnoteReference w:id="26"/>
      </w:r>
      <w:r w:rsidR="00F779C9">
        <w:t>)</w:t>
      </w:r>
      <w:r w:rsidRPr="00D44977">
        <w:t>.</w:t>
      </w:r>
    </w:p>
    <w:p w:rsidR="00F779C9" w:rsidRDefault="004321FA" w:rsidP="007D562F">
      <w:r w:rsidRPr="00D44977">
        <w:t xml:space="preserve">Age is also a risk factor for </w:t>
      </w:r>
      <w:r w:rsidR="0001091D">
        <w:t xml:space="preserve">AF </w:t>
      </w:r>
      <w:r w:rsidR="00F779C9">
        <w:t>in the CRPC2 S</w:t>
      </w:r>
      <w:r w:rsidRPr="00D44977">
        <w:t>tudy population. The incidence</w:t>
      </w:r>
      <w:r w:rsidR="00FB180C" w:rsidRPr="00D44977">
        <w:t xml:space="preserve"> </w:t>
      </w:r>
      <w:r w:rsidRPr="00D44977">
        <w:t xml:space="preserve">rates of </w:t>
      </w:r>
      <w:r w:rsidR="0001091D">
        <w:t xml:space="preserve">AF </w:t>
      </w:r>
      <w:r w:rsidRPr="00D44977">
        <w:t>are higher in patients aged ≥ 75 years compared to patients aged</w:t>
      </w:r>
      <w:r w:rsidR="00FB180C" w:rsidRPr="00D44977">
        <w:t xml:space="preserve"> </w:t>
      </w:r>
      <w:r w:rsidRPr="00D44977">
        <w:t>&lt; 75 years in both the enzalutamide arm (2.5% v</w:t>
      </w:r>
      <w:r w:rsidR="00F779C9">
        <w:t>er</w:t>
      </w:r>
      <w:r w:rsidRPr="00D44977">
        <w:t>s</w:t>
      </w:r>
      <w:r w:rsidR="00F779C9">
        <w:t>us</w:t>
      </w:r>
      <w:r w:rsidRPr="00D44977">
        <w:t xml:space="preserve"> 0.7%) and the placebo arm (1.9% v</w:t>
      </w:r>
      <w:r w:rsidR="00F779C9">
        <w:t>ersu</w:t>
      </w:r>
      <w:r w:rsidRPr="00D44977">
        <w:t>s</w:t>
      </w:r>
      <w:r w:rsidR="00FB180C" w:rsidRPr="00D44977">
        <w:t xml:space="preserve"> </w:t>
      </w:r>
      <w:r w:rsidRPr="00D44977">
        <w:t>1.0%). Other known risk factors for AF were also common in patients treated with</w:t>
      </w:r>
      <w:r w:rsidR="00FB180C" w:rsidRPr="00D44977">
        <w:t xml:space="preserve"> </w:t>
      </w:r>
      <w:r w:rsidRPr="00D44977">
        <w:t>enzalutamide, such as history of cardiovascular disease (18.1%) and history of hypertension</w:t>
      </w:r>
      <w:r w:rsidR="00FB180C" w:rsidRPr="00D44977">
        <w:t xml:space="preserve"> </w:t>
      </w:r>
      <w:r w:rsidRPr="00D44977">
        <w:t xml:space="preserve">(55.5%). Overall, the incidence rate of treatment-emergent </w:t>
      </w:r>
      <w:r w:rsidR="0001091D">
        <w:t xml:space="preserve">AF </w:t>
      </w:r>
      <w:r w:rsidRPr="00D44977">
        <w:t>is lower in the enzalutamide arm compared to the placebo arm (1.1% v</w:t>
      </w:r>
      <w:r w:rsidR="00F779C9">
        <w:t>ersu</w:t>
      </w:r>
      <w:r w:rsidRPr="00D44977">
        <w:t xml:space="preserve">s 1.3%); thus, treatment-emergent </w:t>
      </w:r>
      <w:r w:rsidR="0001091D">
        <w:t xml:space="preserve">AF </w:t>
      </w:r>
      <w:r w:rsidRPr="00D44977">
        <w:t>is not a risk associat</w:t>
      </w:r>
      <w:r w:rsidR="007D562F">
        <w:t xml:space="preserve">ed with </w:t>
      </w:r>
      <w:proofErr w:type="spellStart"/>
      <w:r w:rsidR="007D562F">
        <w:t>enzalutamide</w:t>
      </w:r>
      <w:proofErr w:type="spellEnd"/>
      <w:r w:rsidR="007D562F">
        <w:t xml:space="preserve"> treatment.</w:t>
      </w:r>
    </w:p>
    <w:p w:rsidR="00F779C9" w:rsidRDefault="004321FA" w:rsidP="007D562F">
      <w:r w:rsidRPr="00D44977">
        <w:t>Of note, the majority</w:t>
      </w:r>
      <w:r w:rsidR="00FB180C" w:rsidRPr="00D44977">
        <w:t xml:space="preserve"> </w:t>
      </w:r>
      <w:r w:rsidRPr="00D44977">
        <w:t xml:space="preserve">of the reported treatment-emergent </w:t>
      </w:r>
      <w:r w:rsidR="0001091D">
        <w:t xml:space="preserve">AF </w:t>
      </w:r>
      <w:r w:rsidRPr="00D44977">
        <w:t>events were Grade 1 or 2 in both the</w:t>
      </w:r>
      <w:r w:rsidR="00FB180C" w:rsidRPr="00D44977">
        <w:t xml:space="preserve"> </w:t>
      </w:r>
      <w:r w:rsidRPr="00D44977">
        <w:t>enzalutamide arm (3 Grade 1, 4 Grade 2, 2 Grade 3) and the placebo arm (4 Grade 1, 1</w:t>
      </w:r>
      <w:r w:rsidR="00FB180C" w:rsidRPr="00D44977">
        <w:t xml:space="preserve"> </w:t>
      </w:r>
      <w:r w:rsidRPr="00D44977">
        <w:t>Grade 2). Furthermore, the incidence rate of all cardiac disorders is lower in the enzalutamide arm compared to the placebo arm (6.1% v</w:t>
      </w:r>
      <w:r w:rsidR="00F779C9">
        <w:t>ersu</w:t>
      </w:r>
      <w:r w:rsidR="007D562F">
        <w:t>s 7.5%).</w:t>
      </w:r>
    </w:p>
    <w:p w:rsidR="004321FA" w:rsidRPr="00D44977" w:rsidRDefault="004321FA" w:rsidP="007D562F">
      <w:r w:rsidRPr="00D44977">
        <w:t>In summary, data from the randomi</w:t>
      </w:r>
      <w:r w:rsidR="00F779C9">
        <w:t>s</w:t>
      </w:r>
      <w:r w:rsidRPr="00D44977">
        <w:t xml:space="preserve">ed </w:t>
      </w:r>
      <w:r w:rsidR="00F779C9">
        <w:t>P</w:t>
      </w:r>
      <w:r w:rsidRPr="00D44977">
        <w:t xml:space="preserve">hase </w:t>
      </w:r>
      <w:r w:rsidR="00F779C9">
        <w:t>III CRPC2 S</w:t>
      </w:r>
      <w:r w:rsidRPr="00D44977">
        <w:t xml:space="preserve">tudy do not support adding </w:t>
      </w:r>
      <w:r w:rsidR="0001091D">
        <w:t xml:space="preserve">AF </w:t>
      </w:r>
      <w:r w:rsidRPr="00D44977">
        <w:t>as an identified risk for enzalutamide.</w:t>
      </w:r>
    </w:p>
    <w:p w:rsidR="004321FA" w:rsidRPr="007D562F" w:rsidRDefault="004321FA" w:rsidP="007D562F">
      <w:pPr>
        <w:pStyle w:val="Heading5"/>
      </w:pPr>
      <w:r w:rsidRPr="00D44977">
        <w:lastRenderedPageBreak/>
        <w:t>OPR evaluator</w:t>
      </w:r>
      <w:r w:rsidR="007D562F">
        <w:t>’s comment</w:t>
      </w:r>
    </w:p>
    <w:p w:rsidR="004321FA" w:rsidRPr="00D44977" w:rsidRDefault="004321FA" w:rsidP="007D562F">
      <w:r w:rsidRPr="00D44977">
        <w:t>This is acceptable.</w:t>
      </w:r>
    </w:p>
    <w:p w:rsidR="00FB180C" w:rsidRPr="00D44977" w:rsidRDefault="00FB180C" w:rsidP="007D562F">
      <w:pPr>
        <w:pStyle w:val="Heading5"/>
      </w:pPr>
      <w:r w:rsidRPr="00D44977">
        <w:t>Recommendation in RMP evaluation report</w:t>
      </w:r>
    </w:p>
    <w:p w:rsidR="00FB180C" w:rsidRPr="00D44977" w:rsidRDefault="00FB180C" w:rsidP="007D562F">
      <w:r w:rsidRPr="00D44977">
        <w:t>It is recommended that the sponsor provide the full study protocol</w:t>
      </w:r>
      <w:r w:rsidR="00F779C9">
        <w:t xml:space="preserve"> for the </w:t>
      </w:r>
      <w:r w:rsidR="00F779C9" w:rsidRPr="007D562F">
        <w:rPr>
          <w:i/>
        </w:rPr>
        <w:t xml:space="preserve">“post-authorisation efficacy study to collect data on the efficacy and safety of enzalutamide in patients with metastatic castration-resistant prostate cancer previously treated with </w:t>
      </w:r>
      <w:proofErr w:type="spellStart"/>
      <w:r w:rsidR="00F779C9" w:rsidRPr="007D562F">
        <w:rPr>
          <w:i/>
        </w:rPr>
        <w:t>abiraterone</w:t>
      </w:r>
      <w:proofErr w:type="spellEnd"/>
      <w:r w:rsidR="00F779C9" w:rsidRPr="007D562F">
        <w:rPr>
          <w:i/>
        </w:rPr>
        <w:t xml:space="preserve"> acetate”.</w:t>
      </w:r>
    </w:p>
    <w:p w:rsidR="00FB180C" w:rsidRPr="007D562F" w:rsidRDefault="00FB180C" w:rsidP="007D562F">
      <w:pPr>
        <w:pStyle w:val="Heading5"/>
      </w:pPr>
      <w:r w:rsidRPr="00D44977">
        <w:t>Sponsor’s response</w:t>
      </w:r>
    </w:p>
    <w:p w:rsidR="00FB180C" w:rsidRPr="00D44977" w:rsidRDefault="00FB180C" w:rsidP="007D562F">
      <w:r w:rsidRPr="00D44977">
        <w:t xml:space="preserve">A copy of the requested Study 9875-CL-0410 Protocol </w:t>
      </w:r>
      <w:r w:rsidR="00F779C9">
        <w:t>i</w:t>
      </w:r>
      <w:r w:rsidRPr="00D44977">
        <w:t>s provided.</w:t>
      </w:r>
    </w:p>
    <w:p w:rsidR="004321FA" w:rsidRPr="00D44977" w:rsidRDefault="004321FA" w:rsidP="007D562F">
      <w:pPr>
        <w:pStyle w:val="Heading5"/>
      </w:pPr>
      <w:r w:rsidRPr="00D44977">
        <w:t xml:space="preserve">OPR evaluator’s </w:t>
      </w:r>
      <w:r w:rsidRPr="007D562F">
        <w:t>comment</w:t>
      </w:r>
    </w:p>
    <w:p w:rsidR="004321FA" w:rsidRPr="00D44977" w:rsidRDefault="004321FA" w:rsidP="007D562F">
      <w:r w:rsidRPr="00D44977">
        <w:t>This is acceptable.</w:t>
      </w:r>
    </w:p>
    <w:p w:rsidR="00FB180C" w:rsidRPr="00D44977" w:rsidRDefault="00FB180C" w:rsidP="007D562F">
      <w:pPr>
        <w:pStyle w:val="Heading5"/>
      </w:pPr>
      <w:r w:rsidRPr="00D44977">
        <w:t>Recommendation in RMP evaluation report</w:t>
      </w:r>
    </w:p>
    <w:p w:rsidR="00FB180C" w:rsidRPr="00D44977" w:rsidRDefault="00FB180C" w:rsidP="007D562F">
      <w:r w:rsidRPr="00D44977">
        <w:t>Subject to the review of the full study protocol, the pharmacovigilance plan does not appear adequate to further elucidate the ongoing safety concerns associated with enzalutami</w:t>
      </w:r>
      <w:r w:rsidR="00F779C9">
        <w:t>de. It is recommended that the s</w:t>
      </w:r>
      <w:r w:rsidRPr="00D44977">
        <w:t>ponsor consider an Australian safety study or registry. It is anticipated that advice will be sought from the A</w:t>
      </w:r>
      <w:r w:rsidR="00F779C9">
        <w:t xml:space="preserve">dvisory </w:t>
      </w:r>
      <w:r w:rsidRPr="00D44977">
        <w:t>C</w:t>
      </w:r>
      <w:r w:rsidR="00F779C9">
        <w:t xml:space="preserve">ommittee on the </w:t>
      </w:r>
      <w:r w:rsidRPr="00D44977">
        <w:t>S</w:t>
      </w:r>
      <w:r w:rsidR="00F779C9">
        <w:t xml:space="preserve">afety of Medicines (ACSOM) </w:t>
      </w:r>
      <w:r w:rsidRPr="00D44977">
        <w:t>regarding the adequacy of the pharmacovigilance plan and suggestion of an Australian based study.</w:t>
      </w:r>
    </w:p>
    <w:p w:rsidR="00FB180C" w:rsidRPr="007D562F" w:rsidRDefault="00FB180C" w:rsidP="007D562F">
      <w:pPr>
        <w:pStyle w:val="Heading5"/>
      </w:pPr>
      <w:r w:rsidRPr="00D44977">
        <w:t>Sponsor’s response</w:t>
      </w:r>
    </w:p>
    <w:p w:rsidR="00FB180C" w:rsidRPr="00D44977" w:rsidRDefault="00F779C9" w:rsidP="007D562F">
      <w:r>
        <w:t>The s</w:t>
      </w:r>
      <w:r w:rsidR="00FB180C" w:rsidRPr="00D44977">
        <w:t>ponsor has completed 2 clinical trials with enzalutamide in Australia at 39 sites in</w:t>
      </w:r>
      <w:r w:rsidR="00AD30DF" w:rsidRPr="00D44977">
        <w:t xml:space="preserve"> </w:t>
      </w:r>
      <w:r w:rsidR="00FB180C" w:rsidRPr="00D44977">
        <w:t>325 patients. There are currently 2 studies enrolling patients in Australia, with a total of</w:t>
      </w:r>
      <w:r w:rsidR="00AD30DF" w:rsidRPr="00D44977">
        <w:t xml:space="preserve"> </w:t>
      </w:r>
      <w:r w:rsidR="00FB180C" w:rsidRPr="00D44977">
        <w:t>32 sites and pla</w:t>
      </w:r>
      <w:r>
        <w:t>nned enrollment of 172 patients</w:t>
      </w:r>
      <w:r w:rsidR="00FB180C" w:rsidRPr="00D44977">
        <w:t>. Due to this significant</w:t>
      </w:r>
      <w:r w:rsidR="00AD30DF" w:rsidRPr="00D44977">
        <w:t xml:space="preserve"> </w:t>
      </w:r>
      <w:r w:rsidR="00FB180C" w:rsidRPr="00D44977">
        <w:t>participation by Australian patients and the similar racial group demographic between</w:t>
      </w:r>
      <w:r w:rsidR="00AD30DF" w:rsidRPr="00D44977">
        <w:t xml:space="preserve"> </w:t>
      </w:r>
      <w:r>
        <w:t>Australia and the US, the s</w:t>
      </w:r>
      <w:r w:rsidR="00FB180C" w:rsidRPr="00D44977">
        <w:t>ponsor does not believe that an Austr</w:t>
      </w:r>
      <w:r w:rsidR="007D562F">
        <w:t>alian based study is warranted.</w:t>
      </w:r>
    </w:p>
    <w:p w:rsidR="00FB180C" w:rsidRPr="007D562F" w:rsidRDefault="007D562F" w:rsidP="007D562F">
      <w:pPr>
        <w:pStyle w:val="Heading5"/>
      </w:pPr>
      <w:r>
        <w:t>OPR evaluator’s comment</w:t>
      </w:r>
    </w:p>
    <w:p w:rsidR="00FB180C" w:rsidRPr="00D44977" w:rsidRDefault="00FB180C" w:rsidP="007D562F">
      <w:r w:rsidRPr="00D44977">
        <w:t>This is acceptable</w:t>
      </w:r>
      <w:r w:rsidR="007D562F">
        <w:t>.</w:t>
      </w:r>
    </w:p>
    <w:p w:rsidR="00AD30DF" w:rsidRPr="00D44977" w:rsidRDefault="00AD30DF" w:rsidP="007D562F">
      <w:pPr>
        <w:pStyle w:val="Heading5"/>
      </w:pPr>
      <w:r w:rsidRPr="00D44977">
        <w:t>Recommendation in RMP evaluation report</w:t>
      </w:r>
    </w:p>
    <w:p w:rsidR="00AD30DF" w:rsidRPr="00D44977" w:rsidRDefault="00F779C9" w:rsidP="007D562F">
      <w:r>
        <w:t>The s</w:t>
      </w:r>
      <w:r w:rsidR="00AD30DF" w:rsidRPr="00D44977">
        <w:t xml:space="preserve">ponsor should update </w:t>
      </w:r>
      <w:r>
        <w:t xml:space="preserve">RMP </w:t>
      </w:r>
      <w:r w:rsidR="00AD30DF" w:rsidRPr="00D44977">
        <w:t>sections III.4.1 and III.4.2 with the post marketing requirement requests from the FDA.</w:t>
      </w:r>
    </w:p>
    <w:p w:rsidR="00AD30DF" w:rsidRPr="00D44977" w:rsidRDefault="00AD30DF" w:rsidP="007D562F">
      <w:pPr>
        <w:pStyle w:val="Heading5"/>
      </w:pPr>
      <w:r w:rsidRPr="00D44977">
        <w:t xml:space="preserve">Sponsor’s </w:t>
      </w:r>
      <w:r w:rsidRPr="007D562F">
        <w:t>response</w:t>
      </w:r>
    </w:p>
    <w:p w:rsidR="00AD30DF" w:rsidRPr="00D44977" w:rsidRDefault="00F779C9" w:rsidP="007D562F">
      <w:r>
        <w:t>The s</w:t>
      </w:r>
      <w:r w:rsidR="00AD30DF" w:rsidRPr="00D44977">
        <w:t>ponsor agrees to include the following information</w:t>
      </w:r>
      <w:r w:rsidR="0001091D">
        <w:t xml:space="preserve"> [reproduced in part]</w:t>
      </w:r>
      <w:r w:rsidR="00AD30DF" w:rsidRPr="00D44977">
        <w:t>:</w:t>
      </w:r>
    </w:p>
    <w:p w:rsidR="00AD30DF" w:rsidRPr="00D44977" w:rsidRDefault="00AD30DF" w:rsidP="007D562F">
      <w:r w:rsidRPr="00D44977">
        <w:t>III.4.1 Imposed Mandatory Additional Pharmacovigilance Activity</w:t>
      </w:r>
      <w:r w:rsidR="00BB5490">
        <w:t xml:space="preserve">, and </w:t>
      </w:r>
      <w:r w:rsidRPr="00BB5490">
        <w:t>III.4.2 Mandatory Additional Pharmacovigilance Activity</w:t>
      </w:r>
      <w:r w:rsidR="00BB5490">
        <w:t>:</w:t>
      </w:r>
    </w:p>
    <w:p w:rsidR="00AD30DF" w:rsidRPr="00D44977" w:rsidRDefault="00AD30DF" w:rsidP="007D562F">
      <w:pPr>
        <w:pStyle w:val="ListBullet"/>
      </w:pPr>
      <w:r w:rsidRPr="00D44977">
        <w:t>Perform an in vitro screen to determine if N-</w:t>
      </w:r>
      <w:proofErr w:type="spellStart"/>
      <w:r w:rsidRPr="00D44977">
        <w:t>des</w:t>
      </w:r>
      <w:r w:rsidR="00F779C9">
        <w:t>methyl</w:t>
      </w:r>
      <w:proofErr w:type="spellEnd"/>
      <w:r w:rsidR="00F779C9">
        <w:t xml:space="preserve"> </w:t>
      </w:r>
      <w:proofErr w:type="spellStart"/>
      <w:r w:rsidR="00F779C9">
        <w:t>enzalutamide</w:t>
      </w:r>
      <w:proofErr w:type="spellEnd"/>
      <w:r w:rsidR="00F779C9">
        <w:t xml:space="preserve"> is metabolis</w:t>
      </w:r>
      <w:r w:rsidRPr="00D44977">
        <w:t xml:space="preserve">ed by the major human CYP450 </w:t>
      </w:r>
      <w:proofErr w:type="spellStart"/>
      <w:r w:rsidRPr="00D44977">
        <w:t>isozymes</w:t>
      </w:r>
      <w:proofErr w:type="spellEnd"/>
      <w:r w:rsidRPr="00D44977">
        <w:t>. Based on results from the in vitro screen, clinical drug-drug interaction trials may be needed.</w:t>
      </w:r>
    </w:p>
    <w:p w:rsidR="00F779C9" w:rsidRDefault="00AD30DF" w:rsidP="007D562F">
      <w:pPr>
        <w:pStyle w:val="ListBullet"/>
      </w:pPr>
      <w:r w:rsidRPr="00D44977">
        <w:t>Convene a panel of experts in oncology and neurology to obtain recommendations regarding which patients, if any, who were excluded from the random</w:t>
      </w:r>
      <w:r w:rsidR="00F779C9">
        <w:t>is</w:t>
      </w:r>
      <w:r w:rsidRPr="00D44977">
        <w:t>ed clinical trial because of increased risk of seizure should be evaluated in a post</w:t>
      </w:r>
      <w:r w:rsidR="00504E7F">
        <w:t xml:space="preserve"> </w:t>
      </w:r>
      <w:r w:rsidRPr="00D44977">
        <w:t>marketing safety trial. Following the panel's recommendations, conduct a single-arm safety trial to assess the risk of seizure with enzalutamide 160 mg/day in at least 350 patients with metastatic castrate-resistant prostate cancer who are</w:t>
      </w:r>
      <w:r w:rsidR="007D562F">
        <w:t xml:space="preserve"> at increased risk for seizure.</w:t>
      </w:r>
    </w:p>
    <w:p w:rsidR="00AD30DF" w:rsidRPr="00D44977" w:rsidRDefault="00AD30DF" w:rsidP="007D562F">
      <w:pPr>
        <w:pStyle w:val="ListBullet"/>
      </w:pPr>
      <w:r w:rsidRPr="00D44977">
        <w:lastRenderedPageBreak/>
        <w:t>Conduct a clinical trial in patients with normal hepatic function and patients with</w:t>
      </w:r>
      <w:r w:rsidR="00F779C9">
        <w:t xml:space="preserve"> </w:t>
      </w:r>
      <w:r w:rsidRPr="00D44977">
        <w:t>pre</w:t>
      </w:r>
      <w:r w:rsidR="00F779C9">
        <w:t>-</w:t>
      </w:r>
      <w:r w:rsidRPr="00D44977">
        <w:t>existing severe hepatic impairment to assess the effect of severe hepatic impairment</w:t>
      </w:r>
      <w:r w:rsidR="00F779C9">
        <w:t xml:space="preserve"> </w:t>
      </w:r>
      <w:r w:rsidRPr="00D44977">
        <w:t xml:space="preserve">on the </w:t>
      </w:r>
      <w:r w:rsidR="00AA61AD">
        <w:t>PK</w:t>
      </w:r>
      <w:r w:rsidRPr="00D44977">
        <w:t xml:space="preserve"> of </w:t>
      </w:r>
      <w:proofErr w:type="spellStart"/>
      <w:r w:rsidRPr="00D44977">
        <w:t>enzalutamide</w:t>
      </w:r>
      <w:proofErr w:type="spellEnd"/>
      <w:r w:rsidRPr="00D44977">
        <w:t xml:space="preserve"> and N-</w:t>
      </w:r>
      <w:proofErr w:type="spellStart"/>
      <w:r w:rsidRPr="00D44977">
        <w:t>desmethyl</w:t>
      </w:r>
      <w:proofErr w:type="spellEnd"/>
      <w:r w:rsidRPr="00D44977">
        <w:t xml:space="preserve"> </w:t>
      </w:r>
      <w:proofErr w:type="spellStart"/>
      <w:r w:rsidRPr="00D44977">
        <w:t>enzalutamide</w:t>
      </w:r>
      <w:proofErr w:type="spellEnd"/>
      <w:r w:rsidRPr="00D44977">
        <w:t>.</w:t>
      </w:r>
    </w:p>
    <w:p w:rsidR="00AD30DF" w:rsidRPr="00D44977" w:rsidRDefault="00AD30DF" w:rsidP="00F779C9">
      <w:pPr>
        <w:pStyle w:val="ListBullet"/>
      </w:pPr>
      <w:r w:rsidRPr="00D44977">
        <w:t xml:space="preserve">Conduct a drug interaction trial to evaluate the effect of </w:t>
      </w:r>
      <w:proofErr w:type="spellStart"/>
      <w:r w:rsidRPr="00D44977">
        <w:t>rifampin</w:t>
      </w:r>
      <w:proofErr w:type="spellEnd"/>
      <w:r w:rsidRPr="00D44977">
        <w:t xml:space="preserve"> (a strong CYP3A</w:t>
      </w:r>
      <w:r w:rsidR="00F779C9">
        <w:t xml:space="preserve"> </w:t>
      </w:r>
      <w:r w:rsidRPr="00D44977">
        <w:t xml:space="preserve">inducer and a moderate CYP2C8 inducer) on the </w:t>
      </w:r>
      <w:r w:rsidR="00AA61AD">
        <w:t>PK</w:t>
      </w:r>
      <w:r w:rsidR="00F779C9">
        <w:t xml:space="preserve"> </w:t>
      </w:r>
      <w:r w:rsidRPr="00D44977">
        <w:t xml:space="preserve">of </w:t>
      </w:r>
      <w:proofErr w:type="spellStart"/>
      <w:r w:rsidRPr="00D44977">
        <w:t>enzalutamide</w:t>
      </w:r>
      <w:proofErr w:type="spellEnd"/>
      <w:r w:rsidRPr="00D44977">
        <w:t xml:space="preserve"> and</w:t>
      </w:r>
      <w:r w:rsidR="00F779C9">
        <w:t xml:space="preserve"> </w:t>
      </w:r>
      <w:r w:rsidRPr="00D44977">
        <w:t>N-</w:t>
      </w:r>
      <w:proofErr w:type="spellStart"/>
      <w:r w:rsidRPr="00D44977">
        <w:t>desmethyl</w:t>
      </w:r>
      <w:proofErr w:type="spellEnd"/>
      <w:r w:rsidRPr="00D44977">
        <w:t xml:space="preserve"> </w:t>
      </w:r>
      <w:proofErr w:type="spellStart"/>
      <w:r w:rsidRPr="00D44977">
        <w:t>enzalutamide</w:t>
      </w:r>
      <w:proofErr w:type="spellEnd"/>
      <w:r w:rsidRPr="00D44977">
        <w:t>.</w:t>
      </w:r>
    </w:p>
    <w:p w:rsidR="00AD30DF" w:rsidRPr="00D44977" w:rsidRDefault="00AD30DF" w:rsidP="007D562F">
      <w:pPr>
        <w:pStyle w:val="ListBullet"/>
      </w:pPr>
      <w:r w:rsidRPr="00D44977">
        <w:t xml:space="preserve">Conduct a drug interaction trial to evaluate the effect of </w:t>
      </w:r>
      <w:proofErr w:type="spellStart"/>
      <w:r w:rsidRPr="007D562F">
        <w:t>enzalutamide</w:t>
      </w:r>
      <w:proofErr w:type="spellEnd"/>
      <w:r w:rsidRPr="00D44977">
        <w:t xml:space="preserve"> at steady state on the </w:t>
      </w:r>
      <w:r w:rsidR="00F779C9">
        <w:t xml:space="preserve">PK </w:t>
      </w:r>
      <w:r w:rsidRPr="00D44977">
        <w:t>of CYP2D6 substrates.</w:t>
      </w:r>
    </w:p>
    <w:p w:rsidR="00AD30DF" w:rsidRPr="00D44977" w:rsidRDefault="00AD30DF" w:rsidP="007D562F">
      <w:pPr>
        <w:pStyle w:val="ListBullet"/>
      </w:pPr>
      <w:r w:rsidRPr="00D44977">
        <w:t xml:space="preserve">Conduct a drug interaction trial to evaluate the effect of enzalutamide at steady state on the </w:t>
      </w:r>
      <w:r w:rsidR="00F779C9">
        <w:t xml:space="preserve">PK </w:t>
      </w:r>
      <w:r w:rsidRPr="00D44977">
        <w:t>of CYP1A2 substrates.</w:t>
      </w:r>
    </w:p>
    <w:p w:rsidR="00AD30DF" w:rsidRPr="007D562F" w:rsidRDefault="007D562F" w:rsidP="007D562F">
      <w:pPr>
        <w:pStyle w:val="Heading5"/>
      </w:pPr>
      <w:r>
        <w:t>OPR evaluator’s comment</w:t>
      </w:r>
    </w:p>
    <w:p w:rsidR="00AD30DF" w:rsidRPr="00D44977" w:rsidRDefault="00AD30DF" w:rsidP="007D562F">
      <w:r w:rsidRPr="00D44977">
        <w:t>This is acceptable.</w:t>
      </w:r>
    </w:p>
    <w:p w:rsidR="00D44977" w:rsidRPr="00D44977" w:rsidRDefault="00D44977" w:rsidP="007D562F">
      <w:pPr>
        <w:pStyle w:val="Heading5"/>
      </w:pPr>
      <w:r w:rsidRPr="00D44977">
        <w:t>Recommendation in RMP evaluation report</w:t>
      </w:r>
    </w:p>
    <w:p w:rsidR="00EE12F4" w:rsidRPr="00EE12F4" w:rsidRDefault="00BB5490" w:rsidP="007D562F">
      <w:r>
        <w:t xml:space="preserve">Recommendations were made in relation to revisions to product literature (PI and Consumer Medicine Information, CMI) with regards to </w:t>
      </w:r>
      <w:r w:rsidR="00D44977" w:rsidRPr="00D44977">
        <w:t>proposed routine risk minimisation activities</w:t>
      </w:r>
      <w:r>
        <w:t xml:space="preserve">. Details of these are </w:t>
      </w:r>
      <w:r w:rsidR="007D562F">
        <w:t xml:space="preserve">beyond the scope of the </w:t>
      </w:r>
      <w:proofErr w:type="spellStart"/>
      <w:r w:rsidR="007D562F">
        <w:t>AusPAR</w:t>
      </w:r>
      <w:proofErr w:type="spellEnd"/>
      <w:r w:rsidR="007D562F">
        <w:t>.</w:t>
      </w:r>
    </w:p>
    <w:p w:rsidR="008E7846" w:rsidRPr="00BE69ED" w:rsidRDefault="00BE69ED" w:rsidP="007D562F">
      <w:pPr>
        <w:pStyle w:val="Heading3"/>
      </w:pPr>
      <w:bookmarkStart w:id="149" w:name="_Toc408300852"/>
      <w:r>
        <w:rPr>
          <w:lang w:eastAsia="en-AU"/>
        </w:rPr>
        <w:t xml:space="preserve">Summary and </w:t>
      </w:r>
      <w:r w:rsidR="003A7F6C" w:rsidRPr="007D562F">
        <w:t>r</w:t>
      </w:r>
      <w:r w:rsidR="008E7846" w:rsidRPr="007D562F">
        <w:t>ecommendations</w:t>
      </w:r>
      <w:bookmarkEnd w:id="149"/>
    </w:p>
    <w:p w:rsidR="00BE69ED" w:rsidRPr="007D562F" w:rsidRDefault="00BE69ED" w:rsidP="007D562F">
      <w:pPr>
        <w:pStyle w:val="Heading4"/>
      </w:pPr>
      <w:r w:rsidRPr="00BE69ED">
        <w:t>Outstanding issues</w:t>
      </w:r>
    </w:p>
    <w:p w:rsidR="00BE69ED" w:rsidRPr="00BE69ED" w:rsidRDefault="00BE69ED" w:rsidP="007D562F">
      <w:r w:rsidRPr="00BE69ED">
        <w:t>There are no outstanding issues in relation to the RMP for this submission.</w:t>
      </w:r>
    </w:p>
    <w:p w:rsidR="00BE69ED" w:rsidRPr="00BE69ED" w:rsidRDefault="00BE69ED" w:rsidP="007D562F">
      <w:pPr>
        <w:pStyle w:val="Heading4"/>
      </w:pPr>
      <w:r w:rsidRPr="00BE69ED">
        <w:t xml:space="preserve">Advice from the Advisory </w:t>
      </w:r>
      <w:r w:rsidRPr="007D562F">
        <w:t>Committee</w:t>
      </w:r>
      <w:r w:rsidRPr="00BE69ED">
        <w:t xml:space="preserve"> on the Safety of Medicines (ACSOM)</w:t>
      </w:r>
    </w:p>
    <w:p w:rsidR="00BE69ED" w:rsidRPr="0001091D" w:rsidRDefault="00BE69ED" w:rsidP="007D562F">
      <w:r w:rsidRPr="0001091D">
        <w:t>Ratified advice from the ACSOM Meeting Number 21 was pending and would be provided to the Delegate prior to this application being finalised.</w:t>
      </w:r>
    </w:p>
    <w:p w:rsidR="00BE69ED" w:rsidRPr="00BE69ED" w:rsidRDefault="00BE69ED" w:rsidP="007D562F">
      <w:pPr>
        <w:pStyle w:val="Heading4"/>
      </w:pPr>
      <w:r w:rsidRPr="00BE69ED">
        <w:t xml:space="preserve">Comments on the safety </w:t>
      </w:r>
      <w:r w:rsidRPr="007D562F">
        <w:t>specification</w:t>
      </w:r>
      <w:r w:rsidRPr="00BE69ED">
        <w:t xml:space="preserve"> of the RMP</w:t>
      </w:r>
    </w:p>
    <w:p w:rsidR="00BE69ED" w:rsidRPr="007D562F" w:rsidRDefault="00BE69ED" w:rsidP="007D562F">
      <w:pPr>
        <w:pStyle w:val="Heading5"/>
      </w:pPr>
      <w:r>
        <w:t>Clinical e</w:t>
      </w:r>
      <w:r w:rsidRPr="00BE69ED">
        <w:t xml:space="preserve">valuation </w:t>
      </w:r>
      <w:r>
        <w:t>r</w:t>
      </w:r>
      <w:r w:rsidR="007D562F">
        <w:t>eport</w:t>
      </w:r>
    </w:p>
    <w:p w:rsidR="00BE69ED" w:rsidRPr="00BE69ED" w:rsidRDefault="00BE69ED" w:rsidP="007D562F">
      <w:r w:rsidRPr="00BE69ED">
        <w:t xml:space="preserve">The clinical evaluator made the following statement regarding the safety specification of the RMP: </w:t>
      </w:r>
      <w:r w:rsidRPr="00BE69ED">
        <w:rPr>
          <w:i/>
        </w:rPr>
        <w:t>“The Safety Specification in the draft Risk Management Plan is satisfactory.”</w:t>
      </w:r>
    </w:p>
    <w:p w:rsidR="00BE69ED" w:rsidRPr="007D562F" w:rsidRDefault="007469B4" w:rsidP="007D562F">
      <w:pPr>
        <w:pStyle w:val="Heading5"/>
      </w:pPr>
      <w:r>
        <w:t>Nonclinical evaluation r</w:t>
      </w:r>
      <w:r w:rsidR="007D562F">
        <w:t>eport</w:t>
      </w:r>
    </w:p>
    <w:p w:rsidR="00BE69ED" w:rsidRPr="00BE69ED" w:rsidRDefault="00BE69ED" w:rsidP="007D562F">
      <w:r w:rsidRPr="00BE69ED">
        <w:t>The n</w:t>
      </w:r>
      <w:r w:rsidR="00004B9E">
        <w:t>on</w:t>
      </w:r>
      <w:r w:rsidRPr="00BE69ED">
        <w:t>clinical evaluator made the following comment on the safety specification of the</w:t>
      </w:r>
      <w:r w:rsidR="007D562F">
        <w:t xml:space="preserve"> RMP in the first round report:</w:t>
      </w:r>
    </w:p>
    <w:p w:rsidR="00BE69ED" w:rsidRPr="00BE69ED" w:rsidRDefault="00BE69ED" w:rsidP="007D562F">
      <w:r w:rsidRPr="00BE69ED">
        <w:t>Ther</w:t>
      </w:r>
      <w:r w:rsidR="007469B4">
        <w:t xml:space="preserve">e are some notable differences </w:t>
      </w:r>
      <w:r w:rsidRPr="00BE69ED">
        <w:t>in the interpretation of the toxicity data for enzalutamide between the TGA nonclinical evaluator and the results and conclusions detailed in the sponsor’s draft R</w:t>
      </w:r>
      <w:r w:rsidR="00004B9E">
        <w:t>MP</w:t>
      </w:r>
      <w:r w:rsidR="007D562F">
        <w:t>.</w:t>
      </w:r>
    </w:p>
    <w:p w:rsidR="00BE69ED" w:rsidRPr="00BE69ED" w:rsidRDefault="00BE69ED" w:rsidP="007D562F">
      <w:pPr>
        <w:pStyle w:val="ListBullet"/>
      </w:pPr>
      <w:r w:rsidRPr="00BE69ED">
        <w:t xml:space="preserve">In contrast to what is stated in </w:t>
      </w:r>
      <w:r w:rsidRPr="007D562F">
        <w:t>the</w:t>
      </w:r>
      <w:r w:rsidRPr="00BE69ED">
        <w:t xml:space="preserve"> </w:t>
      </w:r>
      <w:r w:rsidRPr="003E4F36">
        <w:rPr>
          <w:i/>
        </w:rPr>
        <w:t>Nonclinical Safety Specification</w:t>
      </w:r>
      <w:r w:rsidRPr="00BE69ED">
        <w:t>, some inhibition of OATP1B1 by M1 was seen at clinic</w:t>
      </w:r>
      <w:r w:rsidR="003E4F36">
        <w:t xml:space="preserve">ally </w:t>
      </w:r>
      <w:r w:rsidRPr="00BE69ED">
        <w:t xml:space="preserve">relevant concentrations and interactions involving this transporter cannot be excluded. The </w:t>
      </w:r>
      <w:r w:rsidRPr="003E4F36">
        <w:rPr>
          <w:i/>
        </w:rPr>
        <w:t>Nonclinical Safety Specification</w:t>
      </w:r>
      <w:r w:rsidRPr="00BE69ED">
        <w:t xml:space="preserve"> should be amended to reflect this.</w:t>
      </w:r>
    </w:p>
    <w:p w:rsidR="00BE69ED" w:rsidRPr="00BE69ED" w:rsidRDefault="00BE69ED" w:rsidP="007D562F">
      <w:pPr>
        <w:pStyle w:val="ListBullet"/>
      </w:pPr>
      <w:r w:rsidRPr="00BE69ED">
        <w:t xml:space="preserve">In Section SII.1.2. </w:t>
      </w:r>
      <w:r w:rsidRPr="007A3DD9">
        <w:t>Pro-convulsive Potential</w:t>
      </w:r>
      <w:r w:rsidRPr="00BE69ED">
        <w:t xml:space="preserve">, it is stated </w:t>
      </w:r>
      <w:r w:rsidRPr="007D562F">
        <w:rPr>
          <w:i/>
        </w:rPr>
        <w:t>“enzalutamide causes dose-dependent convulsions in mice. The plasma exposures (Cmax and AUC</w:t>
      </w:r>
      <w:r w:rsidRPr="007D562F">
        <w:rPr>
          <w:i/>
          <w:vertAlign w:val="subscript"/>
        </w:rPr>
        <w:t>24h</w:t>
      </w:r>
      <w:r w:rsidRPr="007D562F">
        <w:rPr>
          <w:i/>
        </w:rPr>
        <w:t>) for doses that are associated with convulsions in mi</w:t>
      </w:r>
      <w:r w:rsidR="007A3DD9" w:rsidRPr="007D562F">
        <w:rPr>
          <w:i/>
        </w:rPr>
        <w:t xml:space="preserve">ce (200 mg/kg) are at least 3.3 </w:t>
      </w:r>
      <w:r w:rsidRPr="007D562F">
        <w:rPr>
          <w:i/>
        </w:rPr>
        <w:t>fold higher than plasma exposures in patients receiving 160 mg/day enzalutamide.”</w:t>
      </w:r>
      <w:r w:rsidRPr="00BE69ED">
        <w:t xml:space="preserve"> The safety margin </w:t>
      </w:r>
      <w:r w:rsidRPr="00BE69ED">
        <w:lastRenderedPageBreak/>
        <w:t>for conv</w:t>
      </w:r>
      <w:r w:rsidR="003E4F36">
        <w:t>ulsions is over</w:t>
      </w:r>
      <w:r w:rsidRPr="00BE69ED">
        <w:t>stated. The minimum plasma concentrations of enzalutamide and M2 in mice with convulsions were similar to the clinical Cmax value of enzalutamide and 50% of the clinical Cmax of M2. The text</w:t>
      </w:r>
      <w:r w:rsidR="003E4F36">
        <w:t xml:space="preserve"> should be amended accordingly.</w:t>
      </w:r>
    </w:p>
    <w:p w:rsidR="00BE69ED" w:rsidRPr="00BE69ED" w:rsidRDefault="00BE69ED" w:rsidP="007D562F">
      <w:r w:rsidRPr="00BE69ED">
        <w:t xml:space="preserve">The </w:t>
      </w:r>
      <w:r w:rsidR="007A3DD9">
        <w:t>s</w:t>
      </w:r>
      <w:r w:rsidRPr="00BE69ED">
        <w:t>ponsor acknowledged that an interaction at OATP1B1 cannot be dismissed and modified the Nonclinical Safety Specif</w:t>
      </w:r>
      <w:r w:rsidR="007D562F">
        <w:t>ication of the RMP accordingly.</w:t>
      </w:r>
    </w:p>
    <w:p w:rsidR="00BE69ED" w:rsidRPr="00BE69ED" w:rsidRDefault="007A3DD9" w:rsidP="00BE69ED">
      <w:r>
        <w:t xml:space="preserve">With regard to </w:t>
      </w:r>
      <w:r w:rsidR="00BE69ED" w:rsidRPr="007A3DD9">
        <w:rPr>
          <w:i/>
        </w:rPr>
        <w:t>Pro-convulsive Potential</w:t>
      </w:r>
      <w:r>
        <w:t xml:space="preserve">, </w:t>
      </w:r>
      <w:r w:rsidR="000062E4">
        <w:t>t</w:t>
      </w:r>
      <w:r w:rsidR="00BE69ED" w:rsidRPr="00BE69ED">
        <w:t xml:space="preserve">he </w:t>
      </w:r>
      <w:r w:rsidR="000062E4">
        <w:t>s</w:t>
      </w:r>
      <w:r w:rsidR="00BE69ED" w:rsidRPr="00BE69ED">
        <w:t>ponsor sta</w:t>
      </w:r>
      <w:r w:rsidR="002D210C">
        <w:t>ted</w:t>
      </w:r>
      <w:r w:rsidR="000062E4">
        <w:t xml:space="preserve"> that it is unclear how the n</w:t>
      </w:r>
      <w:r w:rsidR="00BE69ED" w:rsidRPr="00BE69ED">
        <w:t xml:space="preserve">onclinical </w:t>
      </w:r>
      <w:r w:rsidR="000062E4">
        <w:t>e</w:t>
      </w:r>
      <w:r w:rsidR="00BE69ED" w:rsidRPr="00BE69ED">
        <w:t xml:space="preserve">valuator came to the conclusion </w:t>
      </w:r>
      <w:r w:rsidR="00BE69ED" w:rsidRPr="000062E4">
        <w:rPr>
          <w:i/>
        </w:rPr>
        <w:t>“The minimum plasma concentrations of enzalutamide and M2 in mice with convulsions were similar to the clinical Cmax value of enzalutamide and 50% of the clinical Cmax of M2”</w:t>
      </w:r>
      <w:r w:rsidR="00BE69ED" w:rsidRPr="00BE69ED">
        <w:t xml:space="preserve">, claiming the exposure margin in the </w:t>
      </w:r>
      <w:r w:rsidR="00BE69ED" w:rsidRPr="000062E4">
        <w:rPr>
          <w:i/>
        </w:rPr>
        <w:t>Nonclinical Safety Specification</w:t>
      </w:r>
      <w:r w:rsidR="00BE69ED" w:rsidRPr="00BE69ED">
        <w:t xml:space="preserve"> (3.3 for enzalutamide and ≤</w:t>
      </w:r>
      <w:r w:rsidR="000062E4">
        <w:t xml:space="preserve"> </w:t>
      </w:r>
      <w:r w:rsidR="00BE69ED" w:rsidRPr="00BE69ED">
        <w:t>0.7 for M2) was e</w:t>
      </w:r>
      <w:r w:rsidR="000062E4">
        <w:t xml:space="preserve">xtrapolated from data in single </w:t>
      </w:r>
      <w:r w:rsidR="00593CCA">
        <w:t xml:space="preserve">dose and 1 week repeat </w:t>
      </w:r>
      <w:r w:rsidR="00BE69ED" w:rsidRPr="00BE69ED">
        <w:t xml:space="preserve">dose toxicity studies and no </w:t>
      </w:r>
      <w:proofErr w:type="spellStart"/>
      <w:r w:rsidR="00BE69ED" w:rsidRPr="00BE69ED">
        <w:t>toxicokinetic</w:t>
      </w:r>
      <w:proofErr w:type="spellEnd"/>
      <w:r w:rsidR="00BE69ED" w:rsidRPr="00BE69ED">
        <w:t xml:space="preserve"> data were collected in a safety pharmacology study (Study 9785-PT-0005). The </w:t>
      </w:r>
      <w:r w:rsidR="002D210C">
        <w:t xml:space="preserve">nonclinical evaluator considered the </w:t>
      </w:r>
      <w:r w:rsidR="00BE69ED" w:rsidRPr="00BE69ED">
        <w:t xml:space="preserve">latter statement </w:t>
      </w:r>
      <w:r w:rsidR="002D210C">
        <w:t>wa</w:t>
      </w:r>
      <w:r w:rsidR="00BE69ED" w:rsidRPr="00BE69ED">
        <w:t xml:space="preserve">s not correct. While no </w:t>
      </w:r>
      <w:proofErr w:type="spellStart"/>
      <w:r w:rsidR="00BE69ED" w:rsidRPr="00BE69ED">
        <w:t>toxicokinetic</w:t>
      </w:r>
      <w:proofErr w:type="spellEnd"/>
      <w:r w:rsidR="00BE69ED" w:rsidRPr="00BE69ED">
        <w:t xml:space="preserve"> data were reported in Study 9785-PT-0005, levels of enzalutamide, M1 and M2 were determined in plasma and brain samples from these animals at the time of convulsions with data reported in Study 9785-ME-5016. The minimum plasma concentration of enzalutamide and M2 in mice with </w:t>
      </w:r>
      <w:r>
        <w:t xml:space="preserve">convulsions was </w:t>
      </w:r>
      <w:proofErr w:type="gramStart"/>
      <w:r>
        <w:t xml:space="preserve">20.6 </w:t>
      </w:r>
      <w:r w:rsidR="005D117A">
        <w:t>µ</w:t>
      </w:r>
      <w:r>
        <w:t>g/mL</w:t>
      </w:r>
      <w:proofErr w:type="gramEnd"/>
      <w:r>
        <w:t xml:space="preserve"> and about </w:t>
      </w:r>
      <w:r w:rsidR="00BE69ED" w:rsidRPr="00BE69ED">
        <w:t xml:space="preserve">6 </w:t>
      </w:r>
      <w:r w:rsidR="005D117A">
        <w:t>µ</w:t>
      </w:r>
      <w:r w:rsidR="00BE69ED" w:rsidRPr="00BE69ED">
        <w:t>g/mL, respectively (</w:t>
      </w:r>
      <w:r w:rsidR="000062E4">
        <w:t xml:space="preserve">from </w:t>
      </w:r>
      <w:r w:rsidR="00BE69ED" w:rsidRPr="00BE69ED">
        <w:t>individual data</w:t>
      </w:r>
      <w:r w:rsidR="000062E4">
        <w:t xml:space="preserve"> </w:t>
      </w:r>
      <w:r w:rsidR="00BE69ED" w:rsidRPr="00BE69ED">
        <w:t>of the report for Study 9785-ME-5016). These values are approximately equivalent to the clinical Cmax f</w:t>
      </w:r>
      <w:r w:rsidR="005D117A">
        <w:t xml:space="preserve">or enzalutamide (which is </w:t>
      </w:r>
      <w:proofErr w:type="gramStart"/>
      <w:r w:rsidR="005D117A">
        <w:t>16.6 µ</w:t>
      </w:r>
      <w:r w:rsidR="00BE69ED" w:rsidRPr="00BE69ED">
        <w:t>g/mL</w:t>
      </w:r>
      <w:proofErr w:type="gramEnd"/>
      <w:r w:rsidR="00BE69ED" w:rsidRPr="00BE69ED">
        <w:t>) and approximately 50% of the clini</w:t>
      </w:r>
      <w:r w:rsidR="005D117A">
        <w:t>cal Cmax for M2 (which is 12.7 µ</w:t>
      </w:r>
      <w:r w:rsidR="00BE69ED" w:rsidRPr="00BE69ED">
        <w:t>g/mL). Therefore, the expo</w:t>
      </w:r>
      <w:r w:rsidR="000062E4">
        <w:t>sure margins calculated by the n</w:t>
      </w:r>
      <w:r w:rsidR="00BE69ED" w:rsidRPr="00BE69ED">
        <w:t xml:space="preserve">onclinical </w:t>
      </w:r>
      <w:r w:rsidR="000062E4">
        <w:t>e</w:t>
      </w:r>
      <w:r w:rsidR="00BE69ED" w:rsidRPr="00BE69ED">
        <w:t xml:space="preserve">valuator are considered correct. For </w:t>
      </w:r>
      <w:proofErr w:type="spellStart"/>
      <w:r w:rsidR="00BE69ED" w:rsidRPr="00BE69ED">
        <w:t>convulsant</w:t>
      </w:r>
      <w:proofErr w:type="spellEnd"/>
      <w:r w:rsidR="00BE69ED" w:rsidRPr="00BE69ED">
        <w:t xml:space="preserve"> activity, </w:t>
      </w:r>
      <w:proofErr w:type="spellStart"/>
      <w:r w:rsidR="00BE69ED" w:rsidRPr="00BE69ED">
        <w:t>Cmax</w:t>
      </w:r>
      <w:proofErr w:type="spellEnd"/>
      <w:r w:rsidR="00BE69ED" w:rsidRPr="00BE69ED">
        <w:t xml:space="preserve"> is considered a better comparator than AUC. Therefore, </w:t>
      </w:r>
      <w:r w:rsidR="00DE755D">
        <w:t xml:space="preserve">the nonclinical evaluator recommended </w:t>
      </w:r>
      <w:r w:rsidR="00BE69ED" w:rsidRPr="00BE69ED">
        <w:t xml:space="preserve">this section of the </w:t>
      </w:r>
      <w:r w:rsidR="00BE69ED" w:rsidRPr="000062E4">
        <w:rPr>
          <w:i/>
        </w:rPr>
        <w:t>Nonclinical Safety Specification</w:t>
      </w:r>
      <w:r w:rsidR="00BE69ED" w:rsidRPr="00BE69ED">
        <w:t xml:space="preserve"> </w:t>
      </w:r>
      <w:r w:rsidR="002D210C">
        <w:t xml:space="preserve">in the RMP </w:t>
      </w:r>
      <w:r w:rsidR="00BE69ED" w:rsidRPr="00BE69ED">
        <w:t>should be amended</w:t>
      </w:r>
      <w:r w:rsidR="000062E4">
        <w:t xml:space="preserve"> accordingly.</w:t>
      </w:r>
    </w:p>
    <w:p w:rsidR="00BE69ED" w:rsidRPr="007D562F" w:rsidRDefault="00BE69ED" w:rsidP="007D562F">
      <w:pPr>
        <w:pStyle w:val="Heading4"/>
      </w:pPr>
      <w:r w:rsidRPr="00BE69ED">
        <w:t xml:space="preserve">Suggested </w:t>
      </w:r>
      <w:r w:rsidR="00AA18C8">
        <w:t>condition</w:t>
      </w:r>
      <w:r w:rsidR="007D562F">
        <w:t xml:space="preserve"> of registration</w:t>
      </w:r>
    </w:p>
    <w:p w:rsidR="00BE69ED" w:rsidRPr="00BE69ED" w:rsidRDefault="00BE69ED" w:rsidP="007D562F">
      <w:pPr>
        <w:pStyle w:val="ListBullet"/>
      </w:pPr>
      <w:r w:rsidRPr="00BE69ED">
        <w:t xml:space="preserve">Implement EU-RMP Version 4.0, </w:t>
      </w:r>
      <w:r w:rsidRPr="007D562F">
        <w:t>dated</w:t>
      </w:r>
      <w:r w:rsidRPr="00BE69ED">
        <w:t xml:space="preserve"> 25th April 2013 with Australian Specific Annex Version 1.0, dated 23rd May 2013 and any future updates as a condition of registration.</w:t>
      </w:r>
    </w:p>
    <w:p w:rsidR="008E7846" w:rsidRPr="00792A32" w:rsidRDefault="008E7846" w:rsidP="005048A4">
      <w:pPr>
        <w:pStyle w:val="Heading2"/>
      </w:pPr>
      <w:bookmarkStart w:id="150" w:name="_Toc314842510"/>
      <w:bookmarkStart w:id="151" w:name="_Toc408300853"/>
      <w:r>
        <w:t xml:space="preserve">VI. </w:t>
      </w:r>
      <w:r w:rsidRPr="00792A32">
        <w:t xml:space="preserve">Overall </w:t>
      </w:r>
      <w:r>
        <w:t>c</w:t>
      </w:r>
      <w:r w:rsidRPr="00792A32">
        <w:t xml:space="preserve">onclusion </w:t>
      </w:r>
      <w:r w:rsidRPr="007D562F">
        <w:t>and</w:t>
      </w:r>
      <w:r w:rsidRPr="00792A32">
        <w:t xml:space="preserve"> </w:t>
      </w:r>
      <w:r>
        <w:t>r</w:t>
      </w:r>
      <w:r w:rsidRPr="00792A32">
        <w:t>isk/</w:t>
      </w:r>
      <w:r w:rsidRPr="005048A4">
        <w:t>benefit</w:t>
      </w:r>
      <w:r w:rsidRPr="00792A32">
        <w:t xml:space="preserve"> </w:t>
      </w:r>
      <w:r>
        <w:t>a</w:t>
      </w:r>
      <w:r w:rsidRPr="00792A32">
        <w:t>ssessment</w:t>
      </w:r>
      <w:bookmarkEnd w:id="118"/>
      <w:bookmarkEnd w:id="148"/>
      <w:bookmarkEnd w:id="150"/>
      <w:bookmarkEnd w:id="151"/>
    </w:p>
    <w:p w:rsidR="008E7846" w:rsidRDefault="008E7846" w:rsidP="005048A4">
      <w:bookmarkStart w:id="152" w:name="_Toc247691528"/>
      <w:r>
        <w:t xml:space="preserve">The submission was summarised in the following </w:t>
      </w:r>
      <w:r w:rsidRPr="00EF5C48">
        <w:t xml:space="preserve">Delegate’s </w:t>
      </w:r>
      <w:r>
        <w:t>overview</w:t>
      </w:r>
      <w:r w:rsidRPr="00EF5C48">
        <w:t xml:space="preserve"> and recommendation</w:t>
      </w:r>
      <w:r>
        <w:t>s:</w:t>
      </w:r>
    </w:p>
    <w:p w:rsidR="00386245" w:rsidRPr="005048A4" w:rsidRDefault="00386245" w:rsidP="005048A4">
      <w:pPr>
        <w:pStyle w:val="Heading3"/>
      </w:pPr>
      <w:bookmarkStart w:id="153" w:name="_Toc408300854"/>
      <w:r>
        <w:t>Introduction</w:t>
      </w:r>
      <w:bookmarkEnd w:id="153"/>
    </w:p>
    <w:p w:rsidR="00386245" w:rsidRPr="007369AC" w:rsidRDefault="00702168" w:rsidP="005048A4">
      <w:r>
        <w:t xml:space="preserve">Castration </w:t>
      </w:r>
      <w:r w:rsidR="00386245" w:rsidRPr="007369AC">
        <w:t xml:space="preserve">resistant prostate cancer is defined as disease </w:t>
      </w:r>
      <w:r w:rsidR="006A59EC">
        <w:t xml:space="preserve">progression despite androgen </w:t>
      </w:r>
      <w:r w:rsidR="00386245" w:rsidRPr="007369AC">
        <w:t>depletion therapy (ADT</w:t>
      </w:r>
      <w:r w:rsidR="00386245" w:rsidRPr="00117F25">
        <w:rPr>
          <w:vertAlign w:val="superscript"/>
        </w:rPr>
        <w:footnoteReference w:id="27"/>
      </w:r>
      <w:r w:rsidR="00386245" w:rsidRPr="007369AC">
        <w:t>) and may present as either a continuous rise in PSA levels, the progression of pre-existing disease, and/or the appearance of new metastases. Thus it represents a spectrum of disease ranging from asymptomatic patients without metastases with rising PSA levels despite ADT, to those with metastases and significant debilitation due to cancer symptoms. The median survival of patient</w:t>
      </w:r>
      <w:r w:rsidR="0001091D">
        <w:t>s with CRPC is approximately 18</w:t>
      </w:r>
      <w:r w:rsidR="0001091D">
        <w:noBreakHyphen/>
      </w:r>
      <w:r w:rsidR="00386245" w:rsidRPr="007369AC">
        <w:t>24 months.</w:t>
      </w:r>
    </w:p>
    <w:p w:rsidR="00386245" w:rsidRPr="007369AC" w:rsidRDefault="00386245" w:rsidP="005048A4">
      <w:r w:rsidRPr="007369AC">
        <w:lastRenderedPageBreak/>
        <w:t>The management of all patients with CRPC, including those without overt metastases, follows the same treatment algorithm aiming to prolong survival, minimi</w:t>
      </w:r>
      <w:r w:rsidR="0064588F">
        <w:t>s</w:t>
      </w:r>
      <w:r w:rsidRPr="007369AC">
        <w:t>e complication</w:t>
      </w:r>
      <w:r w:rsidR="005048A4">
        <w:t>s and maintain quality of life.</w:t>
      </w:r>
    </w:p>
    <w:p w:rsidR="00386245" w:rsidRPr="007369AC" w:rsidRDefault="00386245" w:rsidP="005048A4">
      <w:r w:rsidRPr="007369AC">
        <w:t xml:space="preserve">There are three pharmaceutical agents approved for the treatment of CRPC in Australia with a demonstrated survival advantage: docetaxel with prednisone as front-line chemotherapy; once patients progress on docetaxel and require second-line therapy, the options included </w:t>
      </w:r>
      <w:proofErr w:type="spellStart"/>
      <w:r w:rsidRPr="007369AC">
        <w:t>cabazitaxel</w:t>
      </w:r>
      <w:proofErr w:type="spellEnd"/>
      <w:r w:rsidRPr="007369AC">
        <w:t xml:space="preserve"> plus prednisone or abiraterone plus prednisone. </w:t>
      </w:r>
      <w:proofErr w:type="spellStart"/>
      <w:r w:rsidRPr="007369AC">
        <w:t>Cabazitaxel</w:t>
      </w:r>
      <w:proofErr w:type="spellEnd"/>
      <w:r w:rsidRPr="007369AC">
        <w:t xml:space="preserve"> is a </w:t>
      </w:r>
      <w:proofErr w:type="spellStart"/>
      <w:r w:rsidRPr="007369AC">
        <w:t>taxane</w:t>
      </w:r>
      <w:proofErr w:type="spellEnd"/>
      <w:r w:rsidRPr="007369AC">
        <w:t xml:space="preserve"> administered </w:t>
      </w:r>
      <w:r w:rsidR="00F551AA">
        <w:t>IV</w:t>
      </w:r>
      <w:r w:rsidRPr="007369AC">
        <w:t>, with potential side effects of febrile neutropenia, and serious gastrointestinal side effects including diarrhoea. Abiraterone is an oral inhibitor of androgen biosynthesis and treatment requires the co-administration of prednisone, with potential side effects of mineralocorticoid excess (hypertension, hypokalaemia, and fluid overload), hepatotoxic</w:t>
      </w:r>
      <w:r w:rsidR="005048A4">
        <w:t>ity, and adrenal insufficiency.</w:t>
      </w:r>
    </w:p>
    <w:p w:rsidR="00386245" w:rsidRPr="007369AC" w:rsidRDefault="00386245" w:rsidP="005048A4">
      <w:r w:rsidRPr="007369AC">
        <w:t xml:space="preserve">Other novel approaches include immunotherapies such as </w:t>
      </w:r>
      <w:proofErr w:type="spellStart"/>
      <w:r w:rsidRPr="007369AC">
        <w:t>sipuleucel</w:t>
      </w:r>
      <w:proofErr w:type="spellEnd"/>
      <w:r w:rsidRPr="007369AC">
        <w:t>-T dendritic cell vaccine, the anti-</w:t>
      </w:r>
      <w:r w:rsidR="006A59EC" w:rsidRPr="006A59EC">
        <w:t>cytotoxic T-lymphocyte-associated protein 4</w:t>
      </w:r>
      <w:r w:rsidR="006A59EC">
        <w:t xml:space="preserve"> (anti-</w:t>
      </w:r>
      <w:r w:rsidRPr="006A59EC">
        <w:t>CTLA-4</w:t>
      </w:r>
      <w:r w:rsidR="006A59EC">
        <w:t>)</w:t>
      </w:r>
      <w:r w:rsidRPr="007369AC">
        <w:t xml:space="preserve"> monoclonal antibody ipilimumab, anti-</w:t>
      </w:r>
      <w:r w:rsidR="00E11BD5">
        <w:t>programmed death 1 (anti-</w:t>
      </w:r>
      <w:r w:rsidRPr="007369AC">
        <w:t>PD1</w:t>
      </w:r>
      <w:r w:rsidR="00E11BD5">
        <w:t>)</w:t>
      </w:r>
      <w:r w:rsidRPr="007369AC">
        <w:t xml:space="preserve"> or anti-PD1 ligand monoclonal antibodies and the PROSTVAC-VF vaccine against the PSA gene. These agents are in the development phase.</w:t>
      </w:r>
    </w:p>
    <w:p w:rsidR="00386245" w:rsidRPr="007369AC" w:rsidRDefault="00C100AB" w:rsidP="005048A4">
      <w:r>
        <w:t>Enzalutamide</w:t>
      </w:r>
      <w:r w:rsidR="00386245" w:rsidRPr="007369AC">
        <w:t xml:space="preserve"> is an orally administered</w:t>
      </w:r>
      <w:r w:rsidR="00E11BD5">
        <w:t>,</w:t>
      </w:r>
      <w:r w:rsidR="00386245" w:rsidRPr="007369AC">
        <w:t xml:space="preserve"> potent </w:t>
      </w:r>
      <w:r w:rsidR="00BB6145">
        <w:t>AR</w:t>
      </w:r>
      <w:r w:rsidR="00386245" w:rsidRPr="007369AC">
        <w:t xml:space="preserve"> signalling inhibitor that blocks several steps in the </w:t>
      </w:r>
      <w:r w:rsidR="00BB6145">
        <w:t>AR</w:t>
      </w:r>
      <w:r w:rsidR="00386245" w:rsidRPr="007369AC">
        <w:t xml:space="preserve"> signalling pathway: binding to the </w:t>
      </w:r>
      <w:r w:rsidR="00BB6145">
        <w:t>AR</w:t>
      </w:r>
      <w:r w:rsidR="00386245" w:rsidRPr="007369AC">
        <w:t>, nuclear translocation of the activated receptor, and association of the translocated re</w:t>
      </w:r>
      <w:r w:rsidR="00F87BA0">
        <w:t>ceptor with nuclear DNA. In non</w:t>
      </w:r>
      <w:r w:rsidR="00386245" w:rsidRPr="007369AC">
        <w:t xml:space="preserve">clinical studies, enzalutamide treatment decreased the growth of prostate cancer cells. Enzalutamide, by targeting the </w:t>
      </w:r>
      <w:r w:rsidR="00BB6145">
        <w:t>AR</w:t>
      </w:r>
      <w:r w:rsidR="00386245" w:rsidRPr="007369AC">
        <w:t xml:space="preserve"> signalling pathway, has a novel mechanism of action with the potential to overcome resistance (especially that mediated by up</w:t>
      </w:r>
      <w:r w:rsidR="006A59EC">
        <w:t>-</w:t>
      </w:r>
      <w:r w:rsidR="00386245" w:rsidRPr="007369AC">
        <w:t xml:space="preserve">regulation of the </w:t>
      </w:r>
      <w:r w:rsidR="00BB6145">
        <w:t>AR</w:t>
      </w:r>
      <w:r w:rsidR="00386245" w:rsidRPr="007369AC">
        <w:t>) to androgen-deprivation therapy.</w:t>
      </w:r>
    </w:p>
    <w:p w:rsidR="008E7846" w:rsidRPr="005048A4" w:rsidRDefault="008E7846" w:rsidP="005048A4">
      <w:pPr>
        <w:pStyle w:val="Heading3"/>
      </w:pPr>
      <w:bookmarkStart w:id="154" w:name="_Toc314842511"/>
      <w:bookmarkStart w:id="155" w:name="_Toc408300855"/>
      <w:r>
        <w:t>Quality</w:t>
      </w:r>
      <w:bookmarkEnd w:id="152"/>
      <w:bookmarkEnd w:id="154"/>
      <w:bookmarkEnd w:id="155"/>
    </w:p>
    <w:p w:rsidR="00386245" w:rsidRPr="007369AC" w:rsidRDefault="00386245" w:rsidP="005048A4">
      <w:r w:rsidRPr="007369AC">
        <w:t xml:space="preserve">Registration is recommended with respect to quality and </w:t>
      </w:r>
      <w:proofErr w:type="spellStart"/>
      <w:r w:rsidRPr="007369AC">
        <w:t>biopharmaceutic</w:t>
      </w:r>
      <w:proofErr w:type="spellEnd"/>
      <w:r w:rsidRPr="007369AC">
        <w:t xml:space="preserve"> aspects if appropriate controls on impurities in the excipient are negotiated</w:t>
      </w:r>
      <w:r w:rsidR="00F87BA0">
        <w:t xml:space="preserve"> (see </w:t>
      </w:r>
      <w:r w:rsidR="00F87BA0" w:rsidRPr="00F87BA0">
        <w:rPr>
          <w:i/>
        </w:rPr>
        <w:t>Quality findings</w:t>
      </w:r>
      <w:r w:rsidR="00F87BA0">
        <w:t>, above, for details)</w:t>
      </w:r>
      <w:r w:rsidRPr="007369AC">
        <w:t>.</w:t>
      </w:r>
    </w:p>
    <w:p w:rsidR="008E7846" w:rsidRDefault="008E7846" w:rsidP="005048A4">
      <w:pPr>
        <w:pStyle w:val="Heading3"/>
      </w:pPr>
      <w:bookmarkStart w:id="156" w:name="_Toc314842512"/>
      <w:bookmarkStart w:id="157" w:name="_Toc408300856"/>
      <w:r w:rsidRPr="005048A4">
        <w:t>Nonclinical</w:t>
      </w:r>
      <w:bookmarkEnd w:id="156"/>
      <w:bookmarkEnd w:id="157"/>
    </w:p>
    <w:p w:rsidR="008E7846" w:rsidRPr="007369AC" w:rsidRDefault="00386245" w:rsidP="005048A4">
      <w:r w:rsidRPr="007369AC">
        <w:t>The nonclinical evaluator had no objections on nonclinical grounds to registration of enzalutamide for the proposed indication.</w:t>
      </w:r>
    </w:p>
    <w:p w:rsidR="00386245" w:rsidRPr="007369AC" w:rsidRDefault="00386245" w:rsidP="005048A4">
      <w:r w:rsidRPr="007369AC">
        <w:t>Enzalutamide was a competitive inhibitor at the wild-type AR and its castration-resistant mutant variants, T877A and W741C. No agonistic activity was detectable at the AR. One major human metabolite, M2, also had inhibitory activity at the AR and is likely to contribute significantly to the efficacy of enzalutamide in patients. Decreased tumour growth was seen in a mouse model bearing a castration-resistant prostate cancer cell line.</w:t>
      </w:r>
    </w:p>
    <w:p w:rsidR="00386245" w:rsidRPr="007369AC" w:rsidRDefault="00386245" w:rsidP="005048A4">
      <w:r w:rsidRPr="007369AC">
        <w:t xml:space="preserve">Both enzalutamide and M2 had significant </w:t>
      </w:r>
      <w:r w:rsidR="00F87BA0">
        <w:t xml:space="preserve">inhibitory activity at the GABA </w:t>
      </w:r>
      <w:r w:rsidRPr="007369AC">
        <w:t>gated chloride channel and readily crossed the blood-brain barrier with concentrations similar to those seen in plasma. Convulsions occurred in both mice and dogs with plasma concentrations of enzalutamide similar to or marg</w:t>
      </w:r>
      <w:r w:rsidR="005048A4">
        <w:t xml:space="preserve">inally above the clinical </w:t>
      </w:r>
      <w:proofErr w:type="spellStart"/>
      <w:r w:rsidR="005048A4">
        <w:t>Cmax</w:t>
      </w:r>
      <w:proofErr w:type="spellEnd"/>
      <w:r w:rsidR="005048A4">
        <w:t>.</w:t>
      </w:r>
    </w:p>
    <w:p w:rsidR="00386245" w:rsidRPr="007369AC" w:rsidRDefault="00386245" w:rsidP="005048A4">
      <w:r w:rsidRPr="007369AC">
        <w:t xml:space="preserve">Both enzalutamide and M2 inhibited the </w:t>
      </w:r>
      <w:proofErr w:type="spellStart"/>
      <w:r w:rsidRPr="007369AC">
        <w:t>hERG</w:t>
      </w:r>
      <w:proofErr w:type="spellEnd"/>
      <w:r w:rsidRPr="007369AC">
        <w:t xml:space="preserve"> K+ tail current. Insufficient data were provided to exclude a potential for QT pr</w:t>
      </w:r>
      <w:r w:rsidR="005048A4">
        <w:t>olongation during clinical use.</w:t>
      </w:r>
    </w:p>
    <w:p w:rsidR="00386245" w:rsidRPr="007369AC" w:rsidRDefault="00386245" w:rsidP="005048A4">
      <w:r w:rsidRPr="007369AC">
        <w:t xml:space="preserve">Respiratory distress was a contributing factor in the deaths of a number of animals. The respiratory effects are partly due to reflux and inadvertent aspiration with a consequent local irritation effect of enzalutamide/Labrasol. The NOEL for respiratory effects is at least </w:t>
      </w:r>
      <w:r w:rsidRPr="007369AC">
        <w:lastRenderedPageBreak/>
        <w:t>7 times the clinical dose. The likelihood of respiratory effects in patients is low provided the capsules are taken as directed and not chewed or broken prior to swallowing.</w:t>
      </w:r>
    </w:p>
    <w:p w:rsidR="00386245" w:rsidRPr="007369AC" w:rsidRDefault="00386245" w:rsidP="005048A4">
      <w:r w:rsidRPr="007369AC">
        <w:t>Oral absorption was high in rats and dogs. CYP3A4, 3A5 and 2C8 appear to be i</w:t>
      </w:r>
      <w:r w:rsidR="005048A4">
        <w:t>nvolved in the formation of M2.</w:t>
      </w:r>
    </w:p>
    <w:p w:rsidR="00386245" w:rsidRPr="007369AC" w:rsidRDefault="00386245" w:rsidP="005048A4">
      <w:r w:rsidRPr="007369AC">
        <w:t xml:space="preserve">In vitro studies indicated a number of potential </w:t>
      </w:r>
      <w:r w:rsidR="00AA61AD">
        <w:t>PK</w:t>
      </w:r>
      <w:r w:rsidRPr="007369AC">
        <w:t xml:space="preserve"> drug interaction possibilities:</w:t>
      </w:r>
    </w:p>
    <w:p w:rsidR="00386245" w:rsidRPr="00386245" w:rsidRDefault="00386245" w:rsidP="005048A4">
      <w:pPr>
        <w:pStyle w:val="ListBullet"/>
      </w:pPr>
      <w:r w:rsidRPr="00386245">
        <w:t xml:space="preserve">Inhibitors or </w:t>
      </w:r>
      <w:r w:rsidRPr="005048A4">
        <w:t>inducers</w:t>
      </w:r>
      <w:r w:rsidRPr="00386245">
        <w:t xml:space="preserve"> of CYP3A4/5 and 2C8 are likely to alter the plasma kinetics of enzalutamide.</w:t>
      </w:r>
    </w:p>
    <w:p w:rsidR="00386245" w:rsidRPr="00386245" w:rsidRDefault="00386245" w:rsidP="005048A4">
      <w:pPr>
        <w:pStyle w:val="ListBullet"/>
      </w:pPr>
      <w:r w:rsidRPr="00386245">
        <w:t>Enzalutamide is likely to decrease the exposure of drugs that are metabolised by CYP3A4, 2C9, 2C19 or UGTs (also based on in vivo human data).</w:t>
      </w:r>
    </w:p>
    <w:p w:rsidR="00386245" w:rsidRPr="00386245" w:rsidRDefault="00386245" w:rsidP="005048A4">
      <w:pPr>
        <w:pStyle w:val="ListBullet"/>
      </w:pPr>
      <w:proofErr w:type="spellStart"/>
      <w:r w:rsidRPr="00386245">
        <w:t>Enzalutamide</w:t>
      </w:r>
      <w:proofErr w:type="spellEnd"/>
      <w:r w:rsidRPr="00386245">
        <w:t xml:space="preserve"> </w:t>
      </w:r>
      <w:r w:rsidRPr="005048A4">
        <w:t>has</w:t>
      </w:r>
      <w:r w:rsidRPr="00386245">
        <w:t xml:space="preserve"> the potential to alter the disposition of drugs that are substrates of P-glycoprotein. An effect on substrates of BCRP, OATP1B1, OCT1 or OAT3 cannot be excluded.</w:t>
      </w:r>
    </w:p>
    <w:p w:rsidR="00386245" w:rsidRPr="007369AC" w:rsidRDefault="00386245" w:rsidP="005048A4">
      <w:proofErr w:type="spellStart"/>
      <w:r w:rsidRPr="007369AC">
        <w:t>Enzalutamide</w:t>
      </w:r>
      <w:proofErr w:type="spellEnd"/>
      <w:r w:rsidRPr="007369AC">
        <w:t xml:space="preserve"> was not </w:t>
      </w:r>
      <w:proofErr w:type="spellStart"/>
      <w:r w:rsidRPr="007369AC">
        <w:t>genotoxic</w:t>
      </w:r>
      <w:proofErr w:type="spellEnd"/>
      <w:r w:rsidRPr="007369AC">
        <w:t xml:space="preserve"> in the standard battery of tests. No carcinogenicity studies were submitted, which is considered acceptable. Teratogenicity and </w:t>
      </w:r>
      <w:proofErr w:type="spellStart"/>
      <w:r w:rsidRPr="007369AC">
        <w:t>embryofetal</w:t>
      </w:r>
      <w:proofErr w:type="spellEnd"/>
      <w:r w:rsidRPr="007369AC">
        <w:t xml:space="preserve"> lethality in mice were evident at low relative doses.</w:t>
      </w:r>
    </w:p>
    <w:p w:rsidR="00386245" w:rsidRPr="007369AC" w:rsidRDefault="00386245" w:rsidP="005048A4">
      <w:r w:rsidRPr="007369AC">
        <w:t>The safety of t</w:t>
      </w:r>
      <w:r w:rsidR="008E290D" w:rsidRPr="007369AC">
        <w:t>he excipient, Labrasol</w:t>
      </w:r>
      <w:r w:rsidRPr="007369AC">
        <w:t>, has been adequately assessed.</w:t>
      </w:r>
    </w:p>
    <w:p w:rsidR="00386245" w:rsidRPr="007369AC" w:rsidRDefault="00386245" w:rsidP="005048A4">
      <w:r w:rsidRPr="007369AC">
        <w:t>The toxicity of the major active human metabolite, M2, has not been adequately assessed, but given the similar pharmacological profiles of M2 and enzalutamide, M2 is likely to have a similar toxicity profile to enzalutamide.</w:t>
      </w:r>
    </w:p>
    <w:p w:rsidR="008E7846" w:rsidRPr="005048A4" w:rsidRDefault="008E7846" w:rsidP="005048A4">
      <w:pPr>
        <w:pStyle w:val="Heading3"/>
      </w:pPr>
      <w:bookmarkStart w:id="158" w:name="_Toc247691530"/>
      <w:bookmarkStart w:id="159" w:name="_Toc314842513"/>
      <w:bookmarkStart w:id="160" w:name="_Toc408300857"/>
      <w:r>
        <w:t>Clinical</w:t>
      </w:r>
      <w:bookmarkEnd w:id="158"/>
      <w:bookmarkEnd w:id="159"/>
      <w:bookmarkEnd w:id="160"/>
    </w:p>
    <w:p w:rsidR="00AC4634" w:rsidRPr="00AC4634" w:rsidRDefault="00AC4634" w:rsidP="005048A4">
      <w:bookmarkStart w:id="161" w:name="_Toc314842514"/>
      <w:r w:rsidRPr="00AC4634">
        <w:t>The clinical evaluator has reviewed the submitted data, which included:</w:t>
      </w:r>
    </w:p>
    <w:p w:rsidR="00AC4634" w:rsidRPr="00F87BA0" w:rsidRDefault="00AC4634" w:rsidP="005048A4">
      <w:pPr>
        <w:pStyle w:val="ListBullet"/>
      </w:pPr>
      <w:r w:rsidRPr="00F87BA0">
        <w:t xml:space="preserve">5 clinical </w:t>
      </w:r>
      <w:r w:rsidRPr="005048A4">
        <w:t>pharmacology</w:t>
      </w:r>
      <w:r w:rsidRPr="00F87BA0">
        <w:t xml:space="preserve"> studies, including 5 that provided </w:t>
      </w:r>
      <w:r w:rsidR="00AA61AD">
        <w:t>PK</w:t>
      </w:r>
      <w:r w:rsidR="005048A4">
        <w:t xml:space="preserve"> data.</w:t>
      </w:r>
    </w:p>
    <w:p w:rsidR="00AC4634" w:rsidRPr="00F87BA0" w:rsidRDefault="00AC4634" w:rsidP="005048A4">
      <w:pPr>
        <w:pStyle w:val="ListBullet"/>
      </w:pPr>
      <w:r w:rsidRPr="00F87BA0">
        <w:t xml:space="preserve">5 population </w:t>
      </w:r>
      <w:r w:rsidR="00AA61AD">
        <w:t>PK</w:t>
      </w:r>
      <w:r w:rsidRPr="00F87BA0">
        <w:t xml:space="preserve"> analyses.</w:t>
      </w:r>
    </w:p>
    <w:p w:rsidR="00AC4634" w:rsidRPr="00F87BA0" w:rsidRDefault="00AC4634" w:rsidP="005048A4">
      <w:pPr>
        <w:pStyle w:val="ListBullet"/>
      </w:pPr>
      <w:r w:rsidRPr="00F87BA0">
        <w:t>1 pivotal efficacy/safety studies (AFFIRM study [CRPC2]).</w:t>
      </w:r>
    </w:p>
    <w:p w:rsidR="00AC4634" w:rsidRPr="00F87BA0" w:rsidRDefault="00AC4634" w:rsidP="005048A4">
      <w:pPr>
        <w:pStyle w:val="ListBullet"/>
      </w:pPr>
      <w:r w:rsidRPr="00F87BA0">
        <w:t>1 dose-finding study (Study S-3100-1-01).</w:t>
      </w:r>
    </w:p>
    <w:p w:rsidR="00AC4634" w:rsidRPr="00AC4634" w:rsidRDefault="00AC4634" w:rsidP="005048A4">
      <w:pPr>
        <w:pStyle w:val="ListBullet"/>
      </w:pPr>
      <w:r w:rsidRPr="00AC4634">
        <w:t>2 other efficacy/safety studies (Study S-3100-1-01 and Study CRPC-MDA-1).</w:t>
      </w:r>
    </w:p>
    <w:p w:rsidR="00AC4634" w:rsidRDefault="00AC4634" w:rsidP="005048A4">
      <w:pPr>
        <w:pStyle w:val="ListBullet"/>
      </w:pPr>
      <w:r w:rsidRPr="00AC4634">
        <w:t xml:space="preserve">Statistical Analysis Plan for the SCS; which includes integrated </w:t>
      </w:r>
      <w:r w:rsidRPr="005048A4">
        <w:t>safety</w:t>
      </w:r>
      <w:r w:rsidRPr="00AC4634">
        <w:t xml:space="preserve"> results across studies)</w:t>
      </w:r>
      <w:r w:rsidR="005048A4">
        <w:t>.</w:t>
      </w:r>
    </w:p>
    <w:p w:rsidR="0001091D" w:rsidRPr="0001091D" w:rsidRDefault="0001091D" w:rsidP="005048A4">
      <w:r w:rsidRPr="0001091D">
        <w:t>The submission did not include paediatric data.</w:t>
      </w:r>
    </w:p>
    <w:p w:rsidR="00AC4634" w:rsidRPr="00AC4634" w:rsidRDefault="00AC4634" w:rsidP="005048A4">
      <w:r w:rsidRPr="00AC4634">
        <w:t>The submitted data was evaluated using TGA adopted EMA Guidelines as follows:</w:t>
      </w:r>
    </w:p>
    <w:p w:rsidR="00AC4634" w:rsidRPr="005048A4" w:rsidRDefault="00AC4634" w:rsidP="005048A4">
      <w:pPr>
        <w:rPr>
          <w:i/>
        </w:rPr>
      </w:pPr>
      <w:r w:rsidRPr="005048A4">
        <w:rPr>
          <w:i/>
        </w:rPr>
        <w:t xml:space="preserve">Guideline on the evaluation of anticancer medicinal products in man Points to consider on application with1. </w:t>
      </w:r>
      <w:proofErr w:type="gramStart"/>
      <w:r w:rsidRPr="005048A4">
        <w:rPr>
          <w:i/>
        </w:rPr>
        <w:t>Meta-analyses; 2.</w:t>
      </w:r>
      <w:proofErr w:type="gramEnd"/>
      <w:r w:rsidRPr="005048A4">
        <w:rPr>
          <w:i/>
        </w:rPr>
        <w:t xml:space="preserve"> </w:t>
      </w:r>
      <w:proofErr w:type="gramStart"/>
      <w:r w:rsidRPr="005048A4">
        <w:rPr>
          <w:i/>
        </w:rPr>
        <w:t>One pivotal study.</w:t>
      </w:r>
      <w:proofErr w:type="gramEnd"/>
    </w:p>
    <w:p w:rsidR="00AC4634" w:rsidRPr="00AC4634" w:rsidRDefault="00AC4634" w:rsidP="005048A4">
      <w:r w:rsidRPr="00AC4634">
        <w:t>Additional sources</w:t>
      </w:r>
      <w:r w:rsidR="000C5B0F">
        <w:t xml:space="preserve"> and</w:t>
      </w:r>
      <w:r w:rsidRPr="00AC4634">
        <w:t xml:space="preserve"> references</w:t>
      </w:r>
      <w:r w:rsidR="0001091D">
        <w:t xml:space="preserve"> considered by the Delegate</w:t>
      </w:r>
      <w:r>
        <w:t>:</w:t>
      </w:r>
    </w:p>
    <w:p w:rsidR="00AC4634" w:rsidRPr="0079640E" w:rsidRDefault="0079640E" w:rsidP="005048A4">
      <w:pPr>
        <w:pStyle w:val="ListBullet"/>
      </w:pPr>
      <w:r w:rsidRPr="0079640E">
        <w:t>Joelle El-</w:t>
      </w:r>
      <w:proofErr w:type="spellStart"/>
      <w:r w:rsidRPr="0079640E">
        <w:t>Amm</w:t>
      </w:r>
      <w:proofErr w:type="spellEnd"/>
      <w:r w:rsidRPr="0079640E">
        <w:t xml:space="preserve">, MD, </w:t>
      </w:r>
      <w:proofErr w:type="spellStart"/>
      <w:r w:rsidRPr="0079640E">
        <w:t>Jeanny</w:t>
      </w:r>
      <w:proofErr w:type="spellEnd"/>
      <w:r w:rsidRPr="0079640E">
        <w:t xml:space="preserve"> B. Aragon-</w:t>
      </w:r>
      <w:proofErr w:type="spellStart"/>
      <w:r w:rsidRPr="0079640E">
        <w:t>Ching</w:t>
      </w:r>
      <w:proofErr w:type="spellEnd"/>
      <w:r w:rsidRPr="0079640E">
        <w:t xml:space="preserve">. </w:t>
      </w:r>
      <w:r w:rsidR="00AC4634" w:rsidRPr="0079640E">
        <w:t xml:space="preserve">The </w:t>
      </w:r>
      <w:r w:rsidR="00AC4634" w:rsidRPr="005048A4">
        <w:t>changing</w:t>
      </w:r>
      <w:r w:rsidR="00AC4634" w:rsidRPr="0079640E">
        <w:t xml:space="preserve"> landscape in the treatment of metastatic castration-resistant prostate cancer</w:t>
      </w:r>
      <w:r w:rsidRPr="0079640E">
        <w:t xml:space="preserve">. </w:t>
      </w:r>
      <w:proofErr w:type="spellStart"/>
      <w:r w:rsidRPr="0079640E">
        <w:rPr>
          <w:i/>
        </w:rPr>
        <w:t>Ther</w:t>
      </w:r>
      <w:proofErr w:type="spellEnd"/>
      <w:r w:rsidRPr="0079640E">
        <w:rPr>
          <w:i/>
        </w:rPr>
        <w:t xml:space="preserve"> </w:t>
      </w:r>
      <w:proofErr w:type="spellStart"/>
      <w:r w:rsidRPr="0079640E">
        <w:rPr>
          <w:i/>
        </w:rPr>
        <w:t>Adv</w:t>
      </w:r>
      <w:proofErr w:type="spellEnd"/>
      <w:r w:rsidRPr="0079640E">
        <w:rPr>
          <w:i/>
        </w:rPr>
        <w:t xml:space="preserve"> Med </w:t>
      </w:r>
      <w:proofErr w:type="spellStart"/>
      <w:r w:rsidRPr="0079640E">
        <w:rPr>
          <w:i/>
        </w:rPr>
        <w:t>Oncol</w:t>
      </w:r>
      <w:proofErr w:type="spellEnd"/>
      <w:r w:rsidRPr="0079640E">
        <w:t>. 2013</w:t>
      </w:r>
      <w:proofErr w:type="gramStart"/>
      <w:r w:rsidRPr="0079640E">
        <w:t>;5:25</w:t>
      </w:r>
      <w:proofErr w:type="gramEnd"/>
      <w:r w:rsidRPr="0079640E">
        <w:t>-40.</w:t>
      </w:r>
    </w:p>
    <w:p w:rsidR="0079640E" w:rsidRPr="0079640E" w:rsidRDefault="005048A4" w:rsidP="005048A4">
      <w:pPr>
        <w:pStyle w:val="ListBullet"/>
      </w:pPr>
      <w:r>
        <w:t>&lt;</w:t>
      </w:r>
      <w:hyperlink r:id="rId19" w:history="1">
        <w:r w:rsidR="00AC4634" w:rsidRPr="00AC4634">
          <w:rPr>
            <w:rStyle w:val="Hyperlink"/>
          </w:rPr>
          <w:t>www.uptodate.com</w:t>
        </w:r>
      </w:hyperlink>
      <w:r w:rsidRPr="005048A4">
        <w:t>&gt;</w:t>
      </w:r>
      <w:r w:rsidR="0079640E">
        <w:t xml:space="preserve"> [</w:t>
      </w:r>
      <w:r w:rsidR="0079640E" w:rsidRPr="0079640E">
        <w:t>website</w:t>
      </w:r>
      <w:r w:rsidR="0079640E">
        <w:t xml:space="preserve"> on</w:t>
      </w:r>
      <w:r w:rsidR="0079640E" w:rsidRPr="0079640E">
        <w:t xml:space="preserve"> </w:t>
      </w:r>
      <w:r w:rsidR="0079640E" w:rsidRPr="0079640E">
        <w:rPr>
          <w:lang w:val="en"/>
        </w:rPr>
        <w:t xml:space="preserve">evidence-based </w:t>
      </w:r>
      <w:r w:rsidR="0079640E" w:rsidRPr="005048A4">
        <w:t>clinical</w:t>
      </w:r>
      <w:r w:rsidR="0079640E" w:rsidRPr="0079640E">
        <w:rPr>
          <w:lang w:val="en"/>
        </w:rPr>
        <w:t xml:space="preserve"> decision support resource, </w:t>
      </w:r>
      <w:r w:rsidR="0079640E">
        <w:rPr>
          <w:lang w:val="en"/>
        </w:rPr>
        <w:t xml:space="preserve">for </w:t>
      </w:r>
      <w:r w:rsidR="0079640E" w:rsidRPr="0079640E">
        <w:rPr>
          <w:lang w:val="en"/>
        </w:rPr>
        <w:t>healthcare practitioners</w:t>
      </w:r>
      <w:r w:rsidR="0079640E">
        <w:rPr>
          <w:lang w:val="en"/>
        </w:rPr>
        <w:t>]</w:t>
      </w:r>
    </w:p>
    <w:p w:rsidR="00AC4634" w:rsidRPr="00AC4634" w:rsidRDefault="00AC4634" w:rsidP="005048A4">
      <w:pPr>
        <w:pStyle w:val="ListBullet"/>
      </w:pPr>
      <w:proofErr w:type="spellStart"/>
      <w:r w:rsidRPr="00AC4634">
        <w:t>Saad</w:t>
      </w:r>
      <w:proofErr w:type="spellEnd"/>
      <w:r w:rsidRPr="00AC4634">
        <w:t xml:space="preserve">, F, </w:t>
      </w:r>
      <w:proofErr w:type="spellStart"/>
      <w:r w:rsidRPr="00AC4634">
        <w:t>Hotte</w:t>
      </w:r>
      <w:proofErr w:type="spellEnd"/>
      <w:r w:rsidRPr="00AC4634">
        <w:t xml:space="preserve">, S.J. </w:t>
      </w:r>
      <w:r w:rsidRPr="005048A4">
        <w:t>Guidelines</w:t>
      </w:r>
      <w:r w:rsidRPr="00AC4634">
        <w:t xml:space="preserve"> for the Management of castrate-resistant prostate cancer</w:t>
      </w:r>
      <w:r w:rsidR="0001091D">
        <w:t>.</w:t>
      </w:r>
      <w:r w:rsidRPr="00AC4634">
        <w:t xml:space="preserve"> </w:t>
      </w:r>
      <w:r w:rsidRPr="0001091D">
        <w:rPr>
          <w:i/>
        </w:rPr>
        <w:t xml:space="preserve">Can </w:t>
      </w:r>
      <w:proofErr w:type="spellStart"/>
      <w:r w:rsidRPr="0001091D">
        <w:rPr>
          <w:i/>
        </w:rPr>
        <w:t>Urol</w:t>
      </w:r>
      <w:proofErr w:type="spellEnd"/>
      <w:r w:rsidRPr="0001091D">
        <w:rPr>
          <w:i/>
        </w:rPr>
        <w:t xml:space="preserve"> </w:t>
      </w:r>
      <w:proofErr w:type="spellStart"/>
      <w:r w:rsidRPr="0001091D">
        <w:rPr>
          <w:i/>
        </w:rPr>
        <w:t>Assoc</w:t>
      </w:r>
      <w:proofErr w:type="spellEnd"/>
      <w:r w:rsidRPr="0001091D">
        <w:rPr>
          <w:i/>
        </w:rPr>
        <w:t xml:space="preserve"> J</w:t>
      </w:r>
      <w:r w:rsidRPr="00AC4634">
        <w:t xml:space="preserve"> 2010;4(16);380-4</w:t>
      </w:r>
    </w:p>
    <w:p w:rsidR="00AC4634" w:rsidRPr="00AC4634" w:rsidRDefault="00AC4634" w:rsidP="005048A4">
      <w:pPr>
        <w:pStyle w:val="ListBullet"/>
      </w:pPr>
      <w:proofErr w:type="spellStart"/>
      <w:r w:rsidRPr="00AC4634">
        <w:t>Scher</w:t>
      </w:r>
      <w:proofErr w:type="spellEnd"/>
      <w:r w:rsidRPr="00AC4634">
        <w:t xml:space="preserve"> HI, </w:t>
      </w:r>
      <w:proofErr w:type="spellStart"/>
      <w:r w:rsidRPr="00AC4634">
        <w:t>Halabi</w:t>
      </w:r>
      <w:proofErr w:type="spellEnd"/>
      <w:r w:rsidRPr="00AC4634">
        <w:t xml:space="preserve"> S, </w:t>
      </w:r>
      <w:proofErr w:type="spellStart"/>
      <w:r w:rsidRPr="005048A4">
        <w:t>Tannock</w:t>
      </w:r>
      <w:proofErr w:type="spellEnd"/>
      <w:r w:rsidRPr="00AC4634">
        <w:t xml:space="preserve"> I, et al. Design and end points of clinical trials for patients with progressive prostate cancer and castrate levels of testosterone: </w:t>
      </w:r>
      <w:r w:rsidRPr="00AC4634">
        <w:lastRenderedPageBreak/>
        <w:t xml:space="preserve">recommendations of the Prostate Cancer Clinical Trials Working Group. </w:t>
      </w:r>
      <w:r w:rsidRPr="0001091D">
        <w:rPr>
          <w:i/>
        </w:rPr>
        <w:t xml:space="preserve">J </w:t>
      </w:r>
      <w:proofErr w:type="spellStart"/>
      <w:r w:rsidRPr="0001091D">
        <w:rPr>
          <w:i/>
        </w:rPr>
        <w:t>Clin</w:t>
      </w:r>
      <w:proofErr w:type="spellEnd"/>
      <w:r w:rsidRPr="0001091D">
        <w:rPr>
          <w:i/>
        </w:rPr>
        <w:t xml:space="preserve"> </w:t>
      </w:r>
      <w:proofErr w:type="spellStart"/>
      <w:r w:rsidRPr="0001091D">
        <w:rPr>
          <w:i/>
        </w:rPr>
        <w:t>Oncol</w:t>
      </w:r>
      <w:proofErr w:type="spellEnd"/>
      <w:r w:rsidRPr="00AC4634">
        <w:t xml:space="preserve"> 2008</w:t>
      </w:r>
      <w:proofErr w:type="gramStart"/>
      <w:r w:rsidRPr="00AC4634">
        <w:t>;26:1148</w:t>
      </w:r>
      <w:proofErr w:type="gramEnd"/>
      <w:r w:rsidRPr="00AC4634">
        <w:t>-59.</w:t>
      </w:r>
    </w:p>
    <w:p w:rsidR="00AC4634" w:rsidRPr="00AC4634" w:rsidRDefault="00AC4634" w:rsidP="005048A4">
      <w:pPr>
        <w:pStyle w:val="ListBullet"/>
      </w:pPr>
      <w:proofErr w:type="spellStart"/>
      <w:r w:rsidRPr="00AC4634">
        <w:t>Caffo</w:t>
      </w:r>
      <w:proofErr w:type="spellEnd"/>
      <w:r w:rsidRPr="00AC4634">
        <w:t xml:space="preserve"> O, </w:t>
      </w:r>
      <w:proofErr w:type="spellStart"/>
      <w:r w:rsidRPr="00AC4634">
        <w:t>Gernone</w:t>
      </w:r>
      <w:proofErr w:type="spellEnd"/>
      <w:r w:rsidRPr="00AC4634">
        <w:t xml:space="preserve"> A, Ortega C et al. Central nervous system metastases from castration-resistant prostate cancer in the docetaxel era. </w:t>
      </w:r>
      <w:r w:rsidRPr="0001091D">
        <w:rPr>
          <w:i/>
        </w:rPr>
        <w:t xml:space="preserve">J. </w:t>
      </w:r>
      <w:proofErr w:type="spellStart"/>
      <w:r w:rsidRPr="0001091D">
        <w:rPr>
          <w:i/>
        </w:rPr>
        <w:t>Neuro</w:t>
      </w:r>
      <w:r w:rsidR="0001091D" w:rsidRPr="0001091D">
        <w:rPr>
          <w:i/>
        </w:rPr>
        <w:t>-</w:t>
      </w:r>
      <w:r w:rsidRPr="0001091D">
        <w:rPr>
          <w:i/>
        </w:rPr>
        <w:t>oncol</w:t>
      </w:r>
      <w:proofErr w:type="spellEnd"/>
      <w:r w:rsidRPr="0001091D">
        <w:rPr>
          <w:i/>
        </w:rPr>
        <w:t>.</w:t>
      </w:r>
      <w:r w:rsidRPr="00AC4634">
        <w:t xml:space="preserve"> </w:t>
      </w:r>
      <w:r w:rsidR="0001091D">
        <w:t>2012</w:t>
      </w:r>
      <w:proofErr w:type="gramStart"/>
      <w:r w:rsidR="0001091D">
        <w:t>;107:</w:t>
      </w:r>
      <w:r w:rsidRPr="00AC4634">
        <w:t>191</w:t>
      </w:r>
      <w:proofErr w:type="gramEnd"/>
      <w:r w:rsidRPr="00AC4634">
        <w:t>–196.</w:t>
      </w:r>
    </w:p>
    <w:p w:rsidR="00AC4634" w:rsidRPr="00AC4634" w:rsidRDefault="005048A4" w:rsidP="005048A4">
      <w:pPr>
        <w:pStyle w:val="ListBullet"/>
      </w:pPr>
      <w:r>
        <w:t>&lt;</w:t>
      </w:r>
      <w:hyperlink r:id="rId20" w:history="1">
        <w:r w:rsidR="00AC4634" w:rsidRPr="00AC4634">
          <w:rPr>
            <w:rStyle w:val="Hyperlink"/>
          </w:rPr>
          <w:t>http://www.nsa.org.au/documents/item/48</w:t>
        </w:r>
      </w:hyperlink>
      <w:r w:rsidRPr="005048A4">
        <w:t>&gt;</w:t>
      </w:r>
      <w:r w:rsidR="0001091D">
        <w:t xml:space="preserve"> </w:t>
      </w:r>
      <w:r w:rsidR="00AC4634" w:rsidRPr="00AC4634">
        <w:t>Brain Tumours and Driving a guide for clinicians</w:t>
      </w:r>
      <w:r w:rsidR="0079640E">
        <w:t xml:space="preserve"> [Brochure </w:t>
      </w:r>
      <w:r w:rsidR="0079640E" w:rsidRPr="0079640E">
        <w:t>prepared for use by medical professionals</w:t>
      </w:r>
      <w:r w:rsidR="0079640E">
        <w:t>]</w:t>
      </w:r>
      <w:r w:rsidR="0079640E" w:rsidRPr="0079640E">
        <w:t>.</w:t>
      </w:r>
    </w:p>
    <w:p w:rsidR="00AC4634" w:rsidRPr="00AC4634" w:rsidRDefault="00AC4634" w:rsidP="005048A4">
      <w:pPr>
        <w:pStyle w:val="Heading4"/>
      </w:pPr>
      <w:r w:rsidRPr="00AC4634">
        <w:t>Pharmacokinetics/</w:t>
      </w:r>
      <w:r w:rsidR="005048A4">
        <w:t>p</w:t>
      </w:r>
      <w:r w:rsidRPr="005048A4">
        <w:t>harmacodynamics</w:t>
      </w:r>
    </w:p>
    <w:p w:rsidR="00AC4634" w:rsidRPr="005048A4" w:rsidRDefault="00AC4634" w:rsidP="005048A4">
      <w:pPr>
        <w:pStyle w:val="Heading5"/>
      </w:pPr>
      <w:r w:rsidRPr="00AC4634">
        <w:t>Absorption</w:t>
      </w:r>
    </w:p>
    <w:p w:rsidR="00AC4634" w:rsidRPr="00AC4634" w:rsidRDefault="00AC4634" w:rsidP="005048A4">
      <w:proofErr w:type="spellStart"/>
      <w:r w:rsidRPr="00AC4634">
        <w:t>Enzalutamide</w:t>
      </w:r>
      <w:proofErr w:type="spellEnd"/>
      <w:r w:rsidRPr="00AC4634">
        <w:t xml:space="preserve"> is a small molecule that has no ionic forms over the physiologic pH range with low solubility and high permeability. It is absorbed rapidly after oral administration, with a Tmax of 1.75 h</w:t>
      </w:r>
      <w:r w:rsidR="00F551AA">
        <w:t xml:space="preserve"> </w:t>
      </w:r>
      <w:r w:rsidRPr="00AC4634">
        <w:t xml:space="preserve">after a single dose of 160 mg. An absolute oral bioavailability study was not conducted as an </w:t>
      </w:r>
      <w:r w:rsidR="00F551AA">
        <w:t xml:space="preserve">IV </w:t>
      </w:r>
      <w:r w:rsidRPr="00AC4634">
        <w:t>formulation of enzalutamide for humans was not available because of its limited aqueous solubility. PK data from animals support the high oral bioavailability estimated from the</w:t>
      </w:r>
      <w:r w:rsidRPr="00AA61AD">
        <w:rPr>
          <w:vertAlign w:val="superscript"/>
        </w:rPr>
        <w:t>14</w:t>
      </w:r>
      <w:r w:rsidRPr="00AC4634">
        <w:t>C human mass balance study (≥ 84.2%), with 71% excreted in the urine as mostly unchanged parent compound, confirming that this is the minimum absorbed.</w:t>
      </w:r>
    </w:p>
    <w:p w:rsidR="00AC4634" w:rsidRPr="00AC4634" w:rsidRDefault="00AC4634" w:rsidP="005048A4">
      <w:r w:rsidRPr="00AC4634">
        <w:t xml:space="preserve">Results showed that a high fat meal reduced the rate of </w:t>
      </w:r>
      <w:r w:rsidR="00C100AB" w:rsidRPr="00C100AB">
        <w:t>enzalutamide</w:t>
      </w:r>
      <w:r w:rsidR="00F87BA0">
        <w:t xml:space="preserve"> absorption (Cmax reduced by </w:t>
      </w:r>
      <w:r w:rsidRPr="00AC4634">
        <w:t>30%; Tmax 1 h</w:t>
      </w:r>
      <w:r w:rsidR="00F551AA">
        <w:t xml:space="preserve"> </w:t>
      </w:r>
      <w:r w:rsidRPr="00AC4634">
        <w:t>later) but that the extent of absorption was unaffected (adjusted geometric mean ratios for AUC</w:t>
      </w:r>
      <w:r w:rsidRPr="000C5B0F">
        <w:rPr>
          <w:vertAlign w:val="subscript"/>
        </w:rPr>
        <w:t>0-t</w:t>
      </w:r>
      <w:r w:rsidRPr="00AC4634">
        <w:t xml:space="preserve"> and AUC</w:t>
      </w:r>
      <w:r w:rsidR="009908FF" w:rsidRPr="009908FF">
        <w:rPr>
          <w:vertAlign w:val="subscript"/>
        </w:rPr>
        <w:t>0-∞</w:t>
      </w:r>
      <w:r w:rsidRPr="00AC4634">
        <w:t xml:space="preserve"> 99.61% and 98.98%, respectively). Thus </w:t>
      </w:r>
      <w:r w:rsidR="00C100AB" w:rsidRPr="00C100AB">
        <w:t>enzalutamide</w:t>
      </w:r>
      <w:r w:rsidRPr="00AC4634">
        <w:t xml:space="preserve"> liquid-filled capsules can be taken with or without food</w:t>
      </w:r>
      <w:r w:rsidR="000C5B0F">
        <w:t>:</w:t>
      </w:r>
      <w:r w:rsidR="0001091D">
        <w:t xml:space="preserve"> </w:t>
      </w:r>
      <w:r w:rsidRPr="00AC4634">
        <w:t>this is included in the PI and the clinical trials doses were taken</w:t>
      </w:r>
      <w:r w:rsidR="005048A4">
        <w:t xml:space="preserve"> without regard to food intake.</w:t>
      </w:r>
    </w:p>
    <w:p w:rsidR="00AC4634" w:rsidRPr="00AC4634" w:rsidRDefault="00AC4634" w:rsidP="005048A4">
      <w:r w:rsidRPr="00AC4634">
        <w:t>There was no major deviation from dose proportion</w:t>
      </w:r>
      <w:r w:rsidR="00F87BA0">
        <w:t>ality or linearity after single</w:t>
      </w:r>
      <w:r w:rsidRPr="00AC4634">
        <w:t xml:space="preserve"> or multiple</w:t>
      </w:r>
      <w:r w:rsidR="00F87BA0">
        <w:t xml:space="preserve"> </w:t>
      </w:r>
      <w:r w:rsidRPr="00AC4634">
        <w:t>dose administration over the dose range of 30 to 600 mg.</w:t>
      </w:r>
    </w:p>
    <w:p w:rsidR="00AC4634" w:rsidRPr="00AC4634" w:rsidRDefault="00AC4634" w:rsidP="005048A4">
      <w:r w:rsidRPr="00AC4634">
        <w:t xml:space="preserve">The mean apparent volume of distribution (V/F) in healthy subjects ranged between 62.7 to 117 L. Results of the hepatic impairment study (9785-CL-0009) indicated that </w:t>
      </w:r>
      <w:r w:rsidR="00C100AB" w:rsidRPr="00C100AB">
        <w:t>enzalutamide</w:t>
      </w:r>
      <w:r w:rsidRPr="00AC4634">
        <w:t xml:space="preserve"> and its metabolites M1 and M2 were highly bound to plasma proteins. The protein binding, irrespective of hepatic function, was 98%, 98%, and 96% for </w:t>
      </w:r>
      <w:r w:rsidR="00C100AB" w:rsidRPr="00C100AB">
        <w:t>enzalutamide</w:t>
      </w:r>
      <w:r w:rsidRPr="00AC4634">
        <w:t>, M1, and M2, respectively. A red blood cell partitioning study indirectly indicated that the radioactivity (enzalutamide) was preferentially retained in the plasma component of blood.</w:t>
      </w:r>
    </w:p>
    <w:p w:rsidR="00AC4634" w:rsidRPr="005048A4" w:rsidRDefault="00AC4634" w:rsidP="005048A4">
      <w:pPr>
        <w:pStyle w:val="Heading5"/>
      </w:pPr>
      <w:bookmarkStart w:id="162" w:name="_Toc272414622"/>
      <w:bookmarkStart w:id="163" w:name="_Toc290846245"/>
      <w:bookmarkStart w:id="164" w:name="_Toc381783606"/>
      <w:r w:rsidRPr="00AC4634">
        <w:t>Metabolism</w:t>
      </w:r>
      <w:bookmarkEnd w:id="162"/>
      <w:bookmarkEnd w:id="163"/>
      <w:bookmarkEnd w:id="164"/>
    </w:p>
    <w:p w:rsidR="00AC4634" w:rsidRPr="00AC4634" w:rsidRDefault="00AC4634" w:rsidP="005048A4">
      <w:r w:rsidRPr="00AC4634">
        <w:t>Sites of metabolism an</w:t>
      </w:r>
      <w:r w:rsidR="00F87BA0">
        <w:t>d mechanisms/</w:t>
      </w:r>
      <w:r w:rsidRPr="00AC4634">
        <w:t>enzyme systems involved</w:t>
      </w:r>
      <w:r w:rsidR="008A38B9">
        <w:t>:</w:t>
      </w:r>
    </w:p>
    <w:p w:rsidR="00AC4634" w:rsidRPr="00AC4634" w:rsidRDefault="00AC4634" w:rsidP="005048A4">
      <w:pPr>
        <w:pStyle w:val="ListBullet"/>
      </w:pPr>
      <w:r w:rsidRPr="00AC4634">
        <w:t xml:space="preserve">A total </w:t>
      </w:r>
      <w:r w:rsidRPr="005048A4">
        <w:t>of</w:t>
      </w:r>
      <w:r w:rsidRPr="00AC4634">
        <w:t xml:space="preserve"> seven Phase I metabolites were identified in plasma, urine, and faeces of healthy subjects. These were formed via </w:t>
      </w:r>
      <w:proofErr w:type="spellStart"/>
      <w:r w:rsidRPr="00AC4634">
        <w:t>demethylation</w:t>
      </w:r>
      <w:proofErr w:type="spellEnd"/>
      <w:r w:rsidRPr="00AC4634">
        <w:t>, oxidation, and hydrolysis reactions. No Phase II conjugation products were observed. Metabolites M1 (inactive; a carboxylic acid derivative) and M2 (active; N-</w:t>
      </w:r>
      <w:proofErr w:type="spellStart"/>
      <w:r w:rsidRPr="00AC4634">
        <w:t>desmethyl</w:t>
      </w:r>
      <w:proofErr w:type="spellEnd"/>
      <w:r w:rsidRPr="00AC4634">
        <w:t xml:space="preserve"> </w:t>
      </w:r>
      <w:proofErr w:type="spellStart"/>
      <w:r w:rsidRPr="00AC4634">
        <w:t>enzalutamide</w:t>
      </w:r>
      <w:proofErr w:type="spellEnd"/>
      <w:r w:rsidRPr="00AC4634">
        <w:t>) were the major metabolites in plasma.</w:t>
      </w:r>
    </w:p>
    <w:p w:rsidR="00AC4634" w:rsidRPr="00AC4634" w:rsidRDefault="00AC4634" w:rsidP="005048A4">
      <w:pPr>
        <w:pStyle w:val="ListBullet"/>
      </w:pPr>
      <w:r w:rsidRPr="00AC4634">
        <w:t xml:space="preserve">The </w:t>
      </w:r>
      <w:r w:rsidRPr="005048A4">
        <w:t>major</w:t>
      </w:r>
      <w:r w:rsidRPr="00AC4634">
        <w:t xml:space="preserve"> </w:t>
      </w:r>
      <w:r w:rsidRPr="000C5B0F">
        <w:rPr>
          <w:vertAlign w:val="superscript"/>
        </w:rPr>
        <w:t>14</w:t>
      </w:r>
      <w:r w:rsidRPr="00AC4634">
        <w:t xml:space="preserve">C components in plasma were parent compound </w:t>
      </w:r>
      <w:r w:rsidR="00C100AB" w:rsidRPr="00C100AB">
        <w:t>enzalutamide</w:t>
      </w:r>
      <w:r w:rsidRPr="00AC4634">
        <w:t xml:space="preserve">, M1 (inactive), and M2 (active). The main component in urine was M1 (62.7% of radioactive dose), with small amounts detected of </w:t>
      </w:r>
      <w:r w:rsidR="005048A4">
        <w:t>inactive metabolites in faeces.</w:t>
      </w:r>
    </w:p>
    <w:p w:rsidR="00AC4634" w:rsidRPr="00AC4634" w:rsidRDefault="00AC4634" w:rsidP="008A38B9">
      <w:pPr>
        <w:pStyle w:val="ListBullet"/>
      </w:pPr>
      <w:r w:rsidRPr="00AC4634">
        <w:t xml:space="preserve">In-vitro studies showed that </w:t>
      </w:r>
      <w:r w:rsidR="00C100AB" w:rsidRPr="00C100AB">
        <w:t>enzalutamide</w:t>
      </w:r>
      <w:r w:rsidRPr="00AC4634">
        <w:t xml:space="preserve"> was metabolised by CYP2C8 and CYP3A4/5, all of which played a role in the formation of the active metabolite. A clinical drug-drug interaction study in healthy volunteers (Study 9785-CL-0006) showed that CYP2C8 played an important role in the metabolism of </w:t>
      </w:r>
      <w:r w:rsidR="00C100AB" w:rsidRPr="00C100AB">
        <w:t>enzalutamide</w:t>
      </w:r>
      <w:r w:rsidRPr="00AC4634">
        <w:t xml:space="preserve"> and the formation of M2. In the presence of a strong</w:t>
      </w:r>
      <w:r w:rsidR="000C5B0F">
        <w:t xml:space="preserve"> CYP2C8 inhibitor (gemfibrozil)</w:t>
      </w:r>
      <w:r w:rsidRPr="00AC4634">
        <w:t xml:space="preserve"> plasma exposure to </w:t>
      </w:r>
      <w:r w:rsidR="00C100AB" w:rsidRPr="00C100AB">
        <w:t>enzalutamide</w:t>
      </w:r>
      <w:r w:rsidR="000C5B0F">
        <w:t xml:space="preserve"> increased by 4.26 </w:t>
      </w:r>
      <w:r w:rsidRPr="00AC4634">
        <w:t xml:space="preserve">fold, while M2 exposure decreased by 25%. The same study also showed that CYP3A4 played a minor role in the metabolism </w:t>
      </w:r>
      <w:r w:rsidRPr="00AC4634">
        <w:lastRenderedPageBreak/>
        <w:t xml:space="preserve">of </w:t>
      </w:r>
      <w:r w:rsidR="00C100AB" w:rsidRPr="00C100AB">
        <w:t>enzalutamide</w:t>
      </w:r>
      <w:r w:rsidRPr="00AC4634">
        <w:t xml:space="preserve">. The exposure of </w:t>
      </w:r>
      <w:r w:rsidR="00C100AB" w:rsidRPr="00C100AB">
        <w:t>enzalutamide</w:t>
      </w:r>
      <w:r w:rsidRPr="00AC4634">
        <w:t xml:space="preserve"> and its metabolites (M1 and M2) were increased by no more than 41% in the presence of a strong C</w:t>
      </w:r>
      <w:r w:rsidR="005048A4">
        <w:t>YP3A4 inhibitor (</w:t>
      </w:r>
      <w:proofErr w:type="spellStart"/>
      <w:r w:rsidR="005048A4">
        <w:t>itraconazole</w:t>
      </w:r>
      <w:proofErr w:type="spellEnd"/>
      <w:r w:rsidR="005048A4">
        <w:t>).</w:t>
      </w:r>
    </w:p>
    <w:p w:rsidR="00AC4634" w:rsidRPr="00AC4634" w:rsidRDefault="00AC4634" w:rsidP="005048A4">
      <w:pPr>
        <w:pStyle w:val="Heading6"/>
      </w:pPr>
      <w:r w:rsidRPr="00AC4634">
        <w:t>Pharmacokinetics of metabolites</w:t>
      </w:r>
    </w:p>
    <w:p w:rsidR="00AC4634" w:rsidRPr="00AC4634" w:rsidRDefault="00AC4634" w:rsidP="005048A4">
      <w:r w:rsidRPr="00AC4634">
        <w:t xml:space="preserve">After a single 160 mg dose of </w:t>
      </w:r>
      <w:r w:rsidR="00C100AB" w:rsidRPr="00C100AB">
        <w:t>enzalutamide</w:t>
      </w:r>
      <w:r w:rsidRPr="00AC4634">
        <w:t xml:space="preserve"> in healthy subjects, metabolites M1 and M2 were formed slowly (median Tmax of 96 and 132 h</w:t>
      </w:r>
      <w:r w:rsidR="00F551AA">
        <w:t xml:space="preserve"> </w:t>
      </w:r>
      <w:r w:rsidRPr="00AC4634">
        <w:t>post-dose for M1 and M2, respectively) and eliminated with a mean t</w:t>
      </w:r>
      <w:r w:rsidR="000C5B0F">
        <w:t xml:space="preserve">½ </w:t>
      </w:r>
      <w:r w:rsidRPr="00AC4634">
        <w:t xml:space="preserve">of 223 and 186 h, respectively. There were no significant changes in exposures to M1 and M2 when </w:t>
      </w:r>
      <w:r w:rsidR="00C100AB" w:rsidRPr="00C100AB">
        <w:t>enzalutamide</w:t>
      </w:r>
      <w:r w:rsidRPr="00AC4634">
        <w:t xml:space="preserve"> was administered with food.</w:t>
      </w:r>
    </w:p>
    <w:p w:rsidR="00AC4634" w:rsidRPr="00AC4634" w:rsidRDefault="00AC4634" w:rsidP="005048A4">
      <w:pPr>
        <w:pStyle w:val="Heading5"/>
      </w:pPr>
      <w:bookmarkStart w:id="165" w:name="_Toc241374289"/>
      <w:bookmarkStart w:id="166" w:name="_Toc272414623"/>
      <w:bookmarkStart w:id="167" w:name="_Toc290846246"/>
      <w:bookmarkStart w:id="168" w:name="_Toc381783607"/>
      <w:r w:rsidRPr="00AC4634">
        <w:t>E</w:t>
      </w:r>
      <w:bookmarkEnd w:id="165"/>
      <w:r w:rsidRPr="00AC4634">
        <w:t>xcretion</w:t>
      </w:r>
      <w:bookmarkEnd w:id="166"/>
      <w:bookmarkEnd w:id="167"/>
      <w:bookmarkEnd w:id="168"/>
    </w:p>
    <w:p w:rsidR="00AC4634" w:rsidRPr="00AC4634" w:rsidRDefault="00AC4634" w:rsidP="005048A4">
      <w:pPr>
        <w:pStyle w:val="Heading6"/>
      </w:pPr>
      <w:r w:rsidRPr="00AC4634">
        <w:t>Routes and mechanisms of excretion</w:t>
      </w:r>
    </w:p>
    <w:p w:rsidR="00AC4634" w:rsidRPr="00AC4634" w:rsidRDefault="00AC4634" w:rsidP="005048A4">
      <w:r w:rsidRPr="00AC4634">
        <w:t xml:space="preserve">In the radiolabel mass balance study, a mean of 84.6% of the orally administered dose (75.4% to 92.0% in individual subjects) was recovered through Day 77 post-dose: 71.0% was recovered in urine (primarily as M1, with trace amount of </w:t>
      </w:r>
      <w:r w:rsidR="00C100AB" w:rsidRPr="00C100AB">
        <w:t>enzalutamide</w:t>
      </w:r>
      <w:r w:rsidRPr="00AC4634">
        <w:t xml:space="preserve"> and M2), and 13.6% was recovered in faeces (0.39% of dose as unchanged parent </w:t>
      </w:r>
      <w:r w:rsidR="00C100AB" w:rsidRPr="00C100AB">
        <w:t>enzalutamide</w:t>
      </w:r>
      <w:r w:rsidRPr="00AC4634">
        <w:t xml:space="preserve">). Based on this result, renal excretion is a minor elimination pathway for unchanged parent </w:t>
      </w:r>
      <w:r w:rsidR="00C100AB" w:rsidRPr="00C100AB">
        <w:t>enzalutamide</w:t>
      </w:r>
      <w:r w:rsidRPr="00AC4634">
        <w:t xml:space="preserve"> and the active metabolite M2.</w:t>
      </w:r>
    </w:p>
    <w:p w:rsidR="00AC4634" w:rsidRPr="00AC4634" w:rsidRDefault="00AC4634" w:rsidP="005048A4">
      <w:r w:rsidRPr="00AC4634">
        <w:t xml:space="preserve">The averaged mean apparent clearance (CL/F) of </w:t>
      </w:r>
      <w:r w:rsidR="00C100AB" w:rsidRPr="00C100AB">
        <w:t>enzalutamide</w:t>
      </w:r>
      <w:r w:rsidRPr="00AC4634">
        <w:t xml:space="preserve"> was between 0.596 to 0.753 L/h in healthy subjects. The mean t</w:t>
      </w:r>
      <w:r w:rsidR="000C5B0F">
        <w:t xml:space="preserve">½ </w:t>
      </w:r>
      <w:r w:rsidRPr="00AC4634">
        <w:t xml:space="preserve">of </w:t>
      </w:r>
      <w:r w:rsidR="00C100AB" w:rsidRPr="00C100AB">
        <w:t>enzalutamide</w:t>
      </w:r>
      <w:r w:rsidRPr="00AC4634">
        <w:t xml:space="preserve"> in healthy subjects was 2.9 to 4.8 days. The mean t</w:t>
      </w:r>
      <w:r w:rsidR="000C5B0F">
        <w:t xml:space="preserve">½ </w:t>
      </w:r>
      <w:r w:rsidRPr="00AC4634">
        <w:t>for M1 and M2 in healthy subjects ranged from 7.8 to 9.3 days, and 7.5 to 8.8 days respectively.</w:t>
      </w:r>
    </w:p>
    <w:p w:rsidR="00AC4634" w:rsidRPr="00AC4634" w:rsidRDefault="00AC4634" w:rsidP="005048A4">
      <w:pPr>
        <w:pStyle w:val="Heading5"/>
      </w:pPr>
      <w:bookmarkStart w:id="169" w:name="_Toc241374291"/>
      <w:bookmarkStart w:id="170" w:name="_Toc272414624"/>
      <w:bookmarkStart w:id="171" w:name="_Toc290846247"/>
      <w:bookmarkStart w:id="172" w:name="_Toc381783608"/>
      <w:r w:rsidRPr="00AC4634">
        <w:t>Intra- and inter-individual variability</w:t>
      </w:r>
      <w:bookmarkEnd w:id="169"/>
      <w:r w:rsidRPr="00AC4634">
        <w:t xml:space="preserve"> of pharmacokinetics</w:t>
      </w:r>
      <w:bookmarkEnd w:id="170"/>
      <w:bookmarkEnd w:id="171"/>
      <w:bookmarkEnd w:id="172"/>
    </w:p>
    <w:p w:rsidR="00AC4634" w:rsidRPr="00AC4634" w:rsidRDefault="00AC4634" w:rsidP="005048A4">
      <w:r w:rsidRPr="00AC4634">
        <w:t>In Study 9785-CL-0001 (healthy subjects; single dose), the exposure variability was low (AUC</w:t>
      </w:r>
      <w:r w:rsidR="009908FF" w:rsidRPr="009908FF">
        <w:rPr>
          <w:vertAlign w:val="subscript"/>
        </w:rPr>
        <w:t>0-∞</w:t>
      </w:r>
      <w:r w:rsidRPr="00AC4634">
        <w:t>), and in Study 9785-CL-0007 (CRPC patients; multiple dose) inter-subject variability (</w:t>
      </w:r>
      <w:proofErr w:type="spellStart"/>
      <w:r w:rsidRPr="00AC4634">
        <w:t>AUC</w:t>
      </w:r>
      <w:r w:rsidRPr="000C5B0F">
        <w:rPr>
          <w:vertAlign w:val="subscript"/>
        </w:rPr>
        <w:t>tau</w:t>
      </w:r>
      <w:proofErr w:type="spellEnd"/>
      <w:r w:rsidRPr="00AC4634">
        <w:t xml:space="preserve">, </w:t>
      </w:r>
      <w:proofErr w:type="spellStart"/>
      <w:r w:rsidRPr="0001091D">
        <w:t>Cmin</w:t>
      </w:r>
      <w:proofErr w:type="spellEnd"/>
      <w:r w:rsidRPr="00AC4634">
        <w:t xml:space="preserve"> and </w:t>
      </w:r>
      <w:proofErr w:type="spellStart"/>
      <w:r w:rsidRPr="00AC4634">
        <w:t>Cmax</w:t>
      </w:r>
      <w:proofErr w:type="spellEnd"/>
      <w:r w:rsidRPr="00AC4634">
        <w:t>) was also low.</w:t>
      </w:r>
    </w:p>
    <w:p w:rsidR="00AC4634" w:rsidRPr="00AC4634" w:rsidRDefault="00AC4634" w:rsidP="005048A4">
      <w:pPr>
        <w:pStyle w:val="Heading5"/>
      </w:pPr>
      <w:bookmarkStart w:id="173" w:name="_Toc241374292"/>
      <w:bookmarkStart w:id="174" w:name="_Ref271189131"/>
      <w:bookmarkStart w:id="175" w:name="_Ref271189136"/>
      <w:bookmarkStart w:id="176" w:name="_Toc272414625"/>
      <w:bookmarkStart w:id="177" w:name="_Toc290846248"/>
      <w:bookmarkStart w:id="178" w:name="_Toc381783609"/>
      <w:r w:rsidRPr="00AC4634">
        <w:t>Pharmacokinetics in the target population</w:t>
      </w:r>
      <w:bookmarkEnd w:id="173"/>
      <w:bookmarkEnd w:id="174"/>
      <w:bookmarkEnd w:id="175"/>
      <w:bookmarkEnd w:id="176"/>
      <w:bookmarkEnd w:id="177"/>
      <w:bookmarkEnd w:id="178"/>
    </w:p>
    <w:p w:rsidR="00AC4634" w:rsidRPr="0001091D" w:rsidRDefault="00AC4634" w:rsidP="005048A4">
      <w:r w:rsidRPr="0001091D">
        <w:t xml:space="preserve">Results in Study S-3100-1-01 showed that oral absorption of </w:t>
      </w:r>
      <w:r w:rsidR="00C100AB" w:rsidRPr="0001091D">
        <w:t>enzalutamide</w:t>
      </w:r>
      <w:r w:rsidRPr="0001091D">
        <w:t xml:space="preserve"> in patients with CRPC was rapid across dose range of 30</w:t>
      </w:r>
      <w:r w:rsidR="00C313D0" w:rsidRPr="0001091D">
        <w:t xml:space="preserve"> </w:t>
      </w:r>
      <w:r w:rsidRPr="0001091D">
        <w:t>mg to 600</w:t>
      </w:r>
      <w:r w:rsidR="00C313D0" w:rsidRPr="0001091D">
        <w:t xml:space="preserve"> </w:t>
      </w:r>
      <w:r w:rsidRPr="0001091D">
        <w:t xml:space="preserve">mg, when administered as single or multiple doses, with peak concentrations of </w:t>
      </w:r>
      <w:r w:rsidR="00C100AB" w:rsidRPr="0001091D">
        <w:t>enzalutamide</w:t>
      </w:r>
      <w:r w:rsidRPr="0001091D">
        <w:t xml:space="preserve"> achieved in about 1 to 2 h post-dose. The mean V/F of </w:t>
      </w:r>
      <w:r w:rsidR="00C100AB" w:rsidRPr="0001091D">
        <w:t>enzalutamide</w:t>
      </w:r>
      <w:r w:rsidRPr="0001091D">
        <w:t xml:space="preserve"> in CRPC patients was 110 L indicating extensive extravascular distribution. The mean CL/F of </w:t>
      </w:r>
      <w:r w:rsidR="00C100AB" w:rsidRPr="0001091D">
        <w:t>enzalutamide</w:t>
      </w:r>
      <w:r w:rsidRPr="0001091D">
        <w:t xml:space="preserve"> in CRPC patients across combined doses of 30</w:t>
      </w:r>
      <w:r w:rsidR="00C313D0" w:rsidRPr="0001091D">
        <w:t xml:space="preserve"> </w:t>
      </w:r>
      <w:r w:rsidRPr="0001091D">
        <w:t>mg to 600</w:t>
      </w:r>
      <w:r w:rsidR="00C313D0" w:rsidRPr="0001091D">
        <w:t xml:space="preserve"> </w:t>
      </w:r>
      <w:r w:rsidRPr="0001091D">
        <w:t xml:space="preserve">mg was 0.564 L/h after single dose and 0.614 L/h after multiple dosing, or approximately 1% of the liver plasma flow rate (48.7 L/h), suggesting that </w:t>
      </w:r>
      <w:r w:rsidR="00C100AB" w:rsidRPr="0001091D">
        <w:t>enzalutamide</w:t>
      </w:r>
      <w:r w:rsidRPr="0001091D">
        <w:t xml:space="preserve"> is a low extraction ratio drug. The mean t</w:t>
      </w:r>
      <w:r w:rsidR="000C5B0F" w:rsidRPr="0001091D">
        <w:t xml:space="preserve">½ </w:t>
      </w:r>
      <w:r w:rsidRPr="0001091D">
        <w:t xml:space="preserve">of </w:t>
      </w:r>
      <w:r w:rsidR="00C100AB" w:rsidRPr="0001091D">
        <w:t>enzalutamide</w:t>
      </w:r>
      <w:r w:rsidRPr="0001091D">
        <w:t xml:space="preserve"> in CRPC patients was 139.6 h (5.8 days) after a single dose. The t</w:t>
      </w:r>
      <w:r w:rsidR="000C5B0F" w:rsidRPr="0001091D">
        <w:t xml:space="preserve">½ </w:t>
      </w:r>
      <w:r w:rsidRPr="0001091D">
        <w:t>did not appear to be affected by dose, and it took approximately 1 month to reach steady state, with daily administration.</w:t>
      </w:r>
    </w:p>
    <w:p w:rsidR="00AC4634" w:rsidRPr="0001091D" w:rsidRDefault="00AC4634" w:rsidP="005048A4">
      <w:r w:rsidRPr="0001091D">
        <w:t xml:space="preserve">Due to its slow clearance from plasma, the daily fluctuations in steady-state </w:t>
      </w:r>
      <w:r w:rsidR="00C100AB" w:rsidRPr="0001091D">
        <w:t>enzalutamide</w:t>
      </w:r>
      <w:r w:rsidRPr="0001091D">
        <w:t xml:space="preserve"> concentrations </w:t>
      </w:r>
      <w:r w:rsidR="005048A4">
        <w:t>after multiple dosing were low.</w:t>
      </w:r>
    </w:p>
    <w:p w:rsidR="00AC4634" w:rsidRPr="005048A4" w:rsidRDefault="00AC4634" w:rsidP="005048A4">
      <w:pPr>
        <w:pStyle w:val="Heading5"/>
      </w:pPr>
      <w:bookmarkStart w:id="179" w:name="_Toc241374294"/>
      <w:bookmarkStart w:id="180" w:name="_Toc272414632"/>
      <w:bookmarkStart w:id="181" w:name="_Toc290846255"/>
      <w:bookmarkStart w:id="182" w:name="_Toc381783612"/>
      <w:bookmarkStart w:id="183" w:name="_Toc241374293"/>
      <w:bookmarkStart w:id="184" w:name="_Toc272414626"/>
      <w:bookmarkStart w:id="185" w:name="_Toc290846249"/>
      <w:bookmarkStart w:id="186" w:name="_Toc381783610"/>
      <w:r w:rsidRPr="00AC4634">
        <w:t>Pharmacokinetic interactions</w:t>
      </w:r>
      <w:bookmarkEnd w:id="179"/>
      <w:bookmarkEnd w:id="180"/>
      <w:bookmarkEnd w:id="181"/>
      <w:bookmarkEnd w:id="182"/>
    </w:p>
    <w:p w:rsidR="00AC4634" w:rsidRPr="005048A4" w:rsidRDefault="00AC4634" w:rsidP="005048A4">
      <w:pPr>
        <w:pStyle w:val="Heading6"/>
      </w:pPr>
      <w:r w:rsidRPr="00AC4634">
        <w:t>Hepatic impairment</w:t>
      </w:r>
    </w:p>
    <w:p w:rsidR="00AC4634" w:rsidRPr="00AC4634" w:rsidRDefault="00AC4634" w:rsidP="005048A4">
      <w:r w:rsidRPr="00AC4634">
        <w:t xml:space="preserve">The PK of </w:t>
      </w:r>
      <w:proofErr w:type="spellStart"/>
      <w:r w:rsidR="00C100AB" w:rsidRPr="00C100AB">
        <w:t>enzalutamide</w:t>
      </w:r>
      <w:proofErr w:type="spellEnd"/>
      <w:r w:rsidRPr="00AC4634">
        <w:t xml:space="preserve"> were examined in subjects with baseline mild (n</w:t>
      </w:r>
      <w:r w:rsidR="000C5B0F">
        <w:t xml:space="preserve"> </w:t>
      </w:r>
      <w:r w:rsidRPr="00AC4634">
        <w:t>=</w:t>
      </w:r>
      <w:r w:rsidR="000C5B0F">
        <w:t xml:space="preserve"> </w:t>
      </w:r>
      <w:r w:rsidRPr="00AC4634">
        <w:t>6) or moderate (n</w:t>
      </w:r>
      <w:r w:rsidR="000C5B0F">
        <w:t xml:space="preserve"> </w:t>
      </w:r>
      <w:r w:rsidRPr="00AC4634">
        <w:t>=</w:t>
      </w:r>
      <w:r w:rsidR="000C5B0F">
        <w:t xml:space="preserve"> </w:t>
      </w:r>
      <w:r w:rsidRPr="00AC4634">
        <w:t>8) hepatic impairment. It is noted that the patients with “moderate” hepatic impairment did not have significant synthe</w:t>
      </w:r>
      <w:r w:rsidR="000C5B0F">
        <w:t xml:space="preserve">sis </w:t>
      </w:r>
      <w:r w:rsidRPr="00AC4634">
        <w:t>dysfunction and therefore may not be fully representative of this population. The modest increased exposure of enzalutamide may be an underestimate for patients with a greater degree of impairment still classified as moderate (no dose adjustment advised). Those with severe hepatic dysfunction were excluded from clinical trials. The PI contains information about a potentially larger effect where there is more significant dysfunction.</w:t>
      </w:r>
    </w:p>
    <w:p w:rsidR="00AC4634" w:rsidRPr="005048A4" w:rsidRDefault="00AC4634" w:rsidP="005048A4">
      <w:pPr>
        <w:pStyle w:val="Heading6"/>
      </w:pPr>
      <w:r w:rsidRPr="00AC4634">
        <w:lastRenderedPageBreak/>
        <w:t>Renal impairment</w:t>
      </w:r>
    </w:p>
    <w:p w:rsidR="00AC4634" w:rsidRPr="00AC4634" w:rsidRDefault="00AC4634" w:rsidP="005048A4">
      <w:r w:rsidRPr="00AC4634">
        <w:t xml:space="preserve">No formal renal impairment study for </w:t>
      </w:r>
      <w:r w:rsidR="00C100AB" w:rsidRPr="00C100AB">
        <w:t>enzalutamide</w:t>
      </w:r>
      <w:r w:rsidRPr="00AC4634">
        <w:t xml:space="preserve"> had been conducted. Based on the results of a population PK analysis (icon2147014) which showed that </w:t>
      </w:r>
      <w:proofErr w:type="spellStart"/>
      <w:r w:rsidR="00956DB4" w:rsidRPr="00956DB4">
        <w:t>CrCL</w:t>
      </w:r>
      <w:proofErr w:type="spellEnd"/>
      <w:r w:rsidRPr="00AC4634">
        <w:t xml:space="preserve"> (≥ 30 mL/min estimated by the Cockcroft and </w:t>
      </w:r>
      <w:proofErr w:type="spellStart"/>
      <w:r w:rsidRPr="00AC4634">
        <w:t>Gault</w:t>
      </w:r>
      <w:proofErr w:type="spellEnd"/>
      <w:r w:rsidRPr="00AC4634">
        <w:t xml:space="preserve"> formula) did not have clinically meaningful influence on the exposures to </w:t>
      </w:r>
      <w:r w:rsidR="00C100AB" w:rsidRPr="00C100AB">
        <w:t>enzalutamide</w:t>
      </w:r>
      <w:r w:rsidRPr="00AC4634">
        <w:t xml:space="preserve">, no dose adjustment was considered necessary for patients with </w:t>
      </w:r>
      <w:proofErr w:type="spellStart"/>
      <w:r w:rsidRPr="00AC4634">
        <w:t>CrCl</w:t>
      </w:r>
      <w:proofErr w:type="spellEnd"/>
      <w:r w:rsidRPr="00AC4634">
        <w:t xml:space="preserve"> values ≥ 30 mL/min. Patients with </w:t>
      </w:r>
      <w:proofErr w:type="spellStart"/>
      <w:r w:rsidRPr="00AC4634">
        <w:t>CrCl</w:t>
      </w:r>
      <w:proofErr w:type="spellEnd"/>
      <w:r w:rsidR="00956DB4">
        <w:t xml:space="preserve"> </w:t>
      </w:r>
      <w:r w:rsidRPr="00AC4634">
        <w:t>&lt;</w:t>
      </w:r>
      <w:r w:rsidR="00956DB4">
        <w:t xml:space="preserve"> </w:t>
      </w:r>
      <w:r w:rsidRPr="00AC4634">
        <w:t>30 mL/min were excluded from clinical studies.</w:t>
      </w:r>
    </w:p>
    <w:p w:rsidR="00AC4634" w:rsidRPr="00AC4634" w:rsidRDefault="00AC4634" w:rsidP="005048A4">
      <w:pPr>
        <w:pStyle w:val="Heading6"/>
      </w:pPr>
      <w:r w:rsidRPr="00AC4634">
        <w:t>Gemfibrozil (potent CYP2C8 inhibitor) and itraconazole (potent CYP3A4 inhibitor)</w:t>
      </w:r>
    </w:p>
    <w:p w:rsidR="00AC4634" w:rsidRPr="00AC4634" w:rsidRDefault="00AC4634" w:rsidP="005048A4">
      <w:r w:rsidRPr="00AC4634">
        <w:t xml:space="preserve">After multiple oral doses of gemfibrozil, and subsequent </w:t>
      </w:r>
      <w:r w:rsidR="00956DB4" w:rsidRPr="00AC4634">
        <w:t>modelling</w:t>
      </w:r>
      <w:r w:rsidRPr="00AC4634">
        <w:t xml:space="preserve"> and simulation in a population PK study (Study 9785-PK-0002) there was a 1.39</w:t>
      </w:r>
      <w:r w:rsidR="00956DB4">
        <w:t xml:space="preserve"> </w:t>
      </w:r>
      <w:r w:rsidRPr="00AC4634">
        <w:t>fold (AUC</w:t>
      </w:r>
      <w:r w:rsidRPr="00956DB4">
        <w:rPr>
          <w:vertAlign w:val="subscript"/>
        </w:rPr>
        <w:t>0-432</w:t>
      </w:r>
      <w:r w:rsidR="00956DB4" w:rsidRPr="00956DB4">
        <w:rPr>
          <w:vertAlign w:val="subscript"/>
        </w:rPr>
        <w:t xml:space="preserve"> </w:t>
      </w:r>
      <w:r w:rsidRPr="00956DB4">
        <w:rPr>
          <w:vertAlign w:val="subscript"/>
        </w:rPr>
        <w:t>h</w:t>
      </w:r>
      <w:r w:rsidRPr="00AC4634">
        <w:t>) and 2.17</w:t>
      </w:r>
      <w:r w:rsidR="00956DB4">
        <w:t xml:space="preserve"> </w:t>
      </w:r>
      <w:r w:rsidRPr="00AC4634">
        <w:t>fold (AUC</w:t>
      </w:r>
      <w:r w:rsidR="009908FF" w:rsidRPr="009908FF">
        <w:rPr>
          <w:vertAlign w:val="subscript"/>
        </w:rPr>
        <w:t>0-∞</w:t>
      </w:r>
      <w:r w:rsidRPr="00AC4634">
        <w:t xml:space="preserve">) increase respectively in of the sum of </w:t>
      </w:r>
      <w:r w:rsidR="00C100AB" w:rsidRPr="00C100AB">
        <w:t>enzalutamide</w:t>
      </w:r>
      <w:r w:rsidRPr="00AC4634">
        <w:t xml:space="preserve"> and M2. The potent CYP3A4 inhibitor itraconazole resulted in a 28% increases in the sum of </w:t>
      </w:r>
      <w:r w:rsidR="00C100AB" w:rsidRPr="00C100AB">
        <w:t>enzalutamide</w:t>
      </w:r>
      <w:r w:rsidRPr="00AC4634">
        <w:t xml:space="preserve"> and M2, respectively. These results suggest that CYP2C8 plays a more important role in the metabolism of </w:t>
      </w:r>
      <w:r w:rsidR="00C100AB" w:rsidRPr="00C100AB">
        <w:t>enzalutamide</w:t>
      </w:r>
      <w:r w:rsidRPr="00AC4634">
        <w:t xml:space="preserve"> and the formation of M2, compared with CYP3A4.</w:t>
      </w:r>
    </w:p>
    <w:p w:rsidR="00AC4634" w:rsidRPr="00AC4634" w:rsidRDefault="00956DB4" w:rsidP="005048A4">
      <w:pPr>
        <w:ind w:left="720"/>
      </w:pPr>
      <w:r w:rsidRPr="00956DB4">
        <w:rPr>
          <w:b/>
        </w:rPr>
        <w:t>Delegate’s c</w:t>
      </w:r>
      <w:r w:rsidR="00AC4634" w:rsidRPr="00956DB4">
        <w:rPr>
          <w:b/>
        </w:rPr>
        <w:t>omment</w:t>
      </w:r>
      <w:r w:rsidR="00AC4634" w:rsidRPr="00AC4634">
        <w:t>: appropriate prescribing advice is included in the PI regarding dose adjustments of enzalutamide if use of strong CYP2C8 inhibitors (</w:t>
      </w:r>
      <w:r>
        <w:t xml:space="preserve">such as </w:t>
      </w:r>
      <w:r w:rsidR="00AC4634" w:rsidRPr="00AC4634">
        <w:t>gemfibrozil). The advice is extrapolated to avoid inducers (</w:t>
      </w:r>
      <w:r>
        <w:t xml:space="preserve">such as </w:t>
      </w:r>
      <w:r w:rsidR="00AC4634" w:rsidRPr="00AC4634">
        <w:t xml:space="preserve">rifampicin) but there are no data to demonstrate the effects or whether a higher enzalutamide dose is required with concomitant inducers to avoid loss of efficacy. The PD dose selection studies showed a PSA decrease of 59.3% at enzalutamide 60 mg/day and of 66.7% at 150 mg/day. Thus, any dose adjustment would depend on the observed metabolism of both the parent and active metabolite. </w:t>
      </w:r>
      <w:r w:rsidR="00252D23">
        <w:t xml:space="preserve">In response to this Overview, the </w:t>
      </w:r>
      <w:r w:rsidR="00252D23" w:rsidRPr="00252D23">
        <w:t>s</w:t>
      </w:r>
      <w:r w:rsidR="00AC4634" w:rsidRPr="00252D23">
        <w:t xml:space="preserve">ponsor </w:t>
      </w:r>
      <w:r w:rsidR="00252D23" w:rsidRPr="00252D23">
        <w:t>wa</w:t>
      </w:r>
      <w:r w:rsidR="00AC4634" w:rsidRPr="00252D23">
        <w:t>s requested to advise</w:t>
      </w:r>
      <w:r w:rsidR="0092262E" w:rsidRPr="00252D23">
        <w:t xml:space="preserve"> whether such a study has been </w:t>
      </w:r>
      <w:r w:rsidR="00AC4634" w:rsidRPr="00252D23">
        <w:t xml:space="preserve">performed (and if so, </w:t>
      </w:r>
      <w:r w:rsidR="00252D23">
        <w:t>provide the results) or is planned (s</w:t>
      </w:r>
      <w:r w:rsidR="00AC4634" w:rsidRPr="00252D23">
        <w:t xml:space="preserve">ee </w:t>
      </w:r>
      <w:r w:rsidR="00AC4634" w:rsidRPr="00252D23">
        <w:rPr>
          <w:i/>
        </w:rPr>
        <w:t xml:space="preserve">Questions for </w:t>
      </w:r>
      <w:r w:rsidR="005D68B9">
        <w:rPr>
          <w:i/>
        </w:rPr>
        <w:t xml:space="preserve">the </w:t>
      </w:r>
      <w:r w:rsidR="00252D23" w:rsidRPr="00252D23">
        <w:rPr>
          <w:i/>
        </w:rPr>
        <w:t>s</w:t>
      </w:r>
      <w:r w:rsidR="00AC4634" w:rsidRPr="00252D23">
        <w:rPr>
          <w:i/>
        </w:rPr>
        <w:t>ponsor</w:t>
      </w:r>
      <w:r w:rsidR="00252D23">
        <w:t>, below)</w:t>
      </w:r>
      <w:r w:rsidR="00AC4634" w:rsidRPr="00252D23">
        <w:t>.</w:t>
      </w:r>
    </w:p>
    <w:p w:rsidR="00AC4634" w:rsidRPr="00AC4634" w:rsidRDefault="00AC4634" w:rsidP="005048A4">
      <w:pPr>
        <w:pStyle w:val="Heading6"/>
      </w:pPr>
      <w:r w:rsidRPr="00AC4634">
        <w:t>Pioglitazone (CYP2C8 substrate), S-warfarin (CYP2C9 substrate), omeprazole (CYP2C19 substrate) and midazolam (CYP3A4 substrate)</w:t>
      </w:r>
    </w:p>
    <w:p w:rsidR="00AC4634" w:rsidRPr="00AC4634" w:rsidRDefault="00AC4634" w:rsidP="005048A4">
      <w:r w:rsidRPr="00AC4634">
        <w:t xml:space="preserve">Study 9785-CL-0007 showed that </w:t>
      </w:r>
      <w:r w:rsidR="00C100AB" w:rsidRPr="00C100AB">
        <w:t>enzalutamide</w:t>
      </w:r>
      <w:r w:rsidRPr="00AC4634">
        <w:t xml:space="preserve"> is a strong inducer of CYP3A4, and moderate inducer of CYP2C9 and CYP2C19. After a single oral dose of 2 mg midazolam in the presence of 160 mg </w:t>
      </w:r>
      <w:r w:rsidR="00C100AB" w:rsidRPr="00C100AB">
        <w:t>enzalutamide</w:t>
      </w:r>
      <w:r w:rsidRPr="00AC4634">
        <w:t xml:space="preserve"> at steady state, AUC</w:t>
      </w:r>
      <w:r w:rsidRPr="009908FF">
        <w:rPr>
          <w:vertAlign w:val="subscript"/>
        </w:rPr>
        <w:t>0-t</w:t>
      </w:r>
      <w:r w:rsidRPr="00AC4634">
        <w:t>, AUC</w:t>
      </w:r>
      <w:r w:rsidR="009908FF" w:rsidRPr="009908FF">
        <w:rPr>
          <w:vertAlign w:val="subscript"/>
        </w:rPr>
        <w:t>0-∞</w:t>
      </w:r>
      <w:r w:rsidRPr="00AC4634">
        <w:t xml:space="preserve"> and Cmax of CYP3A4 substrate midazolam decreased by 86%, 86% and 77%, respectively, compared with administration of 2 mg midazolam alone. After a single oral dose of 10 mg warfarin in the presence of 160 mg </w:t>
      </w:r>
      <w:r w:rsidR="00C100AB" w:rsidRPr="00C100AB">
        <w:t>enzalutamide</w:t>
      </w:r>
      <w:r w:rsidRPr="00AC4634">
        <w:t xml:space="preserve"> at steady state, AUC</w:t>
      </w:r>
      <w:r w:rsidRPr="009908FF">
        <w:rPr>
          <w:vertAlign w:val="subscript"/>
        </w:rPr>
        <w:t>0-t</w:t>
      </w:r>
      <w:r w:rsidRPr="00AC4634">
        <w:t xml:space="preserve"> and AUC</w:t>
      </w:r>
      <w:r w:rsidR="009908FF" w:rsidRPr="009908FF">
        <w:rPr>
          <w:vertAlign w:val="subscript"/>
        </w:rPr>
        <w:t>0-∞</w:t>
      </w:r>
      <w:r w:rsidRPr="00AC4634">
        <w:t xml:space="preserve"> of CYP2C9 substrate S-warfarin decreased by 55% and 56%, respectively. After a single oral dose of 20 mg omeprazole in the presence of 160 mg </w:t>
      </w:r>
      <w:r w:rsidR="00C100AB" w:rsidRPr="00C100AB">
        <w:t>enzalutamide</w:t>
      </w:r>
      <w:r w:rsidRPr="00AC4634">
        <w:t xml:space="preserve"> at steady state, AUC</w:t>
      </w:r>
      <w:r w:rsidRPr="009908FF">
        <w:rPr>
          <w:vertAlign w:val="subscript"/>
        </w:rPr>
        <w:t>0-t</w:t>
      </w:r>
      <w:r w:rsidRPr="00AC4634">
        <w:t>, AUC</w:t>
      </w:r>
      <w:r w:rsidR="009908FF" w:rsidRPr="009908FF">
        <w:rPr>
          <w:vertAlign w:val="subscript"/>
        </w:rPr>
        <w:t>0-∞</w:t>
      </w:r>
      <w:r w:rsidRPr="00AC4634">
        <w:t xml:space="preserve"> and Cmax of CYP2C19 substrate omeprazole decreased by 72% </w:t>
      </w:r>
      <w:r w:rsidR="005048A4">
        <w:t>and 70%, and 62%, respectively.</w:t>
      </w:r>
    </w:p>
    <w:p w:rsidR="00AC4634" w:rsidRPr="00AC4634" w:rsidRDefault="0092262E" w:rsidP="005048A4">
      <w:pPr>
        <w:ind w:left="720"/>
      </w:pPr>
      <w:r w:rsidRPr="0092262E">
        <w:rPr>
          <w:b/>
        </w:rPr>
        <w:t>Delegate’s c</w:t>
      </w:r>
      <w:r w:rsidR="00AC4634" w:rsidRPr="0092262E">
        <w:rPr>
          <w:b/>
        </w:rPr>
        <w:t>omment</w:t>
      </w:r>
      <w:r w:rsidR="00AC4634" w:rsidRPr="00AC4634">
        <w:t xml:space="preserve">: The PI for enzalutamide includes the potential interactions with drugs which are substrates </w:t>
      </w:r>
      <w:r w:rsidR="005048A4">
        <w:t>of CYP3A4, CYP2C9, and CYP2C19.</w:t>
      </w:r>
    </w:p>
    <w:p w:rsidR="00AC4634" w:rsidRPr="005048A4" w:rsidRDefault="00AC4634" w:rsidP="005048A4">
      <w:pPr>
        <w:pStyle w:val="Heading4"/>
      </w:pPr>
      <w:bookmarkStart w:id="187" w:name="_Toc241374300"/>
      <w:bookmarkStart w:id="188" w:name="_Toc272414641"/>
      <w:bookmarkStart w:id="189" w:name="_Toc290846263"/>
      <w:bookmarkStart w:id="190" w:name="_Toc381783620"/>
      <w:bookmarkEnd w:id="183"/>
      <w:bookmarkEnd w:id="184"/>
      <w:bookmarkEnd w:id="185"/>
      <w:bookmarkEnd w:id="186"/>
      <w:proofErr w:type="spellStart"/>
      <w:r w:rsidRPr="00AC4634">
        <w:t>Pharmacodynamic</w:t>
      </w:r>
      <w:proofErr w:type="spellEnd"/>
      <w:r w:rsidRPr="00AC4634">
        <w:t xml:space="preserve"> effects</w:t>
      </w:r>
      <w:bookmarkEnd w:id="187"/>
      <w:bookmarkEnd w:id="188"/>
      <w:bookmarkEnd w:id="189"/>
      <w:bookmarkEnd w:id="190"/>
    </w:p>
    <w:p w:rsidR="00AC4634" w:rsidRPr="00AC4634" w:rsidRDefault="00AC4634" w:rsidP="005048A4">
      <w:r w:rsidRPr="00AC4634">
        <w:t xml:space="preserve">In Study CRPC-MDA-1, a single-centre (the US), single arm, open-label study of patients with metastatic progressive CRPC treated with oral </w:t>
      </w:r>
      <w:r w:rsidR="00C100AB" w:rsidRPr="00C100AB">
        <w:t>enzalutamide</w:t>
      </w:r>
      <w:r w:rsidRPr="00AC4634">
        <w:t xml:space="preserve"> (160 mg/day), immunohistochemistry for </w:t>
      </w:r>
      <w:r w:rsidR="00BB6145">
        <w:t>AR</w:t>
      </w:r>
      <w:r w:rsidRPr="00AC4634">
        <w:t xml:space="preserve"> in bone marrow samples was performed and subcellular distribution of </w:t>
      </w:r>
      <w:r w:rsidR="00BB6145">
        <w:t>AR</w:t>
      </w:r>
      <w:r w:rsidRPr="00AC4634">
        <w:t xml:space="preserve"> was recorded (membranous, cytosolic, nuclear, or combination). Paired baseline and Week 9 specimens </w:t>
      </w:r>
      <w:r w:rsidR="0092262E">
        <w:t xml:space="preserve">were </w:t>
      </w:r>
      <w:r w:rsidR="0092262E" w:rsidRPr="00AC4634">
        <w:t xml:space="preserve">evaluable </w:t>
      </w:r>
      <w:r w:rsidRPr="00AC4634">
        <w:t xml:space="preserve">from 16 patients (26.7%):5 patients </w:t>
      </w:r>
      <w:r w:rsidR="0092262E">
        <w:t xml:space="preserve">who were </w:t>
      </w:r>
      <w:r w:rsidRPr="00AC4634">
        <w:t xml:space="preserve">PSA responders (defined by a ≥ 50% reduction from baseline in PSA at Week 9) showed reduction in nuclear </w:t>
      </w:r>
      <w:r w:rsidR="00BB6145">
        <w:t>AR</w:t>
      </w:r>
      <w:r w:rsidR="0092262E">
        <w:t xml:space="preserve"> localisation </w:t>
      </w:r>
      <w:r w:rsidRPr="00AC4634">
        <w:t xml:space="preserve">and of 11 PSA non-responders, 2 showed reduction in nuclear </w:t>
      </w:r>
      <w:r w:rsidR="00BB6145">
        <w:t>AR</w:t>
      </w:r>
      <w:r w:rsidRPr="00AC4634">
        <w:t xml:space="preserve"> localisation and 9 showed no change or increase in nuclear </w:t>
      </w:r>
      <w:r w:rsidR="00BB6145">
        <w:t>AR</w:t>
      </w:r>
      <w:r w:rsidR="005048A4">
        <w:t xml:space="preserve"> localisation.</w:t>
      </w:r>
    </w:p>
    <w:p w:rsidR="00AC4634" w:rsidRPr="005048A4" w:rsidRDefault="00AC4634" w:rsidP="005048A4">
      <w:pPr>
        <w:pStyle w:val="Heading5"/>
      </w:pPr>
      <w:bookmarkStart w:id="191" w:name="_Toc272414643"/>
      <w:bookmarkStart w:id="192" w:name="_Toc290846265"/>
      <w:bookmarkStart w:id="193" w:name="_Toc381783622"/>
      <w:r w:rsidRPr="00AC4634">
        <w:lastRenderedPageBreak/>
        <w:t xml:space="preserve">Secondary </w:t>
      </w:r>
      <w:proofErr w:type="spellStart"/>
      <w:r w:rsidRPr="00AC4634">
        <w:t>pharmacodynamic</w:t>
      </w:r>
      <w:proofErr w:type="spellEnd"/>
      <w:r w:rsidRPr="00AC4634">
        <w:t xml:space="preserve"> effects</w:t>
      </w:r>
      <w:bookmarkEnd w:id="191"/>
      <w:bookmarkEnd w:id="192"/>
      <w:bookmarkEnd w:id="193"/>
    </w:p>
    <w:p w:rsidR="00AC4634" w:rsidRPr="00AC4634" w:rsidRDefault="00AC4634" w:rsidP="005048A4">
      <w:r w:rsidRPr="00AC4634">
        <w:t xml:space="preserve">A population PK/PD model (Study report 9785-PK-0001) was developed to examine the effect of </w:t>
      </w:r>
      <w:r w:rsidR="00742B55" w:rsidRPr="00742B55">
        <w:t>enzalutamide</w:t>
      </w:r>
      <w:r w:rsidRPr="00AC4634">
        <w:t xml:space="preserve"> exposures on PSA concentrations, using data from Study S-3100-1-01. Results supported an </w:t>
      </w:r>
      <w:r w:rsidR="00742B55" w:rsidRPr="00742B55">
        <w:t>enzalutamide</w:t>
      </w:r>
      <w:r w:rsidRPr="00AC4634">
        <w:t xml:space="preserve"> effect of decreasing initial PSA concentrations, and slowing the rate of PSA concentration increase during treatment. Simulation results suggested that chemo-naïve patients appeared to have a greater treatment benefit than post-chemotherapy patients.</w:t>
      </w:r>
    </w:p>
    <w:p w:rsidR="00AC4634" w:rsidRPr="00AC4634" w:rsidRDefault="0092262E" w:rsidP="005048A4">
      <w:pPr>
        <w:pStyle w:val="Heading4"/>
      </w:pPr>
      <w:r>
        <w:t>Dose s</w:t>
      </w:r>
      <w:r w:rsidR="00AC4634" w:rsidRPr="00AC4634">
        <w:t>election</w:t>
      </w:r>
    </w:p>
    <w:p w:rsidR="00AC4634" w:rsidRPr="00AC4634" w:rsidRDefault="00AC4634" w:rsidP="005048A4">
      <w:r w:rsidRPr="00AC4634">
        <w:t>The 160 mg dose for the pivo</w:t>
      </w:r>
      <w:r w:rsidR="006F774B">
        <w:t xml:space="preserve">tal study was chosen after dose </w:t>
      </w:r>
      <w:r w:rsidRPr="00AC4634">
        <w:t>limiting toxicities (fatigue, seizures were observ</w:t>
      </w:r>
      <w:r w:rsidR="0092262E">
        <w:t>ed &gt; 240 mg daily (Phase I dose escalation S</w:t>
      </w:r>
      <w:r w:rsidRPr="00AC4634">
        <w:t>tudy S-3100-1-01). Efficacy (no progression by any means</w:t>
      </w:r>
      <w:r w:rsidR="0092262E">
        <w:t xml:space="preserve">: </w:t>
      </w:r>
      <w:r w:rsidRPr="00AC4634">
        <w:t>PSA, radiographic, or clinical at 24 weeks) was shown to be similar for the 150 mg/day dose and 240</w:t>
      </w:r>
      <w:r w:rsidR="00C313D0">
        <w:t xml:space="preserve"> </w:t>
      </w:r>
      <w:r w:rsidRPr="00AC4634">
        <w:t>mg/day cohort. There was a dose-dependent improvement in the number achieving &gt;</w:t>
      </w:r>
      <w:r w:rsidR="0092262E">
        <w:t xml:space="preserve"> </w:t>
      </w:r>
      <w:r w:rsidRPr="00AC4634">
        <w:t xml:space="preserve">50% decrease in PSA, but not beyond 150 </w:t>
      </w:r>
      <w:r w:rsidR="0098284C">
        <w:t>m</w:t>
      </w:r>
      <w:r w:rsidR="005048A4">
        <w:t>g daily.</w:t>
      </w:r>
    </w:p>
    <w:p w:rsidR="00AC4634" w:rsidRPr="00AC4634" w:rsidRDefault="00AC4634" w:rsidP="005048A4">
      <w:r w:rsidRPr="00AC4634">
        <w:t>Based on a 40 mg capsule formulation, a dose of 160 mg/</w:t>
      </w:r>
      <w:r w:rsidR="006563D1">
        <w:t>day was selected for the CRPC2 S</w:t>
      </w:r>
      <w:r w:rsidR="005048A4">
        <w:t>tudy.</w:t>
      </w:r>
    </w:p>
    <w:p w:rsidR="00AC4634" w:rsidRPr="005048A4" w:rsidRDefault="005048A4" w:rsidP="005048A4">
      <w:pPr>
        <w:pStyle w:val="Heading4"/>
      </w:pPr>
      <w:r>
        <w:t>Efficacy</w:t>
      </w:r>
    </w:p>
    <w:p w:rsidR="00AC4634" w:rsidRPr="00AC4634" w:rsidRDefault="00AC4634" w:rsidP="005048A4">
      <w:bookmarkStart w:id="194" w:name="_Toc290846278"/>
      <w:bookmarkStart w:id="195" w:name="_Toc290888815"/>
      <w:bookmarkStart w:id="196" w:name="_Toc371611811"/>
      <w:bookmarkStart w:id="197" w:name="_Toc371612393"/>
      <w:bookmarkStart w:id="198" w:name="_Toc371612657"/>
      <w:bookmarkStart w:id="199" w:name="_Toc371613188"/>
      <w:r w:rsidRPr="00AC4634">
        <w:t>Study CRPC2 was a multi-centre (156 sites, 15 countries in North &amp; South America, Europe, Australia, and South Africa), randomised, double-blind, placebo</w:t>
      </w:r>
      <w:r w:rsidR="00A76A72">
        <w:t xml:space="preserve"> </w:t>
      </w:r>
      <w:r w:rsidRPr="00AC4634">
        <w:t xml:space="preserve">controlled, Phase III study evaluating the efficacy and safety of 160 mg daily of enzalutamide in patients with progressive CRPC who had been previously treated with 1 or 2 chemotherapy regimens, at least 1 of which was docetaxel-based. Subjects were randomised stratified by baseline ECOG performance status score (0-1 </w:t>
      </w:r>
      <w:r w:rsidR="008C2725">
        <w:t>versus</w:t>
      </w:r>
      <w:r w:rsidRPr="00AC4634">
        <w:t xml:space="preserve"> 2) and baseline mean Brief Pain Inventory-Short Form Question #3 score. Patients were randomised 2:1 ratio to receive either </w:t>
      </w:r>
      <w:r w:rsidR="00742B55" w:rsidRPr="00742B55">
        <w:t>enzalutamide</w:t>
      </w:r>
      <w:r w:rsidRPr="00AC4634">
        <w:t xml:space="preserve"> (160 mg daily) or placebo until unacceptable toxicity, or confirmed disease progression and the patient was scheduled to initiate a new systemic antineoplastic therapy, death, or withdrawal. A QT/QTc evaluation was embedded into the study, in which all ECGs were read </w:t>
      </w:r>
      <w:r w:rsidR="005048A4">
        <w:t>centrally at an ECG laboratory.</w:t>
      </w:r>
    </w:p>
    <w:p w:rsidR="00AC4634" w:rsidRPr="00AC4634" w:rsidRDefault="00AC4634" w:rsidP="005048A4">
      <w:r w:rsidRPr="00AC4634">
        <w:t>Progression was determined by radiological evidence of (&gt;</w:t>
      </w:r>
      <w:r w:rsidR="0092262E">
        <w:t xml:space="preserve"> </w:t>
      </w:r>
      <w:r w:rsidRPr="00AC4634">
        <w:t>2 new bone metastases on bone</w:t>
      </w:r>
      <w:r w:rsidR="0092262E">
        <w:t xml:space="preserve"> </w:t>
      </w:r>
      <w:r w:rsidRPr="00AC4634">
        <w:t xml:space="preserve">scan or soft tissue progression) or by occurrence of an adverse skeletal event. PSA progression was not a criterion to discontinue treatment. As per the </w:t>
      </w:r>
      <w:r w:rsidR="0092262E" w:rsidRPr="0092262E">
        <w:t xml:space="preserve">Prostate Cancer Clinical Trials Working Group 2 </w:t>
      </w:r>
      <w:r w:rsidR="0092262E">
        <w:t>(</w:t>
      </w:r>
      <w:r w:rsidRPr="00AC4634">
        <w:t>PCWG2</w:t>
      </w:r>
      <w:r w:rsidR="0092262E">
        <w:t>)</w:t>
      </w:r>
      <w:r w:rsidRPr="00AC4634">
        <w:t xml:space="preserve"> guidelines, progression detected at the first scheduled reassessment at Week 13 required a confirmatory scan &gt;</w:t>
      </w:r>
      <w:r w:rsidR="0092262E">
        <w:t xml:space="preserve"> </w:t>
      </w:r>
      <w:r w:rsidRPr="00AC4634">
        <w:t>6 weeks later showing progressively worsening disease (</w:t>
      </w:r>
      <w:r w:rsidR="0092262E">
        <w:t xml:space="preserve">for example, </w:t>
      </w:r>
      <w:r w:rsidRPr="00AC4634">
        <w:t xml:space="preserve">additional new lesions on bone scan) without study medication discontinuation in the interim. Study medication was not discontinued until there was confirmatory evidence </w:t>
      </w:r>
      <w:r w:rsidR="0092262E">
        <w:t xml:space="preserve">and </w:t>
      </w:r>
      <w:r w:rsidRPr="00AC4634">
        <w:t>the patient was scheduled to initiate another s</w:t>
      </w:r>
      <w:r w:rsidR="005048A4">
        <w:t>ystemic antineoplastic therapy.</w:t>
      </w:r>
    </w:p>
    <w:p w:rsidR="00AC4634" w:rsidRPr="00AC4634" w:rsidRDefault="0092262E" w:rsidP="005048A4">
      <w:pPr>
        <w:ind w:left="720"/>
      </w:pPr>
      <w:r w:rsidRPr="0092262E">
        <w:rPr>
          <w:b/>
        </w:rPr>
        <w:t>Delegate’s c</w:t>
      </w:r>
      <w:r w:rsidR="00AC4634" w:rsidRPr="0092262E">
        <w:rPr>
          <w:b/>
        </w:rPr>
        <w:t>omment</w:t>
      </w:r>
      <w:r w:rsidR="00AC4634" w:rsidRPr="00AC4634">
        <w:t>: the entry and exit criteria from the study differ in that patients were eligible to enrol with just a rising PSA (defined progressive disease for 41% enrolled in the study) but this was not used as a marker of progression to discon</w:t>
      </w:r>
      <w:r w:rsidR="00252D23">
        <w:t xml:space="preserve">tinue the study treatment. In response to this Overview, </w:t>
      </w:r>
      <w:r w:rsidR="00252D23" w:rsidRPr="00252D23">
        <w:t>the s</w:t>
      </w:r>
      <w:r w:rsidR="00AC4634" w:rsidRPr="00252D23">
        <w:t xml:space="preserve">ponsor </w:t>
      </w:r>
      <w:r w:rsidR="00252D23" w:rsidRPr="00252D23">
        <w:t>wa</w:t>
      </w:r>
      <w:r w:rsidR="00AC4634" w:rsidRPr="00252D23">
        <w:t>s requested to provide a breakdown of the distribution of these patients in each arm and separately for those with no metastatic disease eve</w:t>
      </w:r>
      <w:r w:rsidR="00252D23">
        <w:t xml:space="preserve">r diagnosed (see </w:t>
      </w:r>
      <w:r w:rsidR="00252D23" w:rsidRPr="00252D23">
        <w:rPr>
          <w:i/>
        </w:rPr>
        <w:t xml:space="preserve">Questions for </w:t>
      </w:r>
      <w:r w:rsidR="005D68B9">
        <w:rPr>
          <w:i/>
        </w:rPr>
        <w:t xml:space="preserve">the </w:t>
      </w:r>
      <w:r w:rsidR="00252D23" w:rsidRPr="00252D23">
        <w:rPr>
          <w:i/>
        </w:rPr>
        <w:t>s</w:t>
      </w:r>
      <w:r w:rsidR="00AC4634" w:rsidRPr="00252D23">
        <w:rPr>
          <w:i/>
        </w:rPr>
        <w:t>ponsor</w:t>
      </w:r>
      <w:r w:rsidR="00252D23">
        <w:t>, below</w:t>
      </w:r>
      <w:r w:rsidR="00AC4634" w:rsidRPr="00252D23">
        <w:t>).</w:t>
      </w:r>
    </w:p>
    <w:p w:rsidR="00252D23" w:rsidRDefault="00252D23" w:rsidP="005048A4">
      <w:r>
        <w:t>The p</w:t>
      </w:r>
      <w:r w:rsidR="00AC4634" w:rsidRPr="00AC4634">
        <w:t>rimary objective</w:t>
      </w:r>
      <w:r>
        <w:t xml:space="preserve"> was </w:t>
      </w:r>
      <w:r w:rsidR="004672F0">
        <w:t>OS</w:t>
      </w:r>
      <w:r>
        <w:t xml:space="preserve"> </w:t>
      </w:r>
      <w:r w:rsidR="00AC4634" w:rsidRPr="00AC4634">
        <w:t xml:space="preserve">(death due to any cause) with </w:t>
      </w:r>
      <w:proofErr w:type="spellStart"/>
      <w:r w:rsidR="00AC4634" w:rsidRPr="00AC4634">
        <w:t>enzalutamide</w:t>
      </w:r>
      <w:proofErr w:type="spellEnd"/>
      <w:r w:rsidR="00AC4634" w:rsidRPr="00AC4634">
        <w:t xml:space="preserve"> </w:t>
      </w:r>
      <w:r w:rsidR="005048A4">
        <w:t>versus placebo.</w:t>
      </w:r>
    </w:p>
    <w:p w:rsidR="00AC4634" w:rsidRPr="00AC4634" w:rsidRDefault="00AC4634" w:rsidP="005048A4">
      <w:r w:rsidRPr="00AC4634">
        <w:t xml:space="preserve">Secondary objectives </w:t>
      </w:r>
      <w:r w:rsidR="00252D23">
        <w:t>included</w:t>
      </w:r>
      <w:r w:rsidR="005048A4">
        <w:t>:</w:t>
      </w:r>
    </w:p>
    <w:p w:rsidR="00AC4634" w:rsidRPr="00AC4634" w:rsidRDefault="00AC4634" w:rsidP="005048A4">
      <w:pPr>
        <w:pStyle w:val="ListBullet"/>
      </w:pPr>
      <w:r w:rsidRPr="00AC4634">
        <w:t xml:space="preserve">radiographic </w:t>
      </w:r>
      <w:r w:rsidR="008C45CE">
        <w:t>PFS</w:t>
      </w:r>
    </w:p>
    <w:p w:rsidR="00AC4634" w:rsidRPr="00AC4634" w:rsidRDefault="00AC4634" w:rsidP="005048A4">
      <w:pPr>
        <w:pStyle w:val="ListBullet"/>
      </w:pPr>
      <w:r w:rsidRPr="00AC4634">
        <w:lastRenderedPageBreak/>
        <w:t>time to first skeletal-related event</w:t>
      </w:r>
    </w:p>
    <w:p w:rsidR="00AC4634" w:rsidRPr="00AC4634" w:rsidRDefault="00AC4634" w:rsidP="005048A4">
      <w:pPr>
        <w:pStyle w:val="ListBullet"/>
      </w:pPr>
      <w:r w:rsidRPr="00AC4634">
        <w:t>quality of life</w:t>
      </w:r>
    </w:p>
    <w:p w:rsidR="00AC4634" w:rsidRPr="00AC4634" w:rsidRDefault="00AC4634" w:rsidP="00252D23">
      <w:pPr>
        <w:pStyle w:val="ListBullet"/>
      </w:pPr>
      <w:r w:rsidRPr="00AC4634">
        <w:t>time to PSA progression</w:t>
      </w:r>
    </w:p>
    <w:p w:rsidR="00AC4634" w:rsidRPr="00AC4634" w:rsidRDefault="00AC4634" w:rsidP="005048A4">
      <w:pPr>
        <w:pStyle w:val="ListBullet"/>
      </w:pPr>
      <w:r w:rsidRPr="00AC4634">
        <w:t>pain palliation</w:t>
      </w:r>
    </w:p>
    <w:p w:rsidR="00AC4634" w:rsidRPr="00AC4634" w:rsidRDefault="00AC4634" w:rsidP="005048A4">
      <w:pPr>
        <w:pStyle w:val="ListBullet"/>
      </w:pPr>
      <w:r w:rsidRPr="00AC4634">
        <w:t xml:space="preserve">circulating tumour cell count </w:t>
      </w:r>
      <w:r w:rsidRPr="005048A4">
        <w:t>conversion</w:t>
      </w:r>
      <w:r w:rsidRPr="00AC4634">
        <w:t xml:space="preserve"> rate (data not submitted in this submission)</w:t>
      </w:r>
    </w:p>
    <w:p w:rsidR="00AC4634" w:rsidRPr="00AC4634" w:rsidRDefault="00AC4634" w:rsidP="005048A4">
      <w:pPr>
        <w:pStyle w:val="ListBullet"/>
      </w:pPr>
      <w:r w:rsidRPr="00AC4634">
        <w:t>safety</w:t>
      </w:r>
    </w:p>
    <w:p w:rsidR="00AC4634" w:rsidRPr="00AC4634" w:rsidRDefault="005048A4" w:rsidP="005048A4">
      <w:pPr>
        <w:pStyle w:val="ListBullet"/>
      </w:pPr>
      <w:r>
        <w:t>ECG changes</w:t>
      </w:r>
    </w:p>
    <w:p w:rsidR="00AC4634" w:rsidRPr="00AC4634" w:rsidRDefault="00AC4634" w:rsidP="005048A4">
      <w:pPr>
        <w:pStyle w:val="ListBullet"/>
      </w:pPr>
      <w:r w:rsidRPr="00AC4634">
        <w:t xml:space="preserve">PK </w:t>
      </w:r>
      <w:r w:rsidRPr="005048A4">
        <w:t>parameters</w:t>
      </w:r>
      <w:r w:rsidRPr="00AC4634">
        <w:t xml:space="preserve">, and to develop a PK model linking </w:t>
      </w:r>
      <w:r w:rsidR="00742B55" w:rsidRPr="00742B55">
        <w:t>enzalutamide</w:t>
      </w:r>
      <w:r w:rsidRPr="00AC4634">
        <w:t xml:space="preserve"> exposure with efficacy, safety outcomes.</w:t>
      </w:r>
    </w:p>
    <w:p w:rsidR="00AC4634" w:rsidRPr="00AC4634" w:rsidRDefault="00AC4634" w:rsidP="005048A4">
      <w:pPr>
        <w:pStyle w:val="Heading5"/>
      </w:pPr>
      <w:r w:rsidRPr="00AC4634">
        <w:t xml:space="preserve">Inclusion and </w:t>
      </w:r>
      <w:r w:rsidRPr="005048A4">
        <w:t>exclusion</w:t>
      </w:r>
      <w:r w:rsidRPr="00AC4634">
        <w:t xml:space="preserve"> criteria</w:t>
      </w:r>
    </w:p>
    <w:p w:rsidR="00AC4634" w:rsidRPr="00AC4634" w:rsidRDefault="00AC4634" w:rsidP="005048A4">
      <w:r w:rsidRPr="00AC4634">
        <w:t xml:space="preserve">Subjects enrolled in the study were men with histologically or </w:t>
      </w:r>
      <w:proofErr w:type="spellStart"/>
      <w:r w:rsidRPr="00AC4634">
        <w:t>cytologically</w:t>
      </w:r>
      <w:proofErr w:type="spellEnd"/>
      <w:r w:rsidRPr="00AC4634">
        <w:t xml:space="preserve"> confirmed adenocarcinoma of the prostate without neuroendocrine differentiation or small cell features, who had ongoing androgen deprivation therapy with a </w:t>
      </w:r>
      <w:proofErr w:type="spellStart"/>
      <w:r w:rsidRPr="00AC4634">
        <w:t>GnRH</w:t>
      </w:r>
      <w:proofErr w:type="spellEnd"/>
      <w:r w:rsidRPr="00AC4634">
        <w:t xml:space="preserve"> analogue or </w:t>
      </w:r>
      <w:proofErr w:type="spellStart"/>
      <w:r w:rsidRPr="00AC4634">
        <w:t>orchidectomy</w:t>
      </w:r>
      <w:proofErr w:type="spellEnd"/>
      <w:r w:rsidRPr="00AC4634">
        <w:t xml:space="preserve"> (</w:t>
      </w:r>
      <w:r w:rsidR="00252D23">
        <w:t xml:space="preserve">that is, </w:t>
      </w:r>
      <w:r w:rsidRPr="00AC4634">
        <w:t xml:space="preserve">surgical or medical castration), with serum testosterone level </w:t>
      </w:r>
      <w:r w:rsidR="00252D23">
        <w:t xml:space="preserve">&lt; </w:t>
      </w:r>
      <w:r w:rsidRPr="00AC4634">
        <w:t xml:space="preserve">1.7 </w:t>
      </w:r>
      <w:proofErr w:type="spellStart"/>
      <w:r w:rsidRPr="00AC4634">
        <w:t>nmol</w:t>
      </w:r>
      <w:proofErr w:type="spellEnd"/>
      <w:r w:rsidRPr="00AC4634">
        <w:t>/L (50 ng/</w:t>
      </w:r>
      <w:proofErr w:type="spellStart"/>
      <w:r w:rsidRPr="00AC4634">
        <w:t>dL</w:t>
      </w:r>
      <w:proofErr w:type="spellEnd"/>
      <w:r w:rsidRPr="00AC4634">
        <w:t>) at screening, who had progressive disease by rising PSA levels alone or imaging after docetaxel-based chemotherapy (median number 8 cycles was similar in both arms) in the setting of medical or surgical castration, and who had no more than 2 prior chemotherapy regimens with at least 1 regimen containing docetaxel.</w:t>
      </w:r>
    </w:p>
    <w:p w:rsidR="00AC4634" w:rsidRPr="00AC4634" w:rsidRDefault="00252D23" w:rsidP="00797CF8">
      <w:pPr>
        <w:ind w:left="720"/>
      </w:pPr>
      <w:r w:rsidRPr="00252D23">
        <w:rPr>
          <w:b/>
        </w:rPr>
        <w:t>Delegate’s c</w:t>
      </w:r>
      <w:r w:rsidR="00AC4634" w:rsidRPr="00252D23">
        <w:rPr>
          <w:b/>
        </w:rPr>
        <w:t>omment</w:t>
      </w:r>
      <w:r w:rsidR="00AC4634" w:rsidRPr="00AC4634">
        <w:t xml:space="preserve">: It is not possible to establish from the reasons for discontinuing docetaxel how many discontinued docetaxel because of disease progression or toxicity while on active treatment. The </w:t>
      </w:r>
      <w:r w:rsidR="00F30CA2">
        <w:t>CSR</w:t>
      </w:r>
      <w:r>
        <w:t xml:space="preserve"> </w:t>
      </w:r>
      <w:r w:rsidR="00AC4634" w:rsidRPr="00AC4634">
        <w:t>states that &lt;</w:t>
      </w:r>
      <w:r>
        <w:t xml:space="preserve"> </w:t>
      </w:r>
      <w:r w:rsidR="00AC4634" w:rsidRPr="00AC4634">
        <w:t>5% of patients in both arms had received fewer than 3 cycles of docetaxel, median number of cycles in both arms was approx</w:t>
      </w:r>
      <w:r>
        <w:t xml:space="preserve">imately 8. </w:t>
      </w:r>
      <w:r w:rsidR="00AC4634" w:rsidRPr="00AC4634">
        <w:t xml:space="preserve">The proposed indication is consistent for patients who have “previously received docetaxel” </w:t>
      </w:r>
      <w:proofErr w:type="gramStart"/>
      <w:r w:rsidR="00AC4634" w:rsidRPr="00AC4634">
        <w:t>is</w:t>
      </w:r>
      <w:proofErr w:type="gramEnd"/>
      <w:r w:rsidR="00AC4634" w:rsidRPr="00AC4634">
        <w:t xml:space="preserve"> consistent with this</w:t>
      </w:r>
      <w:r>
        <w:t xml:space="preserve">, that is, </w:t>
      </w:r>
      <w:r w:rsidR="00AC4634" w:rsidRPr="00AC4634">
        <w:t>have been exposed to, rather than necessarily pro</w:t>
      </w:r>
      <w:r w:rsidR="00797CF8">
        <w:t xml:space="preserve">gressed on, </w:t>
      </w:r>
      <w:proofErr w:type="spellStart"/>
      <w:r w:rsidR="00797CF8">
        <w:t>docetaxel</w:t>
      </w:r>
      <w:proofErr w:type="spellEnd"/>
      <w:r w:rsidR="00797CF8">
        <w:t>.</w:t>
      </w:r>
    </w:p>
    <w:p w:rsidR="00AC4634" w:rsidRPr="00AC4634" w:rsidRDefault="00AC4634" w:rsidP="00797CF8">
      <w:r w:rsidRPr="00AC4634">
        <w:t xml:space="preserve">Key exclusion criteria were previous history of seizures/condition that might predispose to seizures, or who were taking medications known to lower the seizure threshold, as seizure had been identified as a potential </w:t>
      </w:r>
      <w:r w:rsidR="00742B55" w:rsidRPr="00742B55">
        <w:t xml:space="preserve">enzalutamide </w:t>
      </w:r>
      <w:r w:rsidRPr="00AC4634">
        <w:t xml:space="preserve">associated safety signal in the Phase </w:t>
      </w:r>
      <w:r w:rsidR="00252D23">
        <w:t>I</w:t>
      </w:r>
      <w:r w:rsidRPr="00AC4634">
        <w:t xml:space="preserve"> </w:t>
      </w:r>
      <w:r w:rsidR="00252D23">
        <w:t>S</w:t>
      </w:r>
      <w:r w:rsidRPr="00AC4634">
        <w:t xml:space="preserve">tudy S-3100-1-01. A full list of inclusion and exclusion criteria is presented in the </w:t>
      </w:r>
      <w:r w:rsidR="00F30CA2">
        <w:t>CSR</w:t>
      </w:r>
      <w:r w:rsidRPr="00AC4634">
        <w:t>. Patients were eligible if they had a rising PSA, but this was not a criterion for judging progression.</w:t>
      </w:r>
    </w:p>
    <w:p w:rsidR="00AC4634" w:rsidRPr="00AC4634" w:rsidRDefault="00AC4634" w:rsidP="00797CF8">
      <w:r w:rsidRPr="00AC4634">
        <w:t xml:space="preserve">The 3 main </w:t>
      </w:r>
      <w:r w:rsidR="006563D1">
        <w:t>analysis population sets were: t</w:t>
      </w:r>
      <w:r w:rsidRPr="00AC4634">
        <w:t>he Intent-To Treat (ITT) Population (all randomised patients did receive at least one dose)</w:t>
      </w:r>
      <w:r w:rsidR="00252D23">
        <w:t>;</w:t>
      </w:r>
      <w:r w:rsidRPr="00AC4634">
        <w:t xml:space="preserve"> the Safety Population</w:t>
      </w:r>
      <w:r w:rsidR="00252D23">
        <w:t>,</w:t>
      </w:r>
      <w:r w:rsidRPr="00AC4634">
        <w:t xml:space="preserve"> defined as all randomised patients who had received at least 1 dose of study drug</w:t>
      </w:r>
      <w:r w:rsidR="00252D23">
        <w:t>; and t</w:t>
      </w:r>
      <w:r w:rsidRPr="00AC4634">
        <w:t>he PK Population</w:t>
      </w:r>
      <w:r w:rsidR="00252D23">
        <w:t>,</w:t>
      </w:r>
      <w:r w:rsidRPr="00AC4634">
        <w:t xml:space="preserve"> defined as all randomised patients who had received at least 1 dose of </w:t>
      </w:r>
      <w:r w:rsidR="00742B55" w:rsidRPr="00742B55">
        <w:t>enzalutamide</w:t>
      </w:r>
      <w:r w:rsidRPr="00AC4634">
        <w:t xml:space="preserve"> and had at least one </w:t>
      </w:r>
      <w:r w:rsidR="00742B55" w:rsidRPr="00742B55">
        <w:t>enzalutamide</w:t>
      </w:r>
      <w:r w:rsidRPr="00AC4634">
        <w:t>, M1, or M2 plasma concentration result.</w:t>
      </w:r>
    </w:p>
    <w:p w:rsidR="00AC4634" w:rsidRPr="00AC4634" w:rsidRDefault="00252D23" w:rsidP="00797CF8">
      <w:pPr>
        <w:ind w:left="720"/>
      </w:pPr>
      <w:r w:rsidRPr="00252D23">
        <w:rPr>
          <w:b/>
        </w:rPr>
        <w:t>Delegate’s c</w:t>
      </w:r>
      <w:r w:rsidR="00AC4634" w:rsidRPr="00252D23">
        <w:rPr>
          <w:b/>
        </w:rPr>
        <w:t>omment</w:t>
      </w:r>
      <w:r w:rsidR="00AC4634" w:rsidRPr="00AC4634">
        <w:t xml:space="preserve">: there is no </w:t>
      </w:r>
      <w:r>
        <w:t>P</w:t>
      </w:r>
      <w:r w:rsidR="00AC4634" w:rsidRPr="00AC4634">
        <w:t xml:space="preserve">er </w:t>
      </w:r>
      <w:r>
        <w:t>P</w:t>
      </w:r>
      <w:r w:rsidR="00AC4634" w:rsidRPr="00AC4634">
        <w:t>rotocol patient population</w:t>
      </w:r>
      <w:r>
        <w:t>;</w:t>
      </w:r>
      <w:r w:rsidR="00AC4634" w:rsidRPr="00AC4634">
        <w:t xml:space="preserve"> therefore it is not possible to determine the proportion who received treatment as outlined in the protocol</w:t>
      </w:r>
      <w:r>
        <w:t xml:space="preserve"> </w:t>
      </w:r>
      <w:r w:rsidR="00AC4634" w:rsidRPr="00AC4634">
        <w:t>or to determine the availability of measurements of the variables.</w:t>
      </w:r>
    </w:p>
    <w:p w:rsidR="00AC4634" w:rsidRPr="00AC4634" w:rsidRDefault="00AC4634" w:rsidP="00797CF8">
      <w:r w:rsidRPr="00AC4634">
        <w:t xml:space="preserve">Baseline demographic and disease characteristics were similar between the two groups: </w:t>
      </w:r>
      <w:r w:rsidR="00B84263">
        <w:t xml:space="preserve">the </w:t>
      </w:r>
      <w:r w:rsidRPr="00AC4634">
        <w:t xml:space="preserve">majority of subjects were </w:t>
      </w:r>
      <w:proofErr w:type="gramStart"/>
      <w:r w:rsidRPr="00AC4634">
        <w:t>Caucasian,</w:t>
      </w:r>
      <w:proofErr w:type="gramEnd"/>
      <w:r w:rsidRPr="00AC4634">
        <w:t xml:space="preserve"> median age was 69.0 years in both groups, with 24.9% and 26.1% of patients ≥ 75 years old in the </w:t>
      </w:r>
      <w:r w:rsidR="00742B55" w:rsidRPr="00742B55">
        <w:t>enzalutamide</w:t>
      </w:r>
      <w:r w:rsidRPr="00AC4634">
        <w:t xml:space="preserve"> and placebo groups, respectively. The median time from initial diagnosis of prostate cancer to randomisation was 70.9 months, and 41% had PSA progression only at the time of enrolment and 59% had radiographic progression. 62.2% of patients entered the study with both bone and </w:t>
      </w:r>
      <w:r w:rsidRPr="00AC4634">
        <w:lastRenderedPageBreak/>
        <w:t>soft tissue metastases, and 91.2% of patients entered the study with bone metastases. Prior therapy for prostate cancer was similar between treatment groups.</w:t>
      </w:r>
    </w:p>
    <w:p w:rsidR="00AC4634" w:rsidRPr="00AC4634" w:rsidRDefault="00B84263" w:rsidP="00797CF8">
      <w:pPr>
        <w:ind w:left="720"/>
      </w:pPr>
      <w:r w:rsidRPr="00B84263">
        <w:rPr>
          <w:b/>
        </w:rPr>
        <w:t>Delegate’s c</w:t>
      </w:r>
      <w:r w:rsidR="00AC4634" w:rsidRPr="00B84263">
        <w:rPr>
          <w:b/>
        </w:rPr>
        <w:t>omment</w:t>
      </w:r>
      <w:r w:rsidR="00AC4634" w:rsidRPr="00AC4634">
        <w:t>: 8.8% of patients had CRPC defined by rising PSA alone</w:t>
      </w:r>
      <w:r>
        <w:t xml:space="preserve">, that is, </w:t>
      </w:r>
      <w:r w:rsidR="00AC4634" w:rsidRPr="00AC4634">
        <w:t xml:space="preserve">did not have metastatic disease at the time of entry. </w:t>
      </w:r>
      <w:r>
        <w:t>In response to this Overview, the sp</w:t>
      </w:r>
      <w:r w:rsidR="00AC4634" w:rsidRPr="00AC4634">
        <w:t xml:space="preserve">onsor </w:t>
      </w:r>
      <w:r>
        <w:t>wa</w:t>
      </w:r>
      <w:r w:rsidR="00AC4634" w:rsidRPr="00AC4634">
        <w:t>s requested to confirm the numbers who had never had metastatic disease</w:t>
      </w:r>
      <w:r>
        <w:t xml:space="preserve">; </w:t>
      </w:r>
      <w:r w:rsidR="00AC4634" w:rsidRPr="00AC4634">
        <w:t>given these subjects have potentially both a better prognosis and a longer time to development of metastases (study d</w:t>
      </w:r>
      <w:r>
        <w:t>efinition of progression), the s</w:t>
      </w:r>
      <w:r w:rsidR="00AC4634" w:rsidRPr="00AC4634">
        <w:t xml:space="preserve">ponsor </w:t>
      </w:r>
      <w:r>
        <w:t>wa</w:t>
      </w:r>
      <w:r w:rsidR="00AC4634" w:rsidRPr="00AC4634">
        <w:t>s requested to provide a breakdown of the distribution of these patients across t</w:t>
      </w:r>
      <w:r>
        <w:t xml:space="preserve">he two arms (see </w:t>
      </w:r>
      <w:r w:rsidRPr="00B84263">
        <w:rPr>
          <w:i/>
        </w:rPr>
        <w:t xml:space="preserve">Questions for </w:t>
      </w:r>
      <w:r w:rsidR="005D68B9">
        <w:rPr>
          <w:i/>
        </w:rPr>
        <w:t xml:space="preserve">the </w:t>
      </w:r>
      <w:r w:rsidRPr="00B84263">
        <w:rPr>
          <w:i/>
        </w:rPr>
        <w:t>s</w:t>
      </w:r>
      <w:r w:rsidR="00AC4634" w:rsidRPr="00B84263">
        <w:rPr>
          <w:i/>
        </w:rPr>
        <w:t>ponsor</w:t>
      </w:r>
      <w:r>
        <w:t>, below</w:t>
      </w:r>
      <w:r w:rsidR="00AC4634" w:rsidRPr="00AC4634">
        <w:t>).</w:t>
      </w:r>
    </w:p>
    <w:p w:rsidR="00AC4634" w:rsidRPr="00797CF8" w:rsidRDefault="00AC4634" w:rsidP="00797CF8">
      <w:pPr>
        <w:pStyle w:val="Heading5"/>
      </w:pPr>
      <w:r w:rsidRPr="00AC4634">
        <w:t>Results for the primary efficacy outcome</w:t>
      </w:r>
    </w:p>
    <w:p w:rsidR="00B84263" w:rsidRDefault="00AC4634" w:rsidP="00797CF8">
      <w:r w:rsidRPr="00AC4634">
        <w:t xml:space="preserve">At the time of the data cut-off, 38.5% of patients in the </w:t>
      </w:r>
      <w:r w:rsidR="00742B55" w:rsidRPr="00742B55">
        <w:t>enzalutamide</w:t>
      </w:r>
      <w:r w:rsidRPr="00AC4634">
        <w:t xml:space="preserve"> group and 53.1% in the placebo group had died. The extrapolated median survival was 18.4 (17.3, estimate not met) months in the </w:t>
      </w:r>
      <w:r w:rsidR="00742B55" w:rsidRPr="00742B55">
        <w:t>enzalutamide</w:t>
      </w:r>
      <w:r w:rsidRPr="00AC4634">
        <w:t xml:space="preserve"> group, compared with 13.6 (11.3, 15.8</w:t>
      </w:r>
      <w:r w:rsidR="00B84263">
        <w:t xml:space="preserve">) months in the placebo group (p </w:t>
      </w:r>
      <w:r w:rsidRPr="00AC4634">
        <w:t>&lt;</w:t>
      </w:r>
      <w:r w:rsidR="00B84263">
        <w:t xml:space="preserve"> </w:t>
      </w:r>
      <w:r w:rsidRPr="00AC4634">
        <w:t>0.001). The median time on the study drug was 8.3 months a</w:t>
      </w:r>
      <w:r w:rsidR="00B84263">
        <w:t>nd 3 months for the placebo arm</w:t>
      </w:r>
      <w:r w:rsidRPr="00AC4634">
        <w:t xml:space="preserve"> and at the cut-off 29.8% were still on enzalutamide c</w:t>
      </w:r>
      <w:r w:rsidR="00B84263">
        <w:t xml:space="preserve">ompared with </w:t>
      </w:r>
      <w:r w:rsidRPr="00AC4634">
        <w:t xml:space="preserve">4.8% on placebo. There was widespread use of other treatments by the whole study population following progression: 42% in the enzalutamide arm and 61.4% in the placebo arm received at least one additional treatment (See Table </w:t>
      </w:r>
      <w:r w:rsidR="00A91607">
        <w:t>6</w:t>
      </w:r>
      <w:r w:rsidR="00797CF8">
        <w:t>).</w:t>
      </w:r>
    </w:p>
    <w:p w:rsidR="00B84263" w:rsidRPr="004C61BC" w:rsidRDefault="00A91607" w:rsidP="00797CF8">
      <w:pPr>
        <w:pStyle w:val="TableTitle"/>
      </w:pPr>
      <w:r>
        <w:t>Table 6:</w:t>
      </w:r>
      <w:r w:rsidR="006563D1">
        <w:t xml:space="preserve"> Subsequent therapies to t</w:t>
      </w:r>
      <w:r w:rsidR="004C61BC" w:rsidRPr="004C61BC">
        <w:t xml:space="preserve">reat </w:t>
      </w:r>
      <w:r w:rsidR="006563D1">
        <w:t>p</w:t>
      </w:r>
      <w:r w:rsidR="004C61BC" w:rsidRPr="004C61BC">
        <w:t xml:space="preserve">rostate </w:t>
      </w:r>
      <w:r w:rsidR="006563D1">
        <w:t>c</w:t>
      </w:r>
      <w:r w:rsidR="004C61BC" w:rsidRPr="004C61BC">
        <w:t xml:space="preserve">ancer </w:t>
      </w:r>
      <w:r w:rsidR="006563D1">
        <w:t>u</w:t>
      </w:r>
      <w:r w:rsidR="004C61BC" w:rsidRPr="004C61BC">
        <w:t xml:space="preserve">sed in ≥ 2 </w:t>
      </w:r>
      <w:r w:rsidR="006563D1">
        <w:t>p</w:t>
      </w:r>
      <w:r w:rsidR="004C61BC" w:rsidRPr="004C61BC">
        <w:t xml:space="preserve">atients: </w:t>
      </w:r>
      <w:r w:rsidR="006563D1">
        <w:br/>
      </w:r>
      <w:r w:rsidR="004C61BC" w:rsidRPr="004C61BC">
        <w:t>Intent</w:t>
      </w:r>
      <w:r w:rsidR="006563D1">
        <w:t>-</w:t>
      </w:r>
      <w:r w:rsidR="004C61BC" w:rsidRPr="004C61BC">
        <w:t>to-Treat Population</w:t>
      </w:r>
    </w:p>
    <w:tbl>
      <w:tblPr>
        <w:tblStyle w:val="TableTGAblue"/>
        <w:tblW w:w="0" w:type="auto"/>
        <w:tblInd w:w="108" w:type="dxa"/>
        <w:tblLook w:val="04A0" w:firstRow="1" w:lastRow="0" w:firstColumn="1" w:lastColumn="0" w:noHBand="0" w:noVBand="1"/>
      </w:tblPr>
      <w:tblGrid>
        <w:gridCol w:w="5128"/>
        <w:gridCol w:w="1950"/>
        <w:gridCol w:w="1534"/>
      </w:tblGrid>
      <w:tr w:rsidR="004C61BC" w:rsidRPr="004C61BC" w:rsidTr="00797CF8">
        <w:trPr>
          <w:cnfStyle w:val="100000000000" w:firstRow="1" w:lastRow="0" w:firstColumn="0" w:lastColumn="0" w:oddVBand="0" w:evenVBand="0" w:oddHBand="0" w:evenHBand="0" w:firstRowFirstColumn="0" w:firstRowLastColumn="0" w:lastRowFirstColumn="0" w:lastRowLastColumn="0"/>
        </w:trPr>
        <w:tc>
          <w:tcPr>
            <w:tcW w:w="0" w:type="auto"/>
          </w:tcPr>
          <w:p w:rsidR="004C61BC" w:rsidRPr="004C61BC" w:rsidRDefault="004C61BC" w:rsidP="00797CF8"/>
        </w:tc>
        <w:tc>
          <w:tcPr>
            <w:tcW w:w="0" w:type="auto"/>
          </w:tcPr>
          <w:p w:rsidR="004C61BC" w:rsidRPr="004C61BC" w:rsidRDefault="004C61BC" w:rsidP="00797CF8">
            <w:r>
              <w:t>E</w:t>
            </w:r>
            <w:r w:rsidRPr="004C61BC">
              <w:t xml:space="preserve">nzalutamide </w:t>
            </w:r>
            <w:r>
              <w:br/>
            </w:r>
            <w:r w:rsidRPr="004C61BC">
              <w:t>(n = 800)</w:t>
            </w:r>
          </w:p>
        </w:tc>
        <w:tc>
          <w:tcPr>
            <w:tcW w:w="0" w:type="auto"/>
          </w:tcPr>
          <w:p w:rsidR="004C61BC" w:rsidRPr="004C61BC" w:rsidRDefault="004C61BC" w:rsidP="00797CF8">
            <w:r w:rsidRPr="004C61BC">
              <w:t xml:space="preserve">Placebo </w:t>
            </w:r>
            <w:r>
              <w:br/>
            </w:r>
            <w:r w:rsidRPr="004C61BC">
              <w:t>(n = 399)</w:t>
            </w:r>
          </w:p>
        </w:tc>
      </w:tr>
      <w:tr w:rsidR="004C61BC" w:rsidRPr="004C61BC" w:rsidTr="00797CF8">
        <w:tc>
          <w:tcPr>
            <w:tcW w:w="0" w:type="auto"/>
          </w:tcPr>
          <w:p w:rsidR="004C61BC" w:rsidRPr="004C61BC" w:rsidRDefault="004C61BC" w:rsidP="00797CF8">
            <w:r w:rsidRPr="004C61BC">
              <w:t>Number of Patients Taking at Least 1 Subsequent Therapy to Treat Prostate Cancer</w:t>
            </w:r>
          </w:p>
        </w:tc>
        <w:tc>
          <w:tcPr>
            <w:tcW w:w="0" w:type="auto"/>
          </w:tcPr>
          <w:p w:rsidR="004C61BC" w:rsidRPr="004C61BC" w:rsidRDefault="004C61BC" w:rsidP="00797CF8">
            <w:r w:rsidRPr="004C61BC">
              <w:t>336 (42.0%)</w:t>
            </w:r>
          </w:p>
        </w:tc>
        <w:tc>
          <w:tcPr>
            <w:tcW w:w="0" w:type="auto"/>
          </w:tcPr>
          <w:p w:rsidR="004C61BC" w:rsidRPr="004C61BC" w:rsidRDefault="004C61BC" w:rsidP="00797CF8">
            <w:r w:rsidRPr="004C61BC">
              <w:t>245 (61.4%)</w:t>
            </w:r>
          </w:p>
        </w:tc>
      </w:tr>
      <w:tr w:rsidR="004C61BC" w:rsidRPr="004C61BC" w:rsidTr="00797CF8">
        <w:tc>
          <w:tcPr>
            <w:tcW w:w="0" w:type="auto"/>
          </w:tcPr>
          <w:p w:rsidR="004C61BC" w:rsidRPr="004C61BC" w:rsidRDefault="004C61BC" w:rsidP="00797CF8">
            <w:r w:rsidRPr="004C61BC">
              <w:t>All Other Therapeutic Products</w:t>
            </w:r>
          </w:p>
        </w:tc>
        <w:tc>
          <w:tcPr>
            <w:tcW w:w="0" w:type="auto"/>
          </w:tcPr>
          <w:p w:rsidR="004C61BC" w:rsidRPr="004C61BC" w:rsidRDefault="004C61BC" w:rsidP="00797CF8">
            <w:r w:rsidRPr="004C61BC">
              <w:t>32 (4.0%)</w:t>
            </w:r>
          </w:p>
        </w:tc>
        <w:tc>
          <w:tcPr>
            <w:tcW w:w="0" w:type="auto"/>
          </w:tcPr>
          <w:p w:rsidR="004C61BC" w:rsidRPr="004C61BC" w:rsidRDefault="004C61BC" w:rsidP="00797CF8">
            <w:r w:rsidRPr="004C61BC">
              <w:t>26 (6.5%)</w:t>
            </w:r>
          </w:p>
        </w:tc>
      </w:tr>
      <w:tr w:rsidR="004C61BC" w:rsidRPr="004C61BC" w:rsidTr="00797CF8">
        <w:tc>
          <w:tcPr>
            <w:tcW w:w="0" w:type="auto"/>
          </w:tcPr>
          <w:p w:rsidR="004C61BC" w:rsidRPr="004C61BC" w:rsidRDefault="004C61BC" w:rsidP="00797CF8">
            <w:r w:rsidRPr="004C61BC">
              <w:t>Investigational drug (Undefined)</w:t>
            </w:r>
          </w:p>
        </w:tc>
        <w:tc>
          <w:tcPr>
            <w:tcW w:w="0" w:type="auto"/>
          </w:tcPr>
          <w:p w:rsidR="004C61BC" w:rsidRPr="004C61BC" w:rsidRDefault="004C61BC" w:rsidP="00797CF8">
            <w:r w:rsidRPr="004C61BC">
              <w:t>31 (3.9%)</w:t>
            </w:r>
          </w:p>
        </w:tc>
        <w:tc>
          <w:tcPr>
            <w:tcW w:w="0" w:type="auto"/>
          </w:tcPr>
          <w:p w:rsidR="004C61BC" w:rsidRPr="004C61BC" w:rsidRDefault="004C61BC" w:rsidP="00797CF8">
            <w:r w:rsidRPr="004C61BC">
              <w:t>26 (6.5%)</w:t>
            </w:r>
          </w:p>
        </w:tc>
      </w:tr>
      <w:tr w:rsidR="004C61BC" w:rsidRPr="004C61BC" w:rsidTr="00797CF8">
        <w:tc>
          <w:tcPr>
            <w:tcW w:w="0" w:type="auto"/>
          </w:tcPr>
          <w:p w:rsidR="004C61BC" w:rsidRPr="004C61BC" w:rsidRDefault="004C61BC" w:rsidP="00797CF8">
            <w:proofErr w:type="spellStart"/>
            <w:r w:rsidRPr="004C61BC">
              <w:t>Antimycotics</w:t>
            </w:r>
            <w:proofErr w:type="spellEnd"/>
            <w:r w:rsidRPr="004C61BC">
              <w:t xml:space="preserve"> for Systemic Use</w:t>
            </w:r>
          </w:p>
        </w:tc>
        <w:tc>
          <w:tcPr>
            <w:tcW w:w="0" w:type="auto"/>
          </w:tcPr>
          <w:p w:rsidR="004C61BC" w:rsidRPr="004C61BC" w:rsidRDefault="004C61BC" w:rsidP="00797CF8">
            <w:r w:rsidRPr="004C61BC">
              <w:t>19 (2.4%)</w:t>
            </w:r>
          </w:p>
        </w:tc>
        <w:tc>
          <w:tcPr>
            <w:tcW w:w="0" w:type="auto"/>
          </w:tcPr>
          <w:p w:rsidR="004C61BC" w:rsidRPr="004C61BC" w:rsidRDefault="004C61BC" w:rsidP="00797CF8">
            <w:r w:rsidRPr="004C61BC">
              <w:t>19 (4.8%)</w:t>
            </w:r>
          </w:p>
        </w:tc>
      </w:tr>
      <w:tr w:rsidR="004C61BC" w:rsidRPr="004C61BC" w:rsidTr="00797CF8">
        <w:tc>
          <w:tcPr>
            <w:tcW w:w="0" w:type="auto"/>
          </w:tcPr>
          <w:p w:rsidR="004C61BC" w:rsidRPr="004C61BC" w:rsidRDefault="004C61BC" w:rsidP="00797CF8">
            <w:r w:rsidRPr="004C61BC">
              <w:t>Ketoconazole</w:t>
            </w:r>
          </w:p>
        </w:tc>
        <w:tc>
          <w:tcPr>
            <w:tcW w:w="0" w:type="auto"/>
          </w:tcPr>
          <w:p w:rsidR="004C61BC" w:rsidRPr="004C61BC" w:rsidRDefault="004C61BC" w:rsidP="00797CF8">
            <w:r w:rsidRPr="004C61BC">
              <w:t>19 (2.4%)</w:t>
            </w:r>
          </w:p>
        </w:tc>
        <w:tc>
          <w:tcPr>
            <w:tcW w:w="0" w:type="auto"/>
          </w:tcPr>
          <w:p w:rsidR="004C61BC" w:rsidRPr="004C61BC" w:rsidRDefault="004C61BC" w:rsidP="00797CF8">
            <w:r w:rsidRPr="004C61BC">
              <w:t>19 (4.8%)</w:t>
            </w:r>
          </w:p>
        </w:tc>
      </w:tr>
      <w:tr w:rsidR="004C61BC" w:rsidRPr="004C61BC" w:rsidTr="00797CF8">
        <w:tc>
          <w:tcPr>
            <w:tcW w:w="0" w:type="auto"/>
          </w:tcPr>
          <w:p w:rsidR="004C61BC" w:rsidRPr="004C61BC" w:rsidRDefault="004C61BC" w:rsidP="00797CF8">
            <w:r w:rsidRPr="004C61BC">
              <w:t>Antineoplastic Agents</w:t>
            </w:r>
          </w:p>
        </w:tc>
        <w:tc>
          <w:tcPr>
            <w:tcW w:w="0" w:type="auto"/>
          </w:tcPr>
          <w:p w:rsidR="004C61BC" w:rsidRPr="004C61BC" w:rsidRDefault="004C61BC" w:rsidP="00797CF8">
            <w:r w:rsidRPr="004C61BC">
              <w:t>180 (22.5%)</w:t>
            </w:r>
          </w:p>
        </w:tc>
        <w:tc>
          <w:tcPr>
            <w:tcW w:w="0" w:type="auto"/>
          </w:tcPr>
          <w:p w:rsidR="004C61BC" w:rsidRPr="004C61BC" w:rsidRDefault="004C61BC" w:rsidP="00797CF8">
            <w:r w:rsidRPr="004C61BC">
              <w:t>156 (39.1%)</w:t>
            </w:r>
          </w:p>
        </w:tc>
      </w:tr>
      <w:tr w:rsidR="004C61BC" w:rsidRPr="004C61BC" w:rsidTr="00797CF8">
        <w:tc>
          <w:tcPr>
            <w:tcW w:w="0" w:type="auto"/>
          </w:tcPr>
          <w:p w:rsidR="004C61BC" w:rsidRPr="004C61BC" w:rsidRDefault="004C61BC" w:rsidP="00797CF8">
            <w:proofErr w:type="spellStart"/>
            <w:r w:rsidRPr="004C61BC">
              <w:t>Cabazitaxel</w:t>
            </w:r>
            <w:proofErr w:type="spellEnd"/>
          </w:p>
        </w:tc>
        <w:tc>
          <w:tcPr>
            <w:tcW w:w="0" w:type="auto"/>
          </w:tcPr>
          <w:p w:rsidR="004C61BC" w:rsidRPr="004C61BC" w:rsidRDefault="004C61BC" w:rsidP="00797CF8">
            <w:r w:rsidRPr="004C61BC">
              <w:t>78 (9.8%)</w:t>
            </w:r>
          </w:p>
        </w:tc>
        <w:tc>
          <w:tcPr>
            <w:tcW w:w="0" w:type="auto"/>
          </w:tcPr>
          <w:p w:rsidR="004C61BC" w:rsidRPr="004C61BC" w:rsidRDefault="004C61BC" w:rsidP="00797CF8">
            <w:r w:rsidRPr="004C61BC">
              <w:t>55 (13.8%)</w:t>
            </w:r>
          </w:p>
        </w:tc>
      </w:tr>
      <w:tr w:rsidR="004C61BC" w:rsidRPr="004C61BC" w:rsidTr="00797CF8">
        <w:tc>
          <w:tcPr>
            <w:tcW w:w="0" w:type="auto"/>
          </w:tcPr>
          <w:p w:rsidR="004C61BC" w:rsidRPr="004C61BC" w:rsidRDefault="004C61BC" w:rsidP="00797CF8">
            <w:r w:rsidRPr="004C61BC">
              <w:t>Docetaxel</w:t>
            </w:r>
          </w:p>
        </w:tc>
        <w:tc>
          <w:tcPr>
            <w:tcW w:w="0" w:type="auto"/>
          </w:tcPr>
          <w:p w:rsidR="004C61BC" w:rsidRPr="004C61BC" w:rsidRDefault="004C61BC" w:rsidP="00797CF8">
            <w:r w:rsidRPr="004C61BC">
              <w:t>68 (8.5%)</w:t>
            </w:r>
          </w:p>
        </w:tc>
        <w:tc>
          <w:tcPr>
            <w:tcW w:w="0" w:type="auto"/>
          </w:tcPr>
          <w:p w:rsidR="004C61BC" w:rsidRPr="004C61BC" w:rsidRDefault="004C61BC" w:rsidP="00797CF8">
            <w:r w:rsidRPr="004C61BC">
              <w:t>57 (14.3%)</w:t>
            </w:r>
          </w:p>
        </w:tc>
      </w:tr>
      <w:tr w:rsidR="004C61BC" w:rsidRPr="004C61BC" w:rsidTr="00797CF8">
        <w:tc>
          <w:tcPr>
            <w:tcW w:w="0" w:type="auto"/>
          </w:tcPr>
          <w:p w:rsidR="004C61BC" w:rsidRPr="004C61BC" w:rsidRDefault="004C61BC" w:rsidP="00797CF8">
            <w:proofErr w:type="spellStart"/>
            <w:r w:rsidRPr="004C61BC">
              <w:t>Mitoxantrone</w:t>
            </w:r>
            <w:proofErr w:type="spellEnd"/>
          </w:p>
        </w:tc>
        <w:tc>
          <w:tcPr>
            <w:tcW w:w="0" w:type="auto"/>
          </w:tcPr>
          <w:p w:rsidR="004C61BC" w:rsidRPr="004C61BC" w:rsidRDefault="004C61BC" w:rsidP="00797CF8">
            <w:r w:rsidRPr="004C61BC">
              <w:t>21 (2.6%)</w:t>
            </w:r>
          </w:p>
        </w:tc>
        <w:tc>
          <w:tcPr>
            <w:tcW w:w="0" w:type="auto"/>
          </w:tcPr>
          <w:p w:rsidR="004C61BC" w:rsidRPr="004C61BC" w:rsidRDefault="004C61BC" w:rsidP="00797CF8">
            <w:r w:rsidRPr="004C61BC">
              <w:t>32 (8.0%)</w:t>
            </w:r>
          </w:p>
        </w:tc>
      </w:tr>
      <w:tr w:rsidR="004C61BC" w:rsidRPr="004C61BC" w:rsidTr="00797CF8">
        <w:tc>
          <w:tcPr>
            <w:tcW w:w="0" w:type="auto"/>
          </w:tcPr>
          <w:p w:rsidR="004C61BC" w:rsidRPr="004C61BC" w:rsidRDefault="004C61BC" w:rsidP="00797CF8">
            <w:r w:rsidRPr="004C61BC">
              <w:t>Carboplatin</w:t>
            </w:r>
          </w:p>
        </w:tc>
        <w:tc>
          <w:tcPr>
            <w:tcW w:w="0" w:type="auto"/>
          </w:tcPr>
          <w:p w:rsidR="004C61BC" w:rsidRPr="004C61BC" w:rsidRDefault="004C61BC" w:rsidP="00797CF8">
            <w:r w:rsidRPr="004C61BC">
              <w:t>23 (2.9%)</w:t>
            </w:r>
          </w:p>
        </w:tc>
        <w:tc>
          <w:tcPr>
            <w:tcW w:w="0" w:type="auto"/>
          </w:tcPr>
          <w:p w:rsidR="004C61BC" w:rsidRPr="004C61BC" w:rsidRDefault="004C61BC" w:rsidP="00797CF8">
            <w:r w:rsidRPr="004C61BC">
              <w:t>17 (4.3%)</w:t>
            </w:r>
          </w:p>
        </w:tc>
      </w:tr>
      <w:tr w:rsidR="004C61BC" w:rsidRPr="004C61BC" w:rsidTr="00797CF8">
        <w:tc>
          <w:tcPr>
            <w:tcW w:w="0" w:type="auto"/>
          </w:tcPr>
          <w:p w:rsidR="004C61BC" w:rsidRPr="004C61BC" w:rsidRDefault="004C61BC" w:rsidP="00797CF8">
            <w:r w:rsidRPr="004C61BC">
              <w:t>Cyclophosphamide</w:t>
            </w:r>
          </w:p>
        </w:tc>
        <w:tc>
          <w:tcPr>
            <w:tcW w:w="0" w:type="auto"/>
          </w:tcPr>
          <w:p w:rsidR="004C61BC" w:rsidRPr="004C61BC" w:rsidRDefault="004C61BC" w:rsidP="00797CF8">
            <w:r w:rsidRPr="004C61BC">
              <w:t>16 (2.0%)</w:t>
            </w:r>
          </w:p>
        </w:tc>
        <w:tc>
          <w:tcPr>
            <w:tcW w:w="0" w:type="auto"/>
          </w:tcPr>
          <w:p w:rsidR="004C61BC" w:rsidRPr="004C61BC" w:rsidRDefault="004C61BC" w:rsidP="00797CF8">
            <w:r w:rsidRPr="004C61BC">
              <w:t>10 (2.5%)</w:t>
            </w:r>
          </w:p>
        </w:tc>
      </w:tr>
      <w:tr w:rsidR="004C61BC" w:rsidRPr="004C61BC" w:rsidTr="00797CF8">
        <w:tc>
          <w:tcPr>
            <w:tcW w:w="0" w:type="auto"/>
          </w:tcPr>
          <w:p w:rsidR="004C61BC" w:rsidRPr="004C61BC" w:rsidRDefault="004C61BC" w:rsidP="00797CF8">
            <w:proofErr w:type="spellStart"/>
            <w:r w:rsidRPr="004C61BC">
              <w:t>Etoposide</w:t>
            </w:r>
            <w:proofErr w:type="spellEnd"/>
          </w:p>
        </w:tc>
        <w:tc>
          <w:tcPr>
            <w:tcW w:w="0" w:type="auto"/>
          </w:tcPr>
          <w:p w:rsidR="004C61BC" w:rsidRPr="004C61BC" w:rsidRDefault="004C61BC" w:rsidP="00797CF8">
            <w:r w:rsidRPr="004C61BC">
              <w:t>15 (1.9%)</w:t>
            </w:r>
          </w:p>
        </w:tc>
        <w:tc>
          <w:tcPr>
            <w:tcW w:w="0" w:type="auto"/>
          </w:tcPr>
          <w:p w:rsidR="004C61BC" w:rsidRPr="004C61BC" w:rsidRDefault="004C61BC" w:rsidP="00797CF8">
            <w:r w:rsidRPr="004C61BC">
              <w:t>6 (1.5%)</w:t>
            </w:r>
          </w:p>
        </w:tc>
      </w:tr>
      <w:tr w:rsidR="004C61BC" w:rsidRPr="004C61BC" w:rsidTr="00797CF8">
        <w:tc>
          <w:tcPr>
            <w:tcW w:w="0" w:type="auto"/>
          </w:tcPr>
          <w:p w:rsidR="004C61BC" w:rsidRPr="004C61BC" w:rsidRDefault="004C61BC" w:rsidP="00797CF8">
            <w:proofErr w:type="spellStart"/>
            <w:r w:rsidRPr="004C61BC">
              <w:lastRenderedPageBreak/>
              <w:t>Mitoxantrone</w:t>
            </w:r>
            <w:proofErr w:type="spellEnd"/>
            <w:r w:rsidRPr="004C61BC">
              <w:t xml:space="preserve"> hydrochloride</w:t>
            </w:r>
          </w:p>
        </w:tc>
        <w:tc>
          <w:tcPr>
            <w:tcW w:w="0" w:type="auto"/>
          </w:tcPr>
          <w:p w:rsidR="004C61BC" w:rsidRPr="004C61BC" w:rsidRDefault="004C61BC" w:rsidP="00797CF8">
            <w:r w:rsidRPr="004C61BC">
              <w:t>0 (0.0%)</w:t>
            </w:r>
          </w:p>
        </w:tc>
        <w:tc>
          <w:tcPr>
            <w:tcW w:w="0" w:type="auto"/>
          </w:tcPr>
          <w:p w:rsidR="004C61BC" w:rsidRPr="004C61BC" w:rsidRDefault="004C61BC" w:rsidP="00797CF8">
            <w:r w:rsidRPr="004C61BC">
              <w:t>12 (3.0%)</w:t>
            </w:r>
          </w:p>
        </w:tc>
      </w:tr>
      <w:tr w:rsidR="004C61BC" w:rsidRPr="004C61BC" w:rsidTr="00797CF8">
        <w:tc>
          <w:tcPr>
            <w:tcW w:w="0" w:type="auto"/>
          </w:tcPr>
          <w:p w:rsidR="004C61BC" w:rsidRPr="004C61BC" w:rsidRDefault="004C61BC" w:rsidP="00797CF8">
            <w:r w:rsidRPr="004C61BC">
              <w:t>Paclitaxel</w:t>
            </w:r>
          </w:p>
        </w:tc>
        <w:tc>
          <w:tcPr>
            <w:tcW w:w="0" w:type="auto"/>
          </w:tcPr>
          <w:p w:rsidR="004C61BC" w:rsidRPr="004C61BC" w:rsidRDefault="004C61BC" w:rsidP="00797CF8">
            <w:r w:rsidRPr="004C61BC">
              <w:t>4 (0.5%)</w:t>
            </w:r>
          </w:p>
        </w:tc>
        <w:tc>
          <w:tcPr>
            <w:tcW w:w="0" w:type="auto"/>
          </w:tcPr>
          <w:p w:rsidR="004C61BC" w:rsidRPr="004C61BC" w:rsidRDefault="004C61BC" w:rsidP="00797CF8">
            <w:r w:rsidRPr="004C61BC">
              <w:t>4 (1.0%)</w:t>
            </w:r>
          </w:p>
        </w:tc>
      </w:tr>
      <w:tr w:rsidR="004C61BC" w:rsidRPr="004C61BC" w:rsidTr="00797CF8">
        <w:tc>
          <w:tcPr>
            <w:tcW w:w="0" w:type="auto"/>
          </w:tcPr>
          <w:p w:rsidR="004C61BC" w:rsidRPr="004C61BC" w:rsidRDefault="004C61BC" w:rsidP="00797CF8">
            <w:r w:rsidRPr="004C61BC">
              <w:t>Vinorelbine</w:t>
            </w:r>
          </w:p>
        </w:tc>
        <w:tc>
          <w:tcPr>
            <w:tcW w:w="0" w:type="auto"/>
          </w:tcPr>
          <w:p w:rsidR="004C61BC" w:rsidRPr="004C61BC" w:rsidRDefault="004C61BC" w:rsidP="00797CF8">
            <w:r w:rsidRPr="004C61BC">
              <w:t>3 (0.4%)</w:t>
            </w:r>
          </w:p>
        </w:tc>
        <w:tc>
          <w:tcPr>
            <w:tcW w:w="0" w:type="auto"/>
          </w:tcPr>
          <w:p w:rsidR="004C61BC" w:rsidRPr="004C61BC" w:rsidRDefault="004C61BC" w:rsidP="00797CF8">
            <w:r w:rsidRPr="004C61BC">
              <w:t>4 (1.0%)</w:t>
            </w:r>
          </w:p>
        </w:tc>
      </w:tr>
      <w:tr w:rsidR="004C61BC" w:rsidRPr="004C61BC" w:rsidTr="00797CF8">
        <w:tc>
          <w:tcPr>
            <w:tcW w:w="0" w:type="auto"/>
          </w:tcPr>
          <w:p w:rsidR="004C61BC" w:rsidRPr="004C61BC" w:rsidRDefault="004C61BC" w:rsidP="00797CF8">
            <w:proofErr w:type="spellStart"/>
            <w:r w:rsidRPr="004C61BC">
              <w:t>Cisplatin</w:t>
            </w:r>
            <w:proofErr w:type="spellEnd"/>
          </w:p>
        </w:tc>
        <w:tc>
          <w:tcPr>
            <w:tcW w:w="0" w:type="auto"/>
          </w:tcPr>
          <w:p w:rsidR="004C61BC" w:rsidRPr="004C61BC" w:rsidRDefault="004C61BC" w:rsidP="00797CF8">
            <w:r w:rsidRPr="004C61BC">
              <w:t>5 (0.6%)</w:t>
            </w:r>
          </w:p>
        </w:tc>
        <w:tc>
          <w:tcPr>
            <w:tcW w:w="0" w:type="auto"/>
          </w:tcPr>
          <w:p w:rsidR="004C61BC" w:rsidRPr="004C61BC" w:rsidRDefault="004C61BC" w:rsidP="00797CF8">
            <w:r w:rsidRPr="004C61BC">
              <w:t>1 (0.3%)</w:t>
            </w:r>
          </w:p>
        </w:tc>
      </w:tr>
      <w:tr w:rsidR="004C61BC" w:rsidRPr="004C61BC" w:rsidTr="00797CF8">
        <w:tc>
          <w:tcPr>
            <w:tcW w:w="0" w:type="auto"/>
          </w:tcPr>
          <w:p w:rsidR="004C61BC" w:rsidRPr="004C61BC" w:rsidRDefault="004C61BC" w:rsidP="00797CF8">
            <w:proofErr w:type="spellStart"/>
            <w:r w:rsidRPr="004C61BC">
              <w:t>Epirubicin</w:t>
            </w:r>
            <w:proofErr w:type="spellEnd"/>
          </w:p>
        </w:tc>
        <w:tc>
          <w:tcPr>
            <w:tcW w:w="0" w:type="auto"/>
          </w:tcPr>
          <w:p w:rsidR="004C61BC" w:rsidRPr="004C61BC" w:rsidRDefault="004C61BC" w:rsidP="00797CF8">
            <w:r w:rsidRPr="004C61BC">
              <w:t>3 (0.4%)</w:t>
            </w:r>
          </w:p>
        </w:tc>
        <w:tc>
          <w:tcPr>
            <w:tcW w:w="0" w:type="auto"/>
          </w:tcPr>
          <w:p w:rsidR="004C61BC" w:rsidRPr="004C61BC" w:rsidRDefault="004C61BC" w:rsidP="00797CF8">
            <w:r w:rsidRPr="004C61BC">
              <w:t>1 (0.3%)</w:t>
            </w:r>
          </w:p>
        </w:tc>
      </w:tr>
      <w:tr w:rsidR="004C61BC" w:rsidRPr="004C61BC" w:rsidTr="00797CF8">
        <w:tc>
          <w:tcPr>
            <w:tcW w:w="0" w:type="auto"/>
          </w:tcPr>
          <w:p w:rsidR="004C61BC" w:rsidRPr="004C61BC" w:rsidRDefault="004C61BC" w:rsidP="00797CF8">
            <w:r w:rsidRPr="004C61BC">
              <w:t>Doxorubicin</w:t>
            </w:r>
          </w:p>
        </w:tc>
        <w:tc>
          <w:tcPr>
            <w:tcW w:w="0" w:type="auto"/>
          </w:tcPr>
          <w:p w:rsidR="004C61BC" w:rsidRPr="004C61BC" w:rsidRDefault="004C61BC" w:rsidP="00797CF8">
            <w:r w:rsidRPr="004C61BC">
              <w:t>1 (0.1%)</w:t>
            </w:r>
          </w:p>
        </w:tc>
        <w:tc>
          <w:tcPr>
            <w:tcW w:w="0" w:type="auto"/>
          </w:tcPr>
          <w:p w:rsidR="004C61BC" w:rsidRPr="004C61BC" w:rsidRDefault="004C61BC" w:rsidP="00797CF8">
            <w:r w:rsidRPr="004C61BC">
              <w:t>2 (0.5%)</w:t>
            </w:r>
          </w:p>
        </w:tc>
      </w:tr>
      <w:tr w:rsidR="004C61BC" w:rsidRPr="004C61BC" w:rsidTr="00797CF8">
        <w:tc>
          <w:tcPr>
            <w:tcW w:w="0" w:type="auto"/>
          </w:tcPr>
          <w:p w:rsidR="004C61BC" w:rsidRPr="004C61BC" w:rsidRDefault="004C61BC" w:rsidP="00797CF8">
            <w:proofErr w:type="spellStart"/>
            <w:r w:rsidRPr="004C61BC">
              <w:t>Estramustine</w:t>
            </w:r>
            <w:proofErr w:type="spellEnd"/>
            <w:r w:rsidRPr="004C61BC">
              <w:t xml:space="preserve"> phosphate</w:t>
            </w:r>
          </w:p>
        </w:tc>
        <w:tc>
          <w:tcPr>
            <w:tcW w:w="0" w:type="auto"/>
          </w:tcPr>
          <w:p w:rsidR="004C61BC" w:rsidRPr="004C61BC" w:rsidRDefault="004C61BC" w:rsidP="00797CF8">
            <w:r w:rsidRPr="004C61BC">
              <w:t>1 (0.1%)</w:t>
            </w:r>
          </w:p>
        </w:tc>
        <w:tc>
          <w:tcPr>
            <w:tcW w:w="0" w:type="auto"/>
          </w:tcPr>
          <w:p w:rsidR="004C61BC" w:rsidRPr="004C61BC" w:rsidRDefault="004C61BC" w:rsidP="00797CF8">
            <w:r w:rsidRPr="004C61BC">
              <w:t>2 (0.5%)</w:t>
            </w:r>
          </w:p>
        </w:tc>
      </w:tr>
      <w:tr w:rsidR="004C61BC" w:rsidRPr="004C61BC" w:rsidTr="00797CF8">
        <w:tc>
          <w:tcPr>
            <w:tcW w:w="0" w:type="auto"/>
          </w:tcPr>
          <w:p w:rsidR="004C61BC" w:rsidRPr="004C61BC" w:rsidRDefault="004C61BC" w:rsidP="00797CF8">
            <w:r w:rsidRPr="004C61BC">
              <w:t>Fluorouracil</w:t>
            </w:r>
          </w:p>
        </w:tc>
        <w:tc>
          <w:tcPr>
            <w:tcW w:w="0" w:type="auto"/>
          </w:tcPr>
          <w:p w:rsidR="004C61BC" w:rsidRPr="004C61BC" w:rsidRDefault="004C61BC" w:rsidP="00797CF8">
            <w:r w:rsidRPr="004C61BC">
              <w:t>2 (0.3%)</w:t>
            </w:r>
          </w:p>
        </w:tc>
        <w:tc>
          <w:tcPr>
            <w:tcW w:w="0" w:type="auto"/>
          </w:tcPr>
          <w:p w:rsidR="004C61BC" w:rsidRPr="004C61BC" w:rsidRDefault="004C61BC" w:rsidP="00797CF8">
            <w:r w:rsidRPr="004C61BC">
              <w:t>1 (0.3%)</w:t>
            </w:r>
          </w:p>
        </w:tc>
      </w:tr>
      <w:tr w:rsidR="004C61BC" w:rsidRPr="004C61BC" w:rsidTr="00797CF8">
        <w:tc>
          <w:tcPr>
            <w:tcW w:w="0" w:type="auto"/>
          </w:tcPr>
          <w:p w:rsidR="004C61BC" w:rsidRPr="004C61BC" w:rsidRDefault="004C61BC" w:rsidP="00797CF8">
            <w:proofErr w:type="spellStart"/>
            <w:r w:rsidRPr="004C61BC">
              <w:t>Ixabepilone</w:t>
            </w:r>
            <w:proofErr w:type="spellEnd"/>
          </w:p>
        </w:tc>
        <w:tc>
          <w:tcPr>
            <w:tcW w:w="0" w:type="auto"/>
          </w:tcPr>
          <w:p w:rsidR="004C61BC" w:rsidRPr="004C61BC" w:rsidRDefault="004C61BC" w:rsidP="00797CF8">
            <w:r w:rsidRPr="004C61BC">
              <w:t>1 (0.1%)</w:t>
            </w:r>
          </w:p>
        </w:tc>
        <w:tc>
          <w:tcPr>
            <w:tcW w:w="0" w:type="auto"/>
          </w:tcPr>
          <w:p w:rsidR="004C61BC" w:rsidRPr="004C61BC" w:rsidRDefault="004C61BC" w:rsidP="00797CF8">
            <w:r w:rsidRPr="004C61BC">
              <w:t>1 (0.3%)</w:t>
            </w:r>
          </w:p>
        </w:tc>
      </w:tr>
      <w:tr w:rsidR="004C61BC" w:rsidRPr="004C61BC" w:rsidTr="00797CF8">
        <w:tc>
          <w:tcPr>
            <w:tcW w:w="0" w:type="auto"/>
          </w:tcPr>
          <w:p w:rsidR="004C61BC" w:rsidRPr="004C61BC" w:rsidRDefault="004C61BC" w:rsidP="00797CF8">
            <w:r w:rsidRPr="004C61BC">
              <w:t>Corticosteroids for Systemic Use</w:t>
            </w:r>
          </w:p>
        </w:tc>
        <w:tc>
          <w:tcPr>
            <w:tcW w:w="0" w:type="auto"/>
          </w:tcPr>
          <w:p w:rsidR="004C61BC" w:rsidRPr="004C61BC" w:rsidRDefault="004C61BC" w:rsidP="00797CF8">
            <w:r w:rsidRPr="004C61BC">
              <w:t>11 (1.4%)</w:t>
            </w:r>
          </w:p>
        </w:tc>
        <w:tc>
          <w:tcPr>
            <w:tcW w:w="0" w:type="auto"/>
          </w:tcPr>
          <w:p w:rsidR="004C61BC" w:rsidRPr="004C61BC" w:rsidRDefault="004C61BC" w:rsidP="00797CF8">
            <w:r w:rsidRPr="004C61BC">
              <w:t>7 (1.8%)</w:t>
            </w:r>
          </w:p>
        </w:tc>
      </w:tr>
      <w:tr w:rsidR="004C61BC" w:rsidRPr="004C61BC" w:rsidTr="00797CF8">
        <w:tc>
          <w:tcPr>
            <w:tcW w:w="0" w:type="auto"/>
          </w:tcPr>
          <w:p w:rsidR="004C61BC" w:rsidRPr="004C61BC" w:rsidRDefault="004C61BC" w:rsidP="00797CF8">
            <w:r w:rsidRPr="004C61BC">
              <w:t>Prednisone</w:t>
            </w:r>
          </w:p>
        </w:tc>
        <w:tc>
          <w:tcPr>
            <w:tcW w:w="0" w:type="auto"/>
          </w:tcPr>
          <w:p w:rsidR="004C61BC" w:rsidRPr="004C61BC" w:rsidRDefault="004C61BC" w:rsidP="00797CF8">
            <w:r w:rsidRPr="004C61BC">
              <w:t>8 (1.0%)</w:t>
            </w:r>
          </w:p>
        </w:tc>
        <w:tc>
          <w:tcPr>
            <w:tcW w:w="0" w:type="auto"/>
          </w:tcPr>
          <w:p w:rsidR="004C61BC" w:rsidRPr="004C61BC" w:rsidRDefault="004C61BC" w:rsidP="00797CF8">
            <w:r w:rsidRPr="004C61BC">
              <w:t>3 (0.8%)</w:t>
            </w:r>
          </w:p>
        </w:tc>
      </w:tr>
      <w:tr w:rsidR="004C61BC" w:rsidRPr="004C61BC" w:rsidTr="00797CF8">
        <w:tc>
          <w:tcPr>
            <w:tcW w:w="0" w:type="auto"/>
          </w:tcPr>
          <w:p w:rsidR="004C61BC" w:rsidRPr="004C61BC" w:rsidRDefault="004C61BC" w:rsidP="00797CF8">
            <w:r w:rsidRPr="004C61BC">
              <w:t>Prednisolone</w:t>
            </w:r>
          </w:p>
        </w:tc>
        <w:tc>
          <w:tcPr>
            <w:tcW w:w="0" w:type="auto"/>
          </w:tcPr>
          <w:p w:rsidR="004C61BC" w:rsidRPr="004C61BC" w:rsidRDefault="004C61BC" w:rsidP="00797CF8">
            <w:r w:rsidRPr="004C61BC">
              <w:t>3 (0.4%)</w:t>
            </w:r>
          </w:p>
        </w:tc>
        <w:tc>
          <w:tcPr>
            <w:tcW w:w="0" w:type="auto"/>
          </w:tcPr>
          <w:p w:rsidR="004C61BC" w:rsidRPr="004C61BC" w:rsidRDefault="004C61BC" w:rsidP="00797CF8">
            <w:r w:rsidRPr="004C61BC">
              <w:t>2 (0.5%)</w:t>
            </w:r>
          </w:p>
        </w:tc>
      </w:tr>
      <w:tr w:rsidR="004C61BC" w:rsidRPr="004C61BC" w:rsidTr="00797CF8">
        <w:tc>
          <w:tcPr>
            <w:tcW w:w="0" w:type="auto"/>
          </w:tcPr>
          <w:p w:rsidR="004C61BC" w:rsidRPr="004C61BC" w:rsidRDefault="004C61BC" w:rsidP="00797CF8">
            <w:r w:rsidRPr="004C61BC">
              <w:t>Budesonide</w:t>
            </w:r>
          </w:p>
        </w:tc>
        <w:tc>
          <w:tcPr>
            <w:tcW w:w="0" w:type="auto"/>
          </w:tcPr>
          <w:p w:rsidR="004C61BC" w:rsidRPr="004C61BC" w:rsidRDefault="004C61BC" w:rsidP="00797CF8">
            <w:r w:rsidRPr="004C61BC">
              <w:t>1 (0.1%)</w:t>
            </w:r>
          </w:p>
        </w:tc>
        <w:tc>
          <w:tcPr>
            <w:tcW w:w="0" w:type="auto"/>
          </w:tcPr>
          <w:p w:rsidR="004C61BC" w:rsidRPr="004C61BC" w:rsidRDefault="004C61BC" w:rsidP="00797CF8">
            <w:r w:rsidRPr="004C61BC">
              <w:t>1 (0.3%)</w:t>
            </w:r>
          </w:p>
        </w:tc>
      </w:tr>
      <w:tr w:rsidR="004C61BC" w:rsidRPr="004C61BC" w:rsidTr="00797CF8">
        <w:tc>
          <w:tcPr>
            <w:tcW w:w="0" w:type="auto"/>
          </w:tcPr>
          <w:p w:rsidR="004C61BC" w:rsidRPr="004C61BC" w:rsidRDefault="004C61BC" w:rsidP="00797CF8">
            <w:r w:rsidRPr="004C61BC">
              <w:t>Hydrocortisone</w:t>
            </w:r>
          </w:p>
        </w:tc>
        <w:tc>
          <w:tcPr>
            <w:tcW w:w="0" w:type="auto"/>
          </w:tcPr>
          <w:p w:rsidR="004C61BC" w:rsidRPr="004C61BC" w:rsidRDefault="004C61BC" w:rsidP="00797CF8">
            <w:r w:rsidRPr="004C61BC">
              <w:t>0 (0.0%)</w:t>
            </w:r>
          </w:p>
        </w:tc>
        <w:tc>
          <w:tcPr>
            <w:tcW w:w="0" w:type="auto"/>
          </w:tcPr>
          <w:p w:rsidR="004C61BC" w:rsidRPr="004C61BC" w:rsidRDefault="004C61BC" w:rsidP="00797CF8">
            <w:r w:rsidRPr="004C61BC">
              <w:t>2 (0.5%)</w:t>
            </w:r>
          </w:p>
        </w:tc>
      </w:tr>
      <w:tr w:rsidR="004C61BC" w:rsidRPr="004C61BC" w:rsidTr="00797CF8">
        <w:trPr>
          <w:trHeight w:hRule="exact" w:val="787"/>
        </w:trPr>
        <w:tc>
          <w:tcPr>
            <w:tcW w:w="0" w:type="auto"/>
          </w:tcPr>
          <w:p w:rsidR="004C61BC" w:rsidRPr="004C61BC" w:rsidRDefault="004C61BC" w:rsidP="00797CF8">
            <w:r w:rsidRPr="004C61BC">
              <w:t>Endocrine Therapy</w:t>
            </w:r>
          </w:p>
        </w:tc>
        <w:tc>
          <w:tcPr>
            <w:tcW w:w="0" w:type="auto"/>
          </w:tcPr>
          <w:p w:rsidR="004C61BC" w:rsidRPr="004C61BC" w:rsidRDefault="004C61BC" w:rsidP="00797CF8">
            <w:r w:rsidRPr="004C61BC">
              <w:t>179 (22.4%)</w:t>
            </w:r>
          </w:p>
        </w:tc>
        <w:tc>
          <w:tcPr>
            <w:tcW w:w="0" w:type="auto"/>
          </w:tcPr>
          <w:p w:rsidR="004C61BC" w:rsidRPr="004C61BC" w:rsidRDefault="004C61BC" w:rsidP="00797CF8">
            <w:r w:rsidRPr="004C61BC">
              <w:t>108 (27.1%)</w:t>
            </w:r>
          </w:p>
        </w:tc>
      </w:tr>
      <w:tr w:rsidR="004C61BC" w:rsidRPr="004C61BC" w:rsidTr="00797CF8">
        <w:trPr>
          <w:trHeight w:hRule="exact" w:val="699"/>
        </w:trPr>
        <w:tc>
          <w:tcPr>
            <w:tcW w:w="0" w:type="auto"/>
          </w:tcPr>
          <w:p w:rsidR="004C61BC" w:rsidRPr="004C61BC" w:rsidRDefault="004C61BC" w:rsidP="00797CF8">
            <w:r w:rsidRPr="004C61BC">
              <w:t>Abiraterone acetate</w:t>
            </w:r>
          </w:p>
        </w:tc>
        <w:tc>
          <w:tcPr>
            <w:tcW w:w="0" w:type="auto"/>
          </w:tcPr>
          <w:p w:rsidR="004C61BC" w:rsidRPr="004C61BC" w:rsidRDefault="004C61BC" w:rsidP="00797CF8">
            <w:r w:rsidRPr="004C61BC">
              <w:t>167 (20.9%)</w:t>
            </w:r>
          </w:p>
        </w:tc>
        <w:tc>
          <w:tcPr>
            <w:tcW w:w="0" w:type="auto"/>
          </w:tcPr>
          <w:p w:rsidR="004C61BC" w:rsidRPr="004C61BC" w:rsidRDefault="004C61BC" w:rsidP="00797CF8">
            <w:r w:rsidRPr="004C61BC">
              <w:t>97 (24.3%)</w:t>
            </w:r>
          </w:p>
        </w:tc>
      </w:tr>
      <w:tr w:rsidR="004C61BC" w:rsidRPr="004C61BC" w:rsidTr="00797CF8">
        <w:trPr>
          <w:trHeight w:hRule="exact" w:val="567"/>
        </w:trPr>
        <w:tc>
          <w:tcPr>
            <w:tcW w:w="0" w:type="auto"/>
          </w:tcPr>
          <w:p w:rsidR="004C61BC" w:rsidRPr="004C61BC" w:rsidRDefault="004C61BC" w:rsidP="00797CF8">
            <w:proofErr w:type="spellStart"/>
            <w:r w:rsidRPr="004C61BC">
              <w:t>Diethylstilbestrol</w:t>
            </w:r>
            <w:proofErr w:type="spellEnd"/>
          </w:p>
        </w:tc>
        <w:tc>
          <w:tcPr>
            <w:tcW w:w="0" w:type="auto"/>
          </w:tcPr>
          <w:p w:rsidR="004C61BC" w:rsidRPr="004C61BC" w:rsidRDefault="004C61BC" w:rsidP="00797CF8">
            <w:r w:rsidRPr="004C61BC">
              <w:t>8 (1.0%)</w:t>
            </w:r>
          </w:p>
        </w:tc>
        <w:tc>
          <w:tcPr>
            <w:tcW w:w="0" w:type="auto"/>
          </w:tcPr>
          <w:p w:rsidR="004C61BC" w:rsidRPr="004C61BC" w:rsidRDefault="004C61BC" w:rsidP="00797CF8">
            <w:r w:rsidRPr="004C61BC">
              <w:t>10 (2.5%)</w:t>
            </w:r>
          </w:p>
        </w:tc>
      </w:tr>
      <w:tr w:rsidR="004C61BC" w:rsidRPr="004C61BC" w:rsidTr="00797CF8">
        <w:trPr>
          <w:trHeight w:hRule="exact" w:val="561"/>
        </w:trPr>
        <w:tc>
          <w:tcPr>
            <w:tcW w:w="0" w:type="auto"/>
          </w:tcPr>
          <w:p w:rsidR="004C61BC" w:rsidRPr="004C61BC" w:rsidRDefault="004C61BC" w:rsidP="00797CF8">
            <w:proofErr w:type="spellStart"/>
            <w:r w:rsidRPr="004C61BC">
              <w:t>Bicalutamide</w:t>
            </w:r>
            <w:proofErr w:type="spellEnd"/>
          </w:p>
        </w:tc>
        <w:tc>
          <w:tcPr>
            <w:tcW w:w="0" w:type="auto"/>
          </w:tcPr>
          <w:p w:rsidR="004C61BC" w:rsidRPr="004C61BC" w:rsidRDefault="004C61BC" w:rsidP="00797CF8">
            <w:r w:rsidRPr="004C61BC">
              <w:t>3 (0.4%)</w:t>
            </w:r>
          </w:p>
        </w:tc>
        <w:tc>
          <w:tcPr>
            <w:tcW w:w="0" w:type="auto"/>
          </w:tcPr>
          <w:p w:rsidR="004C61BC" w:rsidRPr="004C61BC" w:rsidRDefault="004C61BC" w:rsidP="00797CF8">
            <w:r w:rsidRPr="004C61BC">
              <w:t>4 (1.0%)</w:t>
            </w:r>
          </w:p>
        </w:tc>
      </w:tr>
      <w:tr w:rsidR="004C61BC" w:rsidRPr="004C61BC" w:rsidTr="00797CF8">
        <w:trPr>
          <w:trHeight w:hRule="exact" w:val="570"/>
        </w:trPr>
        <w:tc>
          <w:tcPr>
            <w:tcW w:w="0" w:type="auto"/>
          </w:tcPr>
          <w:p w:rsidR="004C61BC" w:rsidRPr="004C61BC" w:rsidRDefault="004C61BC" w:rsidP="00797CF8">
            <w:proofErr w:type="spellStart"/>
            <w:r w:rsidRPr="004C61BC">
              <w:t>Flutamide</w:t>
            </w:r>
            <w:proofErr w:type="spellEnd"/>
          </w:p>
        </w:tc>
        <w:tc>
          <w:tcPr>
            <w:tcW w:w="0" w:type="auto"/>
          </w:tcPr>
          <w:p w:rsidR="004C61BC" w:rsidRPr="004C61BC" w:rsidRDefault="004C61BC" w:rsidP="00797CF8">
            <w:r w:rsidRPr="004C61BC">
              <w:t>3 (0.4%)</w:t>
            </w:r>
          </w:p>
        </w:tc>
        <w:tc>
          <w:tcPr>
            <w:tcW w:w="0" w:type="auto"/>
          </w:tcPr>
          <w:p w:rsidR="004C61BC" w:rsidRPr="004C61BC" w:rsidRDefault="004C61BC" w:rsidP="00797CF8">
            <w:r w:rsidRPr="004C61BC">
              <w:t>1 (0.3%)</w:t>
            </w:r>
          </w:p>
        </w:tc>
      </w:tr>
      <w:tr w:rsidR="004C61BC" w:rsidRPr="004C61BC" w:rsidTr="00797CF8">
        <w:trPr>
          <w:trHeight w:hRule="exact" w:val="550"/>
        </w:trPr>
        <w:tc>
          <w:tcPr>
            <w:tcW w:w="0" w:type="auto"/>
          </w:tcPr>
          <w:p w:rsidR="004C61BC" w:rsidRPr="004C61BC" w:rsidRDefault="004C61BC" w:rsidP="00797CF8">
            <w:proofErr w:type="spellStart"/>
            <w:r w:rsidRPr="004C61BC">
              <w:t>Nilutamide</w:t>
            </w:r>
            <w:proofErr w:type="spellEnd"/>
          </w:p>
        </w:tc>
        <w:tc>
          <w:tcPr>
            <w:tcW w:w="0" w:type="auto"/>
          </w:tcPr>
          <w:p w:rsidR="004C61BC" w:rsidRPr="004C61BC" w:rsidRDefault="004C61BC" w:rsidP="00797CF8">
            <w:r w:rsidRPr="004C61BC">
              <w:t>1 (0.1%)</w:t>
            </w:r>
          </w:p>
        </w:tc>
        <w:tc>
          <w:tcPr>
            <w:tcW w:w="0" w:type="auto"/>
          </w:tcPr>
          <w:p w:rsidR="004C61BC" w:rsidRPr="004C61BC" w:rsidRDefault="004C61BC" w:rsidP="00797CF8">
            <w:r w:rsidRPr="004C61BC">
              <w:t>1 (0.3%)</w:t>
            </w:r>
          </w:p>
        </w:tc>
      </w:tr>
      <w:tr w:rsidR="004C61BC" w:rsidRPr="004C61BC" w:rsidTr="00797CF8">
        <w:trPr>
          <w:trHeight w:hRule="exact" w:val="572"/>
        </w:trPr>
        <w:tc>
          <w:tcPr>
            <w:tcW w:w="0" w:type="auto"/>
          </w:tcPr>
          <w:p w:rsidR="004C61BC" w:rsidRPr="004C61BC" w:rsidRDefault="004C61BC" w:rsidP="00797CF8">
            <w:proofErr w:type="spellStart"/>
            <w:r w:rsidRPr="004C61BC">
              <w:t>Immunostimulants</w:t>
            </w:r>
            <w:proofErr w:type="spellEnd"/>
          </w:p>
        </w:tc>
        <w:tc>
          <w:tcPr>
            <w:tcW w:w="0" w:type="auto"/>
          </w:tcPr>
          <w:p w:rsidR="004C61BC" w:rsidRPr="004C61BC" w:rsidRDefault="004C61BC" w:rsidP="00797CF8">
            <w:r w:rsidRPr="004C61BC">
              <w:t>2 (0.3%)</w:t>
            </w:r>
          </w:p>
        </w:tc>
        <w:tc>
          <w:tcPr>
            <w:tcW w:w="0" w:type="auto"/>
          </w:tcPr>
          <w:p w:rsidR="004C61BC" w:rsidRPr="004C61BC" w:rsidRDefault="004C61BC" w:rsidP="00797CF8">
            <w:r w:rsidRPr="004C61BC">
              <w:t>2 (0.5%)</w:t>
            </w:r>
          </w:p>
        </w:tc>
      </w:tr>
      <w:tr w:rsidR="004C61BC" w:rsidRPr="004C61BC" w:rsidTr="00797CF8">
        <w:trPr>
          <w:trHeight w:hRule="exact" w:val="565"/>
        </w:trPr>
        <w:tc>
          <w:tcPr>
            <w:tcW w:w="0" w:type="auto"/>
          </w:tcPr>
          <w:p w:rsidR="004C61BC" w:rsidRPr="004C61BC" w:rsidRDefault="004C61BC" w:rsidP="00797CF8">
            <w:proofErr w:type="spellStart"/>
            <w:r w:rsidRPr="004C61BC">
              <w:t>Sipuleucel</w:t>
            </w:r>
            <w:proofErr w:type="spellEnd"/>
            <w:r w:rsidRPr="004C61BC">
              <w:t>-T</w:t>
            </w:r>
          </w:p>
        </w:tc>
        <w:tc>
          <w:tcPr>
            <w:tcW w:w="0" w:type="auto"/>
          </w:tcPr>
          <w:p w:rsidR="004C61BC" w:rsidRPr="004C61BC" w:rsidRDefault="004C61BC" w:rsidP="00797CF8">
            <w:r w:rsidRPr="004C61BC">
              <w:t>2 (0.3%)</w:t>
            </w:r>
          </w:p>
        </w:tc>
        <w:tc>
          <w:tcPr>
            <w:tcW w:w="0" w:type="auto"/>
          </w:tcPr>
          <w:p w:rsidR="004C61BC" w:rsidRPr="004C61BC" w:rsidRDefault="004C61BC" w:rsidP="00797CF8">
            <w:r w:rsidRPr="004C61BC">
              <w:t>1 (0.3%)</w:t>
            </w:r>
          </w:p>
        </w:tc>
      </w:tr>
    </w:tbl>
    <w:p w:rsidR="00AC4634" w:rsidRPr="00AC4634" w:rsidRDefault="00AC4634" w:rsidP="00797CF8">
      <w:r w:rsidRPr="00AC4634">
        <w:t xml:space="preserve">The </w:t>
      </w:r>
      <w:r w:rsidR="004C61BC">
        <w:t>s</w:t>
      </w:r>
      <w:r w:rsidRPr="00AC4634">
        <w:t>ponsor has stated that the agents known to prolong survival in CRPC were used more often in the placebo arm after progression and therefore that this would improve survival after study withdrawal for the placebo arm.</w:t>
      </w:r>
    </w:p>
    <w:p w:rsidR="00AC4634" w:rsidRPr="00AC4634" w:rsidRDefault="004C61BC" w:rsidP="0033756C">
      <w:pPr>
        <w:ind w:left="720"/>
      </w:pPr>
      <w:r w:rsidRPr="004C61BC">
        <w:rPr>
          <w:b/>
        </w:rPr>
        <w:lastRenderedPageBreak/>
        <w:t>Delegate’s c</w:t>
      </w:r>
      <w:r w:rsidR="00AC4634" w:rsidRPr="004C61BC">
        <w:rPr>
          <w:b/>
        </w:rPr>
        <w:t>omment</w:t>
      </w:r>
      <w:r w:rsidR="00AC4634" w:rsidRPr="00AC4634">
        <w:t>: It is not possible from the combin</w:t>
      </w:r>
      <w:r w:rsidR="006563D1">
        <w:t xml:space="preserve">ed information provided (Table </w:t>
      </w:r>
      <w:r w:rsidR="00A91607">
        <w:t>6</w:t>
      </w:r>
      <w:r w:rsidR="00AC4634" w:rsidRPr="00AC4634">
        <w:t xml:space="preserve">, </w:t>
      </w:r>
      <w:r>
        <w:t>above</w:t>
      </w:r>
      <w:r w:rsidR="00AC4634" w:rsidRPr="00AC4634">
        <w:t xml:space="preserve">) to determine the treatments received in each arm following progression, nor therefore any potential impact of these upon </w:t>
      </w:r>
      <w:r w:rsidR="004672F0">
        <w:t>OS</w:t>
      </w:r>
      <w:r>
        <w:t xml:space="preserve"> </w:t>
      </w:r>
      <w:r w:rsidR="00AC4634" w:rsidRPr="00AC4634">
        <w:t>in the differing arms</w:t>
      </w:r>
      <w:r>
        <w:t>. In the response to this Overview, the s</w:t>
      </w:r>
      <w:r w:rsidR="00AC4634" w:rsidRPr="00AC4634">
        <w:t xml:space="preserve">ponsor </w:t>
      </w:r>
      <w:r>
        <w:t>wa</w:t>
      </w:r>
      <w:r w:rsidR="00AC4634" w:rsidRPr="00AC4634">
        <w:t xml:space="preserve">s requested to provide this </w:t>
      </w:r>
      <w:r>
        <w:t xml:space="preserve">information </w:t>
      </w:r>
      <w:r w:rsidR="00AC4634" w:rsidRPr="00AC4634">
        <w:t xml:space="preserve">(see </w:t>
      </w:r>
      <w:r w:rsidR="00AC4634" w:rsidRPr="004C61BC">
        <w:rPr>
          <w:i/>
        </w:rPr>
        <w:t xml:space="preserve">Questions for </w:t>
      </w:r>
      <w:r w:rsidR="005D68B9">
        <w:rPr>
          <w:i/>
        </w:rPr>
        <w:t xml:space="preserve">the </w:t>
      </w:r>
      <w:r w:rsidRPr="004C61BC">
        <w:rPr>
          <w:i/>
        </w:rPr>
        <w:t>s</w:t>
      </w:r>
      <w:r w:rsidR="00AC4634" w:rsidRPr="004C61BC">
        <w:rPr>
          <w:i/>
        </w:rPr>
        <w:t>ponsor</w:t>
      </w:r>
      <w:r>
        <w:t>, below</w:t>
      </w:r>
      <w:r w:rsidR="00AC4634" w:rsidRPr="00AC4634">
        <w:t xml:space="preserve">). The </w:t>
      </w:r>
      <w:r w:rsidR="00AC4634" w:rsidRPr="004C61BC">
        <w:rPr>
          <w:i/>
        </w:rPr>
        <w:t>Clinical Trials</w:t>
      </w:r>
      <w:r w:rsidR="00AC4634" w:rsidRPr="00AC4634">
        <w:t xml:space="preserve"> section of the PI needs to state clearly that the median survival data are drawn from a combination of the study drug and potentially any other treatments </w:t>
      </w:r>
      <w:r w:rsidR="0033756C">
        <w:t>received following progression.</w:t>
      </w:r>
    </w:p>
    <w:p w:rsidR="00AC4634" w:rsidRPr="00AC4634" w:rsidRDefault="00AC4634" w:rsidP="0033756C">
      <w:pPr>
        <w:ind w:left="720"/>
      </w:pPr>
      <w:r w:rsidRPr="00AC4634">
        <w:t>As the cut-off date was September 2011, the actual median survivals are likely to have been re</w:t>
      </w:r>
      <w:r w:rsidR="00EA23B5">
        <w:t>ached for both groups, and the s</w:t>
      </w:r>
      <w:r w:rsidRPr="00AC4634">
        <w:t xml:space="preserve">ponsor </w:t>
      </w:r>
      <w:r w:rsidR="00EA23B5">
        <w:t>wa</w:t>
      </w:r>
      <w:r w:rsidRPr="00AC4634">
        <w:t xml:space="preserve">s </w:t>
      </w:r>
      <w:r w:rsidR="00EA23B5">
        <w:t xml:space="preserve">also </w:t>
      </w:r>
      <w:r w:rsidRPr="00AC4634">
        <w:t xml:space="preserve">requested to provide these data (see </w:t>
      </w:r>
      <w:r w:rsidRPr="00EA23B5">
        <w:rPr>
          <w:i/>
        </w:rPr>
        <w:t xml:space="preserve">Questions for </w:t>
      </w:r>
      <w:r w:rsidR="005D68B9">
        <w:rPr>
          <w:i/>
        </w:rPr>
        <w:t xml:space="preserve">the </w:t>
      </w:r>
      <w:r w:rsidR="00EA23B5" w:rsidRPr="00EA23B5">
        <w:rPr>
          <w:i/>
        </w:rPr>
        <w:t>s</w:t>
      </w:r>
      <w:r w:rsidRPr="00EA23B5">
        <w:rPr>
          <w:i/>
        </w:rPr>
        <w:t>ponsor</w:t>
      </w:r>
      <w:r w:rsidRPr="00AC4634">
        <w:t>).</w:t>
      </w:r>
    </w:p>
    <w:p w:rsidR="00AC4634" w:rsidRPr="00AC4634" w:rsidRDefault="00AC4634" w:rsidP="0033756C">
      <w:pPr>
        <w:pStyle w:val="Heading5"/>
      </w:pPr>
      <w:r w:rsidRPr="00AC4634">
        <w:t xml:space="preserve">Results for other efficacy </w:t>
      </w:r>
      <w:r w:rsidRPr="0033756C">
        <w:t>outcomes</w:t>
      </w:r>
    </w:p>
    <w:p w:rsidR="00AC4634" w:rsidRPr="00AC4634" w:rsidRDefault="00AC4634" w:rsidP="0033756C">
      <w:pPr>
        <w:pStyle w:val="Heading6"/>
      </w:pPr>
      <w:r w:rsidRPr="00AC4634">
        <w:t xml:space="preserve">Subgroup analyses on the </w:t>
      </w:r>
      <w:r w:rsidRPr="0033756C">
        <w:t>primary</w:t>
      </w:r>
      <w:r w:rsidRPr="00AC4634">
        <w:t xml:space="preserve"> efficacy endpoint</w:t>
      </w:r>
    </w:p>
    <w:p w:rsidR="00AC4634" w:rsidRPr="00AC4634" w:rsidRDefault="00EA23B5" w:rsidP="0033756C">
      <w:r>
        <w:t xml:space="preserve">The hazard ratio </w:t>
      </w:r>
      <w:r w:rsidR="00AC4634" w:rsidRPr="00AC4634">
        <w:t>CIs for death crossed 1 for 3 out of 4 subgroups</w:t>
      </w:r>
      <w:r>
        <w:t>,</w:t>
      </w:r>
      <w:r w:rsidR="00AC4634" w:rsidRPr="00AC4634">
        <w:t xml:space="preserve"> which were those with poorer prognoses upon study entry: lower ECOG score, visceral metastases and more heavily pre-treated with chemotherapy. The finding of uncertain benefit in tho</w:t>
      </w:r>
      <w:r>
        <w:t>se treated outside Europe and North</w:t>
      </w:r>
      <w:r w:rsidR="00AC4634" w:rsidRPr="00AC4634">
        <w:t xml:space="preserve"> America is difficult to interpret.</w:t>
      </w:r>
    </w:p>
    <w:p w:rsidR="00AC4634" w:rsidRPr="00AC4634" w:rsidRDefault="00EA23B5" w:rsidP="0033756C">
      <w:pPr>
        <w:ind w:left="720"/>
      </w:pPr>
      <w:r w:rsidRPr="00EA23B5">
        <w:rPr>
          <w:b/>
        </w:rPr>
        <w:t>Delegate c</w:t>
      </w:r>
      <w:r w:rsidR="00AC4634" w:rsidRPr="00EA23B5">
        <w:rPr>
          <w:b/>
        </w:rPr>
        <w:t>omment</w:t>
      </w:r>
      <w:r w:rsidR="00AC4634" w:rsidRPr="00AC4634">
        <w:t>: a further confounding factor is that these patients are less likely to be fit for treatment with other agents following progression compared with the rest of the trial participants.</w:t>
      </w:r>
    </w:p>
    <w:p w:rsidR="00AC4634" w:rsidRPr="00AC4634" w:rsidRDefault="00AC4634" w:rsidP="0033756C">
      <w:pPr>
        <w:pStyle w:val="Heading6"/>
      </w:pPr>
      <w:r w:rsidRPr="00AC4634">
        <w:t xml:space="preserve">Key </w:t>
      </w:r>
      <w:r w:rsidRPr="0033756C">
        <w:t>secondary</w:t>
      </w:r>
      <w:r w:rsidRPr="00AC4634">
        <w:t xml:space="preserve"> endpoints</w:t>
      </w:r>
    </w:p>
    <w:p w:rsidR="00AC4634" w:rsidRPr="00AC4634" w:rsidRDefault="00AC4634" w:rsidP="0033756C">
      <w:pPr>
        <w:pStyle w:val="ListBullet"/>
      </w:pPr>
      <w:r w:rsidRPr="0033756C">
        <w:t>Time</w:t>
      </w:r>
      <w:r w:rsidRPr="00AC4634">
        <w:t xml:space="preserve"> to PSA progression (not a definition of disease progression for the study)</w:t>
      </w:r>
    </w:p>
    <w:p w:rsidR="00AC4634" w:rsidRPr="00AC4634" w:rsidRDefault="00AC4634" w:rsidP="0033756C">
      <w:r w:rsidRPr="00AC4634">
        <w:t xml:space="preserve">The </w:t>
      </w:r>
      <w:r w:rsidR="00F30CA2">
        <w:t>CSR</w:t>
      </w:r>
      <w:r w:rsidR="00EA23B5">
        <w:t xml:space="preserve"> </w:t>
      </w:r>
      <w:r w:rsidRPr="00AC4634">
        <w:t xml:space="preserve">states that “the lack of follow-up beyond the date of the last study dose also contributed to the censoring of approximately 50% of patients in either arm.” For PSA follow-up, it is stated in the </w:t>
      </w:r>
      <w:r w:rsidR="00EA23B5">
        <w:t xml:space="preserve">CER </w:t>
      </w:r>
      <w:r w:rsidRPr="00EA23B5">
        <w:rPr>
          <w:i/>
        </w:rPr>
        <w:t>“Patients who were not known to have had PSA progression were censored at date of last assessment showing no evidence of PSA progression”</w:t>
      </w:r>
      <w:r w:rsidRPr="00AC4634">
        <w:t>. Therefore it is not possible to determine whether there has been a treatment effect on PSA levels as data are missing for half the patients in each arm. Given the extent of the missing data, any claims</w:t>
      </w:r>
      <w:r w:rsidR="0033756C">
        <w:t xml:space="preserve"> should be removed from the PI.</w:t>
      </w:r>
    </w:p>
    <w:p w:rsidR="00AC4634" w:rsidRPr="00AC4634" w:rsidRDefault="00AC4634" w:rsidP="0033756C">
      <w:pPr>
        <w:ind w:left="720"/>
      </w:pPr>
      <w:r w:rsidRPr="00EA23B5">
        <w:rPr>
          <w:b/>
        </w:rPr>
        <w:t>Delegate</w:t>
      </w:r>
      <w:r w:rsidR="0015288A">
        <w:rPr>
          <w:b/>
        </w:rPr>
        <w:t>’s</w:t>
      </w:r>
      <w:r w:rsidRPr="0015288A">
        <w:rPr>
          <w:b/>
        </w:rPr>
        <w:t xml:space="preserve"> comment</w:t>
      </w:r>
      <w:r w:rsidRPr="00AC4634">
        <w:t>: PSA is not recommended by the P</w:t>
      </w:r>
      <w:r w:rsidR="00EA23B5">
        <w:t>CWG</w:t>
      </w:r>
      <w:r w:rsidRPr="00AC4634">
        <w:t>2 as a criterion for progression to define treatment failure but was allowed as an entry criterion to define progressive disease.</w:t>
      </w:r>
    </w:p>
    <w:p w:rsidR="00AC4634" w:rsidRPr="00AC4634" w:rsidRDefault="006563D1" w:rsidP="0033756C">
      <w:pPr>
        <w:pStyle w:val="ListBullet"/>
      </w:pPr>
      <w:r>
        <w:t>Duration of r</w:t>
      </w:r>
      <w:r w:rsidR="00AC4634" w:rsidRPr="00AC4634">
        <w:t>adiographic PFS</w:t>
      </w:r>
    </w:p>
    <w:p w:rsidR="00AC4634" w:rsidRPr="00AC4634" w:rsidRDefault="00AC4634" w:rsidP="0033756C">
      <w:r w:rsidRPr="00AC4634">
        <w:t>At the cut-off, radiographic progression occurred in 49.9% and 61.7% of patients in the treatment arm, respectively. The reported median duration of radiographic PFS was 8.3 (</w:t>
      </w:r>
      <w:r w:rsidR="0015288A">
        <w:t xml:space="preserve">95% CI </w:t>
      </w:r>
      <w:r w:rsidRPr="00AC4634">
        <w:t>8.2,</w:t>
      </w:r>
      <w:r w:rsidR="0015288A">
        <w:t xml:space="preserve"> </w:t>
      </w:r>
      <w:r w:rsidRPr="00AC4634">
        <w:t>9.4) in the treatment arm versus 2.9 (2.8,</w:t>
      </w:r>
      <w:r w:rsidR="0015288A">
        <w:t xml:space="preserve"> </w:t>
      </w:r>
      <w:r w:rsidRPr="00AC4634">
        <w:t xml:space="preserve">3.4) months in the placebo arm; </w:t>
      </w:r>
      <w:r w:rsidR="0015288A">
        <w:t xml:space="preserve">hazard ratio </w:t>
      </w:r>
      <w:r w:rsidRPr="00AC4634">
        <w:t>(95% CI) 0.404 (0.35,</w:t>
      </w:r>
      <w:r w:rsidR="0015288A">
        <w:t xml:space="preserve"> 0.466) p </w:t>
      </w:r>
      <w:r w:rsidRPr="00AC4634">
        <w:t>value &lt;</w:t>
      </w:r>
      <w:r w:rsidR="0015288A">
        <w:t xml:space="preserve"> </w:t>
      </w:r>
      <w:r w:rsidR="0033756C">
        <w:t>0.0001.</w:t>
      </w:r>
    </w:p>
    <w:p w:rsidR="00AC4634" w:rsidRPr="00AC4634" w:rsidRDefault="0015288A" w:rsidP="0033756C">
      <w:pPr>
        <w:ind w:left="720"/>
      </w:pPr>
      <w:r w:rsidRPr="0015288A">
        <w:rPr>
          <w:b/>
        </w:rPr>
        <w:t>Delegate’s c</w:t>
      </w:r>
      <w:r w:rsidR="00AC4634" w:rsidRPr="0015288A">
        <w:rPr>
          <w:b/>
        </w:rPr>
        <w:t>omment</w:t>
      </w:r>
      <w:r w:rsidR="00AC4634" w:rsidRPr="00AC4634">
        <w:t>: The data included those who died without evidence of radiographic progression (15.6% in the treatment and 22.8% in the control arm). There is the potential for cases that died of other causes to be counted as progressing with this approach (</w:t>
      </w:r>
      <w:r>
        <w:t xml:space="preserve">for example, one </w:t>
      </w:r>
      <w:r w:rsidR="00AC4634" w:rsidRPr="00AC4634">
        <w:t xml:space="preserve">patient in the control arm who underwent euthanasia). </w:t>
      </w:r>
      <w:r>
        <w:t>In response to this Overview, the s</w:t>
      </w:r>
      <w:r w:rsidR="00AC4634" w:rsidRPr="00AC4634">
        <w:t xml:space="preserve">ponsor </w:t>
      </w:r>
      <w:r>
        <w:t>wa</w:t>
      </w:r>
      <w:r w:rsidR="00AC4634" w:rsidRPr="00AC4634">
        <w:t>s requested to present the radiographic progression-free data with 95% CI by excluding the</w:t>
      </w:r>
      <w:r>
        <w:t xml:space="preserve">se subjects (see </w:t>
      </w:r>
      <w:r w:rsidRPr="0015288A">
        <w:rPr>
          <w:i/>
        </w:rPr>
        <w:t xml:space="preserve">Questions for </w:t>
      </w:r>
      <w:r w:rsidR="005D68B9">
        <w:rPr>
          <w:i/>
        </w:rPr>
        <w:t xml:space="preserve">the </w:t>
      </w:r>
      <w:r w:rsidRPr="0015288A">
        <w:rPr>
          <w:i/>
        </w:rPr>
        <w:t>s</w:t>
      </w:r>
      <w:r w:rsidR="00AC4634" w:rsidRPr="0015288A">
        <w:rPr>
          <w:i/>
        </w:rPr>
        <w:t>ponsor</w:t>
      </w:r>
      <w:r>
        <w:t>, below</w:t>
      </w:r>
      <w:r w:rsidR="00AC4634" w:rsidRPr="00AC4634">
        <w:t>).</w:t>
      </w:r>
    </w:p>
    <w:p w:rsidR="00AC4634" w:rsidRPr="00AC4634" w:rsidRDefault="00AC4634" w:rsidP="0033756C">
      <w:pPr>
        <w:pStyle w:val="ListBullet"/>
      </w:pPr>
      <w:r w:rsidRPr="00AC4634">
        <w:t>Skeletal-related events</w:t>
      </w:r>
    </w:p>
    <w:p w:rsidR="00AC4634" w:rsidRPr="00AC4634" w:rsidRDefault="00AC4634" w:rsidP="0033756C">
      <w:r w:rsidRPr="00AC4634">
        <w:t xml:space="preserve">Overall at the cut-off date, 35.9% patients in the enzalutamide group and 40.4% patients in the placebo group had a skeletal-related event. While the estimated median time to first skeletal-related events was reported to be delayed by 3 months (16.7 months (95% CI </w:t>
      </w:r>
      <w:r w:rsidRPr="00AC4634">
        <w:lastRenderedPageBreak/>
        <w:t xml:space="preserve">14.6, 19.1) </w:t>
      </w:r>
      <w:r w:rsidR="0015288A">
        <w:t xml:space="preserve">compared with </w:t>
      </w:r>
      <w:r w:rsidRPr="00AC4634">
        <w:t xml:space="preserve">13.3 months (95% CI 9.9, </w:t>
      </w:r>
      <w:r w:rsidR="007D1CD1">
        <w:t>e</w:t>
      </w:r>
      <w:r w:rsidR="007D1CD1" w:rsidRPr="007D1CD1">
        <w:t>stimate not met</w:t>
      </w:r>
      <w:r w:rsidRPr="00AC4634">
        <w:t xml:space="preserve">); </w:t>
      </w:r>
      <w:r w:rsidR="00FD723D">
        <w:t xml:space="preserve">hazard ratio </w:t>
      </w:r>
      <w:r w:rsidRPr="00AC4634">
        <w:t xml:space="preserve">0.688 (0.566, 0.835) p = 0.0001), there was no upper limit presented for the placebo arm so statistical significance of this cannot be </w:t>
      </w:r>
      <w:r w:rsidR="0033756C">
        <w:t>determined (see Comment below).</w:t>
      </w:r>
    </w:p>
    <w:p w:rsidR="00AC4634" w:rsidRPr="00AC4634" w:rsidRDefault="00AC4634" w:rsidP="0033756C">
      <w:r w:rsidRPr="00AC4634">
        <w:t xml:space="preserve">The use of other proven therapies in both arms following progression makes attribution difficult without further evaluation of the treatments received (see </w:t>
      </w:r>
      <w:r w:rsidRPr="00FD723D">
        <w:rPr>
          <w:i/>
        </w:rPr>
        <w:t xml:space="preserve">Questions for </w:t>
      </w:r>
      <w:r w:rsidR="005D68B9">
        <w:rPr>
          <w:i/>
        </w:rPr>
        <w:t xml:space="preserve">the </w:t>
      </w:r>
      <w:r w:rsidR="00FD723D" w:rsidRPr="00FD723D">
        <w:rPr>
          <w:i/>
        </w:rPr>
        <w:t>s</w:t>
      </w:r>
      <w:r w:rsidRPr="00FD723D">
        <w:rPr>
          <w:i/>
        </w:rPr>
        <w:t>ponsor</w:t>
      </w:r>
      <w:r w:rsidR="006563D1" w:rsidRPr="006563D1">
        <w:t>, below</w:t>
      </w:r>
      <w:r w:rsidR="0033756C">
        <w:t>).</w:t>
      </w:r>
    </w:p>
    <w:p w:rsidR="00AC4634" w:rsidRDefault="00AC4634" w:rsidP="0033756C">
      <w:r w:rsidRPr="00AC4634">
        <w:t xml:space="preserve">The nature and seriousness of the events was the same in both arms but occurred at slightly higher rate in the treatment arm for spinal cord compression, pathological fracture and surgical bone interventions (see Table </w:t>
      </w:r>
      <w:r w:rsidR="00A91607">
        <w:t>7</w:t>
      </w:r>
      <w:r w:rsidR="00FD723D">
        <w:t xml:space="preserve"> below</w:t>
      </w:r>
      <w:r w:rsidRPr="00AC4634">
        <w:t xml:space="preserve">). These differences are likely to be as a consequence of surviving longer with widespread bony metastases and the reporting system (see </w:t>
      </w:r>
      <w:r w:rsidR="00FD723D" w:rsidRPr="00FD723D">
        <w:rPr>
          <w:i/>
        </w:rPr>
        <w:t>S</w:t>
      </w:r>
      <w:r w:rsidRPr="00FD723D">
        <w:rPr>
          <w:i/>
        </w:rPr>
        <w:t>afety</w:t>
      </w:r>
      <w:r w:rsidR="0033756C">
        <w:t xml:space="preserve"> discussion below).</w:t>
      </w:r>
    </w:p>
    <w:p w:rsidR="00FD723D" w:rsidRPr="00FD723D" w:rsidRDefault="00A91607" w:rsidP="0033756C">
      <w:pPr>
        <w:pStyle w:val="TableTitle"/>
      </w:pPr>
      <w:r>
        <w:t>Table 7</w:t>
      </w:r>
      <w:r w:rsidR="006563D1">
        <w:t>: Incidence and t</w:t>
      </w:r>
      <w:r w:rsidR="00FD723D" w:rsidRPr="00FD723D">
        <w:t xml:space="preserve">ime to </w:t>
      </w:r>
      <w:r w:rsidR="006563D1">
        <w:t>f</w:t>
      </w:r>
      <w:r w:rsidR="00FD723D" w:rsidRPr="00FD723D">
        <w:t xml:space="preserve">irst </w:t>
      </w:r>
      <w:r w:rsidR="006563D1">
        <w:t>s</w:t>
      </w:r>
      <w:r w:rsidR="00FD723D" w:rsidRPr="00FD723D">
        <w:t>keletal-</w:t>
      </w:r>
      <w:r w:rsidR="006563D1">
        <w:t>r</w:t>
      </w:r>
      <w:r w:rsidR="00FD723D" w:rsidRPr="00FD723D">
        <w:t xml:space="preserve">elated </w:t>
      </w:r>
      <w:r w:rsidR="006563D1">
        <w:t>e</w:t>
      </w:r>
      <w:r w:rsidR="00FD723D" w:rsidRPr="00FD723D">
        <w:t>vent: Intent-to-Treat Population, Study CRPC2</w:t>
      </w:r>
    </w:p>
    <w:p w:rsidR="00FD723D" w:rsidRPr="00AC4634" w:rsidRDefault="00FD723D" w:rsidP="0033756C">
      <w:r>
        <w:rPr>
          <w:noProof/>
          <w:lang w:eastAsia="en-AU"/>
        </w:rPr>
        <w:drawing>
          <wp:inline distT="0" distB="0" distL="0" distR="0" wp14:anchorId="082B158C" wp14:editId="77E650D5">
            <wp:extent cx="5042414" cy="3016290"/>
            <wp:effectExtent l="0" t="0" r="6350" b="0"/>
            <wp:docPr id="6" name="Picture 6" descr="Table 7: Incidence and time to first skeletal-related event: Intent-to-Treat Population, Study CR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43577" cy="3016986"/>
                    </a:xfrm>
                    <a:prstGeom prst="rect">
                      <a:avLst/>
                    </a:prstGeom>
                  </pic:spPr>
                </pic:pic>
              </a:graphicData>
            </a:graphic>
          </wp:inline>
        </w:drawing>
      </w:r>
    </w:p>
    <w:p w:rsidR="00AC4634" w:rsidRPr="00AC4634" w:rsidRDefault="00FD723D" w:rsidP="0033756C">
      <w:pPr>
        <w:ind w:left="720"/>
      </w:pPr>
      <w:r w:rsidRPr="00FD723D">
        <w:rPr>
          <w:b/>
        </w:rPr>
        <w:t>Delegate’s c</w:t>
      </w:r>
      <w:r w:rsidR="00AC4634" w:rsidRPr="00FD723D">
        <w:rPr>
          <w:b/>
        </w:rPr>
        <w:t>omment</w:t>
      </w:r>
      <w:r w:rsidR="00AC4634" w:rsidRPr="00AC4634">
        <w:t xml:space="preserve">: the 95% CI has not been presented for the median time to first skeletal-related event which could be expected to be reached before the treatment arm. Therefore it is not possible to determine the statistical significance of this finding. </w:t>
      </w:r>
      <w:r>
        <w:t>In response to this Overview, the s</w:t>
      </w:r>
      <w:r w:rsidR="00AC4634" w:rsidRPr="00AC4634">
        <w:t xml:space="preserve">ponsor </w:t>
      </w:r>
      <w:r>
        <w:t>wa</w:t>
      </w:r>
      <w:r w:rsidR="00AC4634" w:rsidRPr="00AC4634">
        <w:t xml:space="preserve">s requested to provide this information and if the data are not available this claim should be removed from the </w:t>
      </w:r>
      <w:r w:rsidR="00AC4634" w:rsidRPr="00FD723D">
        <w:rPr>
          <w:i/>
        </w:rPr>
        <w:t>Clinical Trials</w:t>
      </w:r>
      <w:r w:rsidR="00AC4634" w:rsidRPr="00AC4634">
        <w:t xml:space="preserve"> section of the PI.</w:t>
      </w:r>
    </w:p>
    <w:p w:rsidR="00AC4634" w:rsidRPr="00AC4634" w:rsidRDefault="00AC4634" w:rsidP="0033756C">
      <w:pPr>
        <w:ind w:left="720"/>
      </w:pPr>
      <w:r w:rsidRPr="00AC4634">
        <w:t xml:space="preserve">The use of other therapies following progression needs to be mentioned in the paragraph about skeletal-related events in the </w:t>
      </w:r>
      <w:r w:rsidR="00FD723D" w:rsidRPr="00FD723D">
        <w:rPr>
          <w:i/>
        </w:rPr>
        <w:t>C</w:t>
      </w:r>
      <w:r w:rsidRPr="00FD723D">
        <w:rPr>
          <w:i/>
        </w:rPr>
        <w:t xml:space="preserve">linical </w:t>
      </w:r>
      <w:r w:rsidR="00FD723D" w:rsidRPr="00FD723D">
        <w:rPr>
          <w:i/>
        </w:rPr>
        <w:t>T</w:t>
      </w:r>
      <w:r w:rsidRPr="00FD723D">
        <w:rPr>
          <w:i/>
        </w:rPr>
        <w:t>rials</w:t>
      </w:r>
      <w:r w:rsidRPr="00AC4634">
        <w:t xml:space="preserve"> section of the PI. These findings suggest that as a consequence of extending survival, there is an overall increase in the serious </w:t>
      </w:r>
      <w:r w:rsidR="00763C63">
        <w:t>AE</w:t>
      </w:r>
      <w:r w:rsidRPr="00AC4634">
        <w:t xml:space="preserve">s such spinal cord compression, pathological fracture and orthopaedic surgical intervention. There may be overlap in reporting between the pathological fracture and spinal cord compression group and the surgical intervention group. In addition, there were 4 SAEs of </w:t>
      </w:r>
      <w:proofErr w:type="spellStart"/>
      <w:r w:rsidRPr="00AC4634">
        <w:t>cauda</w:t>
      </w:r>
      <w:proofErr w:type="spellEnd"/>
      <w:r w:rsidRPr="00AC4634">
        <w:t xml:space="preserve"> equine syndrome in the treatment group (none in placebo) and whether these were related to bony disease is unclear.</w:t>
      </w:r>
    </w:p>
    <w:p w:rsidR="00AC4634" w:rsidRPr="00AC4634" w:rsidRDefault="00AC4634" w:rsidP="0033756C">
      <w:pPr>
        <w:pStyle w:val="ListBullet"/>
      </w:pPr>
      <w:r w:rsidRPr="00AC4634">
        <w:t>Other secondary endpoints</w:t>
      </w:r>
    </w:p>
    <w:p w:rsidR="00AC4634" w:rsidRPr="00AC4634" w:rsidRDefault="00FD723D" w:rsidP="0033756C">
      <w:r>
        <w:t xml:space="preserve">Because of the </w:t>
      </w:r>
      <w:r w:rsidRPr="00AC4634">
        <w:t>large amount of data missing</w:t>
      </w:r>
      <w:r>
        <w:t xml:space="preserve"> i</w:t>
      </w:r>
      <w:r w:rsidRPr="00AC4634">
        <w:t>t was difficult to dra</w:t>
      </w:r>
      <w:r>
        <w:t>w conclusions about the</w:t>
      </w:r>
      <w:r w:rsidRPr="00AC4634">
        <w:t xml:space="preserve"> secondary endpoints </w:t>
      </w:r>
      <w:proofErr w:type="spellStart"/>
      <w:r w:rsidR="00AC4634" w:rsidRPr="00AC4634">
        <w:t>Q</w:t>
      </w:r>
      <w:r w:rsidR="006563D1">
        <w:t>oL</w:t>
      </w:r>
      <w:proofErr w:type="spellEnd"/>
      <w:r w:rsidR="00AC4634" w:rsidRPr="00AC4634">
        <w:t xml:space="preserve">, PSA response rate, </w:t>
      </w:r>
      <w:r>
        <w:t xml:space="preserve">and </w:t>
      </w:r>
      <w:r w:rsidR="00AC4634" w:rsidRPr="00AC4634">
        <w:t>pain palliation.</w:t>
      </w:r>
    </w:p>
    <w:p w:rsidR="00765C39" w:rsidRDefault="00AC4634" w:rsidP="0033756C">
      <w:r w:rsidRPr="00AC4634">
        <w:lastRenderedPageBreak/>
        <w:t xml:space="preserve">Baseline completion rate of the </w:t>
      </w:r>
      <w:proofErr w:type="spellStart"/>
      <w:r w:rsidRPr="00AC4634">
        <w:t>QoL</w:t>
      </w:r>
      <w:proofErr w:type="spellEnd"/>
      <w:r w:rsidRPr="00AC4634">
        <w:t xml:space="preserve"> questionnaire (FACT-P) was high in both arms, but 33.2% of the control arm and 14.1% did not complete a post-baseline assessment therefore it is difficult to draw any conclusions abo</w:t>
      </w:r>
      <w:r w:rsidR="0033756C">
        <w:t>ut influence of the treatment.</w:t>
      </w:r>
    </w:p>
    <w:p w:rsidR="00AC4634" w:rsidRPr="00AC4634" w:rsidRDefault="00AC4634" w:rsidP="0033756C">
      <w:r w:rsidRPr="00AC4634">
        <w:t>It is not possible to determine the level of data</w:t>
      </w:r>
      <w:r w:rsidR="00EA3403">
        <w:t xml:space="preserve"> missing for PSA measurements</w:t>
      </w:r>
      <w:r w:rsidRPr="00AC4634">
        <w:t xml:space="preserve"> as only the </w:t>
      </w:r>
      <w:r w:rsidR="00765C39">
        <w:t>‘</w:t>
      </w:r>
      <w:r w:rsidRPr="00AC4634">
        <w:t>at</w:t>
      </w:r>
      <w:r w:rsidR="00765C39">
        <w:t xml:space="preserve"> </w:t>
      </w:r>
      <w:r w:rsidRPr="00AC4634">
        <w:t>least 1 post-baseline</w:t>
      </w:r>
      <w:r w:rsidR="002C1D2D">
        <w:t>’</w:t>
      </w:r>
      <w:r w:rsidRPr="00AC4634">
        <w:t xml:space="preserve"> measurement</w:t>
      </w:r>
      <w:r w:rsidR="002C1D2D">
        <w:t xml:space="preserve"> </w:t>
      </w:r>
      <w:r w:rsidRPr="00AC4634">
        <w:t>is presented and there is no Per Protocol population data presented to evaluate this further. PSA measurements were said to be missing for approximately half of the patients in each arm therefore assessments of nadir levels and responses are too limited. The number of patients evaluable for pain palliation in either arm (&lt;</w:t>
      </w:r>
      <w:r w:rsidR="00765C39">
        <w:t xml:space="preserve"> </w:t>
      </w:r>
      <w:r w:rsidRPr="00AC4634">
        <w:t>7%) was too low to draw any conclusions about treatment effect.</w:t>
      </w:r>
    </w:p>
    <w:p w:rsidR="00AC4634" w:rsidRPr="00AC4634" w:rsidRDefault="00AC4634" w:rsidP="0033756C">
      <w:pPr>
        <w:pStyle w:val="ListBullet"/>
      </w:pPr>
      <w:r w:rsidRPr="00AC4634">
        <w:t>Exploratory endpoints</w:t>
      </w:r>
    </w:p>
    <w:p w:rsidR="00AC4634" w:rsidRPr="00AC4634" w:rsidRDefault="00AC4634" w:rsidP="0033756C">
      <w:r w:rsidRPr="00AC4634">
        <w:t>Analyses o</w:t>
      </w:r>
      <w:r w:rsidR="00765C39">
        <w:t>n</w:t>
      </w:r>
      <w:r w:rsidRPr="00AC4634">
        <w:t xml:space="preserve"> the quality of life over time using the EQ-5D were difficult to interpret due to the small sample size of evaluable patients and the large decrease in the number of patients completi</w:t>
      </w:r>
      <w:r w:rsidR="0033756C">
        <w:t>ng the questionnaire over time.</w:t>
      </w:r>
    </w:p>
    <w:p w:rsidR="00AC4634" w:rsidRPr="00AC4634" w:rsidRDefault="00AC4634" w:rsidP="0033756C">
      <w:r w:rsidRPr="00AC4634">
        <w:t>Analyses on the ECOG performance status over time showed the median change in ECOG performance status was not different between the groups while in the study. As the subjects were not followed after progression and study drug discontinuation, the number evaluable drops rapidly especially in the placebo arm.</w:t>
      </w:r>
      <w:bookmarkStart w:id="200" w:name="_Ref271037188"/>
      <w:bookmarkStart w:id="201" w:name="_Ref271037210"/>
      <w:bookmarkStart w:id="202" w:name="_Toc272414655"/>
      <w:bookmarkStart w:id="203" w:name="_Toc290846277"/>
      <w:bookmarkStart w:id="204" w:name="_Toc381783629"/>
      <w:bookmarkStart w:id="205" w:name="_Toc241374311"/>
      <w:bookmarkStart w:id="206" w:name="_Ref243294291"/>
    </w:p>
    <w:p w:rsidR="00AC4634" w:rsidRPr="00AC4634" w:rsidRDefault="00AC4634" w:rsidP="0033756C">
      <w:pPr>
        <w:pStyle w:val="Heading5"/>
      </w:pPr>
      <w:r w:rsidRPr="00AC4634">
        <w:t xml:space="preserve">Other efficacy </w:t>
      </w:r>
      <w:r w:rsidRPr="0033756C">
        <w:t>studies</w:t>
      </w:r>
      <w:bookmarkEnd w:id="200"/>
      <w:bookmarkEnd w:id="201"/>
      <w:bookmarkEnd w:id="202"/>
      <w:bookmarkEnd w:id="203"/>
      <w:bookmarkEnd w:id="204"/>
    </w:p>
    <w:p w:rsidR="00AC4634" w:rsidRPr="00AC4634" w:rsidRDefault="00AC4634" w:rsidP="0033756C">
      <w:bookmarkStart w:id="207" w:name="_Toc381783630"/>
      <w:bookmarkEnd w:id="205"/>
      <w:bookmarkEnd w:id="206"/>
      <w:r w:rsidRPr="00AC4634">
        <w:t>Study S-3100-1-01</w:t>
      </w:r>
      <w:bookmarkEnd w:id="207"/>
      <w:r w:rsidRPr="00AC4634">
        <w:t xml:space="preserve"> was a multi-centre (5 centres in the US), Phase I, open-label, uncontrolled, dose-escalation safety and PK study of </w:t>
      </w:r>
      <w:r w:rsidR="00742B55" w:rsidRPr="00742B55">
        <w:t>enzalutamide</w:t>
      </w:r>
      <w:r w:rsidRPr="00AC4634">
        <w:t xml:space="preserve"> with dose-expansion at the tolerated doses, in patients with CRPC. The primary objective was to determine the safety and tolerability profile of </w:t>
      </w:r>
      <w:r w:rsidR="00742B55" w:rsidRPr="00742B55">
        <w:t>enzalutamide</w:t>
      </w:r>
      <w:r w:rsidR="00765C39">
        <w:t xml:space="preserve">, including the dose </w:t>
      </w:r>
      <w:r w:rsidRPr="00AC4634">
        <w:t>limiting toxicities, and the maximum tolerated dose when administered orally to patients with CRPC. Inclusion and exclusion criteria were generally similar to those of Study CRPC2, except that previous docetaxel therapy was not required. Overall, 140 patients were enrolled and analysed: 96.4% were Caucasian, with an overall median age of 68 years.</w:t>
      </w:r>
    </w:p>
    <w:p w:rsidR="00765C39" w:rsidRDefault="00AC4634" w:rsidP="0033756C">
      <w:r w:rsidRPr="00AC4634">
        <w:t>Efficacy analyses included a description of the changes in PSA, disease progression on imaging, circulating tumour cell counts, and bone turnover markers (serum bone-specific alkaline phosphatase [A</w:t>
      </w:r>
      <w:r w:rsidR="0033756C">
        <w:t>LP] and urinary N-</w:t>
      </w:r>
      <w:proofErr w:type="spellStart"/>
      <w:r w:rsidR="0033756C">
        <w:t>telopeptide</w:t>
      </w:r>
      <w:proofErr w:type="spellEnd"/>
      <w:r w:rsidR="0033756C">
        <w:t>).</w:t>
      </w:r>
    </w:p>
    <w:p w:rsidR="00AC4634" w:rsidRPr="00AC4634" w:rsidRDefault="00AC4634" w:rsidP="00AC4634">
      <w:r w:rsidRPr="00AC4634">
        <w:t xml:space="preserve">In Study S-3100-1-01, the proportion of patients </w:t>
      </w:r>
      <w:proofErr w:type="gramStart"/>
      <w:r w:rsidRPr="00AC4634">
        <w:t>whose</w:t>
      </w:r>
      <w:proofErr w:type="gramEnd"/>
      <w:r w:rsidRPr="00AC4634">
        <w:t xml:space="preserve"> best overall radiographic response was partial or stable was 61.6% in the overall study population. This proportion was 71.0% in patients without previous chemotherapy, and 54.8% in patients with previous chemotherapy. These are not comparable with the Phase III trial outcomes, but findings were generally supportive of the study drug having efficacy in the target population, and determining the optima</w:t>
      </w:r>
      <w:r w:rsidR="0033756C">
        <w:t>l dose for the Phase III study.</w:t>
      </w:r>
    </w:p>
    <w:p w:rsidR="00AC4634" w:rsidRPr="0033756C" w:rsidRDefault="00AC4634" w:rsidP="0033756C">
      <w:pPr>
        <w:pStyle w:val="Heading6"/>
      </w:pPr>
      <w:bookmarkStart w:id="208" w:name="_Toc290846279"/>
      <w:bookmarkStart w:id="209" w:name="_Toc381783631"/>
      <w:r w:rsidRPr="00AC4634">
        <w:t xml:space="preserve">Study </w:t>
      </w:r>
      <w:bookmarkEnd w:id="208"/>
      <w:r w:rsidRPr="00AC4634">
        <w:t>CRPC-MDA-1</w:t>
      </w:r>
      <w:bookmarkEnd w:id="209"/>
    </w:p>
    <w:p w:rsidR="00AC4634" w:rsidRPr="00AC4634" w:rsidRDefault="00AC4634" w:rsidP="0033756C">
      <w:r w:rsidRPr="00AC4634">
        <w:t xml:space="preserve">This was a single-centre (the US), single arm, open-label study of 60 patients with metastatic progressive CRPC treated with oral </w:t>
      </w:r>
      <w:r w:rsidR="00742B55" w:rsidRPr="00742B55">
        <w:t>enzalutamide</w:t>
      </w:r>
      <w:r w:rsidRPr="00AC4634">
        <w:t xml:space="preserve"> (160 mg/day) to evaluate the treatment effect on enzalutamide on the tumour micro-environment. In the absence of unacceptable toxicities, patients were treated until disease progression. Study inclusion and exclusion criteria were generally similar to those of Study CRPC2, except that previous docetaxel therapy was not part of the inclusion criteria. Full inclusion and exclusion criteria</w:t>
      </w:r>
      <w:r w:rsidR="005F3F18">
        <w:t xml:space="preserve"> are provided in the study report</w:t>
      </w:r>
      <w:r w:rsidRPr="00AC4634">
        <w:t>. The demographic of the study population was similar to the other efficacy trials.</w:t>
      </w:r>
    </w:p>
    <w:p w:rsidR="00AC4634" w:rsidRPr="00AC4634" w:rsidRDefault="00AC4634" w:rsidP="0033756C">
      <w:r w:rsidRPr="00AC4634">
        <w:t>Primary objectives</w:t>
      </w:r>
      <w:r w:rsidR="005F3F18">
        <w:t xml:space="preserve"> were </w:t>
      </w:r>
      <w:r w:rsidR="00BB6145">
        <w:t>AR</w:t>
      </w:r>
      <w:r w:rsidRPr="00AC4634">
        <w:t xml:space="preserve"> signalling and expression of survival/resistance pathways in the bone marrow metastases of CRPC patients in correlation with measures of anti</w:t>
      </w:r>
      <w:r w:rsidR="006563D1">
        <w:t>-</w:t>
      </w:r>
      <w:r w:rsidRPr="00AC4634">
        <w:t>tumour activity to identify predictors of res</w:t>
      </w:r>
      <w:r w:rsidR="0033756C">
        <w:t>ponse or resistance to therapy.</w:t>
      </w:r>
    </w:p>
    <w:p w:rsidR="00AC4634" w:rsidRPr="00AC4634" w:rsidRDefault="002C1D2D" w:rsidP="00AC4634">
      <w:r>
        <w:t>Secondary objectives included</w:t>
      </w:r>
      <w:r w:rsidR="00AC4634" w:rsidRPr="00AC4634">
        <w:t xml:space="preserve"> serum PSA levels, imaging of soft tissue and bone metastases, and markers of bone metabolism, safety and tolerability of treatment. The </w:t>
      </w:r>
      <w:r w:rsidR="00AC4634" w:rsidRPr="00AC4634">
        <w:lastRenderedPageBreak/>
        <w:t>study start date (first patient enrolled) was 18 February 2010 and the last-patient-enrolled date was 01 July 2011. The study was ongoing at the time of this submission. Data cut-off date for the CSR submitted was 26 August 2011.</w:t>
      </w:r>
    </w:p>
    <w:p w:rsidR="00AC4634" w:rsidRPr="00AC4634" w:rsidRDefault="00AC4634" w:rsidP="0033756C">
      <w:r w:rsidRPr="00AC4634">
        <w:t xml:space="preserve">93.3% were on study drug and participated in the study through the Week 9 visit assessments, and 22% were still on treatment at the cut-off. The median time to treatment discontinuation was 5.0 months. 41.1% and 21.4% of patients had ≥ 50%, and ≥ 90% decreases from baseline at Week 9, respectively. It is difficult to determine the nadir based </w:t>
      </w:r>
      <w:r w:rsidR="002C1D2D">
        <w:t>on ‘</w:t>
      </w:r>
      <w:r w:rsidRPr="00AC4634">
        <w:t>at least one post-baseline visit</w:t>
      </w:r>
      <w:r w:rsidR="002C1D2D">
        <w:t>’</w:t>
      </w:r>
      <w:r w:rsidRPr="00AC4634">
        <w:t xml:space="preserve"> measurement and as there is no Per Protocol population, it is not possible to determine the number of patients with &gt;1 measurement. Subgroup analyses of prior treatment effect are limited by the small numbers and lack of control arm.</w:t>
      </w:r>
    </w:p>
    <w:p w:rsidR="00AC4634" w:rsidRPr="00AC4634" w:rsidRDefault="00AC4634" w:rsidP="0033756C">
      <w:r w:rsidRPr="00AC4634">
        <w:t xml:space="preserve">Of the evaluable 5 PSA responders, all 5 showed reduction in nuclear </w:t>
      </w:r>
      <w:r w:rsidR="00BB6145">
        <w:t>AR</w:t>
      </w:r>
      <w:r w:rsidRPr="00AC4634">
        <w:t xml:space="preserve"> localisation. Of the evaluable 11 PSA non-responders, 2 showed reduction in nuclear </w:t>
      </w:r>
      <w:r w:rsidR="00BB6145">
        <w:t>AR</w:t>
      </w:r>
      <w:r w:rsidRPr="00AC4634">
        <w:t xml:space="preserve"> localisation and 9 showed no change or increase in nuclear </w:t>
      </w:r>
      <w:r w:rsidR="00BB6145">
        <w:t>AR</w:t>
      </w:r>
      <w:r w:rsidRPr="00AC4634">
        <w:t xml:space="preserve"> localisation. Statistical correlation was not assessed due to low numbers of evaluable patients.</w:t>
      </w:r>
    </w:p>
    <w:bookmarkEnd w:id="194"/>
    <w:bookmarkEnd w:id="195"/>
    <w:bookmarkEnd w:id="196"/>
    <w:bookmarkEnd w:id="197"/>
    <w:bookmarkEnd w:id="198"/>
    <w:bookmarkEnd w:id="199"/>
    <w:p w:rsidR="00AC4634" w:rsidRPr="00AC4634" w:rsidRDefault="00AC4634" w:rsidP="0033756C">
      <w:pPr>
        <w:pStyle w:val="Heading5"/>
      </w:pPr>
      <w:r w:rsidRPr="00AC4634">
        <w:t>Efficacy summary</w:t>
      </w:r>
    </w:p>
    <w:p w:rsidR="00AC4634" w:rsidRPr="00AC4634" w:rsidRDefault="00AC4634" w:rsidP="0033756C">
      <w:r w:rsidRPr="00AC4634">
        <w:t xml:space="preserve">In the pivotal study, an earlier interim analysis after 520 deaths demonstrated a statistically significant improvement in the radiographic </w:t>
      </w:r>
      <w:r w:rsidR="008C45CE">
        <w:t xml:space="preserve">PFS </w:t>
      </w:r>
      <w:r w:rsidRPr="00AC4634">
        <w:t>(8.3 months v</w:t>
      </w:r>
      <w:r w:rsidR="0017227D">
        <w:t>ersus</w:t>
      </w:r>
      <w:r w:rsidRPr="00AC4634">
        <w:t xml:space="preserve"> 3 months, p</w:t>
      </w:r>
      <w:r w:rsidR="0017227D">
        <w:t xml:space="preserve"> </w:t>
      </w:r>
      <w:r w:rsidRPr="00AC4634">
        <w:t>&lt;</w:t>
      </w:r>
      <w:r w:rsidR="0017227D">
        <w:t xml:space="preserve"> </w:t>
      </w:r>
      <w:r w:rsidRPr="00AC4634">
        <w:t>0.001). This finding, although a secondary endpoint, is of clinical importance. Following progression, however, patients were free to commence other therapies and the study drug was discontinued once they commenced another systemic therapy. The extrapolated overall median survival was 18.4 (95%</w:t>
      </w:r>
      <w:r w:rsidR="0017227D">
        <w:t xml:space="preserve"> </w:t>
      </w:r>
      <w:r w:rsidRPr="00AC4634">
        <w:t xml:space="preserve">CI 17.4, </w:t>
      </w:r>
      <w:r w:rsidR="0061678B">
        <w:t>e</w:t>
      </w:r>
      <w:r w:rsidR="0061678B" w:rsidRPr="0061678B">
        <w:t>stimate not met</w:t>
      </w:r>
      <w:r w:rsidRPr="00AC4634">
        <w:t>) v</w:t>
      </w:r>
      <w:r w:rsidR="0017227D">
        <w:t xml:space="preserve">ersus </w:t>
      </w:r>
      <w:r w:rsidRPr="00AC4634">
        <w:t>13.7</w:t>
      </w:r>
      <w:r w:rsidR="006563D1">
        <w:t xml:space="preserve"> </w:t>
      </w:r>
      <w:r w:rsidRPr="00AC4634">
        <w:t>(11.3,</w:t>
      </w:r>
      <w:r w:rsidR="0017227D">
        <w:t xml:space="preserve"> </w:t>
      </w:r>
      <w:r w:rsidRPr="00AC4634">
        <w:t xml:space="preserve">15.8) </w:t>
      </w:r>
      <w:r w:rsidR="0061678B">
        <w:t xml:space="preserve">months (p </w:t>
      </w:r>
      <w:r w:rsidRPr="00AC4634">
        <w:t>&lt;</w:t>
      </w:r>
      <w:r w:rsidR="0061678B">
        <w:t xml:space="preserve"> </w:t>
      </w:r>
      <w:r w:rsidRPr="00AC4634">
        <w:t>0.0001), and given the median duration of therapy was defined by the radiographic PFS (</w:t>
      </w:r>
      <w:r w:rsidR="0061678B">
        <w:t xml:space="preserve">that is, </w:t>
      </w:r>
      <w:r w:rsidRPr="00AC4634">
        <w:t>8.3 months for the treatm</w:t>
      </w:r>
      <w:r w:rsidR="0061678B">
        <w:t xml:space="preserve">ent arm), there was a median 12 </w:t>
      </w:r>
      <w:r w:rsidRPr="00AC4634">
        <w:t>month period of survival following cessation of the study drug, during which many c</w:t>
      </w:r>
      <w:r w:rsidR="0061678B">
        <w:t xml:space="preserve">ommenced other therapies (41%) </w:t>
      </w:r>
      <w:r w:rsidRPr="00AC4634">
        <w:t xml:space="preserve">and therefore the impact of those other therapies upon the observed </w:t>
      </w:r>
      <w:r w:rsidR="004672F0">
        <w:t>OS</w:t>
      </w:r>
      <w:r w:rsidRPr="00AC4634">
        <w:t xml:space="preserve"> is uncertain. The </w:t>
      </w:r>
      <w:r w:rsidR="0061678B">
        <w:t>s</w:t>
      </w:r>
      <w:r w:rsidRPr="00AC4634">
        <w:t xml:space="preserve">ponsor </w:t>
      </w:r>
      <w:r w:rsidR="0061678B">
        <w:t xml:space="preserve">was </w:t>
      </w:r>
      <w:r w:rsidRPr="00AC4634">
        <w:t xml:space="preserve">asked to provide the actual median </w:t>
      </w:r>
      <w:r w:rsidR="004672F0">
        <w:t>OS</w:t>
      </w:r>
      <w:r w:rsidRPr="00AC4634">
        <w:t xml:space="preserve"> </w:t>
      </w:r>
      <w:r w:rsidR="0061678B">
        <w:t xml:space="preserve">values </w:t>
      </w:r>
      <w:r w:rsidRPr="00AC4634">
        <w:t xml:space="preserve">in the response </w:t>
      </w:r>
      <w:r w:rsidR="0061678B">
        <w:t xml:space="preserve">to this Overview, </w:t>
      </w:r>
      <w:r w:rsidRPr="00AC4634">
        <w:t>as this is likely to have been reached by now.</w:t>
      </w:r>
    </w:p>
    <w:p w:rsidR="00AC4634" w:rsidRPr="006547DD" w:rsidRDefault="00AC4634" w:rsidP="0033756C">
      <w:r w:rsidRPr="006547DD">
        <w:t>While the median time to first skeletal-related events was reported to be delayed by 3 months (16.7 months c</w:t>
      </w:r>
      <w:r w:rsidR="006547DD" w:rsidRPr="006547DD">
        <w:t xml:space="preserve">ompared with </w:t>
      </w:r>
      <w:r w:rsidRPr="006547DD">
        <w:t>13.3 months), the statistical significance of this finding cannot be determined until there is a 95% CI upper limit provided for the placebo arm. Any finding may not be solely attributed to enzalutamide due to the use of other proven therapies in both arms following progression.</w:t>
      </w:r>
    </w:p>
    <w:p w:rsidR="00AC4634" w:rsidRPr="006547DD" w:rsidRDefault="00AC4634" w:rsidP="0033756C">
      <w:r w:rsidRPr="006547DD">
        <w:t>The impact upon other factors including PSA progression, pain palliation and quality of life cannot be assessed due to significant levels of missing data.</w:t>
      </w:r>
    </w:p>
    <w:p w:rsidR="00AC4634" w:rsidRPr="00AC4634" w:rsidRDefault="00AC4634" w:rsidP="0033756C">
      <w:pPr>
        <w:pStyle w:val="Heading4"/>
      </w:pPr>
      <w:r w:rsidRPr="00AC4634">
        <w:t>Safety data</w:t>
      </w:r>
    </w:p>
    <w:p w:rsidR="00AC4634" w:rsidRPr="006547DD" w:rsidRDefault="00AC4634" w:rsidP="0033756C">
      <w:bookmarkStart w:id="210" w:name="_Ref268776745"/>
      <w:r w:rsidRPr="006547DD">
        <w:t>The following ongoing studies provided evaluable</w:t>
      </w:r>
      <w:r w:rsidR="006547DD" w:rsidRPr="006547DD">
        <w:t>,</w:t>
      </w:r>
      <w:r w:rsidRPr="006547DD">
        <w:t xml:space="preserve"> interim safety data </w:t>
      </w:r>
      <w:r w:rsidR="006547DD" w:rsidRPr="006547DD">
        <w:t>(</w:t>
      </w:r>
      <w:r w:rsidRPr="006547DD">
        <w:t>1440 patients: 1041 (enzalutamide) and 399 (placebo)</w:t>
      </w:r>
      <w:r w:rsidR="006547DD" w:rsidRPr="006547DD">
        <w:t>;</w:t>
      </w:r>
      <w:r w:rsidRPr="006547DD">
        <w:t xml:space="preserve"> 923 at target dose of 160 mg daily</w:t>
      </w:r>
      <w:r w:rsidR="006547DD" w:rsidRPr="006547DD">
        <w:t>):</w:t>
      </w:r>
    </w:p>
    <w:p w:rsidR="00AC4634" w:rsidRPr="006547DD" w:rsidRDefault="00AC4634" w:rsidP="0033756C">
      <w:pPr>
        <w:pStyle w:val="ListBullet"/>
      </w:pPr>
      <w:r w:rsidRPr="006547DD">
        <w:t>key safety analysis :Phase III CRPCS (1199 patients160 mg v</w:t>
      </w:r>
      <w:r w:rsidR="006547DD" w:rsidRPr="006547DD">
        <w:t>ersu</w:t>
      </w:r>
      <w:r w:rsidRPr="006547DD">
        <w:t>s placebo)</w:t>
      </w:r>
      <w:r w:rsidR="006547DD" w:rsidRPr="006547DD">
        <w:t>;</w:t>
      </w:r>
      <w:r w:rsidRPr="006547DD">
        <w:t xml:space="preserve"> median duration of exposure was 8.3 months, with 61.1% </w:t>
      </w:r>
      <w:r w:rsidR="0033756C">
        <w:t>≥ 6 months, 24.8% ≥ 12 months.</w:t>
      </w:r>
    </w:p>
    <w:p w:rsidR="00AC4634" w:rsidRPr="006547DD" w:rsidRDefault="00A76A72" w:rsidP="0033756C">
      <w:pPr>
        <w:pStyle w:val="ListBullet"/>
      </w:pPr>
      <w:r>
        <w:t>integrated results for open-</w:t>
      </w:r>
      <w:r w:rsidR="00AC4634" w:rsidRPr="006547DD">
        <w:t>label, multi-dose Study S-3100-1-01, Study CPRC-MDA-1, 9785-CL-0007 with dose ranges of 30-600</w:t>
      </w:r>
      <w:r w:rsidR="00C313D0" w:rsidRPr="006547DD">
        <w:t xml:space="preserve"> </w:t>
      </w:r>
      <w:r w:rsidR="00AC4634" w:rsidRPr="006547DD">
        <w:t>mg</w:t>
      </w:r>
      <w:r w:rsidR="006547DD" w:rsidRPr="006547DD">
        <w:t>;</w:t>
      </w:r>
      <w:r w:rsidR="00AC4634" w:rsidRPr="006547DD">
        <w:t xml:space="preserve"> median enzalutamide exposure was 4.6 months, 37.0% ≥ 6 months, 23.3% ≥ 12 months</w:t>
      </w:r>
      <w:r w:rsidR="0033756C">
        <w:t>.</w:t>
      </w:r>
    </w:p>
    <w:p w:rsidR="00AC4634" w:rsidRPr="006547DD" w:rsidRDefault="00AC4634" w:rsidP="0033756C">
      <w:r w:rsidRPr="006547DD">
        <w:t xml:space="preserve">The safety </w:t>
      </w:r>
      <w:r w:rsidR="006547DD" w:rsidRPr="006547DD">
        <w:t xml:space="preserve">data </w:t>
      </w:r>
      <w:r w:rsidRPr="006547DD">
        <w:t xml:space="preserve">from </w:t>
      </w:r>
      <w:r w:rsidR="006547DD" w:rsidRPr="006547DD">
        <w:t xml:space="preserve">Study </w:t>
      </w:r>
      <w:r w:rsidRPr="006547DD">
        <w:t>9785-CL-0111 (</w:t>
      </w:r>
      <w:r w:rsidR="006563D1">
        <w:t xml:space="preserve">a </w:t>
      </w:r>
      <w:r w:rsidRPr="006547DD">
        <w:t xml:space="preserve">summary </w:t>
      </w:r>
      <w:r w:rsidR="006547DD" w:rsidRPr="006547DD">
        <w:t xml:space="preserve">but </w:t>
      </w:r>
      <w:r w:rsidRPr="006547DD">
        <w:t xml:space="preserve">not </w:t>
      </w:r>
      <w:r w:rsidR="006563D1">
        <w:t xml:space="preserve">the </w:t>
      </w:r>
      <w:r w:rsidRPr="006547DD">
        <w:t xml:space="preserve">actual report </w:t>
      </w:r>
      <w:r w:rsidR="006547DD" w:rsidRPr="006547DD">
        <w:t xml:space="preserve">was provided </w:t>
      </w:r>
      <w:r w:rsidRPr="006547DD">
        <w:t>for this study in Japanese subjects) was integrated with the studies above.</w:t>
      </w:r>
    </w:p>
    <w:p w:rsidR="00AC4634" w:rsidRPr="006547DD" w:rsidRDefault="00AC4634" w:rsidP="0033756C">
      <w:r w:rsidRPr="006547DD">
        <w:t>In the S</w:t>
      </w:r>
      <w:r w:rsidR="006563D1">
        <w:t>CS</w:t>
      </w:r>
      <w:r w:rsidRPr="006547DD">
        <w:t xml:space="preserve">, the </w:t>
      </w:r>
      <w:r w:rsidR="006547DD" w:rsidRPr="006547DD">
        <w:t>s</w:t>
      </w:r>
      <w:r w:rsidRPr="006547DD">
        <w:t>ponsor also provided the safety results of 5 Phase I PK studies (9785-CL-0007, 9785-CL-0009, 9785-CL-0001, MDV3100-05, and 9785-CL-0006), as well as updated safety information (</w:t>
      </w:r>
      <w:r w:rsidR="006547DD" w:rsidRPr="006547DD">
        <w:t>S</w:t>
      </w:r>
      <w:r w:rsidR="00763C63" w:rsidRPr="006547DD">
        <w:t>AE</w:t>
      </w:r>
      <w:r w:rsidRPr="006547DD">
        <w:t>s and deat</w:t>
      </w:r>
      <w:r w:rsidR="00A76A72">
        <w:t>hs) for 2 ongoing Phase II open-</w:t>
      </w:r>
      <w:r w:rsidRPr="006547DD">
        <w:t xml:space="preserve">label studies </w:t>
      </w:r>
      <w:r w:rsidRPr="006547DD">
        <w:lastRenderedPageBreak/>
        <w:t xml:space="preserve">(9785-CL-0121 [open-label extension of the </w:t>
      </w:r>
      <w:r w:rsidR="006547DD" w:rsidRPr="006547DD">
        <w:t>drug-drug interaction S</w:t>
      </w:r>
      <w:r w:rsidRPr="006547DD">
        <w:t>tudy 9785-CL-0007] and 9785-CL-0321 [open-label single-arm, efficacy and safety study in patients with hormone-naïve prostate cancer]).</w:t>
      </w:r>
    </w:p>
    <w:p w:rsidR="00AC4634" w:rsidRPr="006547DD" w:rsidRDefault="00AC4634" w:rsidP="0033756C">
      <w:r w:rsidRPr="006547DD">
        <w:t>The data were presented in a range of ways</w:t>
      </w:r>
      <w:r w:rsidR="006547DD" w:rsidRPr="006547DD">
        <w:t>:</w:t>
      </w:r>
    </w:p>
    <w:p w:rsidR="00AC4634" w:rsidRPr="006547DD" w:rsidRDefault="00AC4634" w:rsidP="0033756C">
      <w:pPr>
        <w:pStyle w:val="ListBullet"/>
      </w:pPr>
      <w:r w:rsidRPr="006547DD">
        <w:t>by AEs occurring within the first 60 days to allow for the</w:t>
      </w:r>
      <w:r w:rsidR="0033756C">
        <w:t xml:space="preserve"> different durations of therapy</w:t>
      </w:r>
    </w:p>
    <w:p w:rsidR="00AC4634" w:rsidRPr="006547DD" w:rsidRDefault="00AC4634" w:rsidP="0033756C">
      <w:pPr>
        <w:pStyle w:val="ListBullet"/>
      </w:pPr>
      <w:r w:rsidRPr="006547DD">
        <w:t>as stand</w:t>
      </w:r>
      <w:r w:rsidR="006547DD" w:rsidRPr="006547DD">
        <w:t>ardised event rates/100 patient-</w:t>
      </w:r>
      <w:r w:rsidRPr="006547DD">
        <w:t>years to allow for the different reporting periods for each arm due to shorter treatment duration in the placebo</w:t>
      </w:r>
    </w:p>
    <w:p w:rsidR="00AC4634" w:rsidRPr="006547DD" w:rsidRDefault="00AC4634" w:rsidP="0033756C">
      <w:pPr>
        <w:pStyle w:val="ListBullet"/>
      </w:pPr>
      <w:r w:rsidRPr="006547DD">
        <w:t>as AEs by absolute or differential frequency rates between the arms</w:t>
      </w:r>
      <w:r w:rsidR="006547DD" w:rsidRPr="006547DD">
        <w:t xml:space="preserve">, for example, </w:t>
      </w:r>
      <w:r w:rsidRPr="006547DD">
        <w:t>&gt;</w:t>
      </w:r>
      <w:r w:rsidR="006547DD" w:rsidRPr="006547DD">
        <w:t xml:space="preserve"> </w:t>
      </w:r>
      <w:r w:rsidRPr="006547DD">
        <w:t>2%</w:t>
      </w:r>
      <w:bookmarkEnd w:id="210"/>
    </w:p>
    <w:p w:rsidR="00AC4634" w:rsidRPr="006547DD" w:rsidRDefault="00AC4634" w:rsidP="0033756C">
      <w:pPr>
        <w:pStyle w:val="ListBullet"/>
      </w:pPr>
      <w:r w:rsidRPr="006547DD">
        <w:t>as raw rates unadjusted by any of the above</w:t>
      </w:r>
    </w:p>
    <w:p w:rsidR="00AC4634" w:rsidRPr="006547DD" w:rsidRDefault="006547DD" w:rsidP="0033756C">
      <w:pPr>
        <w:ind w:left="720"/>
      </w:pPr>
      <w:r w:rsidRPr="006547DD">
        <w:rPr>
          <w:b/>
        </w:rPr>
        <w:t>Delegate’s c</w:t>
      </w:r>
      <w:r w:rsidR="00AC4634" w:rsidRPr="006547DD">
        <w:rPr>
          <w:b/>
        </w:rPr>
        <w:t>omment</w:t>
      </w:r>
      <w:r w:rsidR="00AC4634" w:rsidRPr="006547DD">
        <w:t>: in a population with significant background morbidity, the focus on the frequency of events somewhat dilutes other more important less frequent AEs</w:t>
      </w:r>
      <w:r w:rsidR="006563D1">
        <w:t xml:space="preserve">, for example, </w:t>
      </w:r>
      <w:r w:rsidR="00AC4634" w:rsidRPr="006547DD">
        <w:t xml:space="preserve">seizures, anaphylaxis, </w:t>
      </w:r>
      <w:proofErr w:type="spellStart"/>
      <w:r w:rsidR="00AC4634" w:rsidRPr="006547DD">
        <w:t>cauda</w:t>
      </w:r>
      <w:proofErr w:type="spellEnd"/>
      <w:r w:rsidR="00AC4634" w:rsidRPr="006547DD">
        <w:t xml:space="preserve"> </w:t>
      </w:r>
      <w:proofErr w:type="spellStart"/>
      <w:r w:rsidR="00AC4634" w:rsidRPr="006547DD">
        <w:t>equina</w:t>
      </w:r>
      <w:proofErr w:type="spellEnd"/>
      <w:r w:rsidR="00AC4634" w:rsidRPr="006547DD">
        <w:t xml:space="preserve"> syndromes. The utility of examining the first 60 days for </w:t>
      </w:r>
      <w:r w:rsidR="00763C63" w:rsidRPr="006547DD">
        <w:t>AE</w:t>
      </w:r>
      <w:r w:rsidR="00AC4634" w:rsidRPr="006547DD">
        <w:t xml:space="preserve">s related to a study drug with a 30-day steady state is limited as there will have only been a small window for clinical efficacy to become apparent and equally, to an underestimate of </w:t>
      </w:r>
      <w:r w:rsidR="00763C63" w:rsidRPr="006547DD">
        <w:t>AE</w:t>
      </w:r>
      <w:r w:rsidR="00AC4634" w:rsidRPr="006547DD">
        <w:t>s attributable to the study drug.</w:t>
      </w:r>
    </w:p>
    <w:p w:rsidR="00AC4634" w:rsidRPr="0033756C" w:rsidRDefault="00AC4634" w:rsidP="0033756C">
      <w:pPr>
        <w:pStyle w:val="Heading5"/>
      </w:pPr>
      <w:r w:rsidRPr="006547DD">
        <w:t>Adverse events</w:t>
      </w:r>
    </w:p>
    <w:p w:rsidR="006547DD" w:rsidRDefault="00AC4634" w:rsidP="0033756C">
      <w:bookmarkStart w:id="211" w:name="Table_2.7.4.2.1-1_Summary_of_Adverse_Eve"/>
      <w:bookmarkEnd w:id="211"/>
      <w:r w:rsidRPr="00AC4634">
        <w:t xml:space="preserve">In the pivotal trial, AEs </w:t>
      </w:r>
      <w:r w:rsidR="00E43907">
        <w:t>occurring</w:t>
      </w:r>
      <w:r w:rsidRPr="00AC4634">
        <w:t xml:space="preserve"> more frequently in </w:t>
      </w:r>
      <w:r w:rsidR="00742B55" w:rsidRPr="00742B55">
        <w:t xml:space="preserve">enzalutamide </w:t>
      </w:r>
      <w:r w:rsidRPr="00AC4634">
        <w:t>treated patients than in placebo</w:t>
      </w:r>
      <w:r w:rsidR="00A76A72">
        <w:t xml:space="preserve"> </w:t>
      </w:r>
      <w:r w:rsidRPr="00AC4634">
        <w:t xml:space="preserve">treated patients (≥ 2% absolute difference in event frequency) in Study CRPC2 are presented in Table </w:t>
      </w:r>
      <w:r w:rsidR="00A91607">
        <w:t>8</w:t>
      </w:r>
      <w:r w:rsidR="00BE23A9">
        <w:t>:</w:t>
      </w:r>
    </w:p>
    <w:p w:rsidR="00BE23A9" w:rsidRPr="00BE23A9" w:rsidRDefault="00A91607" w:rsidP="0033756C">
      <w:pPr>
        <w:pStyle w:val="TableTitle"/>
      </w:pPr>
      <w:r>
        <w:t>Table 8</w:t>
      </w:r>
      <w:r w:rsidR="00BE23A9">
        <w:t xml:space="preserve">: </w:t>
      </w:r>
      <w:r w:rsidR="006563D1">
        <w:t>All A</w:t>
      </w:r>
      <w:r w:rsidR="00BE23A9" w:rsidRPr="00BE23A9">
        <w:t xml:space="preserve">dverse Events </w:t>
      </w:r>
      <w:r w:rsidR="006563D1">
        <w:t>o</w:t>
      </w:r>
      <w:r w:rsidR="00BE23A9" w:rsidRPr="00BE23A9">
        <w:t xml:space="preserve">ccurring at a ≥ 2% </w:t>
      </w:r>
      <w:r w:rsidR="006563D1">
        <w:t>a</w:t>
      </w:r>
      <w:r w:rsidR="00BE23A9" w:rsidRPr="00BE23A9">
        <w:t xml:space="preserve">bsolute </w:t>
      </w:r>
      <w:r w:rsidR="006563D1">
        <w:t>d</w:t>
      </w:r>
      <w:r w:rsidR="00BE23A9" w:rsidRPr="00BE23A9">
        <w:t xml:space="preserve">ifference in </w:t>
      </w:r>
      <w:r w:rsidR="006563D1">
        <w:t>e</w:t>
      </w:r>
      <w:r w:rsidR="00BE23A9" w:rsidRPr="00BE23A9">
        <w:t xml:space="preserve">vent </w:t>
      </w:r>
      <w:r w:rsidR="006563D1">
        <w:t>f</w:t>
      </w:r>
      <w:r w:rsidR="00BE23A9" w:rsidRPr="00BE23A9">
        <w:t xml:space="preserve">requency between </w:t>
      </w:r>
      <w:r w:rsidR="006563D1">
        <w:t>t</w:t>
      </w:r>
      <w:r w:rsidR="00BE23A9" w:rsidRPr="00BE23A9">
        <w:t xml:space="preserve">reatment </w:t>
      </w:r>
      <w:r w:rsidR="006563D1">
        <w:t>g</w:t>
      </w:r>
      <w:r w:rsidR="00BE23A9" w:rsidRPr="00BE23A9">
        <w:t xml:space="preserve">roups by Preferred Term: Safety </w:t>
      </w:r>
      <w:r w:rsidR="006563D1">
        <w:t>p</w:t>
      </w:r>
      <w:r w:rsidR="0033756C">
        <w:t>opulation, Study CRPC2</w:t>
      </w:r>
    </w:p>
    <w:p w:rsidR="006547DD" w:rsidRDefault="00BE23A9" w:rsidP="0033756C">
      <w:r>
        <w:rPr>
          <w:noProof/>
          <w:lang w:eastAsia="en-AU"/>
        </w:rPr>
        <w:drawing>
          <wp:inline distT="0" distB="0" distL="0" distR="0" wp14:anchorId="59B7E554" wp14:editId="7EE59B35">
            <wp:extent cx="5036820" cy="4152900"/>
            <wp:effectExtent l="0" t="0" r="0" b="0"/>
            <wp:docPr id="14" name="Picture 14" descr="Table 8: All Adverse Events occurring at a ≥ 2% absolute difference in event frequency between treatment groups by Preferred Term: Safety population, Study CRP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6820" cy="4152900"/>
                    </a:xfrm>
                    <a:prstGeom prst="rect">
                      <a:avLst/>
                    </a:prstGeom>
                    <a:noFill/>
                    <a:ln>
                      <a:noFill/>
                    </a:ln>
                  </pic:spPr>
                </pic:pic>
              </a:graphicData>
            </a:graphic>
          </wp:inline>
        </w:drawing>
      </w:r>
    </w:p>
    <w:p w:rsidR="00AC4634" w:rsidRPr="00AC4634" w:rsidRDefault="00AC4634" w:rsidP="0033756C">
      <w:r w:rsidRPr="00AC4634">
        <w:lastRenderedPageBreak/>
        <w:t xml:space="preserve">The following AEs occurred with the greatest imbalance between the treatment arm and placebo: hot flushes (20.3% with </w:t>
      </w:r>
      <w:r w:rsidR="00742B55" w:rsidRPr="00742B55">
        <w:t>enzalutamide</w:t>
      </w:r>
      <w:r w:rsidRPr="00AC4634">
        <w:t xml:space="preserve"> </w:t>
      </w:r>
      <w:r w:rsidR="008C2725">
        <w:t>versus</w:t>
      </w:r>
      <w:r w:rsidRPr="00AC4634">
        <w:t xml:space="preserve"> 10.3% with placebo), headache (11.6% </w:t>
      </w:r>
      <w:r w:rsidR="008C2725">
        <w:t>versus</w:t>
      </w:r>
      <w:r w:rsidRPr="00AC4634">
        <w:t xml:space="preserve"> 5.5%), fatigue (33.6% </w:t>
      </w:r>
      <w:r w:rsidR="008C2725">
        <w:t>versus</w:t>
      </w:r>
      <w:r w:rsidRPr="00AC4634">
        <w:t xml:space="preserve"> 29.1%), diarrhoea (21.4% </w:t>
      </w:r>
      <w:r w:rsidR="008C2725">
        <w:t>versus</w:t>
      </w:r>
      <w:r w:rsidRPr="00AC4634">
        <w:t xml:space="preserve"> 17.5%), hypertension (6.1% </w:t>
      </w:r>
      <w:r w:rsidR="008C2725">
        <w:t>versus</w:t>
      </w:r>
      <w:r w:rsidRPr="00AC4634">
        <w:t xml:space="preserve"> 2.8%) and musculoskeletal pain (14.5% </w:t>
      </w:r>
      <w:r w:rsidR="008C2725">
        <w:t>versus</w:t>
      </w:r>
      <w:r w:rsidRPr="00AC4634">
        <w:t xml:space="preserve"> 11.5%). After correcting for the longer treatment duration, by assessing AEs starting within the first 60 days of treatment and the event rates/100 patient-years, hot flush, headache, and hypertension remained elevated in the treatment arm.</w:t>
      </w:r>
    </w:p>
    <w:p w:rsidR="00AC4634" w:rsidRPr="00AC4634" w:rsidRDefault="00AC4634" w:rsidP="0033756C">
      <w:r w:rsidRPr="00AC4634">
        <w:t>In Study S-3100-1-01, 9.8% at the150/160</w:t>
      </w:r>
      <w:r w:rsidR="00C313D0">
        <w:t xml:space="preserve"> </w:t>
      </w:r>
      <w:r w:rsidRPr="00AC4634">
        <w:t xml:space="preserve">mg daily dose discontinued the study treatment due to an </w:t>
      </w:r>
      <w:proofErr w:type="gramStart"/>
      <w:r w:rsidRPr="00AC4634">
        <w:t>AE,</w:t>
      </w:r>
      <w:proofErr w:type="gramEnd"/>
      <w:r w:rsidRPr="00AC4634">
        <w:t xml:space="preserve"> most commonly fatigue (2.9%). The </w:t>
      </w:r>
      <w:r w:rsidR="00BE23A9">
        <w:t xml:space="preserve">maximum tolerated dose </w:t>
      </w:r>
      <w:r w:rsidRPr="00AC4634">
        <w:t>of 240 mg/day was defined, based upon the occurrence of seizures at the 600 mg daily dose (2 cases), 480 mg daily (1 possible seizure), and 360 mg daily (1 case). Fatigue was the leading cause of dose reductions overall (7.9%). Overall, the most commonly reported SAE was fatigue (2.9%) There was no obvious dose-dependent trend in the incidences</w:t>
      </w:r>
      <w:r w:rsidR="0033756C">
        <w:t xml:space="preserve"> of the SAEs by preferred term.</w:t>
      </w:r>
    </w:p>
    <w:p w:rsidR="00AC4634" w:rsidRPr="00AC4634" w:rsidRDefault="00AC4634" w:rsidP="0033756C">
      <w:pPr>
        <w:pStyle w:val="Heading5"/>
      </w:pPr>
      <w:bookmarkStart w:id="212" w:name="_Ref272333567"/>
      <w:bookmarkStart w:id="213" w:name="_Toc272414665"/>
      <w:bookmarkStart w:id="214" w:name="_Toc290846303"/>
      <w:bookmarkStart w:id="215" w:name="_Toc381783642"/>
      <w:r w:rsidRPr="00AC4634">
        <w:t xml:space="preserve">Treatment-related </w:t>
      </w:r>
      <w:r w:rsidRPr="0033756C">
        <w:t>adverse</w:t>
      </w:r>
      <w:r w:rsidRPr="00AC4634">
        <w:t xml:space="preserve"> events (adverse drug reactions)</w:t>
      </w:r>
      <w:bookmarkEnd w:id="212"/>
      <w:bookmarkEnd w:id="213"/>
      <w:bookmarkEnd w:id="214"/>
      <w:bookmarkEnd w:id="215"/>
    </w:p>
    <w:p w:rsidR="00BE23A9" w:rsidRDefault="00AC4634" w:rsidP="0033756C">
      <w:r w:rsidRPr="00AC4634">
        <w:t>I</w:t>
      </w:r>
      <w:r w:rsidR="00BE23A9">
        <w:t>n the pivotal study, treatment-</w:t>
      </w:r>
      <w:r w:rsidRPr="00AC4634">
        <w:t xml:space="preserve">related AEs occurring at ≥ 1% frequency and with an incidence at least 2% higher in the </w:t>
      </w:r>
      <w:r w:rsidR="00742B55" w:rsidRPr="00742B55">
        <w:t xml:space="preserve">enzalutamide </w:t>
      </w:r>
      <w:r w:rsidRPr="00AC4634">
        <w:t>treated group than the placebo</w:t>
      </w:r>
      <w:r w:rsidR="00A76A72">
        <w:t xml:space="preserve"> </w:t>
      </w:r>
      <w:r w:rsidRPr="00AC4634">
        <w:t xml:space="preserve">treated group were fatigue, hot flush, and headache (4.5% </w:t>
      </w:r>
      <w:r w:rsidR="008C2725">
        <w:t>versus</w:t>
      </w:r>
      <w:r w:rsidR="0033756C">
        <w:t xml:space="preserve"> 2.3%).</w:t>
      </w:r>
    </w:p>
    <w:p w:rsidR="00BE23A9" w:rsidRDefault="00AC4634" w:rsidP="0033756C">
      <w:r w:rsidRPr="00AC4634">
        <w:t>Incidences of treatment-related AEs were not presented for th</w:t>
      </w:r>
      <w:r w:rsidR="00BE23A9">
        <w:t>e integrated safety results of S</w:t>
      </w:r>
      <w:r w:rsidRPr="00AC4634">
        <w:t>tudies S3100-1-01, CRPC-MDA-1 and 9785-CL-0111.</w:t>
      </w:r>
    </w:p>
    <w:p w:rsidR="00AC4634" w:rsidRPr="00AC4634" w:rsidRDefault="00AC4634" w:rsidP="0033756C">
      <w:r w:rsidRPr="00AC4634">
        <w:t>In Study S3100-1-01, total treatment-related AEs were generally comparable among treatment dose groups, with the most commonly reported being fatigue (58.6%), nausea (32.9%) and anorexia (15.0%). In Study CRPC-MDA-1, the most commonly reported treatment-related AEs by preferred term were fatigue (40.0%), constipation (15.0%), anorexia (15.0%), and hot flushes</w:t>
      </w:r>
      <w:bookmarkStart w:id="216" w:name="_Toc241374320"/>
      <w:bookmarkStart w:id="217" w:name="_Ref272333507"/>
      <w:bookmarkStart w:id="218" w:name="_Toc272414666"/>
      <w:bookmarkStart w:id="219" w:name="_Toc290846304"/>
      <w:bookmarkStart w:id="220" w:name="_Toc381783645"/>
      <w:r w:rsidRPr="00AC4634">
        <w:t xml:space="preserve"> (15.0%).</w:t>
      </w:r>
    </w:p>
    <w:p w:rsidR="00AC4634" w:rsidRPr="0033756C" w:rsidRDefault="00AC4634" w:rsidP="0033756C">
      <w:pPr>
        <w:pStyle w:val="Heading5"/>
      </w:pPr>
      <w:r w:rsidRPr="00AC4634">
        <w:t>Deaths and other serious adverse events</w:t>
      </w:r>
      <w:bookmarkEnd w:id="216"/>
      <w:bookmarkEnd w:id="217"/>
      <w:bookmarkEnd w:id="218"/>
      <w:bookmarkEnd w:id="219"/>
      <w:bookmarkEnd w:id="220"/>
    </w:p>
    <w:p w:rsidR="00AC4634" w:rsidRPr="00AC4634" w:rsidRDefault="00AC4634" w:rsidP="0033756C">
      <w:r w:rsidRPr="00AC4634">
        <w:t>In the pivotal study, AEs leading to death occurred in 2.9% and 3.5% in the enzalutamide and placebo groups, respectively) mostly due to infections (0.9% c</w:t>
      </w:r>
      <w:r w:rsidR="00BE23A9">
        <w:t xml:space="preserve">ompared with </w:t>
      </w:r>
      <w:r w:rsidRPr="00AC4634">
        <w:t>0.3% placebo) and general physical health deterioration (0.8% treatm</w:t>
      </w:r>
      <w:r w:rsidR="00BE23A9">
        <w:t xml:space="preserve">ent </w:t>
      </w:r>
      <w:r w:rsidR="00BE23A9" w:rsidRPr="00BE23A9">
        <w:t>compared with</w:t>
      </w:r>
      <w:r w:rsidRPr="00AC4634">
        <w:t xml:space="preserve"> 1.3% placebo). There were no reported </w:t>
      </w:r>
      <w:r w:rsidR="00763C63">
        <w:t>AE</w:t>
      </w:r>
      <w:r w:rsidRPr="00AC4634">
        <w:t>s leading to death reported in any of the 3 open-label studie</w:t>
      </w:r>
      <w:r w:rsidR="0033756C">
        <w:t>s.</w:t>
      </w:r>
    </w:p>
    <w:p w:rsidR="00AC4634" w:rsidRPr="00AC4634" w:rsidRDefault="00BE23A9" w:rsidP="0033756C">
      <w:pPr>
        <w:ind w:left="720"/>
      </w:pPr>
      <w:r w:rsidRPr="00BE23A9">
        <w:rPr>
          <w:b/>
        </w:rPr>
        <w:t>Delegate’s c</w:t>
      </w:r>
      <w:r w:rsidR="00AC4634" w:rsidRPr="00BE23A9">
        <w:rPr>
          <w:b/>
        </w:rPr>
        <w:t>omment</w:t>
      </w:r>
      <w:r w:rsidR="00AC4634" w:rsidRPr="00AC4634">
        <w:t>: it is unclear why “death” is li</w:t>
      </w:r>
      <w:r w:rsidR="0033756C">
        <w:t>sted as an AE leading to death.</w:t>
      </w:r>
    </w:p>
    <w:p w:rsidR="00AC4634" w:rsidRPr="00AC4634" w:rsidRDefault="00BE23A9" w:rsidP="0033756C">
      <w:r>
        <w:t>A r</w:t>
      </w:r>
      <w:r w:rsidR="00AC4634" w:rsidRPr="00AC4634">
        <w:t xml:space="preserve">eview of all SAEs in controlled </w:t>
      </w:r>
      <w:r w:rsidR="00A76A72">
        <w:t>and open-</w:t>
      </w:r>
      <w:r w:rsidR="00AC4634" w:rsidRPr="00AC4634">
        <w:t>label studies (pre</w:t>
      </w:r>
      <w:r>
        <w:t>sented as serious TEAEs by the s</w:t>
      </w:r>
      <w:r w:rsidR="00AC4634" w:rsidRPr="00AC4634">
        <w:t xml:space="preserve">ponsor) included the following (numbers of patients in brackets): anaphylaxis (1), osteonecrosis of the jaw (2), acute leukaemia (1), acute myeloid leukaemia (1), </w:t>
      </w:r>
      <w:proofErr w:type="spellStart"/>
      <w:proofErr w:type="gramStart"/>
      <w:r w:rsidR="00AC4634" w:rsidRPr="00AC4634">
        <w:t>cauda</w:t>
      </w:r>
      <w:proofErr w:type="spellEnd"/>
      <w:proofErr w:type="gramEnd"/>
      <w:r w:rsidR="00AC4634" w:rsidRPr="00AC4634">
        <w:t xml:space="preserve"> equine syndrome (4).</w:t>
      </w:r>
    </w:p>
    <w:p w:rsidR="00BE23A9" w:rsidRDefault="00AC4634" w:rsidP="0033756C">
      <w:r w:rsidRPr="00AC4634">
        <w:t>In the pivotal study, SAEs occurred at similar rates between treatment groups (33.5% and 38.6% in the enzalutamide and placebo groups, respectively)</w:t>
      </w:r>
      <w:r w:rsidR="00BE23A9">
        <w:t xml:space="preserve"> </w:t>
      </w:r>
      <w:r w:rsidRPr="00AC4634">
        <w:t xml:space="preserve">(see Table </w:t>
      </w:r>
      <w:r w:rsidR="00A91607">
        <w:t>9</w:t>
      </w:r>
      <w:r w:rsidR="00BE23A9">
        <w:t xml:space="preserve"> below</w:t>
      </w:r>
      <w:r w:rsidR="0033756C">
        <w:t>).</w:t>
      </w:r>
    </w:p>
    <w:p w:rsidR="00AC4634" w:rsidRPr="00AC4634" w:rsidRDefault="00AC4634" w:rsidP="00AC4634">
      <w:r w:rsidRPr="00AC4634">
        <w:t>The most commonly reported S</w:t>
      </w:r>
      <w:r w:rsidR="00B526DD">
        <w:t xml:space="preserve">AE in the treatment </w:t>
      </w:r>
      <w:r w:rsidRPr="00AC4634">
        <w:t>arm was spinal cord compression (listed as occurring at rate of 6.0% c</w:t>
      </w:r>
      <w:r w:rsidR="00BE23A9">
        <w:t xml:space="preserve">ompared with </w:t>
      </w:r>
      <w:r w:rsidRPr="00AC4634">
        <w:t xml:space="preserve">3.8% with placebo in SAE list; 6.4% </w:t>
      </w:r>
      <w:r w:rsidR="00BE23A9" w:rsidRPr="00BE23A9">
        <w:t>compared with</w:t>
      </w:r>
      <w:r w:rsidRPr="00AC4634">
        <w:t xml:space="preserve"> 4.5% in first 60 days of treatment </w:t>
      </w:r>
      <w:r w:rsidR="00B526DD">
        <w:t>(in sponsor’s summary)</w:t>
      </w:r>
      <w:r w:rsidRPr="00AC4634">
        <w:t xml:space="preserve">; 9% </w:t>
      </w:r>
      <w:r w:rsidR="00B526DD" w:rsidRPr="00B526DD">
        <w:t xml:space="preserve">compared with </w:t>
      </w:r>
      <w:r w:rsidRPr="00AC4634">
        <w:t xml:space="preserve">7.7% in section on </w:t>
      </w:r>
      <w:r w:rsidRPr="00B526DD">
        <w:rPr>
          <w:i/>
        </w:rPr>
        <w:t>Spinal Cord Compression and Pathological Fractures</w:t>
      </w:r>
      <w:r w:rsidRPr="00AC4634">
        <w:t>, (</w:t>
      </w:r>
      <w:r w:rsidR="00F30CA2">
        <w:t xml:space="preserve">in </w:t>
      </w:r>
      <w:r w:rsidR="00B526DD">
        <w:t>sponsor’s overview). Additionally, there are</w:t>
      </w:r>
      <w:r w:rsidRPr="00AC4634">
        <w:t xml:space="preserve">4 cases of </w:t>
      </w:r>
      <w:proofErr w:type="spellStart"/>
      <w:r w:rsidRPr="00AC4634">
        <w:t>cauda</w:t>
      </w:r>
      <w:proofErr w:type="spellEnd"/>
      <w:r w:rsidRPr="00AC4634">
        <w:t xml:space="preserve"> equine in the enzalutamide arm of CRPC2 which appear to have been repo</w:t>
      </w:r>
      <w:r w:rsidR="00B526DD">
        <w:t>rted separately as an SAE. In response to this Overview, the s</w:t>
      </w:r>
      <w:r w:rsidRPr="00AC4634">
        <w:t xml:space="preserve">ponsor </w:t>
      </w:r>
      <w:r w:rsidR="00B526DD">
        <w:t>wa</w:t>
      </w:r>
      <w:r w:rsidRPr="00AC4634">
        <w:t xml:space="preserve">s requested to provide from all the different recording methods, a final total for all cases with spinal cord compression or </w:t>
      </w:r>
      <w:proofErr w:type="spellStart"/>
      <w:r w:rsidRPr="00AC4634">
        <w:t>cauda</w:t>
      </w:r>
      <w:proofErr w:type="spellEnd"/>
      <w:r w:rsidRPr="00AC4634">
        <w:t xml:space="preserve"> </w:t>
      </w:r>
      <w:proofErr w:type="spellStart"/>
      <w:r w:rsidRPr="00AC4634">
        <w:t>equina</w:t>
      </w:r>
      <w:proofErr w:type="spellEnd"/>
      <w:r w:rsidRPr="00AC4634">
        <w:t xml:space="preserve"> over the whole duration of the trial.</w:t>
      </w:r>
    </w:p>
    <w:p w:rsidR="00AC4634" w:rsidRPr="00AC4634" w:rsidRDefault="00AC4634" w:rsidP="0033756C">
      <w:r w:rsidRPr="00AC4634">
        <w:t xml:space="preserve">The sponsor had noted that in study CRPC2, skeletal-related events such as spinal cord compression and pathological fracture were not required to be reported as AEs unless </w:t>
      </w:r>
      <w:r w:rsidRPr="00AC4634">
        <w:lastRenderedPageBreak/>
        <w:t xml:space="preserve">they met the criteria for an SAE. Instead, they were required to be reported on the skeletal-related event case report form (CRF), although many investigators also included them as </w:t>
      </w:r>
      <w:r w:rsidR="00763C63">
        <w:t>AE</w:t>
      </w:r>
      <w:r w:rsidRPr="00AC4634">
        <w:t xml:space="preserve">s. This would mean that in only evaluating spinal cord compression and pathological fracture from the </w:t>
      </w:r>
      <w:r w:rsidR="00763C63">
        <w:t>AE</w:t>
      </w:r>
      <w:r w:rsidRPr="00AC4634">
        <w:t xml:space="preserve"> CRF, many non-serious AEs were not included. The sponsor did additional analyses looking at spinal cord compression and pathological fractures that occurred during the safety reporting period using data from the skeletal-related events CRF. Results showed that the imbalance between treatment groups was smaller (spinal cord compression: 8.3% with </w:t>
      </w:r>
      <w:r w:rsidR="00742B55" w:rsidRPr="00742B55">
        <w:t>enzalutamide</w:t>
      </w:r>
      <w:r w:rsidRPr="00AC4634">
        <w:t xml:space="preserve"> </w:t>
      </w:r>
      <w:r w:rsidR="008C2725">
        <w:t>versus</w:t>
      </w:r>
      <w:r w:rsidRPr="00AC4634">
        <w:t xml:space="preserve"> 7.3% with placebo; pathological fracture: 3.5% </w:t>
      </w:r>
      <w:r w:rsidR="008C2725">
        <w:t>versus</w:t>
      </w:r>
      <w:r w:rsidRPr="00AC4634">
        <w:t xml:space="preserve"> 3.8%). When the event rates for the AEs of spinal cord compression and pathological fracture were adjusted by </w:t>
      </w:r>
      <w:r w:rsidR="00763C63">
        <w:t>AE</w:t>
      </w:r>
      <w:r w:rsidRPr="00AC4634">
        <w:t xml:space="preserve"> reporting period, the event rates per 100 patient-years at risk were higher in the placebo</w:t>
      </w:r>
      <w:r w:rsidR="00A76A72">
        <w:t xml:space="preserve"> </w:t>
      </w:r>
      <w:r w:rsidRPr="00AC4634">
        <w:t xml:space="preserve">treated group than in the </w:t>
      </w:r>
      <w:r w:rsidR="00742B55" w:rsidRPr="00742B55">
        <w:t xml:space="preserve">enzalutamide </w:t>
      </w:r>
      <w:r w:rsidRPr="00AC4634">
        <w:t xml:space="preserve">treated group (spinal cord compression: 11.9 with </w:t>
      </w:r>
      <w:r w:rsidR="00742B55" w:rsidRPr="00742B55">
        <w:t>enzalutamide</w:t>
      </w:r>
      <w:r w:rsidRPr="00AC4634">
        <w:t xml:space="preserve"> </w:t>
      </w:r>
      <w:r w:rsidR="008C2725">
        <w:t>versus</w:t>
      </w:r>
      <w:r w:rsidRPr="00AC4634">
        <w:t xml:space="preserve"> 18.6; pathological fracture: 6.8 </w:t>
      </w:r>
      <w:r w:rsidR="008C2725">
        <w:t>versus</w:t>
      </w:r>
      <w:r w:rsidR="0033756C">
        <w:t xml:space="preserve"> 9.1).</w:t>
      </w:r>
    </w:p>
    <w:p w:rsidR="00AC4634" w:rsidRDefault="00B526DD" w:rsidP="0033756C">
      <w:pPr>
        <w:pStyle w:val="TableTitle"/>
      </w:pPr>
      <w:r>
        <w:t xml:space="preserve">Table </w:t>
      </w:r>
      <w:r w:rsidR="00A91607">
        <w:t>9</w:t>
      </w:r>
      <w:r>
        <w:t xml:space="preserve">: </w:t>
      </w:r>
      <w:r w:rsidR="00F30CA2">
        <w:t>Serious Adverse Events occurring in &gt;1% p</w:t>
      </w:r>
      <w:r w:rsidR="00AC4634" w:rsidRPr="00AC4634">
        <w:t>atients in Any Treatment Group in Study CRPC2</w:t>
      </w:r>
    </w:p>
    <w:p w:rsidR="00BE23A9" w:rsidRPr="00AC4634" w:rsidRDefault="00BE23A9" w:rsidP="0033756C">
      <w:r>
        <w:rPr>
          <w:noProof/>
          <w:lang w:eastAsia="en-AU"/>
        </w:rPr>
        <w:drawing>
          <wp:inline distT="0" distB="0" distL="0" distR="0" wp14:anchorId="49803C56" wp14:editId="5797814A">
            <wp:extent cx="4641158" cy="4240786"/>
            <wp:effectExtent l="0" t="0" r="7620" b="7620"/>
            <wp:docPr id="16" name="Picture 16" descr="Table 9: Serious Adverse Events occurring in &gt;1% patients in Any Treatment Group in Study CR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43779" cy="4243181"/>
                    </a:xfrm>
                    <a:prstGeom prst="rect">
                      <a:avLst/>
                    </a:prstGeom>
                  </pic:spPr>
                </pic:pic>
              </a:graphicData>
            </a:graphic>
          </wp:inline>
        </w:drawing>
      </w:r>
    </w:p>
    <w:p w:rsidR="00AC4634" w:rsidRPr="00B526DD" w:rsidRDefault="00AC4634" w:rsidP="0033756C">
      <w:pPr>
        <w:pStyle w:val="TableDescription"/>
      </w:pPr>
      <w:r w:rsidRPr="00B526DD">
        <w:t xml:space="preserve">Note: Events with at least a 0.5% absolute higher incidence in </w:t>
      </w:r>
      <w:r w:rsidR="00742B55" w:rsidRPr="00B526DD">
        <w:t xml:space="preserve">enzalutamide </w:t>
      </w:r>
      <w:r w:rsidRPr="00B526DD">
        <w:t>treated patients than pla</w:t>
      </w:r>
      <w:r w:rsidR="0033756C">
        <w:t>cebo patients are shown in bold</w:t>
      </w:r>
    </w:p>
    <w:p w:rsidR="00B526DD" w:rsidRDefault="00B526DD" w:rsidP="0033756C">
      <w:pPr>
        <w:ind w:left="720"/>
      </w:pPr>
      <w:r w:rsidRPr="00B526DD">
        <w:rPr>
          <w:b/>
        </w:rPr>
        <w:t>Delegate’s c</w:t>
      </w:r>
      <w:r w:rsidR="00AC4634" w:rsidRPr="00B526DD">
        <w:rPr>
          <w:b/>
        </w:rPr>
        <w:t>omment</w:t>
      </w:r>
      <w:r w:rsidR="00AC4634" w:rsidRPr="00AC4634">
        <w:t xml:space="preserve">: </w:t>
      </w:r>
      <w:r>
        <w:t>T</w:t>
      </w:r>
      <w:r w:rsidR="00AC4634" w:rsidRPr="00AC4634">
        <w:t xml:space="preserve">he Delegate believes that both the spinal cord compression rates (including the 4 cases of </w:t>
      </w:r>
      <w:proofErr w:type="spellStart"/>
      <w:r w:rsidR="00AC4634" w:rsidRPr="00AC4634">
        <w:t>cauda</w:t>
      </w:r>
      <w:proofErr w:type="spellEnd"/>
      <w:r w:rsidR="00AC4634" w:rsidRPr="00AC4634">
        <w:t xml:space="preserve"> equine syndrome) should have been reconciled between the CRFs for this analysis. Similarly, this should also have happened for the pathological fracture rates prior to the analysis by report period.</w:t>
      </w:r>
    </w:p>
    <w:p w:rsidR="00977A4D" w:rsidRPr="00F30CA2" w:rsidRDefault="00AC4634" w:rsidP="0033756C">
      <w:pPr>
        <w:ind w:left="720"/>
      </w:pPr>
      <w:r w:rsidRPr="00F30CA2">
        <w:t xml:space="preserve">AEs of spinal cord compression and fracture were reported on a </w:t>
      </w:r>
      <w:r w:rsidR="00977A4D" w:rsidRPr="00F30CA2">
        <w:t>CRF for skeletal-related events and appear</w:t>
      </w:r>
      <w:r w:rsidRPr="00F30CA2">
        <w:t xml:space="preserve"> to have required a further CRF to be classified as </w:t>
      </w:r>
      <w:proofErr w:type="gramStart"/>
      <w:r w:rsidRPr="00F30CA2">
        <w:t>an</w:t>
      </w:r>
      <w:proofErr w:type="gramEnd"/>
      <w:r w:rsidRPr="00F30CA2">
        <w:t xml:space="preserve"> SAEs. It would therefore seem possible these cases may be recorded on the AE CRF and not the skeletal-related event CRF (and </w:t>
      </w:r>
      <w:r w:rsidR="00977A4D" w:rsidRPr="00F30CA2">
        <w:t>potentially vice-versa) as the s</w:t>
      </w:r>
      <w:r w:rsidRPr="00F30CA2">
        <w:t xml:space="preserve">ponsor states that spinal cord compression cases were not immediately an SAE “unless </w:t>
      </w:r>
      <w:r w:rsidRPr="00F30CA2">
        <w:lastRenderedPageBreak/>
        <w:t>they met the criteria for a serious adverse event” (</w:t>
      </w:r>
      <w:r w:rsidR="00977A4D" w:rsidRPr="00F30CA2">
        <w:t>sponsors summary</w:t>
      </w:r>
      <w:r w:rsidRPr="00F30CA2">
        <w:t>), leading to two potent</w:t>
      </w:r>
      <w:r w:rsidR="0033756C">
        <w:t>ially non-overlapping datasets.</w:t>
      </w:r>
    </w:p>
    <w:p w:rsidR="00977A4D" w:rsidRDefault="00AC4634" w:rsidP="0033756C">
      <w:pPr>
        <w:ind w:left="720"/>
      </w:pPr>
      <w:r w:rsidRPr="00AC4634">
        <w:t>The Delegate considers all instances of spinal cord compression are an SAE, as this is an oncology emergency with a highly significant detrimental impact upon the patient’s quality of life and survival. The protocol defined an SAE as an event resulting in “persistent or significant disability/incapacity” o</w:t>
      </w:r>
      <w:r w:rsidR="00977A4D">
        <w:t>r “required inpatient hospitalis</w:t>
      </w:r>
      <w:r w:rsidRPr="00AC4634">
        <w:t>ation or pro</w:t>
      </w:r>
      <w:r w:rsidR="00977A4D">
        <w:t>longation of existing hospitalis</w:t>
      </w:r>
      <w:r w:rsidRPr="00AC4634">
        <w:t xml:space="preserve">ation” so this appears to be a misclassification. There are also the 4 cases of </w:t>
      </w:r>
      <w:proofErr w:type="spellStart"/>
      <w:r w:rsidRPr="00AC4634">
        <w:t>cauda</w:t>
      </w:r>
      <w:proofErr w:type="spellEnd"/>
      <w:r w:rsidRPr="00AC4634">
        <w:t xml:space="preserve"> </w:t>
      </w:r>
      <w:proofErr w:type="spellStart"/>
      <w:r w:rsidRPr="00AC4634">
        <w:t>equina</w:t>
      </w:r>
      <w:proofErr w:type="spellEnd"/>
      <w:r w:rsidRPr="00AC4634">
        <w:t xml:space="preserve"> syndrome which appear as an SAE under the neurolo</w:t>
      </w:r>
      <w:r w:rsidR="00252D23">
        <w:t>gical AE term, but not skeletal-</w:t>
      </w:r>
      <w:r w:rsidRPr="00AC4634">
        <w:t>related events.</w:t>
      </w:r>
    </w:p>
    <w:p w:rsidR="00977A4D" w:rsidRDefault="00AC4634" w:rsidP="0033756C">
      <w:pPr>
        <w:ind w:left="720"/>
      </w:pPr>
      <w:r w:rsidRPr="00AC4634">
        <w:t>This dual CRF AE reporting system is likely to lead to difficulty determining the true rate of events, particularly when they are reported over differi</w:t>
      </w:r>
      <w:r w:rsidR="0033756C">
        <w:t>ng timeframes within the trial.</w:t>
      </w:r>
    </w:p>
    <w:p w:rsidR="00AC4634" w:rsidRPr="00AC4634" w:rsidRDefault="00AC4634" w:rsidP="0033756C">
      <w:pPr>
        <w:ind w:left="720"/>
      </w:pPr>
      <w:r w:rsidRPr="00AC4634">
        <w:t>The higher rate of SAEs with enzalutamide are most likely due to living longer with bony metastases, although treatment effects such as loss of bone density with long term ADT (with enzalutamide contributing) may be a factor. The incidence of spinal wedge compression factors supports this. The absolute number of cases with spinal cord compression needs to be reported for those on enzalutamide, as although this may not be a drug effect, the extended as this is important in forming a risk-benefit analysis of the decision to treat such patients.</w:t>
      </w:r>
    </w:p>
    <w:p w:rsidR="00AC4634" w:rsidRPr="00AC4634" w:rsidRDefault="00977A4D" w:rsidP="0033756C">
      <w:pPr>
        <w:pStyle w:val="TableTitle"/>
      </w:pPr>
      <w:r>
        <w:t xml:space="preserve">Table </w:t>
      </w:r>
      <w:r w:rsidR="00F30CA2">
        <w:t>1</w:t>
      </w:r>
      <w:r w:rsidR="00A91607">
        <w:t>0</w:t>
      </w:r>
      <w:r>
        <w:t xml:space="preserve">: </w:t>
      </w:r>
      <w:r w:rsidR="00AC4634" w:rsidRPr="00AC4634">
        <w:t>Spinal Cord Compression and Pathological Fracture in Study CRPC2</w:t>
      </w:r>
    </w:p>
    <w:p w:rsidR="00AC4634" w:rsidRPr="00AC4634" w:rsidRDefault="00AC4634" w:rsidP="0033756C">
      <w:r w:rsidRPr="00AC4634">
        <w:rPr>
          <w:noProof/>
          <w:lang w:eastAsia="en-AU"/>
        </w:rPr>
        <w:drawing>
          <wp:inline distT="0" distB="0" distL="0" distR="0" wp14:anchorId="6A47C9C0" wp14:editId="5F13AABB">
            <wp:extent cx="4514215" cy="1208405"/>
            <wp:effectExtent l="0" t="0" r="635" b="0"/>
            <wp:docPr id="3" name="Picture 3" descr="Table 10: Spinal Cord Compression and Pathological Fracture in Study CR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4215" cy="1208405"/>
                    </a:xfrm>
                    <a:prstGeom prst="rect">
                      <a:avLst/>
                    </a:prstGeom>
                    <a:noFill/>
                    <a:ln>
                      <a:noFill/>
                    </a:ln>
                  </pic:spPr>
                </pic:pic>
              </a:graphicData>
            </a:graphic>
          </wp:inline>
        </w:drawing>
      </w:r>
    </w:p>
    <w:p w:rsidR="00AC4634" w:rsidRPr="00AC4634" w:rsidRDefault="00AC4634" w:rsidP="0033756C">
      <w:r w:rsidRPr="00AC4634">
        <w:t>Other significant SAEs are pain which was high</w:t>
      </w:r>
      <w:r w:rsidR="00C31B96">
        <w:t>er in the treatment arm (3.8% versus</w:t>
      </w:r>
      <w:r w:rsidRPr="00AC4634">
        <w:t xml:space="preserve"> 3.1%). This is a significant problem with this malignancy, especially bone pain. The rates may be increased by the reporting time, however, it implies that enzalutamide may prolong </w:t>
      </w:r>
      <w:r w:rsidR="004672F0">
        <w:t>OS</w:t>
      </w:r>
      <w:r w:rsidRPr="00AC4634">
        <w:t xml:space="preserve">, </w:t>
      </w:r>
      <w:r w:rsidR="008C45CE">
        <w:t xml:space="preserve">PFS </w:t>
      </w:r>
      <w:r w:rsidRPr="00AC4634">
        <w:t>and time to first skeletal event, but it does not lead necessarily to an improvement in pain.</w:t>
      </w:r>
    </w:p>
    <w:p w:rsidR="00AC4634" w:rsidRPr="00AC4634" w:rsidRDefault="00AC4634" w:rsidP="0033756C">
      <w:pPr>
        <w:pStyle w:val="Heading5"/>
      </w:pPr>
      <w:bookmarkStart w:id="221" w:name="_Toc241374325"/>
      <w:bookmarkStart w:id="222" w:name="_Ref272333477"/>
      <w:bookmarkStart w:id="223" w:name="_Toc272414667"/>
      <w:bookmarkStart w:id="224" w:name="_Toc290846305"/>
      <w:bookmarkStart w:id="225" w:name="_Toc381783648"/>
      <w:r w:rsidRPr="00AC4634">
        <w:t>Discontinuation due to adverse events</w:t>
      </w:r>
      <w:bookmarkEnd w:id="221"/>
      <w:bookmarkEnd w:id="222"/>
      <w:bookmarkEnd w:id="223"/>
      <w:bookmarkEnd w:id="224"/>
      <w:bookmarkEnd w:id="225"/>
    </w:p>
    <w:p w:rsidR="00AC4634" w:rsidRPr="00AC4634" w:rsidRDefault="00AC4634" w:rsidP="0033756C">
      <w:r w:rsidRPr="00AC4634">
        <w:t xml:space="preserve">Study drug discontinuation in Study CRPC2 was lower in the enzalutamide group compared with the placebo group (7.6% </w:t>
      </w:r>
      <w:r w:rsidR="008C2725">
        <w:t>versus</w:t>
      </w:r>
      <w:r w:rsidR="00C31B96">
        <w:t xml:space="preserve"> 9.8%) and among enzalutamide </w:t>
      </w:r>
      <w:r w:rsidRPr="00AC4634">
        <w:t>treated subjects</w:t>
      </w:r>
      <w:r w:rsidR="00C31B96">
        <w:t>;</w:t>
      </w:r>
      <w:r w:rsidRPr="00AC4634">
        <w:t xml:space="preserve"> fatigue was the most common cause (0.6% with </w:t>
      </w:r>
      <w:r w:rsidR="00742B55" w:rsidRPr="00742B55">
        <w:t>enzalutamide</w:t>
      </w:r>
      <w:r w:rsidRPr="00AC4634">
        <w:t xml:space="preserve"> </w:t>
      </w:r>
      <w:r w:rsidR="008C2725">
        <w:t>versus</w:t>
      </w:r>
      <w:r w:rsidRPr="00AC4634">
        <w:t xml:space="preserve"> 0.5% with placebo).</w:t>
      </w:r>
    </w:p>
    <w:p w:rsidR="00AC4634" w:rsidRPr="00AC4634" w:rsidRDefault="00AC4634" w:rsidP="0033756C">
      <w:bookmarkStart w:id="226" w:name="_Toc381783650"/>
      <w:r w:rsidRPr="00AC4634">
        <w:t>In the integrated studies S3100-1-01, CRPC-MDA-1, and 9785-CL-0111</w:t>
      </w:r>
      <w:bookmarkEnd w:id="226"/>
      <w:r w:rsidRPr="00AC4634">
        <w:t>, the overall incidence of AEs leading to permanent study drug discontinuation was 9.3% in the other studies and a potential dose-dependent relationship was noted for fatigue (1.3%) and convulsion (1.3%) both of these events were occurred at &gt;160 mg daily dose group.</w:t>
      </w:r>
    </w:p>
    <w:p w:rsidR="00AC4634" w:rsidRPr="00AC4634" w:rsidRDefault="00AC4634" w:rsidP="0033756C">
      <w:pPr>
        <w:pStyle w:val="Heading5"/>
      </w:pPr>
      <w:bookmarkStart w:id="227" w:name="_Toc381783652"/>
      <w:r w:rsidRPr="00AC4634">
        <w:t>Clinical laboratory tests</w:t>
      </w:r>
      <w:bookmarkEnd w:id="227"/>
    </w:p>
    <w:p w:rsidR="00AC4634" w:rsidRPr="00AC4634" w:rsidRDefault="00AC4634" w:rsidP="0033756C">
      <w:r w:rsidRPr="00AC4634">
        <w:t xml:space="preserve">There appeared to be an association between treatment with enzalutamide and decreased leukocyte and neutrophil counts. An increase by more than two grades post-baseline for low leucocytes (4.6% </w:t>
      </w:r>
      <w:r w:rsidR="008C2725">
        <w:t>versus</w:t>
      </w:r>
      <w:r w:rsidRPr="00AC4634">
        <w:t xml:space="preserve"> 1.5%) and low neutrophils (3.6% </w:t>
      </w:r>
      <w:r w:rsidR="008C2725">
        <w:t>versus</w:t>
      </w:r>
      <w:r w:rsidRPr="00AC4634">
        <w:t xml:space="preserve"> 1.0%) and Grade 3 or 4 abnormalities were seen more commonly with enzalutamide compared with placebo: leucocytes (0.9% </w:t>
      </w:r>
      <w:r w:rsidR="008C2725">
        <w:t>versus</w:t>
      </w:r>
      <w:r w:rsidRPr="00AC4634">
        <w:t xml:space="preserve"> 0.3%) and low neutrophils (1.1% </w:t>
      </w:r>
      <w:r w:rsidR="008C2725">
        <w:t>versus</w:t>
      </w:r>
      <w:r w:rsidRPr="00AC4634">
        <w:t xml:space="preserve"> 0.0%). The </w:t>
      </w:r>
      <w:r w:rsidR="00C31B96">
        <w:t>s</w:t>
      </w:r>
      <w:r w:rsidRPr="00AC4634">
        <w:t>ponsor reported that neutropenia did not underpin</w:t>
      </w:r>
      <w:bookmarkStart w:id="228" w:name="_Toc381783654"/>
      <w:r w:rsidR="00C31B96">
        <w:t xml:space="preserve"> any SAEs in S</w:t>
      </w:r>
      <w:r w:rsidRPr="00AC4634">
        <w:t xml:space="preserve">tudy CRPC2, but </w:t>
      </w:r>
      <w:r w:rsidR="00C31B96">
        <w:t>wa</w:t>
      </w:r>
      <w:r w:rsidRPr="00AC4634">
        <w:t xml:space="preserve">s asked to </w:t>
      </w:r>
      <w:r w:rsidRPr="00AC4634">
        <w:lastRenderedPageBreak/>
        <w:t xml:space="preserve">provide the neutrophil counts for those who died of infection (see </w:t>
      </w:r>
      <w:r w:rsidRPr="00C31B96">
        <w:rPr>
          <w:i/>
        </w:rPr>
        <w:t xml:space="preserve">Questions for </w:t>
      </w:r>
      <w:r w:rsidR="005D68B9">
        <w:rPr>
          <w:i/>
        </w:rPr>
        <w:t xml:space="preserve">the </w:t>
      </w:r>
      <w:r w:rsidR="00C31B96">
        <w:rPr>
          <w:i/>
        </w:rPr>
        <w:t>s</w:t>
      </w:r>
      <w:r w:rsidRPr="00C31B96">
        <w:rPr>
          <w:i/>
        </w:rPr>
        <w:t>ponsor</w:t>
      </w:r>
      <w:r w:rsidR="005D68B9">
        <w:rPr>
          <w:i/>
        </w:rPr>
        <w:t xml:space="preserve">, </w:t>
      </w:r>
      <w:r w:rsidR="005D68B9" w:rsidRPr="005D68B9">
        <w:t>below</w:t>
      </w:r>
      <w:r w:rsidR="0033756C">
        <w:t>).</w:t>
      </w:r>
    </w:p>
    <w:p w:rsidR="00AC4634" w:rsidRPr="00AC4634" w:rsidRDefault="00AC4634" w:rsidP="0033756C">
      <w:r w:rsidRPr="00AC4634">
        <w:t>Treatment with enzalutamide did not appear to be associated with significant changes in liver function tests (LFTs) or in renal function tests compared with placebo.</w:t>
      </w:r>
    </w:p>
    <w:p w:rsidR="00AC4634" w:rsidRPr="00AC4634" w:rsidRDefault="00AC4634" w:rsidP="0033756C">
      <w:r w:rsidRPr="00AC4634">
        <w:t>Population PK analyses did not suggest that dose modification for mild or moderate renal impairment was required, nor for mild/moderate hepatic impairment. It was noted in the PK section that the patients with moderate hepatic impairment were at the less severe end of the moderate spectrum.</w:t>
      </w:r>
    </w:p>
    <w:p w:rsidR="00AC4634" w:rsidRPr="00AC4634" w:rsidRDefault="00AC4634" w:rsidP="0033756C">
      <w:pPr>
        <w:pStyle w:val="Heading5"/>
      </w:pPr>
      <w:bookmarkStart w:id="229" w:name="_Toc272414675"/>
      <w:bookmarkStart w:id="230" w:name="_Toc290846313"/>
      <w:bookmarkStart w:id="231" w:name="_Toc381783655"/>
      <w:bookmarkEnd w:id="228"/>
      <w:r w:rsidRPr="00AC4634">
        <w:t>Electrocardiogra</w:t>
      </w:r>
      <w:bookmarkEnd w:id="229"/>
      <w:bookmarkEnd w:id="230"/>
      <w:bookmarkEnd w:id="231"/>
      <w:r w:rsidR="00166E24">
        <w:t>m</w:t>
      </w:r>
      <w:r w:rsidRPr="00AC4634">
        <w:t>/</w:t>
      </w:r>
      <w:r w:rsidR="0033756C">
        <w:t>c</w:t>
      </w:r>
      <w:r w:rsidRPr="00AC4634">
        <w:t>ardiovascular</w:t>
      </w:r>
      <w:r w:rsidR="00166E24">
        <w:t xml:space="preserve"> safety</w:t>
      </w:r>
    </w:p>
    <w:p w:rsidR="00AC4634" w:rsidRPr="00AC4634" w:rsidRDefault="00AC4634" w:rsidP="0033756C">
      <w:r w:rsidRPr="00AC4634">
        <w:t>A QT/</w:t>
      </w:r>
      <w:proofErr w:type="spellStart"/>
      <w:r w:rsidRPr="00AC4634">
        <w:t>QTc</w:t>
      </w:r>
      <w:proofErr w:type="spellEnd"/>
      <w:r w:rsidRPr="00AC4634">
        <w:t xml:space="preserve"> </w:t>
      </w:r>
      <w:proofErr w:type="spellStart"/>
      <w:r w:rsidRPr="00AC4634">
        <w:t>substudy</w:t>
      </w:r>
      <w:proofErr w:type="spellEnd"/>
      <w:r w:rsidRPr="00AC4634">
        <w:t>, conducted in accordance with ICH E14 guidelines</w:t>
      </w:r>
      <w:r w:rsidR="00166E24">
        <w:rPr>
          <w:rStyle w:val="FootnoteReference"/>
        </w:rPr>
        <w:footnoteReference w:id="28"/>
      </w:r>
      <w:r w:rsidRPr="00AC4634">
        <w:t xml:space="preserve">, was embedded within Study CRPC2, and did not identify a safety signal for enzalutamide. As it would take 30 days for enzalutamide to reach steady-state, it would not be appropriate to conduct the study in </w:t>
      </w:r>
      <w:r w:rsidR="0033756C">
        <w:t>a healthy volunteer population.</w:t>
      </w:r>
    </w:p>
    <w:p w:rsidR="00AC4634" w:rsidRPr="00AC4634" w:rsidRDefault="00AC4634" w:rsidP="0033756C">
      <w:r w:rsidRPr="00AC4634">
        <w:t>Results of a tho</w:t>
      </w:r>
      <w:r w:rsidR="00F30CA2">
        <w:t>rough QT/QTc study embedded in S</w:t>
      </w:r>
      <w:r w:rsidRPr="00AC4634">
        <w:t xml:space="preserve">tudy CRPC2 did not raise any safety concerns. However, there appeared to be an association of </w:t>
      </w:r>
      <w:r w:rsidR="00742B55" w:rsidRPr="00742B55">
        <w:t>enzalutamide</w:t>
      </w:r>
      <w:r w:rsidRPr="00AC4634">
        <w:t xml:space="preserve"> treatment with mild increases in </w:t>
      </w:r>
      <w:r w:rsidR="00CD6DB5">
        <w:t>BP</w:t>
      </w:r>
      <w:r w:rsidR="00166E24">
        <w:t>. 6.1</w:t>
      </w:r>
      <w:r w:rsidRPr="00AC4634">
        <w:t xml:space="preserve">% (2.0% </w:t>
      </w:r>
      <w:r w:rsidR="00166E24">
        <w:t xml:space="preserve">with </w:t>
      </w:r>
      <w:r w:rsidRPr="00AC4634">
        <w:t xml:space="preserve">Grade 3 severity) of patients in the pivotal trial on enzalutamide had an AE of hypertension compared with 2.8% of patients in the placebo group, with discontinuation in 0.1% of the treatment arm. When the event rates for the AE of hypertension were adjusted by </w:t>
      </w:r>
      <w:r w:rsidR="00763C63">
        <w:t>AE</w:t>
      </w:r>
      <w:r w:rsidRPr="00AC4634">
        <w:t xml:space="preserve"> reporting period, the event rates per 100 patient-years at risk remained higher in the </w:t>
      </w:r>
      <w:r w:rsidR="00742B55" w:rsidRPr="00742B55">
        <w:t>enzalutamide</w:t>
      </w:r>
      <w:r w:rsidRPr="00AC4634">
        <w:t xml:space="preserve"> group compared with the placebo group (8.4 </w:t>
      </w:r>
      <w:r w:rsidR="008C2725">
        <w:t>versus</w:t>
      </w:r>
      <w:r w:rsidRPr="00AC4634">
        <w:t xml:space="preserve"> 7.2).</w:t>
      </w:r>
    </w:p>
    <w:p w:rsidR="00AC4634" w:rsidRPr="0033756C" w:rsidRDefault="00AC4634" w:rsidP="0033756C">
      <w:pPr>
        <w:pStyle w:val="Heading5"/>
      </w:pPr>
      <w:bookmarkStart w:id="233" w:name="_Toc381783661"/>
      <w:r w:rsidRPr="00AC4634">
        <w:t>A</w:t>
      </w:r>
      <w:r w:rsidR="00166E24">
        <w:t xml:space="preserve">dverse events </w:t>
      </w:r>
      <w:bookmarkEnd w:id="233"/>
      <w:r w:rsidRPr="00AC4634">
        <w:t xml:space="preserve">considered most important by the </w:t>
      </w:r>
      <w:r w:rsidR="0033756C">
        <w:t>d</w:t>
      </w:r>
      <w:r w:rsidRPr="00AC4634">
        <w:t>elegate</w:t>
      </w:r>
    </w:p>
    <w:p w:rsidR="00AC4634" w:rsidRPr="00AC4634" w:rsidRDefault="00AC4634" w:rsidP="0033756C">
      <w:r w:rsidRPr="00AC4634">
        <w:t>Adverse events of special interest were not pre-specified in the protoco</w:t>
      </w:r>
      <w:r w:rsidR="00166E24">
        <w:t>l. Based on analyses of AEs in S</w:t>
      </w:r>
      <w:r w:rsidRPr="00AC4634">
        <w:t xml:space="preserve">tudy CRPC2, additional analyses were performed by the sponsor looking at AEs in </w:t>
      </w:r>
      <w:r w:rsidR="00166E24">
        <w:t>S</w:t>
      </w:r>
      <w:r w:rsidRPr="00AC4634">
        <w:t>tudy CRPC2 of fatigue, diarrhoea, hot flush, musculoskeletal pain, and spinal cord compression, and presented in the SCS.</w:t>
      </w:r>
    </w:p>
    <w:p w:rsidR="00AC4634" w:rsidRPr="00AC4634" w:rsidRDefault="00AC4634" w:rsidP="0033756C">
      <w:r w:rsidRPr="00AC4634">
        <w:t>Given the occurrence of seizures and fatigue as dose</w:t>
      </w:r>
      <w:r w:rsidR="006F774B">
        <w:t xml:space="preserve"> </w:t>
      </w:r>
      <w:r w:rsidRPr="00AC4634">
        <w:t>limiting toxicities, and their clinical significance, the Delegate believes these should have been AEs of special interest for the pivotal study. The following occurred at higher rates when standardised against treatment reporting duration: seizures, falls, headache, hot flushes, visual h</w:t>
      </w:r>
      <w:r w:rsidR="0033756C">
        <w:t>allucinations and hypertension.</w:t>
      </w:r>
    </w:p>
    <w:p w:rsidR="00AC4634" w:rsidRPr="0033756C" w:rsidRDefault="00AC4634" w:rsidP="0033756C">
      <w:pPr>
        <w:pStyle w:val="Heading6"/>
      </w:pPr>
      <w:r w:rsidRPr="00AC4634">
        <w:t>Seizures</w:t>
      </w:r>
    </w:p>
    <w:p w:rsidR="00AC4634" w:rsidRPr="00AC4634" w:rsidRDefault="00AC4634" w:rsidP="0033756C">
      <w:r w:rsidRPr="00AC4634">
        <w:t>Based on the nonclinical data, seizures were a known potential toxicity of enzalutamide, and for all the clinical studies, having any conditions or taking any medications (including significant alcohol consumption) which might predispose to having a seizure were exclusion criteria. In the dose-finding study (Study S- 3100-1-01), seizures and fatigue were dose</w:t>
      </w:r>
      <w:r w:rsidR="006F774B">
        <w:t xml:space="preserve"> </w:t>
      </w:r>
      <w:r w:rsidRPr="00AC4634">
        <w:t>limiting: no seizures were reported at or below 240</w:t>
      </w:r>
      <w:r w:rsidR="00C313D0">
        <w:t xml:space="preserve"> </w:t>
      </w:r>
      <w:r w:rsidRPr="00AC4634">
        <w:t xml:space="preserve">mg per day dose, </w:t>
      </w:r>
      <w:r w:rsidR="00166E24">
        <w:t xml:space="preserve">but there appeared to be a dose </w:t>
      </w:r>
      <w:r w:rsidRPr="00AC4634">
        <w:t>dependent effect above that level. The time to seizure was inversely proportional to the dose: 360 mg (Day 49), 480 mg (Day 28) and 600</w:t>
      </w:r>
      <w:r w:rsidR="00C313D0">
        <w:t xml:space="preserve"> </w:t>
      </w:r>
      <w:r w:rsidRPr="00AC4634">
        <w:t>mg (Day 27). These subjects discontinued the study treatment permanently following the seizure.</w:t>
      </w:r>
    </w:p>
    <w:p w:rsidR="00166E24" w:rsidRDefault="00166E24" w:rsidP="0033756C">
      <w:r>
        <w:t xml:space="preserve">In total, 7 of </w:t>
      </w:r>
      <w:r w:rsidR="00AC4634" w:rsidRPr="00AC4634">
        <w:t>800 patients (0.9%) treated with 160 mg enzalutamide had a seizure (all 7 were considered SAEs) compared with no patients treated with placebo. Two patients had ongoing seizures, on</w:t>
      </w:r>
      <w:r>
        <w:t xml:space="preserve">e with status </w:t>
      </w:r>
      <w:proofErr w:type="spellStart"/>
      <w:r>
        <w:t>epilepticus</w:t>
      </w:r>
      <w:proofErr w:type="spellEnd"/>
      <w:r>
        <w:t xml:space="preserve"> (see T</w:t>
      </w:r>
      <w:r w:rsidR="00AC4634" w:rsidRPr="00AC4634">
        <w:t xml:space="preserve">able </w:t>
      </w:r>
      <w:r w:rsidR="00F30CA2">
        <w:t>1</w:t>
      </w:r>
      <w:r w:rsidR="00A91607">
        <w:t>1</w:t>
      </w:r>
      <w:r>
        <w:t xml:space="preserve"> </w:t>
      </w:r>
      <w:r w:rsidR="00AC4634" w:rsidRPr="00AC4634">
        <w:t>below) and one with seizures over 2 days (this case was reported in the ongoing study and is not included in the Table below and no clinical details were avai</w:t>
      </w:r>
      <w:r>
        <w:t>lable). Four</w:t>
      </w:r>
      <w:r w:rsidR="00AC4634" w:rsidRPr="00AC4634">
        <w:t xml:space="preserve"> patients had PK data available, and their enzalutamide </w:t>
      </w:r>
      <w:r>
        <w:t xml:space="preserve">minimum </w:t>
      </w:r>
      <w:r w:rsidR="00AC4634" w:rsidRPr="00AC4634">
        <w:t xml:space="preserve">plasma concentrations </w:t>
      </w:r>
      <w:r>
        <w:t xml:space="preserve">(Cmin) </w:t>
      </w:r>
      <w:r w:rsidR="00AC4634" w:rsidRPr="00AC4634">
        <w:t xml:space="preserve">were in the upper two </w:t>
      </w:r>
      <w:r w:rsidR="00AC4634" w:rsidRPr="00AC4634">
        <w:lastRenderedPageBreak/>
        <w:t>quartiles. The treatment duration range prior to the seizure was Day 31-601 days. It is unclear whether subject 358-05 discontinued the study treatment.</w:t>
      </w:r>
    </w:p>
    <w:p w:rsidR="00AC4634" w:rsidRDefault="00F30CA2" w:rsidP="000B6F84">
      <w:pPr>
        <w:pStyle w:val="TableTitle"/>
      </w:pPr>
      <w:r>
        <w:t>Table 1</w:t>
      </w:r>
      <w:r w:rsidR="00A91607">
        <w:t>1</w:t>
      </w:r>
      <w:r w:rsidR="00166E24">
        <w:t xml:space="preserve">: </w:t>
      </w:r>
      <w:r>
        <w:t>Summary of s</w:t>
      </w:r>
      <w:r w:rsidR="00AC4634" w:rsidRPr="00AC4634">
        <w:t xml:space="preserve">eizure </w:t>
      </w:r>
      <w:r>
        <w:t>c</w:t>
      </w:r>
      <w:r w:rsidR="000B6F84">
        <w:t>ases, Study CRPC2</w:t>
      </w:r>
    </w:p>
    <w:p w:rsidR="00BC430F" w:rsidRDefault="00BC430F" w:rsidP="000B6F84">
      <w:r>
        <w:rPr>
          <w:noProof/>
          <w:lang w:eastAsia="en-AU"/>
        </w:rPr>
        <w:drawing>
          <wp:inline distT="0" distB="0" distL="0" distR="0" wp14:anchorId="1089BBED" wp14:editId="0EFB2D78">
            <wp:extent cx="4476307" cy="3589855"/>
            <wp:effectExtent l="0" t="0" r="635" b="0"/>
            <wp:docPr id="7" name="Picture 7" descr="Table 11: Summary of seizure cases, Study CRP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76362" cy="3589899"/>
                    </a:xfrm>
                    <a:prstGeom prst="rect">
                      <a:avLst/>
                    </a:prstGeom>
                  </pic:spPr>
                </pic:pic>
              </a:graphicData>
            </a:graphic>
          </wp:inline>
        </w:drawing>
      </w:r>
    </w:p>
    <w:p w:rsidR="00BC430F" w:rsidRPr="00BC430F" w:rsidRDefault="00BC430F" w:rsidP="000B6F84">
      <w:pPr>
        <w:pStyle w:val="TableDescription"/>
      </w:pPr>
      <w:r w:rsidRPr="00BC430F">
        <w:t>For the last patient in the list above the reported term was vasovagal syncope but with clinical features sugge</w:t>
      </w:r>
      <w:r w:rsidR="000B6F84">
        <w:t xml:space="preserve">sting possible seizure </w:t>
      </w:r>
      <w:proofErr w:type="gramStart"/>
      <w:r w:rsidR="000B6F84">
        <w:t>activity</w:t>
      </w:r>
      <w:proofErr w:type="gramEnd"/>
      <w:r w:rsidRPr="00BC430F">
        <w:br/>
      </w:r>
      <w:r w:rsidR="00F30CA2">
        <w:t>[</w:t>
      </w:r>
      <w:r w:rsidRPr="00BC430F">
        <w:t xml:space="preserve">Note: Table above has been modified from the original to remove patient identifier </w:t>
      </w:r>
      <w:r w:rsidRPr="000B6F84">
        <w:t>details</w:t>
      </w:r>
      <w:r w:rsidRPr="00BC430F">
        <w:t>.</w:t>
      </w:r>
      <w:r w:rsidR="00F30CA2">
        <w:t>]</w:t>
      </w:r>
    </w:p>
    <w:p w:rsidR="00AC4634" w:rsidRPr="00AC4634" w:rsidRDefault="00BC430F" w:rsidP="000B6F84">
      <w:pPr>
        <w:ind w:left="720"/>
      </w:pPr>
      <w:r w:rsidRPr="00BC430F">
        <w:rPr>
          <w:b/>
        </w:rPr>
        <w:t>Delegate’s c</w:t>
      </w:r>
      <w:r w:rsidR="00AC4634" w:rsidRPr="00BC430F">
        <w:rPr>
          <w:b/>
        </w:rPr>
        <w:t>omment</w:t>
      </w:r>
      <w:r w:rsidR="00AC4634" w:rsidRPr="00AC4634">
        <w:t xml:space="preserve">: the range of study treatment duration does not suggest any particular at-risk window where seizures were most likely to happen to guide the prescriber or patient about the risk. The PK data are in too few patients to have predictive value. </w:t>
      </w:r>
      <w:r>
        <w:t xml:space="preserve">Two </w:t>
      </w:r>
      <w:r w:rsidR="00AC4634" w:rsidRPr="00AC4634">
        <w:t>patients with seizures on enzalutamide had brain metastases (including 1 at Day 52). The incidence of brain metastases in CRPC is estimated to be 2.3%, and as treatments further prolong survival, this rate is likely to increase. Currently, the PI does not include information about the seizures nor the exclusion of patients with identifiable risk factors for seizures from the clinical trial development program. The seizure rates should be mentioned with a cross reference to the risk with d</w:t>
      </w:r>
      <w:r w:rsidR="000B6F84">
        <w:t>rug-drug interactions.</w:t>
      </w:r>
    </w:p>
    <w:p w:rsidR="00AC4634" w:rsidRPr="00AC4634" w:rsidRDefault="00AC4634" w:rsidP="000B6F84">
      <w:pPr>
        <w:ind w:left="720"/>
      </w:pPr>
      <w:r w:rsidRPr="00AC4634">
        <w:t>The rates of seizure in a heavily pre-screened population give rise to concern, and create uncertainty, about determining the risk when treatment is commenced in a broader, non-clinical trial setting. This is an active area of pharmacovigilance and the Sponsor is requested to provide any updated safety information regarding seizures from the development program.</w:t>
      </w:r>
    </w:p>
    <w:p w:rsidR="00AC4634" w:rsidRPr="00AC4634" w:rsidRDefault="00AC4634" w:rsidP="000B6F84">
      <w:pPr>
        <w:pStyle w:val="Heading6"/>
      </w:pPr>
      <w:r w:rsidRPr="00AC4634">
        <w:t>Falls</w:t>
      </w:r>
    </w:p>
    <w:p w:rsidR="00AC4634" w:rsidRPr="00AC4634" w:rsidRDefault="00AC4634" w:rsidP="000B6F84">
      <w:r w:rsidRPr="00AC4634">
        <w:t xml:space="preserve">Falls reported in the CSR </w:t>
      </w:r>
      <w:r w:rsidR="00D83547">
        <w:t xml:space="preserve">were </w:t>
      </w:r>
      <w:r w:rsidRPr="00AC4634">
        <w:t xml:space="preserve">4% </w:t>
      </w:r>
      <w:r w:rsidR="00D83547">
        <w:t xml:space="preserve">for </w:t>
      </w:r>
      <w:r w:rsidR="00D83547" w:rsidRPr="00D83547">
        <w:t xml:space="preserve">enzalutamide </w:t>
      </w:r>
      <w:r w:rsidR="00D83547">
        <w:t xml:space="preserve">treated patients </w:t>
      </w:r>
      <w:r w:rsidR="00C31B96">
        <w:t xml:space="preserve">compared with </w:t>
      </w:r>
      <w:r w:rsidRPr="00AC4634">
        <w:t>1.3% of placebo</w:t>
      </w:r>
      <w:r w:rsidR="00A76A72">
        <w:t xml:space="preserve"> </w:t>
      </w:r>
      <w:r w:rsidRPr="00AC4634">
        <w:t>treated patients (</w:t>
      </w:r>
      <w:r w:rsidR="00D83547">
        <w:t xml:space="preserve">the incidence is </w:t>
      </w:r>
      <w:r w:rsidRPr="00AC4634">
        <w:t>stated as 4.6% v</w:t>
      </w:r>
      <w:r w:rsidR="00C31B96">
        <w:t>ersu</w:t>
      </w:r>
      <w:r w:rsidRPr="00AC4634">
        <w:t xml:space="preserve">s 1.3% in </w:t>
      </w:r>
      <w:r w:rsidR="00D83547">
        <w:t xml:space="preserve">the </w:t>
      </w:r>
      <w:r w:rsidRPr="00AC4634">
        <w:t>PI</w:t>
      </w:r>
      <w:r w:rsidR="00D83547">
        <w:t>; the s</w:t>
      </w:r>
      <w:r w:rsidRPr="00AC4634">
        <w:t xml:space="preserve">ponsor </w:t>
      </w:r>
      <w:r w:rsidR="00D83547">
        <w:t xml:space="preserve">was </w:t>
      </w:r>
      <w:r w:rsidRPr="00AC4634">
        <w:t xml:space="preserve">requested to explain where the higher PI statistics were obtained), with 0.3% </w:t>
      </w:r>
      <w:r w:rsidR="00C31B96">
        <w:t xml:space="preserve">versus </w:t>
      </w:r>
      <w:r w:rsidR="00D83547">
        <w:t>0</w:t>
      </w:r>
      <w:r w:rsidRPr="00AC4634">
        <w:t xml:space="preserve">% reporting a Grade 3 fall for enzalutamide </w:t>
      </w:r>
      <w:r w:rsidR="00C31B96">
        <w:t xml:space="preserve">versus </w:t>
      </w:r>
      <w:r w:rsidRPr="00AC4634">
        <w:t>placebo</w:t>
      </w:r>
      <w:r w:rsidR="00D83547">
        <w:t>,</w:t>
      </w:r>
      <w:r w:rsidRPr="00AC4634">
        <w:t xml:space="preserve"> respectively. When the event rates for </w:t>
      </w:r>
      <w:r w:rsidR="00763C63">
        <w:t>AE</w:t>
      </w:r>
      <w:r w:rsidRPr="00AC4634">
        <w:t xml:space="preserve">s of fall were adjusted by 100 patient-years at risk, there remained an increase in the </w:t>
      </w:r>
      <w:r w:rsidR="00742B55" w:rsidRPr="00742B55">
        <w:t xml:space="preserve">enzalutamide </w:t>
      </w:r>
      <w:r w:rsidRPr="00AC4634">
        <w:t>treated group as compared with the placebo</w:t>
      </w:r>
      <w:r w:rsidR="00A76A72">
        <w:t xml:space="preserve"> </w:t>
      </w:r>
      <w:r w:rsidRPr="00AC4634">
        <w:t xml:space="preserve">treated group (5.9 </w:t>
      </w:r>
      <w:r w:rsidR="008C2725">
        <w:t>versus</w:t>
      </w:r>
      <w:r w:rsidRPr="00AC4634">
        <w:t xml:space="preserve"> 3.0). 34% on enzalutamide were reported to have no other contributing </w:t>
      </w:r>
      <w:r w:rsidRPr="00AC4634">
        <w:lastRenderedPageBreak/>
        <w:t xml:space="preserve">factors. Potential contributing factors were identified in many and a review of the </w:t>
      </w:r>
      <w:r w:rsidR="00D83547">
        <w:t xml:space="preserve">data in the </w:t>
      </w:r>
      <w:r w:rsidRPr="00AC4634">
        <w:t>CSR reveals a range of potential contributing factors but also some significant injuries</w:t>
      </w:r>
      <w:r w:rsidR="00F30CA2">
        <w:t>,</w:t>
      </w:r>
      <w:r w:rsidRPr="00AC4634">
        <w:t xml:space="preserve"> </w:t>
      </w:r>
      <w:proofErr w:type="gramStart"/>
      <w:r w:rsidRPr="00AC4634">
        <w:t>including</w:t>
      </w:r>
      <w:proofErr w:type="gramEnd"/>
      <w:r w:rsidRPr="00AC4634">
        <w:t xml:space="preserve"> fracture of leg, hip fracture, upper limb fracture, </w:t>
      </w:r>
      <w:r w:rsidR="00D83547">
        <w:t xml:space="preserve">and </w:t>
      </w:r>
      <w:r w:rsidRPr="00AC4634">
        <w:t>head injury</w:t>
      </w:r>
      <w:r w:rsidR="00D83547">
        <w:t>,</w:t>
      </w:r>
      <w:r w:rsidRPr="00AC4634">
        <w:t xml:space="preserve"> which make the classification of just one patient having</w:t>
      </w:r>
      <w:r w:rsidR="00D83547">
        <w:t xml:space="preserve"> a Grade 3 (requiring hospitalis</w:t>
      </w:r>
      <w:r w:rsidRPr="00AC4634">
        <w:t>ation) fall seem unlikely.</w:t>
      </w:r>
    </w:p>
    <w:p w:rsidR="00AC4634" w:rsidRPr="000B6F84" w:rsidRDefault="00AC4634" w:rsidP="000B6F84">
      <w:pPr>
        <w:pStyle w:val="Heading6"/>
      </w:pPr>
      <w:r w:rsidRPr="00AC4634">
        <w:t>Psychiatric conditions</w:t>
      </w:r>
    </w:p>
    <w:p w:rsidR="00AC4634" w:rsidRPr="00AC4634" w:rsidRDefault="00983985" w:rsidP="000B6F84">
      <w:r>
        <w:t xml:space="preserve">Data in </w:t>
      </w:r>
      <w:r w:rsidR="00AC4634" w:rsidRPr="00AC4634">
        <w:t xml:space="preserve">the CSR shows there was a generalised increase in psychiatric </w:t>
      </w:r>
      <w:r w:rsidR="00763C63">
        <w:t>AE</w:t>
      </w:r>
      <w:r w:rsidR="00AC4634" w:rsidRPr="00AC4634">
        <w:t xml:space="preserve">s. Visual hallucinations occurred in 1.3% of the enzalutamide arm compared with none in the placebo according to </w:t>
      </w:r>
      <w:r>
        <w:t xml:space="preserve">the CSR </w:t>
      </w:r>
      <w:r w:rsidR="00AC4634" w:rsidRPr="00AC4634">
        <w:t>but the rate mentioned in the PI is 1.6%</w:t>
      </w:r>
      <w:r w:rsidR="00C31B96">
        <w:t xml:space="preserve"> versus </w:t>
      </w:r>
      <w:r w:rsidR="00AC4634" w:rsidRPr="00AC4634">
        <w:t xml:space="preserve">0.3%. The </w:t>
      </w:r>
      <w:r>
        <w:t>s</w:t>
      </w:r>
      <w:r w:rsidR="00AC4634" w:rsidRPr="00AC4634">
        <w:t xml:space="preserve">ponsor </w:t>
      </w:r>
      <w:r>
        <w:t>wa</w:t>
      </w:r>
      <w:r w:rsidR="00AC4634" w:rsidRPr="00AC4634">
        <w:t>s requested to explain from where the differi</w:t>
      </w:r>
      <w:r>
        <w:t>ng statistics are derived. The s</w:t>
      </w:r>
      <w:r w:rsidR="00AC4634" w:rsidRPr="00AC4634">
        <w:t xml:space="preserve">ponsor has presented </w:t>
      </w:r>
      <w:r w:rsidR="00763C63">
        <w:t>AE</w:t>
      </w:r>
      <w:r w:rsidR="00AC4634" w:rsidRPr="00AC4634">
        <w:t xml:space="preserve"> rates</w:t>
      </w:r>
      <w:r>
        <w:t xml:space="preserve"> per </w:t>
      </w:r>
      <w:r w:rsidR="00AC4634" w:rsidRPr="00AC4634">
        <w:t>100 patient</w:t>
      </w:r>
      <w:r>
        <w:t>-</w:t>
      </w:r>
      <w:r w:rsidR="00AC4634" w:rsidRPr="00AC4634">
        <w:t>years which show</w:t>
      </w:r>
      <w:r w:rsidR="00450649">
        <w:t>,</w:t>
      </w:r>
      <w:r w:rsidR="00AC4634" w:rsidRPr="00AC4634">
        <w:t xml:space="preserve"> although common, insomnia and anxiety were not increased with enzalutamide.</w:t>
      </w:r>
    </w:p>
    <w:p w:rsidR="00AC4634" w:rsidRPr="00AC4634" w:rsidRDefault="00AC4634" w:rsidP="000B6F84">
      <w:pPr>
        <w:pStyle w:val="Heading6"/>
      </w:pPr>
      <w:r w:rsidRPr="00AC4634">
        <w:t>Headaches</w:t>
      </w:r>
    </w:p>
    <w:p w:rsidR="00AC4634" w:rsidRPr="00AC4634" w:rsidRDefault="00AC4634" w:rsidP="000B6F84">
      <w:r w:rsidRPr="00AC4634">
        <w:t xml:space="preserve">In Study CRPC2, headaches were reported for 11.6 % of patients in the </w:t>
      </w:r>
      <w:r w:rsidR="00742B55" w:rsidRPr="00742B55">
        <w:t>enzalutamide</w:t>
      </w:r>
      <w:r w:rsidRPr="00AC4634">
        <w:t xml:space="preserve"> group compared with 5.5% of patients in the placebo group. Most were Grade 1 or 2 and no subjects discontinued the study drug due to headache. </w:t>
      </w:r>
      <w:r w:rsidR="005477B7">
        <w:t>The event rates per 100 patient</w:t>
      </w:r>
      <w:r w:rsidR="005477B7">
        <w:noBreakHyphen/>
      </w:r>
      <w:r w:rsidRPr="00AC4634">
        <w:t xml:space="preserve">years at risk remained higher in the enzalutamide group compared to the placebo groups (17.7 with </w:t>
      </w:r>
      <w:r w:rsidR="00742B55" w:rsidRPr="00742B55">
        <w:t>enzalutamide</w:t>
      </w:r>
      <w:r w:rsidRPr="00AC4634">
        <w:t xml:space="preserve"> </w:t>
      </w:r>
      <w:r w:rsidR="008C2725">
        <w:t>versus</w:t>
      </w:r>
      <w:r w:rsidR="000B6F84">
        <w:t xml:space="preserve"> 14.4 with placebo).</w:t>
      </w:r>
    </w:p>
    <w:p w:rsidR="00AC4634" w:rsidRPr="00AC4634" w:rsidRDefault="00AC4634" w:rsidP="000B6F84">
      <w:r w:rsidRPr="00AC4634">
        <w:t xml:space="preserve">Adverse events of fatigue and hot flushes have been discussed above. Diarrhoea was reported in 21.4% on study drug </w:t>
      </w:r>
      <w:r w:rsidR="005477B7">
        <w:t xml:space="preserve">compared with </w:t>
      </w:r>
      <w:r w:rsidRPr="00AC4634">
        <w:t xml:space="preserve">17.5% on the placebo, with 1.1% experiencing Grade 3 severity of diarrhoea and study discontinuation rates were low (0.3% </w:t>
      </w:r>
      <w:r w:rsidR="008C2725">
        <w:t>versus</w:t>
      </w:r>
      <w:r w:rsidRPr="00AC4634">
        <w:t xml:space="preserve"> 0.0%). Event rates per 100 patient-years at </w:t>
      </w:r>
      <w:r w:rsidR="005477B7">
        <w:t>risk were higher in the placebo</w:t>
      </w:r>
      <w:r w:rsidR="00A76A72">
        <w:t xml:space="preserve"> </w:t>
      </w:r>
      <w:r w:rsidRPr="00AC4634">
        <w:t xml:space="preserve">treated group than in the </w:t>
      </w:r>
      <w:r w:rsidR="00742B55" w:rsidRPr="00742B55">
        <w:t xml:space="preserve">enzalutamide </w:t>
      </w:r>
      <w:r w:rsidRPr="00AC4634">
        <w:t xml:space="preserve">treated group (36.3 with </w:t>
      </w:r>
      <w:r w:rsidR="00742B55" w:rsidRPr="00742B55">
        <w:t>enzalutamide</w:t>
      </w:r>
      <w:r w:rsidRPr="00AC4634">
        <w:t xml:space="preserve"> </w:t>
      </w:r>
      <w:r w:rsidR="008C2725">
        <w:t>versus</w:t>
      </w:r>
      <w:r w:rsidRPr="00AC4634">
        <w:t xml:space="preserve"> 47.4 with placebo).Musculoskeletal pain was reported for 14.5% in the treatment arm </w:t>
      </w:r>
      <w:r w:rsidR="005477B7">
        <w:t xml:space="preserve">compared with </w:t>
      </w:r>
      <w:r w:rsidRPr="00AC4634">
        <w:t xml:space="preserve">11.5% in the placebo group. 1.1% </w:t>
      </w:r>
      <w:proofErr w:type="gramStart"/>
      <w:r w:rsidRPr="00AC4634">
        <w:t>were</w:t>
      </w:r>
      <w:proofErr w:type="gramEnd"/>
      <w:r w:rsidRPr="00AC4634">
        <w:t xml:space="preserve"> Grade 3 severity but none discontinued the study drug because of it.</w:t>
      </w:r>
    </w:p>
    <w:p w:rsidR="00AC4634" w:rsidRPr="00AC4634" w:rsidRDefault="00AC4634" w:rsidP="000B6F84">
      <w:pPr>
        <w:pStyle w:val="Heading5"/>
      </w:pPr>
      <w:bookmarkStart w:id="234" w:name="Table_12.2.3.10-3:_Adverse_Events_in_the"/>
      <w:bookmarkStart w:id="235" w:name="12.2.5_Safety_in_Patient_Subgroups"/>
      <w:bookmarkStart w:id="236" w:name="12.2.4_Listing_of_Adverse_Events_by_Pati"/>
      <w:bookmarkStart w:id="237" w:name="12.2.3.11_Vascular_Disorders"/>
      <w:bookmarkEnd w:id="234"/>
      <w:bookmarkEnd w:id="235"/>
      <w:bookmarkEnd w:id="236"/>
      <w:bookmarkEnd w:id="237"/>
      <w:r w:rsidRPr="00AC4634">
        <w:t>Safety discussion</w:t>
      </w:r>
    </w:p>
    <w:p w:rsidR="00AC4634" w:rsidRPr="00AC4634" w:rsidRDefault="00AC4634" w:rsidP="000B6F84">
      <w:bookmarkStart w:id="238" w:name="_Toc272414684"/>
      <w:bookmarkStart w:id="239" w:name="_Toc290846322"/>
      <w:bookmarkStart w:id="240" w:name="_Toc381783667"/>
      <w:r w:rsidRPr="00AC4634">
        <w:t xml:space="preserve">The background rate of </w:t>
      </w:r>
      <w:r w:rsidR="00763C63">
        <w:t>AE</w:t>
      </w:r>
      <w:r w:rsidRPr="00AC4634">
        <w:t xml:space="preserve">s is high in this population due to their advanced prostate cancer. The morbidity and loss of quality of life experienced by this population is best exemplified by </w:t>
      </w:r>
      <w:r w:rsidR="002212EE">
        <w:t xml:space="preserve">a </w:t>
      </w:r>
      <w:r w:rsidRPr="00AC4634">
        <w:t>patient in the placebo arm who chose euthanasia ahead of pursuing a potential new treatmen</w:t>
      </w:r>
      <w:r w:rsidR="000B6F84">
        <w:t>t option.</w:t>
      </w:r>
    </w:p>
    <w:p w:rsidR="00AC4634" w:rsidRPr="00AC4634" w:rsidRDefault="00AC4634" w:rsidP="000B6F84">
      <w:r w:rsidRPr="00AC4634">
        <w:t>The following AEs occurred at higher rates with enzalutamide when standardised against treatment reporting duration: seizures, falls, headache, hot flushe</w:t>
      </w:r>
      <w:bookmarkEnd w:id="238"/>
      <w:bookmarkEnd w:id="239"/>
      <w:bookmarkEnd w:id="240"/>
      <w:r w:rsidRPr="00AC4634">
        <w:t>s, visual h</w:t>
      </w:r>
      <w:r w:rsidR="000B6F84">
        <w:t>allucinations and hypertension.</w:t>
      </w:r>
    </w:p>
    <w:p w:rsidR="00AC4634" w:rsidRPr="00AC4634" w:rsidRDefault="00AC4634" w:rsidP="000B6F84">
      <w:r w:rsidRPr="00AC4634">
        <w:t xml:space="preserve">The key events of concern were the seizures which occurred sporadically during the treatment period, and not necessarily in subjects with other identified risk factors. In the early </w:t>
      </w:r>
      <w:r w:rsidR="002212EE">
        <w:t>P</w:t>
      </w:r>
      <w:r w:rsidRPr="00AC4634">
        <w:t>hase studies, these occurred at a higher rate, and in the pivotal study, from the limited PK data available (4 subjects) in those who had a seizure indicated that their drug levels were within the higher range. This underscores the importance of ensuring there are not drug interactions which increase the level of enzalutamide (discussed below). Other cases had additional risk factors such as high alcohol intake, medications administered which lowered the seizure threshold or brain metastases</w:t>
      </w:r>
      <w:r w:rsidR="002212EE">
        <w:t>:</w:t>
      </w:r>
      <w:r w:rsidRPr="00AC4634">
        <w:t xml:space="preserve"> these are likely risks for the broader target population and the PI and CMI need to inform the prescriber and patient appropriately so risks can be minimised. The Delegate does not believe that this population should be prevented from driving solely on the grounds of the risk of a seizur</w:t>
      </w:r>
      <w:r w:rsidR="000B6F84">
        <w:t xml:space="preserve">e posed by use of </w:t>
      </w:r>
      <w:proofErr w:type="spellStart"/>
      <w:r w:rsidR="000B6F84">
        <w:t>enzalutamide</w:t>
      </w:r>
      <w:proofErr w:type="spellEnd"/>
      <w:r w:rsidR="000B6F84">
        <w:t>.</w:t>
      </w:r>
    </w:p>
    <w:p w:rsidR="00AC4634" w:rsidRPr="00AC4634" w:rsidRDefault="00AC4634" w:rsidP="000B6F84">
      <w:r w:rsidRPr="00AC4634">
        <w:t xml:space="preserve">However, as the total safety population for enzalutamide was 1041 patients who were screened for risk factors before commencing treatment, of whom 923 were taking the proposed dosage (for a median duration of 8.3 months in the pivotal trial of 800 patients), the seizure risk when used outside of a clinical trial setting is not known. This, together </w:t>
      </w:r>
      <w:r w:rsidRPr="00AC4634">
        <w:lastRenderedPageBreak/>
        <w:t>with the increased risk of seizures with elevated drug levels, and potential for drug interactions that might increase drug levels, merits consideration of a box</w:t>
      </w:r>
      <w:r w:rsidR="00D816C1">
        <w:t>ed</w:t>
      </w:r>
      <w:r w:rsidRPr="00AC4634">
        <w:t xml:space="preserve"> warning</w:t>
      </w:r>
      <w:r w:rsidR="00AF719F">
        <w:rPr>
          <w:rStyle w:val="FootnoteReference"/>
        </w:rPr>
        <w:footnoteReference w:id="29"/>
      </w:r>
      <w:r w:rsidR="0092299D">
        <w:t xml:space="preserve"> (‘black box warning’)</w:t>
      </w:r>
      <w:r w:rsidRPr="00AC4634">
        <w:t>. Th</w:t>
      </w:r>
      <w:r w:rsidR="00E43907">
        <w:t>e</w:t>
      </w:r>
      <w:r w:rsidRPr="00AC4634">
        <w:t xml:space="preserve"> ongoing need for this may be reviewed if there </w:t>
      </w:r>
      <w:proofErr w:type="gramStart"/>
      <w:r w:rsidRPr="00AC4634">
        <w:t>are sufficient post</w:t>
      </w:r>
      <w:proofErr w:type="gramEnd"/>
      <w:r w:rsidR="00504E7F">
        <w:t xml:space="preserve"> </w:t>
      </w:r>
      <w:r w:rsidRPr="00AC4634">
        <w:t>marketing data provided in the future to provide a clearer estimate of the risk with use in the target popu</w:t>
      </w:r>
      <w:r w:rsidR="00AF719F">
        <w:t>lation. The advice of the ACPM wa</w:t>
      </w:r>
      <w:r w:rsidRPr="00AC4634">
        <w:t>s sought on this matter. It is noted that the Canadian monograph contains such a warning. Similarly, the risk of anaphylaxis is unknown due to the limited experience with enzalutamide (1041 patients).</w:t>
      </w:r>
    </w:p>
    <w:p w:rsidR="00AC4634" w:rsidRPr="00AC4634" w:rsidRDefault="00AC4634" w:rsidP="000B6F84">
      <w:r w:rsidRPr="00AC4634">
        <w:t>There is no clear reason for the increased fall rate in the treated arm but together with the increased reported rates of visual hallucinations and cognitive impairment, it is possible that CNS toxicity is contributing, and cannot exclude a drug-related effect. Similarly, the increased rates of headaches may be a treatment effect and need to be included clearly in the CMI because of their severity and frequency compared with the control arm. The rates of hypertension are increased but this is considered manageable and of less relevance in a palliative setting.</w:t>
      </w:r>
    </w:p>
    <w:p w:rsidR="00AC4634" w:rsidRPr="00AC4634" w:rsidRDefault="00AC4634" w:rsidP="000B6F84">
      <w:r w:rsidRPr="00AC4634">
        <w:t>Infections as a cause of death were increased in</w:t>
      </w:r>
      <w:r w:rsidR="00AF719F">
        <w:t xml:space="preserve"> the enzalutamide arm, and the s</w:t>
      </w:r>
      <w:r w:rsidRPr="00AC4634">
        <w:t>ponsor has been requested to provide details of the neutrophil counts as decreases were reported as an AE in some patients on enzalutamide.</w:t>
      </w:r>
    </w:p>
    <w:p w:rsidR="00AC4634" w:rsidRPr="00AC4634" w:rsidRDefault="00AC4634" w:rsidP="000B6F84">
      <w:r w:rsidRPr="00AC4634">
        <w:t xml:space="preserve">Another key issue is the potential for enzalutamide to interact with other drugs, resulting in potential changes in the safety and efficacy profile. The metabolism of enzalutamide is reduced in the presence of potent CYP2C8 inhibitors, resulting in increased levels which given the dose-related toxicities of both seizures and fatigue, may lead to an </w:t>
      </w:r>
      <w:r w:rsidR="00763C63">
        <w:t>AE</w:t>
      </w:r>
      <w:r w:rsidRPr="00AC4634">
        <w:t xml:space="preserve">. The </w:t>
      </w:r>
      <w:proofErr w:type="gramStart"/>
      <w:r w:rsidRPr="00AC4634">
        <w:t>PI informs</w:t>
      </w:r>
      <w:proofErr w:type="gramEnd"/>
      <w:r w:rsidRPr="00AC4634">
        <w:t xml:space="preserve"> prescribers about the risk of CYP2C8 inducers such as rifampicin without advice about dose required, nor was there any data presented in support of this and this needs to be addressed. This has potential implications for efficacy in the target population, and clear prescribing advice needs to be available (</w:t>
      </w:r>
      <w:r w:rsidR="00AF719F">
        <w:t xml:space="preserve">see </w:t>
      </w:r>
      <w:r w:rsidRPr="00AF719F">
        <w:rPr>
          <w:i/>
        </w:rPr>
        <w:t>Conditions of registration</w:t>
      </w:r>
      <w:r w:rsidRPr="00AC4634">
        <w:t xml:space="preserve">, </w:t>
      </w:r>
      <w:r w:rsidR="00AF719F">
        <w:t xml:space="preserve">and </w:t>
      </w:r>
      <w:r w:rsidRPr="00AF719F">
        <w:rPr>
          <w:i/>
        </w:rPr>
        <w:t xml:space="preserve">Questions for </w:t>
      </w:r>
      <w:r w:rsidR="005D68B9">
        <w:rPr>
          <w:i/>
        </w:rPr>
        <w:t xml:space="preserve">the </w:t>
      </w:r>
      <w:r w:rsidR="00AF719F" w:rsidRPr="00AF719F">
        <w:rPr>
          <w:i/>
        </w:rPr>
        <w:t>s</w:t>
      </w:r>
      <w:r w:rsidRPr="00AF719F">
        <w:rPr>
          <w:i/>
        </w:rPr>
        <w:t>ponsor</w:t>
      </w:r>
      <w:r w:rsidRPr="00AC4634">
        <w:t>). Enzalutamide itself inhibits a range of enzymes (CYP3A, CYP2C9, CYP2C19), and is likely to results in significant changes in drugs that are substrates of these enzymes (the PI contains appropriate information).</w:t>
      </w:r>
    </w:p>
    <w:p w:rsidR="00AC4634" w:rsidRPr="00AC4634" w:rsidRDefault="00AC4634" w:rsidP="000B6F84">
      <w:pPr>
        <w:pStyle w:val="Heading6"/>
      </w:pPr>
      <w:r w:rsidRPr="00AC4634">
        <w:t>Issues</w:t>
      </w:r>
    </w:p>
    <w:p w:rsidR="00AC4634" w:rsidRPr="00AC4634" w:rsidRDefault="00AC4634" w:rsidP="000B6F84">
      <w:r w:rsidRPr="00AC4634">
        <w:t xml:space="preserve">There were some general issues with the reporting of </w:t>
      </w:r>
      <w:r w:rsidR="00763C63">
        <w:t>AE</w:t>
      </w:r>
      <w:r w:rsidRPr="00AC4634">
        <w:t xml:space="preserve">s which has made evaluating the safety profile of enzalutamide difficult. These centre around the classification and reporting of </w:t>
      </w:r>
      <w:r w:rsidR="00763C63">
        <w:t>AE</w:t>
      </w:r>
      <w:r w:rsidRPr="00AC4634">
        <w:t xml:space="preserve">s (including </w:t>
      </w:r>
      <w:r w:rsidR="00763C63">
        <w:t>SAE</w:t>
      </w:r>
      <w:r w:rsidRPr="00AC4634">
        <w:t>s), and in particular, the use</w:t>
      </w:r>
      <w:r w:rsidR="000B6F84">
        <w:t xml:space="preserve"> dual reporting system for AEs.</w:t>
      </w:r>
    </w:p>
    <w:p w:rsidR="00AC4634" w:rsidRPr="00AC4634" w:rsidRDefault="00AC4634" w:rsidP="000B6F84">
      <w:r w:rsidRPr="00AC4634">
        <w:t xml:space="preserve">No </w:t>
      </w:r>
      <w:r w:rsidR="00763C63">
        <w:t>AE</w:t>
      </w:r>
      <w:r w:rsidRPr="00AC4634">
        <w:t>s of special interest were pre-specified. Given that seizures and fatigue were evident in the preclin</w:t>
      </w:r>
      <w:r w:rsidR="00AF719F">
        <w:t xml:space="preserve">ical setting and were both dose </w:t>
      </w:r>
      <w:r w:rsidRPr="00AC4634">
        <w:t xml:space="preserve">limiting toxicities, the Delegate considers these should have been pre-specified. Several </w:t>
      </w:r>
      <w:r w:rsidR="00763C63">
        <w:t>AE</w:t>
      </w:r>
      <w:r w:rsidRPr="00AC4634">
        <w:t>s that emerged in Study CRPC2 were examined in more detail with a standardisation against time on treatment to determine whether this was affected by the differing treatment or its duration. This was on the basis of the frequency rather than necessarily the severity of the event although all have potential to detract sign</w:t>
      </w:r>
      <w:r w:rsidR="000B6F84">
        <w:t>ificantly from quality of life.</w:t>
      </w:r>
    </w:p>
    <w:p w:rsidR="00AF719F" w:rsidRDefault="00AC4634" w:rsidP="000B6F84">
      <w:pPr>
        <w:pStyle w:val="ListBullet"/>
      </w:pPr>
      <w:r w:rsidRPr="00AC4634">
        <w:t>Classification</w:t>
      </w:r>
    </w:p>
    <w:p w:rsidR="00AC4634" w:rsidRPr="00AC4634" w:rsidRDefault="00AC4634" w:rsidP="000B6F84">
      <w:r w:rsidRPr="00AC4634">
        <w:t>The Delegat</w:t>
      </w:r>
      <w:r w:rsidR="00AF719F">
        <w:t>e is not in agreement with the s</w:t>
      </w:r>
      <w:r w:rsidRPr="00AC4634">
        <w:t xml:space="preserve">ponsor’s classification of spinal cord compression and the rationale of spinal cord compression being a skeletal-related event, but not necessarily a </w:t>
      </w:r>
      <w:r w:rsidR="00763C63">
        <w:t>SAE</w:t>
      </w:r>
      <w:r w:rsidRPr="00AC4634">
        <w:t xml:space="preserve">. Acute spinal cord compression is an oncology emergency, with a very narrow window of potential reversibility with treatment, requiring emergency investigation and treatment to reduce the risk of permanent disability; despite this, a significant number will have either total or a residual degree of paralysis, with consequent significant functional impairment, of any or all of the following: mobility, bladder and </w:t>
      </w:r>
      <w:r w:rsidRPr="00AC4634">
        <w:lastRenderedPageBreak/>
        <w:t>bowel function. The impact for the patient and their carers is enormous. The capacity for even relatively minor residual dysfunction is evident in the table of contributing factors presented for falls.</w:t>
      </w:r>
    </w:p>
    <w:p w:rsidR="00AC4634" w:rsidRPr="00AC4634" w:rsidRDefault="00AC4634" w:rsidP="000B6F84">
      <w:pPr>
        <w:pStyle w:val="ListBullet"/>
      </w:pPr>
      <w:r w:rsidRPr="00AC4634">
        <w:t xml:space="preserve">Dual CRF reporting </w:t>
      </w:r>
      <w:r w:rsidRPr="000B6F84">
        <w:t>system</w:t>
      </w:r>
      <w:r w:rsidRPr="00AC4634">
        <w:t>, different safety reporting methods</w:t>
      </w:r>
    </w:p>
    <w:p w:rsidR="00AC4634" w:rsidRPr="00AC4634" w:rsidRDefault="00AC4634" w:rsidP="000B6F84">
      <w:r w:rsidRPr="00AC4634">
        <w:t xml:space="preserve">The use of a dual reporting system with CRFs for </w:t>
      </w:r>
      <w:r w:rsidR="00763C63">
        <w:t>SAEs</w:t>
      </w:r>
      <w:r w:rsidRPr="00AC4634">
        <w:t xml:space="preserve"> and CRFs for individual events, together with the different ways of presenting the safety data already described, has led to some confusion about the total rates of events</w:t>
      </w:r>
      <w:r w:rsidR="00AF719F">
        <w:t xml:space="preserve">, for example, </w:t>
      </w:r>
      <w:r w:rsidRPr="00AC4634">
        <w:t>spinal cord compression,</w:t>
      </w:r>
      <w:r w:rsidR="00AF719F">
        <w:t xml:space="preserve"> </w:t>
      </w:r>
      <w:r w:rsidRPr="00AC4634">
        <w:t xml:space="preserve">dose modifications. It is not possible to determine how many patients experience the </w:t>
      </w:r>
      <w:r w:rsidR="00763C63">
        <w:t>AE</w:t>
      </w:r>
      <w:r w:rsidRPr="00AC4634">
        <w:t xml:space="preserve"> in total as there may be total overlap or potentially none at all between the two groups. There are differing rates of spinal cord compression reported and it is not possible to</w:t>
      </w:r>
      <w:r w:rsidR="00AF719F">
        <w:t xml:space="preserve"> determine the total rate. The s</w:t>
      </w:r>
      <w:r w:rsidRPr="00AC4634">
        <w:t xml:space="preserve">ponsor </w:t>
      </w:r>
      <w:r w:rsidR="00AF719F">
        <w:t>w</w:t>
      </w:r>
      <w:r w:rsidRPr="00AC4634">
        <w:t>as requested to reconcile these various reporting systems for spinal cord compression to provide prescriber and patients with a clear risk associated with extending life with this treatment.</w:t>
      </w:r>
    </w:p>
    <w:p w:rsidR="00AC4634" w:rsidRPr="00AC4634" w:rsidRDefault="00AC4634" w:rsidP="000B6F84">
      <w:pPr>
        <w:pStyle w:val="ListBullet"/>
      </w:pPr>
      <w:r w:rsidRPr="00AC4634">
        <w:t>Limited follow-up data</w:t>
      </w:r>
    </w:p>
    <w:p w:rsidR="00AC4634" w:rsidRPr="00AC4634" w:rsidRDefault="00AF719F" w:rsidP="000B6F84">
      <w:r>
        <w:t xml:space="preserve">The analysis of rates per </w:t>
      </w:r>
      <w:r w:rsidR="00AC4634" w:rsidRPr="00AC4634">
        <w:t>100 patient years was done using the skeletal event rate within the reporting period which allows for comparison with the placebo for this time period. Patients were no longer followed up beyond 30 days of discontinuing the study treatment after progression other than for radiographic progression (first event only), skeletal-related events (unclear if first event recorded or ongoing record kept), and commencement of new therapies or death. It is unclear whether there are data available for comparison</w:t>
      </w:r>
      <w:r>
        <w:t xml:space="preserve">, for example, </w:t>
      </w:r>
      <w:r w:rsidR="00AC4634" w:rsidRPr="00AC4634">
        <w:t>of spinal cord compression over the same time period in those patients who were in the p</w:t>
      </w:r>
      <w:r w:rsidR="000B6F84">
        <w:t>lacebo arm but changed therapy.</w:t>
      </w:r>
    </w:p>
    <w:p w:rsidR="00AC4634" w:rsidRPr="00AC4634" w:rsidRDefault="00AC4634" w:rsidP="000B6F84">
      <w:r w:rsidRPr="00AC4634">
        <w:t xml:space="preserve">Within the study timeframe, a higher percentage of patients had a significant skeletal </w:t>
      </w:r>
      <w:r w:rsidR="00763C63">
        <w:t>AE</w:t>
      </w:r>
      <w:r w:rsidRPr="00AC4634">
        <w:t xml:space="preserve"> after being treated with enzalutamide, most likely as a consequence of being alive for longer with widespread bony disease rather than any direct effect of the drug. However, the absolute rates of </w:t>
      </w:r>
      <w:r w:rsidR="00763C63">
        <w:t>AE</w:t>
      </w:r>
      <w:r w:rsidRPr="00AC4634">
        <w:t>s are important as they provide information to the prescriber and patient and form the basis of an informed discussion about the risks and benefits of commencing this palliativ</w:t>
      </w:r>
      <w:r w:rsidR="00CD15F9">
        <w:t>e therapy. In response to this Overview the s</w:t>
      </w:r>
      <w:r w:rsidRPr="00AC4634">
        <w:t xml:space="preserve">ponsor </w:t>
      </w:r>
      <w:r w:rsidR="00CD15F9">
        <w:t>wa</w:t>
      </w:r>
      <w:r w:rsidRPr="00AC4634">
        <w:t xml:space="preserve">s requested to provide a specific figure for the total number of episodes of spinal cord compression and </w:t>
      </w:r>
      <w:proofErr w:type="spellStart"/>
      <w:r w:rsidRPr="00AC4634">
        <w:t>cauda</w:t>
      </w:r>
      <w:proofErr w:type="spellEnd"/>
      <w:r w:rsidRPr="00AC4634">
        <w:t xml:space="preserve"> </w:t>
      </w:r>
      <w:proofErr w:type="spellStart"/>
      <w:r w:rsidRPr="00AC4634">
        <w:t>equina</w:t>
      </w:r>
      <w:proofErr w:type="spellEnd"/>
      <w:r w:rsidRPr="00AC4634">
        <w:t xml:space="preserve"> syndrome to include in the PI.</w:t>
      </w:r>
    </w:p>
    <w:p w:rsidR="00AC4634" w:rsidRPr="00AC4634" w:rsidRDefault="00AC4634" w:rsidP="000B6F84">
      <w:pPr>
        <w:pStyle w:val="ListBullet"/>
      </w:pPr>
      <w:r w:rsidRPr="00AC4634">
        <w:t xml:space="preserve">Lack of </w:t>
      </w:r>
      <w:r w:rsidR="00CD15F9">
        <w:t>Q</w:t>
      </w:r>
      <w:r w:rsidRPr="00AC4634">
        <w:t xml:space="preserve">uality of </w:t>
      </w:r>
      <w:r w:rsidR="00CD15F9">
        <w:t>L</w:t>
      </w:r>
      <w:r w:rsidRPr="00AC4634">
        <w:t>ife data</w:t>
      </w:r>
    </w:p>
    <w:p w:rsidR="00AC4634" w:rsidRPr="00AC4634" w:rsidRDefault="00AC4634" w:rsidP="000B6F84">
      <w:r w:rsidRPr="00AC4634">
        <w:t xml:space="preserve">As stated in the background section of the overview, the aims of treating this population should be to prolong survival, minimise complications and maintain quality of life. This study was carried out in a population hoping to extend their life, but extended survival also increases the window for </w:t>
      </w:r>
      <w:r w:rsidR="00763C63">
        <w:t>AE</w:t>
      </w:r>
      <w:r w:rsidRPr="00AC4634">
        <w:t xml:space="preserve">s to occur, such as spinal cord compression. Quality of life data would have been useful to determine whether the increased </w:t>
      </w:r>
      <w:r w:rsidR="004672F0">
        <w:t>OS</w:t>
      </w:r>
      <w:r w:rsidR="00CD15F9">
        <w:t xml:space="preserve"> </w:t>
      </w:r>
      <w:r w:rsidRPr="00AC4634">
        <w:t xml:space="preserve">and radiographic </w:t>
      </w:r>
      <w:r w:rsidR="008C45CE">
        <w:t xml:space="preserve">PFS </w:t>
      </w:r>
      <w:r w:rsidRPr="00AC4634">
        <w:t xml:space="preserve">were meaningful to the subjects in the trial. It would have been useful to know whether data are available for comparison of radiographic PFS, skeletal events, new treatments and death for the full analysis set/ITT population once they have discontinued treatment as outlined in the protocol (see </w:t>
      </w:r>
      <w:r w:rsidRPr="00CD15F9">
        <w:rPr>
          <w:i/>
        </w:rPr>
        <w:t xml:space="preserve">Questions for </w:t>
      </w:r>
      <w:r w:rsidR="005D68B9">
        <w:rPr>
          <w:i/>
        </w:rPr>
        <w:t xml:space="preserve">the </w:t>
      </w:r>
      <w:r w:rsidR="00CD15F9" w:rsidRPr="00CD15F9">
        <w:rPr>
          <w:i/>
        </w:rPr>
        <w:t>s</w:t>
      </w:r>
      <w:r w:rsidRPr="00CD15F9">
        <w:rPr>
          <w:i/>
        </w:rPr>
        <w:t>ponsor</w:t>
      </w:r>
      <w:r w:rsidR="005D68B9">
        <w:rPr>
          <w:i/>
        </w:rPr>
        <w:t>,</w:t>
      </w:r>
      <w:r w:rsidR="00CD15F9">
        <w:t xml:space="preserve"> below</w:t>
      </w:r>
      <w:r w:rsidRPr="00AC4634">
        <w:t>).</w:t>
      </w:r>
    </w:p>
    <w:p w:rsidR="00AC4634" w:rsidRPr="00AC4634" w:rsidRDefault="00AC4634" w:rsidP="000B6F84">
      <w:r w:rsidRPr="00AC4634">
        <w:t xml:space="preserve">While there are safety concerns with the use of enzalutamide, in the context of a palliative setting, it is the patient’s decision as to whether the risks of treatment outweigh the benefits of longer survival, an increased radiographic </w:t>
      </w:r>
      <w:r w:rsidR="008C45CE">
        <w:t xml:space="preserve">PFS </w:t>
      </w:r>
      <w:r w:rsidRPr="00AC4634">
        <w:t xml:space="preserve">and possibly delayed time to an adverse skeletal event. The PI needs to reflect the absolute </w:t>
      </w:r>
      <w:r w:rsidR="00763C63">
        <w:t>AE</w:t>
      </w:r>
      <w:r w:rsidRPr="00AC4634">
        <w:t>s rates (</w:t>
      </w:r>
      <w:r w:rsidR="00361A55">
        <w:t xml:space="preserve">for example, </w:t>
      </w:r>
      <w:r w:rsidRPr="00AC4634">
        <w:t>for spinal cord compression) as currently known as these represent the basis of knowing the risks when commencing this medication, and for making an informed choice.</w:t>
      </w:r>
    </w:p>
    <w:p w:rsidR="007B6132" w:rsidRPr="00A560A5" w:rsidRDefault="007B6132" w:rsidP="00A560A5">
      <w:pPr>
        <w:pStyle w:val="Heading4"/>
      </w:pPr>
      <w:r w:rsidRPr="007B6132">
        <w:lastRenderedPageBreak/>
        <w:t>Clin</w:t>
      </w:r>
      <w:r w:rsidR="00A560A5">
        <w:t>ical evaluator’s recommendation</w:t>
      </w:r>
    </w:p>
    <w:p w:rsidR="00AC4634" w:rsidRPr="00A11444" w:rsidRDefault="00361A55" w:rsidP="00A560A5">
      <w:r>
        <w:t>The c</w:t>
      </w:r>
      <w:r w:rsidR="00AC4634" w:rsidRPr="00A11444">
        <w:t xml:space="preserve">linical </w:t>
      </w:r>
      <w:r>
        <w:t>e</w:t>
      </w:r>
      <w:r w:rsidR="00AC4634" w:rsidRPr="00A11444">
        <w:t>valuator recommended that the application for the registration of enzalutamide for the treatment of patients with metastatic CRPC who have previously received docetaxel be approved.</w:t>
      </w:r>
    </w:p>
    <w:p w:rsidR="008E7846" w:rsidRDefault="00386150" w:rsidP="00A560A5">
      <w:pPr>
        <w:pStyle w:val="Heading3"/>
        <w:rPr>
          <w:lang w:eastAsia="en-AU"/>
        </w:rPr>
      </w:pPr>
      <w:bookmarkStart w:id="241" w:name="_Toc408300858"/>
      <w:r>
        <w:rPr>
          <w:lang w:eastAsia="en-AU"/>
        </w:rPr>
        <w:t>Risk m</w:t>
      </w:r>
      <w:r w:rsidR="008E7846">
        <w:rPr>
          <w:lang w:eastAsia="en-AU"/>
        </w:rPr>
        <w:t xml:space="preserve">anagement </w:t>
      </w:r>
      <w:r>
        <w:rPr>
          <w:lang w:eastAsia="en-AU"/>
        </w:rPr>
        <w:t>p</w:t>
      </w:r>
      <w:r w:rsidR="008E7846">
        <w:rPr>
          <w:lang w:eastAsia="en-AU"/>
        </w:rPr>
        <w:t>lan</w:t>
      </w:r>
      <w:bookmarkEnd w:id="161"/>
      <w:bookmarkEnd w:id="241"/>
    </w:p>
    <w:p w:rsidR="00733A71" w:rsidRPr="00733A71" w:rsidRDefault="00733A71" w:rsidP="00A560A5">
      <w:r w:rsidRPr="00733A71">
        <w:t xml:space="preserve">The </w:t>
      </w:r>
      <w:r w:rsidR="00361A55">
        <w:t xml:space="preserve">TGA OPR </w:t>
      </w:r>
      <w:r w:rsidRPr="00733A71">
        <w:t>has accepted the EU-RMP Version 14.0 dated 25 April 2013 with an Australian Spec</w:t>
      </w:r>
      <w:r w:rsidR="00A560A5">
        <w:t>ific Annex, dated 23 May, 2013.</w:t>
      </w:r>
    </w:p>
    <w:p w:rsidR="00733A71" w:rsidRPr="00733A71" w:rsidRDefault="00733A71" w:rsidP="00A560A5">
      <w:r w:rsidRPr="00733A71">
        <w:t>The opinion of the AS</w:t>
      </w:r>
      <w:r w:rsidR="00A560A5">
        <w:t>COM was sought on 7 March 2014.</w:t>
      </w:r>
    </w:p>
    <w:p w:rsidR="00733A71" w:rsidRPr="00733A71" w:rsidRDefault="00733A71" w:rsidP="00A560A5">
      <w:r w:rsidRPr="00733A71">
        <w:t>A number of recommendations for the RMP have been provided by the RMP evaluator</w:t>
      </w:r>
      <w:r w:rsidR="00361A55">
        <w:t>.</w:t>
      </w:r>
      <w:r w:rsidRPr="00733A71">
        <w:t xml:space="preserve"> It was considered that the </w:t>
      </w:r>
      <w:r w:rsidR="00361A55">
        <w:t>s</w:t>
      </w:r>
      <w:r w:rsidRPr="00733A71">
        <w:t xml:space="preserve">ponsor’s response to the TGA </w:t>
      </w:r>
      <w:r w:rsidR="00361A55">
        <w:t xml:space="preserve">request for further information </w:t>
      </w:r>
      <w:r w:rsidRPr="00733A71">
        <w:t>has adequately addressed all of the issues identified in the RMP report.</w:t>
      </w:r>
    </w:p>
    <w:p w:rsidR="00733A71" w:rsidRPr="00733A71" w:rsidRDefault="00733A71" w:rsidP="00A560A5">
      <w:r w:rsidRPr="00733A71">
        <w:t>The RMP evaluator has made a number of recommendations regarding the PI</w:t>
      </w:r>
      <w:r w:rsidR="00361A55">
        <w:t>. Details of these are beyond the scope of the AusPAR</w:t>
      </w:r>
      <w:r w:rsidRPr="00733A71">
        <w:t>.</w:t>
      </w:r>
    </w:p>
    <w:p w:rsidR="008E7846" w:rsidRPr="00A560A5" w:rsidRDefault="00AA0ED0" w:rsidP="00A560A5">
      <w:pPr>
        <w:pStyle w:val="Heading3"/>
      </w:pPr>
      <w:bookmarkStart w:id="242" w:name="_Toc247691531"/>
      <w:bookmarkStart w:id="243" w:name="_Toc314842515"/>
      <w:bookmarkStart w:id="244" w:name="_Toc196046505"/>
      <w:bookmarkStart w:id="245" w:name="_Toc196046949"/>
      <w:bookmarkStart w:id="246" w:name="_Toc408300859"/>
      <w:r>
        <w:t>Risk-benefit a</w:t>
      </w:r>
      <w:r w:rsidR="008E7846">
        <w:t>nalysis</w:t>
      </w:r>
      <w:bookmarkEnd w:id="242"/>
      <w:bookmarkEnd w:id="243"/>
      <w:bookmarkEnd w:id="246"/>
    </w:p>
    <w:p w:rsidR="00D23139" w:rsidRPr="00A560A5" w:rsidRDefault="00A560A5" w:rsidP="00A560A5">
      <w:pPr>
        <w:pStyle w:val="Heading4"/>
      </w:pPr>
      <w:r>
        <w:t>Delegate’s considerations</w:t>
      </w:r>
    </w:p>
    <w:p w:rsidR="00305557" w:rsidRPr="00A560A5" w:rsidRDefault="00305557" w:rsidP="00A560A5">
      <w:pPr>
        <w:pStyle w:val="Heading5"/>
      </w:pPr>
      <w:r>
        <w:t>Summary of issues</w:t>
      </w:r>
    </w:p>
    <w:p w:rsidR="00305557" w:rsidRPr="00305557" w:rsidRDefault="00305557" w:rsidP="00A560A5">
      <w:pPr>
        <w:pStyle w:val="ListBullet"/>
      </w:pPr>
      <w:r w:rsidRPr="00305557">
        <w:t xml:space="preserve">The safety set for </w:t>
      </w:r>
      <w:r w:rsidRPr="00A560A5">
        <w:t>analysis</w:t>
      </w:r>
      <w:r w:rsidRPr="00305557">
        <w:t xml:space="preserve"> included 1041 patients treated with any dose of enzalutamide, of whom 923 were treated at the proposed dose of 160 mg daily. Seizures occurred in the preclinical studies so all clinical trials excluded those with any history of, or risk factors for seizures. No post</w:t>
      </w:r>
      <w:r w:rsidR="00504E7F">
        <w:t xml:space="preserve"> </w:t>
      </w:r>
      <w:r w:rsidRPr="00305557">
        <w:t>marketing data were available.</w:t>
      </w:r>
    </w:p>
    <w:p w:rsidR="00305557" w:rsidRPr="00305557" w:rsidRDefault="00305557" w:rsidP="00A560A5">
      <w:pPr>
        <w:pStyle w:val="ListBullet"/>
        <w:numPr>
          <w:ilvl w:val="0"/>
          <w:numId w:val="0"/>
        </w:numPr>
        <w:ind w:left="360"/>
      </w:pPr>
      <w:r w:rsidRPr="00305557">
        <w:t xml:space="preserve">Seizures were dose limiting, and in the Phase III trial, 0.9% (7/800) of subjects had a seizure (1 case with status </w:t>
      </w:r>
      <w:proofErr w:type="spellStart"/>
      <w:r w:rsidRPr="00305557">
        <w:t>epilepticus</w:t>
      </w:r>
      <w:proofErr w:type="spellEnd"/>
      <w:r w:rsidRPr="00305557">
        <w:t>; 1 case with seizures over 2 days) on enzalutamide c</w:t>
      </w:r>
      <w:r>
        <w:t xml:space="preserve">ompared with </w:t>
      </w:r>
      <w:r w:rsidRPr="00305557">
        <w:t>none in the placebo. Exclusion criteria meant predisposing risk factors had been minimised, therefore the risk is unknown use with broader usage.</w:t>
      </w:r>
    </w:p>
    <w:p w:rsidR="00305557" w:rsidRPr="00305557" w:rsidRDefault="00305557" w:rsidP="00A560A5">
      <w:pPr>
        <w:pStyle w:val="ListBullet"/>
      </w:pPr>
      <w:r>
        <w:t>One</w:t>
      </w:r>
      <w:r w:rsidRPr="00305557">
        <w:t xml:space="preserve"> case of anaphylaxis was reported in the Phase III trial.</w:t>
      </w:r>
    </w:p>
    <w:p w:rsidR="00305557" w:rsidRPr="00305557" w:rsidRDefault="00305557" w:rsidP="00A560A5">
      <w:pPr>
        <w:pStyle w:val="ListBullet"/>
      </w:pPr>
      <w:r w:rsidRPr="00305557">
        <w:t>Drug-drug interactions are important potential causes of increased and decreased enzalutamide metabolism with potential consequences for safety and efficacy, respectively. In turn, enzalutamide is a strong inducer of CYP3A4, and to a lesser extent 2C9 and 2C19.</w:t>
      </w:r>
    </w:p>
    <w:p w:rsidR="00305557" w:rsidRPr="00305557" w:rsidRDefault="00305557" w:rsidP="00A560A5">
      <w:pPr>
        <w:pStyle w:val="ListBullet"/>
      </w:pPr>
      <w:r w:rsidRPr="00305557">
        <w:t>This is a heavily pre-treated population and the majority have significant disease burden, so there were significant adverse event rates including spinal cord compression.</w:t>
      </w:r>
    </w:p>
    <w:p w:rsidR="00305557" w:rsidRPr="00305557" w:rsidRDefault="00305557" w:rsidP="00A560A5">
      <w:pPr>
        <w:pStyle w:val="ListBullet"/>
      </w:pPr>
      <w:r w:rsidRPr="00305557">
        <w:t xml:space="preserve">The median </w:t>
      </w:r>
      <w:r w:rsidR="004672F0">
        <w:t>OS</w:t>
      </w:r>
      <w:r>
        <w:t xml:space="preserve"> </w:t>
      </w:r>
      <w:r w:rsidRPr="00305557">
        <w:t>and radiographic PFS were statistically significantly improved, although there was use in both arms of other treatments known to increase survival following progression.</w:t>
      </w:r>
    </w:p>
    <w:p w:rsidR="00733A71" w:rsidRPr="00A560A5" w:rsidRDefault="00F017C2" w:rsidP="00A560A5">
      <w:pPr>
        <w:pStyle w:val="Heading5"/>
      </w:pPr>
      <w:r>
        <w:t>Data d</w:t>
      </w:r>
      <w:r w:rsidR="00733A71" w:rsidRPr="00A11444">
        <w:t>eficiencies</w:t>
      </w:r>
      <w:r>
        <w:t xml:space="preserve"> and l</w:t>
      </w:r>
      <w:r w:rsidR="00733A71" w:rsidRPr="00A11444">
        <w:t>imitations</w:t>
      </w:r>
    </w:p>
    <w:p w:rsidR="00733A71" w:rsidRPr="00305557" w:rsidRDefault="00733A71" w:rsidP="00A560A5">
      <w:pPr>
        <w:pStyle w:val="ListBullet"/>
      </w:pPr>
      <w:r w:rsidRPr="00305557">
        <w:t xml:space="preserve">There is no PK data for effect </w:t>
      </w:r>
      <w:r w:rsidRPr="00A560A5">
        <w:t>of</w:t>
      </w:r>
      <w:r w:rsidRPr="00305557">
        <w:t xml:space="preserve"> rifampicin on metabolism of enzalutamide and its active metabolite.</w:t>
      </w:r>
    </w:p>
    <w:p w:rsidR="00733A71" w:rsidRPr="00305557" w:rsidRDefault="00733A71" w:rsidP="00A560A5">
      <w:pPr>
        <w:pStyle w:val="ListBullet"/>
      </w:pPr>
      <w:r w:rsidRPr="00305557">
        <w:t xml:space="preserve">The </w:t>
      </w:r>
      <w:proofErr w:type="spellStart"/>
      <w:r w:rsidRPr="00305557">
        <w:t>QoL</w:t>
      </w:r>
      <w:proofErr w:type="spellEnd"/>
      <w:r w:rsidRPr="00305557">
        <w:t xml:space="preserve"> data were insufficient due to low completion rates, especially in the placebo arm.</w:t>
      </w:r>
    </w:p>
    <w:p w:rsidR="00733A71" w:rsidRPr="00305557" w:rsidRDefault="00733A71" w:rsidP="00A560A5">
      <w:pPr>
        <w:pStyle w:val="ListBullet"/>
      </w:pPr>
      <w:r w:rsidRPr="00305557">
        <w:lastRenderedPageBreak/>
        <w:t>There are no post</w:t>
      </w:r>
      <w:r w:rsidR="00504E7F">
        <w:t xml:space="preserve"> </w:t>
      </w:r>
      <w:r w:rsidRPr="00305557">
        <w:t>marketing data available to assess the risk of seizures and anaphylaxis for the proposed usage.</w:t>
      </w:r>
    </w:p>
    <w:p w:rsidR="00D23139" w:rsidRPr="00A560A5" w:rsidRDefault="00D23139" w:rsidP="00A560A5">
      <w:pPr>
        <w:pStyle w:val="Heading4"/>
      </w:pPr>
      <w:r w:rsidRPr="00D23139">
        <w:t>Proposed action</w:t>
      </w:r>
    </w:p>
    <w:p w:rsidR="00F017C2" w:rsidRDefault="00F017C2" w:rsidP="00A560A5">
      <w:r>
        <w:t xml:space="preserve">The Delegate had </w:t>
      </w:r>
      <w:r w:rsidR="00733A71" w:rsidRPr="00305557">
        <w:t>no reason to say, at this time, that the application for Xtandi should not be approved for registration for the treatment of patients with metastatic castration-resistant prostate cancer who have previously received docetaxel.</w:t>
      </w:r>
    </w:p>
    <w:p w:rsidR="00F017C2" w:rsidRPr="00A560A5" w:rsidRDefault="00450649" w:rsidP="00A560A5">
      <w:pPr>
        <w:pStyle w:val="Heading5"/>
        <w:rPr>
          <w:rFonts w:eastAsia="MS Mincho"/>
        </w:rPr>
      </w:pPr>
      <w:r>
        <w:rPr>
          <w:rFonts w:eastAsia="MS Mincho"/>
          <w:lang w:eastAsia="ja-JP"/>
        </w:rPr>
        <w:t>Proposed c</w:t>
      </w:r>
      <w:r w:rsidR="00A560A5">
        <w:rPr>
          <w:rFonts w:eastAsia="MS Mincho"/>
          <w:lang w:eastAsia="ja-JP"/>
        </w:rPr>
        <w:t>onditions of registration:</w:t>
      </w:r>
    </w:p>
    <w:p w:rsidR="00733A71" w:rsidRPr="00F017C2" w:rsidRDefault="00F017C2" w:rsidP="00A560A5">
      <w:r>
        <w:t>T</w:t>
      </w:r>
      <w:r w:rsidR="00733A71" w:rsidRPr="00F017C2">
        <w:t xml:space="preserve">he following </w:t>
      </w:r>
      <w:r>
        <w:t>we</w:t>
      </w:r>
      <w:r w:rsidR="00733A71" w:rsidRPr="00F017C2">
        <w:t>re proposed as conditions of registration:</w:t>
      </w:r>
    </w:p>
    <w:p w:rsidR="00733A71" w:rsidRPr="00F017C2" w:rsidRDefault="00733A71" w:rsidP="00A560A5">
      <w:pPr>
        <w:pStyle w:val="ListBullet"/>
      </w:pPr>
      <w:r w:rsidRPr="00F017C2">
        <w:t xml:space="preserve">Implementation of the EU-RMP </w:t>
      </w:r>
      <w:r w:rsidRPr="00A560A5">
        <w:t>Version</w:t>
      </w:r>
      <w:r w:rsidRPr="00F017C2">
        <w:t xml:space="preserve"> 14.0 dated 25 April 2013 with an Australian Specific Annex, dated 23 May, 2013 and any </w:t>
      </w:r>
      <w:r w:rsidR="00A560A5">
        <w:t>updates as required by the TGA.</w:t>
      </w:r>
    </w:p>
    <w:p w:rsidR="00733A71" w:rsidRPr="00F017C2" w:rsidRDefault="00733A71" w:rsidP="00A560A5">
      <w:pPr>
        <w:pStyle w:val="ListBullet"/>
      </w:pPr>
      <w:r w:rsidRPr="00F017C2">
        <w:t>Submission of the following clinical trial(s) as Category 1 submissions within 6 months of completion which were designed to evaluate the effect of rifampicin on the PK of enzalutamide and its active metabolite, and  to evaluate the effect of enzalutamide at steady state on the PK o</w:t>
      </w:r>
      <w:r w:rsidR="00A560A5">
        <w:t>f CYP2D6 and CYP1A2 substrates.</w:t>
      </w:r>
    </w:p>
    <w:p w:rsidR="00733A71" w:rsidRDefault="00733A71" w:rsidP="00A560A5">
      <w:pPr>
        <w:pStyle w:val="ListBullet"/>
      </w:pPr>
      <w:r w:rsidRPr="00F017C2">
        <w:t xml:space="preserve">Negotiation of appropriate controls on impurities in the </w:t>
      </w:r>
      <w:r w:rsidRPr="00A560A5">
        <w:t>excipient</w:t>
      </w:r>
      <w:r w:rsidRPr="00F017C2">
        <w:t xml:space="preserve"> to the satisfaction of the TGA.</w:t>
      </w:r>
    </w:p>
    <w:p w:rsidR="005512AF" w:rsidRPr="00F017C2" w:rsidRDefault="005512AF" w:rsidP="00A560A5">
      <w:r>
        <w:t>The Delegate also proposed revisions to the PI and CMI. Details of these are beyond the scope of the AusPAR.</w:t>
      </w:r>
    </w:p>
    <w:p w:rsidR="00733A71" w:rsidRPr="00A560A5" w:rsidRDefault="00F017C2" w:rsidP="00A560A5">
      <w:pPr>
        <w:pStyle w:val="Heading4"/>
      </w:pPr>
      <w:r w:rsidRPr="00F017C2">
        <w:t>Questions for the s</w:t>
      </w:r>
      <w:r w:rsidR="00733A71" w:rsidRPr="00F017C2">
        <w:t>ponsor</w:t>
      </w:r>
    </w:p>
    <w:p w:rsidR="005D68B9" w:rsidRPr="005D68B9" w:rsidRDefault="005D68B9" w:rsidP="00A560A5">
      <w:r>
        <w:t>In its response to the Delegate’s overview, the sponsor was requ</w:t>
      </w:r>
      <w:r w:rsidR="00A560A5">
        <w:t>ested to address the following:</w:t>
      </w:r>
    </w:p>
    <w:p w:rsidR="00733A71" w:rsidRPr="00F017C2" w:rsidRDefault="00733A71" w:rsidP="00A560A5">
      <w:pPr>
        <w:pStyle w:val="Numberbullet0"/>
      </w:pPr>
      <w:r w:rsidRPr="00F017C2">
        <w:t xml:space="preserve">The </w:t>
      </w:r>
      <w:r w:rsidRPr="00A560A5">
        <w:t>advice</w:t>
      </w:r>
      <w:r w:rsidRPr="00F017C2">
        <w:t xml:space="preserve"> regarding CYP2C18 is extrapolated to inducers (</w:t>
      </w:r>
      <w:r w:rsidR="005D68B9">
        <w:t xml:space="preserve">for example, </w:t>
      </w:r>
      <w:r w:rsidRPr="00F017C2">
        <w:t xml:space="preserve">rifampicin) but there are no data presented to explain likely effects or whether a higher dose is required. The </w:t>
      </w:r>
      <w:r w:rsidR="005D68B9">
        <w:t>s</w:t>
      </w:r>
      <w:r w:rsidRPr="00F017C2">
        <w:t>ponsor is requested to advise whether such studies have been done or are underway or are planned and whether a do</w:t>
      </w:r>
      <w:r w:rsidR="00A560A5">
        <w:t>se modification is recommended.</w:t>
      </w:r>
    </w:p>
    <w:p w:rsidR="00733A71" w:rsidRPr="00F017C2" w:rsidRDefault="00733A71" w:rsidP="00A560A5">
      <w:pPr>
        <w:pStyle w:val="Numberbullet0"/>
      </w:pPr>
      <w:r w:rsidRPr="00F017C2">
        <w:t xml:space="preserve">The </w:t>
      </w:r>
      <w:r w:rsidR="005D68B9">
        <w:t>s</w:t>
      </w:r>
      <w:r w:rsidRPr="00F017C2">
        <w:t xml:space="preserve">ponsor is requested to clarify the percentage in CRCP2 for whom data were collected for radiographic PFS, skeletal events (including whether this was for the first event or all events), new treatments and death after treatment discontinuation as per the protocol in both arms (or whether these data were just while on active treatment), and whether this formed the basis of the </w:t>
      </w:r>
      <w:r w:rsidR="00763C63" w:rsidRPr="00F017C2">
        <w:t>AE</w:t>
      </w:r>
      <w:r w:rsidR="005D68B9">
        <w:t xml:space="preserve"> rates per </w:t>
      </w:r>
      <w:r w:rsidRPr="00F017C2">
        <w:t>100</w:t>
      </w:r>
      <w:r w:rsidR="005D68B9">
        <w:t xml:space="preserve"> patient-year</w:t>
      </w:r>
      <w:r w:rsidRPr="00F017C2">
        <w:t>s calculations.</w:t>
      </w:r>
    </w:p>
    <w:p w:rsidR="00733A71" w:rsidRPr="00F017C2" w:rsidRDefault="00733A71" w:rsidP="00A560A5">
      <w:pPr>
        <w:pStyle w:val="Numberbullet0"/>
      </w:pPr>
      <w:r w:rsidRPr="00F017C2">
        <w:t xml:space="preserve">The </w:t>
      </w:r>
      <w:r w:rsidR="005D68B9">
        <w:t>s</w:t>
      </w:r>
      <w:r w:rsidRPr="00F017C2">
        <w:t>ponsor is requested to provide a breakdown of the numbers in each treatment arm in CRPC2 for the 41% who were enrolled on a ri</w:t>
      </w:r>
      <w:r w:rsidR="005D68B9">
        <w:t>sing PSA alone. Please can the s</w:t>
      </w:r>
      <w:r w:rsidRPr="00F017C2">
        <w:t>ponsor confirm among this group what percentage of subjects had never had metastatic disease diagnosed and the breakdown of these patients across each arm.</w:t>
      </w:r>
    </w:p>
    <w:p w:rsidR="00733A71" w:rsidRPr="00F017C2" w:rsidRDefault="00733A71" w:rsidP="00A560A5">
      <w:pPr>
        <w:pStyle w:val="Numberbullet0"/>
      </w:pPr>
      <w:r w:rsidRPr="00F017C2">
        <w:t xml:space="preserve">The </w:t>
      </w:r>
      <w:r w:rsidR="005D68B9">
        <w:t>s</w:t>
      </w:r>
      <w:r w:rsidRPr="00F017C2">
        <w:t xml:space="preserve">ponsor is requested to provide the actual median survival data in each arm </w:t>
      </w:r>
      <w:r w:rsidRPr="00A560A5">
        <w:t>and</w:t>
      </w:r>
      <w:r w:rsidRPr="00F017C2">
        <w:t xml:space="preserve"> a breakdown of the treatments as received by each arm following progression in Study CRPC2.</w:t>
      </w:r>
    </w:p>
    <w:p w:rsidR="00733A71" w:rsidRPr="00F017C2" w:rsidRDefault="00733A71" w:rsidP="00A560A5">
      <w:pPr>
        <w:pStyle w:val="Numberbullet0"/>
      </w:pPr>
      <w:r w:rsidRPr="00F017C2">
        <w:t xml:space="preserve">The </w:t>
      </w:r>
      <w:r w:rsidR="005D68B9">
        <w:t>s</w:t>
      </w:r>
      <w:r w:rsidRPr="00F017C2">
        <w:t xml:space="preserve">ponsor is requested to present the radiographic progression–free data for </w:t>
      </w:r>
      <w:r w:rsidRPr="00A560A5">
        <w:t>Study</w:t>
      </w:r>
      <w:r w:rsidRPr="00F017C2">
        <w:t xml:space="preserve"> CRPC2 without those who died without evidence of radiographic progression,</w:t>
      </w:r>
      <w:r w:rsidR="00376B37">
        <w:t xml:space="preserve"> that is, </w:t>
      </w:r>
      <w:r w:rsidRPr="00F017C2">
        <w:t>the known radiographic progression-free interval with 95% CI.</w:t>
      </w:r>
    </w:p>
    <w:p w:rsidR="00733A71" w:rsidRPr="00F017C2" w:rsidRDefault="00376B37" w:rsidP="00A560A5">
      <w:pPr>
        <w:pStyle w:val="Numberbullet0"/>
      </w:pPr>
      <w:r>
        <w:t>The s</w:t>
      </w:r>
      <w:r w:rsidR="00733A71" w:rsidRPr="00F017C2">
        <w:t xml:space="preserve">ponsor is requested to provide the upper limit of the 95% CI for the placebo </w:t>
      </w:r>
      <w:r w:rsidR="00733A71" w:rsidRPr="00A560A5">
        <w:t>arm</w:t>
      </w:r>
      <w:r w:rsidR="00252D23" w:rsidRPr="00F017C2">
        <w:t xml:space="preserve"> for the time to first skeletal-</w:t>
      </w:r>
      <w:r w:rsidR="00733A71" w:rsidRPr="00F017C2">
        <w:t>related event as this is currently missing.</w:t>
      </w:r>
    </w:p>
    <w:p w:rsidR="00733A71" w:rsidRPr="00F017C2" w:rsidRDefault="00733A71" w:rsidP="00A560A5">
      <w:pPr>
        <w:pStyle w:val="Numberbullet0"/>
      </w:pPr>
      <w:r w:rsidRPr="00F017C2">
        <w:lastRenderedPageBreak/>
        <w:t>The</w:t>
      </w:r>
      <w:r w:rsidR="00376B37">
        <w:t xml:space="preserve"> s</w:t>
      </w:r>
      <w:r w:rsidRPr="00F017C2">
        <w:t>ponsor is requested to present the neutrophil count for the 7 patients who died of infection in the treatment arm.</w:t>
      </w:r>
    </w:p>
    <w:p w:rsidR="00733A71" w:rsidRPr="00F017C2" w:rsidRDefault="00376B37" w:rsidP="00A560A5">
      <w:pPr>
        <w:pStyle w:val="Numberbullet0"/>
      </w:pPr>
      <w:r>
        <w:t>The s</w:t>
      </w:r>
      <w:r w:rsidR="00733A71" w:rsidRPr="00F017C2">
        <w:t xml:space="preserve">ponsor is requested to </w:t>
      </w:r>
      <w:r w:rsidR="00733A71" w:rsidRPr="00A560A5">
        <w:t>provide</w:t>
      </w:r>
      <w:r w:rsidR="00733A71" w:rsidRPr="00F017C2">
        <w:t xml:space="preserve"> updated safety reports for </w:t>
      </w:r>
      <w:r>
        <w:t>S</w:t>
      </w:r>
      <w:r w:rsidR="00763C63" w:rsidRPr="00F017C2">
        <w:t>AE</w:t>
      </w:r>
      <w:r w:rsidR="00733A71" w:rsidRPr="00F017C2">
        <w:t>s and in particular, seizures and anaphylaxis from the development program and post</w:t>
      </w:r>
      <w:r w:rsidR="00504E7F">
        <w:t xml:space="preserve"> </w:t>
      </w:r>
      <w:r w:rsidR="00733A71" w:rsidRPr="00F017C2">
        <w:t>marketing setting.</w:t>
      </w:r>
    </w:p>
    <w:p w:rsidR="00733A71" w:rsidRPr="00F017C2" w:rsidRDefault="00376B37" w:rsidP="00A560A5">
      <w:pPr>
        <w:pStyle w:val="Numberbullet0"/>
      </w:pPr>
      <w:r>
        <w:t>The s</w:t>
      </w:r>
      <w:r w:rsidR="00733A71" w:rsidRPr="00F017C2">
        <w:t xml:space="preserve">ponsor is requested to </w:t>
      </w:r>
      <w:r w:rsidR="00733A71" w:rsidRPr="00A560A5">
        <w:t>provide</w:t>
      </w:r>
      <w:r w:rsidR="00733A71" w:rsidRPr="00F017C2">
        <w:t xml:space="preserve"> details of the case of anaphylaxis including timing, for reported case in CRPC2.</w:t>
      </w:r>
    </w:p>
    <w:p w:rsidR="00D23139" w:rsidRPr="00A560A5" w:rsidRDefault="00D23139" w:rsidP="00A560A5">
      <w:pPr>
        <w:pStyle w:val="Heading4"/>
      </w:pPr>
      <w:r w:rsidRPr="00D23139">
        <w:t>Request for ACPM advice</w:t>
      </w:r>
    </w:p>
    <w:p w:rsidR="00733A71" w:rsidRPr="00376B37" w:rsidRDefault="00733A71" w:rsidP="00A560A5">
      <w:r w:rsidRPr="00376B37">
        <w:t xml:space="preserve">The </w:t>
      </w:r>
      <w:r w:rsidR="00376B37" w:rsidRPr="00376B37">
        <w:t xml:space="preserve">Delegate proposed to seek </w:t>
      </w:r>
      <w:r w:rsidR="00376B37">
        <w:t xml:space="preserve">advice on this application from the ACPM and to request the committee </w:t>
      </w:r>
      <w:r w:rsidRPr="00376B37">
        <w:t>provide advice on the following specific issues:</w:t>
      </w:r>
    </w:p>
    <w:p w:rsidR="00733A71" w:rsidRPr="00376B37" w:rsidRDefault="00733A71" w:rsidP="00A560A5">
      <w:pPr>
        <w:pStyle w:val="Numberbullet0"/>
        <w:numPr>
          <w:ilvl w:val="0"/>
          <w:numId w:val="20"/>
        </w:numPr>
      </w:pPr>
      <w:r w:rsidRPr="00376B37">
        <w:t xml:space="preserve">Should seizure risk be a </w:t>
      </w:r>
      <w:r w:rsidR="00376B37">
        <w:t xml:space="preserve">black </w:t>
      </w:r>
      <w:r w:rsidRPr="00376B37">
        <w:t>box warning given the risk is uncertain, and the target population (median age 71</w:t>
      </w:r>
      <w:r w:rsidR="00376B37">
        <w:t xml:space="preserve"> years</w:t>
      </w:r>
      <w:r w:rsidRPr="00376B37">
        <w:t>) are likely to have significant risk factors for the former including structural brain disease, potential medications and drug interactions that might increase this risk beyond that in a screened trial population? Should anaphylaxis be included?</w:t>
      </w:r>
    </w:p>
    <w:p w:rsidR="00733A71" w:rsidRPr="00376B37" w:rsidRDefault="00733A71" w:rsidP="00A560A5">
      <w:pPr>
        <w:pStyle w:val="Numberbullet0"/>
        <w:numPr>
          <w:ilvl w:val="0"/>
          <w:numId w:val="20"/>
        </w:numPr>
      </w:pPr>
      <w:r w:rsidRPr="00376B37">
        <w:t xml:space="preserve">To provide advice regarding the </w:t>
      </w:r>
      <w:r w:rsidRPr="00A560A5">
        <w:t>drug</w:t>
      </w:r>
      <w:r w:rsidRPr="00376B37">
        <w:t xml:space="preserve"> interactions and any corresponding PI and CMI recommendations.</w:t>
      </w:r>
    </w:p>
    <w:p w:rsidR="00733A71" w:rsidRPr="00376B37" w:rsidRDefault="00733A71" w:rsidP="00A560A5">
      <w:pPr>
        <w:pStyle w:val="Numberbullet0"/>
        <w:numPr>
          <w:ilvl w:val="0"/>
          <w:numId w:val="20"/>
        </w:numPr>
      </w:pPr>
      <w:r w:rsidRPr="00376B37">
        <w:t xml:space="preserve">Does the ACPM consider that </w:t>
      </w:r>
      <w:r w:rsidRPr="00A560A5">
        <w:t>time</w:t>
      </w:r>
      <w:r w:rsidRPr="00376B37">
        <w:t xml:space="preserve"> to first skeletal event has been statistically significantly improved?</w:t>
      </w:r>
    </w:p>
    <w:p w:rsidR="00D23139" w:rsidRDefault="00AA61AD" w:rsidP="00A560A5">
      <w:pPr>
        <w:pStyle w:val="Heading4"/>
      </w:pPr>
      <w:r>
        <w:t xml:space="preserve">Response from </w:t>
      </w:r>
      <w:r w:rsidR="00A560A5" w:rsidRPr="00A560A5">
        <w:t>sponsor</w:t>
      </w:r>
    </w:p>
    <w:p w:rsidR="00FA51A1" w:rsidRDefault="00EB25B6" w:rsidP="00A560A5">
      <w:pPr>
        <w:pStyle w:val="Heading5"/>
      </w:pPr>
      <w:r w:rsidRPr="00FA51A1">
        <w:t>Response</w:t>
      </w:r>
      <w:r w:rsidR="00FB7185" w:rsidRPr="00FA51A1">
        <w:t xml:space="preserve"> to </w:t>
      </w:r>
      <w:r w:rsidR="00A560A5">
        <w:t>d</w:t>
      </w:r>
      <w:r w:rsidR="00AA61AD" w:rsidRPr="00A560A5">
        <w:t>elegate’s</w:t>
      </w:r>
      <w:r w:rsidR="00AA61AD" w:rsidRPr="00FA51A1">
        <w:t xml:space="preserve"> </w:t>
      </w:r>
      <w:r w:rsidR="00FA51A1">
        <w:t>questions</w:t>
      </w:r>
    </w:p>
    <w:p w:rsidR="00EB25B6" w:rsidRPr="00FD3E55" w:rsidRDefault="005512AF" w:rsidP="00A560A5">
      <w:r>
        <w:t>The s</w:t>
      </w:r>
      <w:r w:rsidR="00EB25B6" w:rsidRPr="00FD3E55">
        <w:t>ponsor provide</w:t>
      </w:r>
      <w:r w:rsidR="00FB7185">
        <w:t>d</w:t>
      </w:r>
      <w:r w:rsidR="00EB25B6" w:rsidRPr="00FD3E55">
        <w:t xml:space="preserve"> the following answers to the Delegate’s questions:</w:t>
      </w:r>
    </w:p>
    <w:p w:rsidR="00EB25B6" w:rsidRPr="00FD3E55" w:rsidRDefault="00EB25B6" w:rsidP="00A560A5">
      <w:pPr>
        <w:pStyle w:val="Heading6"/>
      </w:pPr>
      <w:r w:rsidRPr="00FD3E55">
        <w:t>Response</w:t>
      </w:r>
      <w:r w:rsidR="00FB7185">
        <w:t xml:space="preserve"> to </w:t>
      </w:r>
      <w:r w:rsidR="00A560A5" w:rsidRPr="00A560A5">
        <w:t>d</w:t>
      </w:r>
      <w:r w:rsidR="00AA61AD" w:rsidRPr="00A560A5">
        <w:t>elegate’s</w:t>
      </w:r>
      <w:r w:rsidR="00AA61AD">
        <w:t xml:space="preserve"> </w:t>
      </w:r>
      <w:r w:rsidR="00FB7185">
        <w:t>question 1</w:t>
      </w:r>
      <w:r w:rsidRPr="00FD3E55">
        <w:t>:</w:t>
      </w:r>
    </w:p>
    <w:p w:rsidR="00EB25B6" w:rsidRPr="00FD3E55" w:rsidRDefault="00EB25B6" w:rsidP="00A560A5">
      <w:r w:rsidRPr="00FD3E55">
        <w:t xml:space="preserve">It is assumed the Delegate means CYP2C8. In the clinical </w:t>
      </w:r>
      <w:r w:rsidR="00AA61AD">
        <w:t>drug-drug interaction S</w:t>
      </w:r>
      <w:r w:rsidRPr="00FD3E55">
        <w:t>tudy 9785-CL-0006, the effect of multiple doses of the strong CYP2C8 inhibitor gemfibrozil on the PK of a single dose of enzalutamide was investigated. Co-administration of</w:t>
      </w:r>
      <w:r w:rsidR="00AA61AD">
        <w:t xml:space="preserve"> gemfibrozil resulted in a 2.17 </w:t>
      </w:r>
      <w:r w:rsidRPr="00FD3E55">
        <w:t xml:space="preserve">fold increase in the sum of the AUCs of enzalutamide and its active metabolite M2. Since this study clearly showed the relevance of CYP2C8 in the metabolism of enzalutamide, an effect of known CYP2C8 inducers (such as rifampicin) cannot be excluded. A clinical </w:t>
      </w:r>
      <w:r w:rsidR="00AA61AD">
        <w:t xml:space="preserve">drug-drug interaction </w:t>
      </w:r>
      <w:r w:rsidRPr="00FD3E55">
        <w:t>study in healthy subjects to evaluate the effect of multiple doses of rifampicin on the PK of a single dose of enzalutamide is underway (study 9785-CL-0405). Depending on the results of this study, dose recommendations would be included in the PI if appropriate.</w:t>
      </w:r>
    </w:p>
    <w:p w:rsidR="00EB25B6" w:rsidRPr="00AA61AD" w:rsidRDefault="00EB25B6" w:rsidP="00A560A5">
      <w:pPr>
        <w:pStyle w:val="Heading6"/>
      </w:pPr>
      <w:r w:rsidRPr="00AA61AD">
        <w:t>Response</w:t>
      </w:r>
      <w:r w:rsidR="00FB7185" w:rsidRPr="00AA61AD">
        <w:t xml:space="preserve"> to </w:t>
      </w:r>
      <w:r w:rsidR="00A560A5" w:rsidRPr="00A560A5">
        <w:t>d</w:t>
      </w:r>
      <w:r w:rsidR="00AA61AD" w:rsidRPr="00A560A5">
        <w:t>elegate’s</w:t>
      </w:r>
      <w:r w:rsidR="00AA61AD" w:rsidRPr="00AA61AD">
        <w:t xml:space="preserve"> </w:t>
      </w:r>
      <w:r w:rsidR="00AA61AD">
        <w:t>question 2</w:t>
      </w:r>
      <w:r w:rsidRPr="00AA61AD">
        <w:t>:</w:t>
      </w:r>
    </w:p>
    <w:p w:rsidR="00EB25B6" w:rsidRPr="00FD3E55" w:rsidRDefault="00AA61AD" w:rsidP="00A560A5">
      <w:r>
        <w:t xml:space="preserve">A total of 272 of </w:t>
      </w:r>
      <w:r w:rsidR="00EB25B6" w:rsidRPr="00FD3E55">
        <w:t xml:space="preserve">800 </w:t>
      </w:r>
      <w:r>
        <w:t>(60%)</w:t>
      </w:r>
      <w:r w:rsidR="00EB25B6" w:rsidRPr="00FD3E55">
        <w:t xml:space="preserve"> </w:t>
      </w:r>
      <w:r>
        <w:t xml:space="preserve">enzalutamide patients and 180 of </w:t>
      </w:r>
      <w:r w:rsidR="00EB25B6" w:rsidRPr="00FD3E55">
        <w:t xml:space="preserve">399 </w:t>
      </w:r>
      <w:r>
        <w:t>(</w:t>
      </w:r>
      <w:r w:rsidR="00EB25B6" w:rsidRPr="00FD3E55">
        <w:t>40%</w:t>
      </w:r>
      <w:r>
        <w:t>)</w:t>
      </w:r>
      <w:r w:rsidR="00EB25B6" w:rsidRPr="00FD3E55">
        <w:t xml:space="preserve"> placebo patients discontinued study drug due to clinical progression or skeletal-related. A review of the scan data in the window 7 days prior to date of last dose through end of study for each patient indicates that approximately 41% and 44% of the enzalutamide and placebo patients, respectively, had at least one scan. A further dissection of the data shows that most of these scans were conducted very near the time of drug discontinuation with approximately 19% of enzalutamide and approximately 11% of placebo patients in this subgroup having at least 1 scan after date of last dose. The primary pre-protocol reasons for lack of additional scans were radiographic </w:t>
      </w:r>
      <w:r w:rsidR="008C45CE">
        <w:t xml:space="preserve">PFS </w:t>
      </w:r>
      <w:r w:rsidR="00EB25B6" w:rsidRPr="00FD3E55">
        <w:t>events and initiation of a new antineoplastic therapy. Approximately 50% of enzalutamide patients and 52% of placebo patients in this subgroup started a new antineoplastic therapy within 75 days of stopping study drug.</w:t>
      </w:r>
    </w:p>
    <w:p w:rsidR="00EB25B6" w:rsidRPr="00FD3E55" w:rsidRDefault="00EB25B6" w:rsidP="00A560A5">
      <w:r w:rsidRPr="00FD3E55">
        <w:lastRenderedPageBreak/>
        <w:t xml:space="preserve">The majority (61.4%) of these patients received these anti-cancer therapies within 1 month of their last dose of study drug, 28.4% of patients received anti-cancer therapies within 2 months of their last dose of study drug and </w:t>
      </w:r>
      <w:r w:rsidR="00AA61AD">
        <w:t>10.2% of patients received anti</w:t>
      </w:r>
      <w:r w:rsidR="00AA61AD">
        <w:noBreakHyphen/>
      </w:r>
      <w:r w:rsidRPr="00FD3E55">
        <w:t>cancer therapies more than 2 months after their last dose of study drug. The median time from last dose of study drug until first anti-cancer treatment was 29.0 days in the enzalutamide arm and 14.5 days in the placebo arm.</w:t>
      </w:r>
    </w:p>
    <w:p w:rsidR="00EB25B6" w:rsidRPr="00FD3E55" w:rsidRDefault="00EB25B6" w:rsidP="00A560A5">
      <w:r w:rsidRPr="00FD3E55">
        <w:t xml:space="preserve">Approximately 30% and 23% of enzalutamide and placebo patients, respectively, died in the same time frame. Given that patients were being assessed </w:t>
      </w:r>
      <w:proofErr w:type="spellStart"/>
      <w:r w:rsidRPr="00FD3E55">
        <w:t>radiographically</w:t>
      </w:r>
      <w:proofErr w:type="spellEnd"/>
      <w:r w:rsidRPr="00FD3E55">
        <w:t xml:space="preserve"> approximately every 3 months, these clinical outcomes contributed significantly to the lack of further radiographic follow-up as outlined above. Ultimately, approximately 51% of the enzalutamide and approximately 54% of the placebo patients in this group of patients experienced a radiographic progression event.</w:t>
      </w:r>
    </w:p>
    <w:p w:rsidR="00EB25B6" w:rsidRPr="00FD3E55" w:rsidRDefault="00EB25B6" w:rsidP="00A560A5">
      <w:r w:rsidRPr="00FD3E55">
        <w:t xml:space="preserve">The basis of the </w:t>
      </w:r>
      <w:r w:rsidR="00763C63">
        <w:t>AE</w:t>
      </w:r>
      <w:r w:rsidR="00AA61AD">
        <w:t xml:space="preserve"> rates per 100 patient-year</w:t>
      </w:r>
      <w:r w:rsidRPr="00FD3E55">
        <w:t>s calculations was the treatment emergent period defined as the date of the first dose of study medication up to 30 days after the last dose of study medication or the start of subsequent initiation of another systemic antineoplastic the</w:t>
      </w:r>
      <w:r w:rsidR="00A560A5">
        <w:t>rapy, whichever occurred first.</w:t>
      </w:r>
    </w:p>
    <w:p w:rsidR="00EB25B6" w:rsidRPr="00A560A5" w:rsidRDefault="00EB25B6" w:rsidP="00A560A5">
      <w:pPr>
        <w:pStyle w:val="Heading6"/>
      </w:pPr>
      <w:r w:rsidRPr="00AA61AD">
        <w:t>Response</w:t>
      </w:r>
      <w:r w:rsidR="00FB7185" w:rsidRPr="00AA61AD">
        <w:t xml:space="preserve"> to </w:t>
      </w:r>
      <w:r w:rsidR="00A560A5" w:rsidRPr="00A560A5">
        <w:t>d</w:t>
      </w:r>
      <w:r w:rsidR="00AA61AD" w:rsidRPr="00A560A5">
        <w:t>elegate’s</w:t>
      </w:r>
      <w:r w:rsidR="00AA61AD" w:rsidRPr="00AA61AD">
        <w:t xml:space="preserve"> </w:t>
      </w:r>
      <w:r w:rsidR="00AA61AD">
        <w:t>question 3</w:t>
      </w:r>
      <w:r w:rsidRPr="00AA61AD">
        <w:t>:</w:t>
      </w:r>
    </w:p>
    <w:p w:rsidR="00EB25B6" w:rsidRPr="00FD3E55" w:rsidRDefault="00EB25B6" w:rsidP="00A560A5">
      <w:r w:rsidRPr="00FD3E55">
        <w:t xml:space="preserve">The split for rising PSA alone by treatment arms is </w:t>
      </w:r>
      <w:r w:rsidR="00AA61AD">
        <w:t xml:space="preserve">provided </w:t>
      </w:r>
      <w:r w:rsidRPr="00FD3E55">
        <w:t xml:space="preserve">in the CSR for </w:t>
      </w:r>
      <w:r w:rsidR="00AA61AD">
        <w:t>S</w:t>
      </w:r>
      <w:r w:rsidRPr="00FD3E55">
        <w:t>tudy CRPC2. The split is 326</w:t>
      </w:r>
      <w:r w:rsidR="00AA61AD">
        <w:t xml:space="preserve"> of </w:t>
      </w:r>
      <w:r w:rsidRPr="00FD3E55">
        <w:t>796 (</w:t>
      </w:r>
      <w:r w:rsidR="00AA61AD">
        <w:t xml:space="preserve">41.0%) for enzalutamide and 164 of </w:t>
      </w:r>
      <w:r w:rsidRPr="00FD3E55">
        <w:t>398 (41.2%) for placebo.</w:t>
      </w:r>
    </w:p>
    <w:p w:rsidR="00EB25B6" w:rsidRPr="00FD3E55" w:rsidRDefault="00EB25B6" w:rsidP="00A560A5">
      <w:r w:rsidRPr="00FD3E55">
        <w:t>Only 9 patients in total did not have metastatic disease at entry (8 on enzalutamide and 1 on placebo). The criterion “PSA progression only” means patients progressed on docetaxel based on PSA alone. Most patients had metastatic disease already.</w:t>
      </w:r>
    </w:p>
    <w:p w:rsidR="00EB25B6" w:rsidRPr="00AA61AD" w:rsidRDefault="00EB25B6" w:rsidP="00A560A5">
      <w:pPr>
        <w:pStyle w:val="Heading6"/>
      </w:pPr>
      <w:r w:rsidRPr="00AA61AD">
        <w:t>Response</w:t>
      </w:r>
      <w:r w:rsidR="00FB7185" w:rsidRPr="00AA61AD">
        <w:t xml:space="preserve"> to </w:t>
      </w:r>
      <w:r w:rsidR="00A560A5" w:rsidRPr="00A560A5">
        <w:t>d</w:t>
      </w:r>
      <w:r w:rsidR="00AA61AD" w:rsidRPr="00A560A5">
        <w:t>elegate’s</w:t>
      </w:r>
      <w:r w:rsidR="00AA61AD" w:rsidRPr="00AA61AD">
        <w:t xml:space="preserve"> </w:t>
      </w:r>
      <w:r w:rsidR="00FB7185" w:rsidRPr="00AA61AD">
        <w:t xml:space="preserve">question </w:t>
      </w:r>
      <w:r w:rsidR="00AA61AD">
        <w:t>4</w:t>
      </w:r>
      <w:r w:rsidRPr="00AA61AD">
        <w:t>:</w:t>
      </w:r>
    </w:p>
    <w:p w:rsidR="00EB25B6" w:rsidRPr="00FD3E55" w:rsidRDefault="00EB25B6" w:rsidP="00A560A5">
      <w:r w:rsidRPr="00FD3E55">
        <w:t xml:space="preserve">The median </w:t>
      </w:r>
      <w:r w:rsidR="004672F0">
        <w:t xml:space="preserve">OS </w:t>
      </w:r>
      <w:r w:rsidRPr="00FD3E55">
        <w:t>was 18.4 months (CI</w:t>
      </w:r>
      <w:r w:rsidR="00AA61AD">
        <w:t>:</w:t>
      </w:r>
      <w:r w:rsidRPr="00FD3E55">
        <w:t xml:space="preserve"> 17.3, </w:t>
      </w:r>
      <w:r w:rsidR="00AA61AD" w:rsidRPr="00AA61AD">
        <w:t>estimate not met</w:t>
      </w:r>
      <w:r w:rsidRPr="00FD3E55">
        <w:t>) and 13.6 months (CI 11.3, 15.8) for enzalut</w:t>
      </w:r>
      <w:r w:rsidR="00AA61AD">
        <w:t>amide and placebo, respectively</w:t>
      </w:r>
      <w:r w:rsidRPr="00FD3E55">
        <w:t xml:space="preserve"> (</w:t>
      </w:r>
      <w:r w:rsidR="00AA61AD">
        <w:t xml:space="preserve">data from </w:t>
      </w:r>
      <w:r w:rsidRPr="00FD3E55">
        <w:t xml:space="preserve">the CSR for </w:t>
      </w:r>
      <w:r w:rsidR="00AA61AD">
        <w:t>S</w:t>
      </w:r>
      <w:r w:rsidRPr="00FD3E55">
        <w:t xml:space="preserve">tudy CRPC2). </w:t>
      </w:r>
      <w:r w:rsidR="00AA61AD">
        <w:t>Details of t</w:t>
      </w:r>
      <w:r w:rsidRPr="00FD3E55">
        <w:t xml:space="preserve">he treatments received post-progression </w:t>
      </w:r>
      <w:r w:rsidR="00AA61AD">
        <w:t>we</w:t>
      </w:r>
      <w:r w:rsidRPr="00FD3E55">
        <w:t xml:space="preserve">re </w:t>
      </w:r>
      <w:r w:rsidR="00AA61AD">
        <w:t>provided</w:t>
      </w:r>
      <w:r w:rsidRPr="00FD3E55">
        <w:t>.</w:t>
      </w:r>
    </w:p>
    <w:p w:rsidR="00AA61AD" w:rsidRPr="00AA61AD" w:rsidRDefault="00AA61AD" w:rsidP="00A560A5">
      <w:pPr>
        <w:pStyle w:val="Heading6"/>
      </w:pPr>
      <w:r w:rsidRPr="00AA61AD">
        <w:t>R</w:t>
      </w:r>
      <w:r>
        <w:t xml:space="preserve">esponse to </w:t>
      </w:r>
      <w:r w:rsidR="00A560A5">
        <w:t>d</w:t>
      </w:r>
      <w:r>
        <w:t>elegate’s question 5</w:t>
      </w:r>
      <w:r w:rsidRPr="00AA61AD">
        <w:t>:</w:t>
      </w:r>
    </w:p>
    <w:p w:rsidR="00AA61AD" w:rsidRDefault="00AA61AD" w:rsidP="00A560A5">
      <w:r>
        <w:t>The s</w:t>
      </w:r>
      <w:r w:rsidR="00EB25B6" w:rsidRPr="00FD3E55">
        <w:t>ponsor has conducted an analysis on time to radiographic disease progression as requested. In this analysis, death from any cause in absence of radiographic disease progression would not be counted as a progression event. The results are presented below</w:t>
      </w:r>
      <w:r w:rsidR="00450649">
        <w:t xml:space="preserve"> in Table 1</w:t>
      </w:r>
      <w:r w:rsidR="00A91607">
        <w:t>2</w:t>
      </w:r>
      <w:r w:rsidR="00A560A5">
        <w:t>:</w:t>
      </w:r>
    </w:p>
    <w:p w:rsidR="00AA61AD" w:rsidRPr="00AA61AD" w:rsidRDefault="00A91607" w:rsidP="00A560A5">
      <w:pPr>
        <w:pStyle w:val="TableTitle"/>
      </w:pPr>
      <w:r>
        <w:t>Table 12</w:t>
      </w:r>
      <w:r w:rsidR="00AA61AD" w:rsidRPr="00AA61AD">
        <w:t xml:space="preserve">: Time to radiographic disease progression </w:t>
      </w:r>
      <w:r w:rsidR="00AA61AD">
        <w:t>(</w:t>
      </w:r>
      <w:r w:rsidR="00AA61AD" w:rsidRPr="00AA61AD">
        <w:t>Study CRPC2</w:t>
      </w:r>
      <w:r w:rsidR="00AA61AD">
        <w:t>;</w:t>
      </w:r>
      <w:r w:rsidR="00AA61AD" w:rsidRPr="00AA61AD">
        <w:t xml:space="preserve"> without those who died without evidence of radiographic progression</w:t>
      </w:r>
      <w:r w:rsidR="00AA61AD">
        <w:t>)</w:t>
      </w:r>
    </w:p>
    <w:p w:rsidR="00AA61AD" w:rsidRDefault="00AA61AD" w:rsidP="00A560A5">
      <w:r>
        <w:rPr>
          <w:noProof/>
          <w:lang w:eastAsia="en-AU"/>
        </w:rPr>
        <w:drawing>
          <wp:inline distT="0" distB="0" distL="0" distR="0" wp14:anchorId="550C1B2D" wp14:editId="4C7B6B3B">
            <wp:extent cx="5400040" cy="1821017"/>
            <wp:effectExtent l="0" t="0" r="0" b="8255"/>
            <wp:docPr id="8" name="Picture 8" descr="Table 12: Time to radiographic disease progression (Study CRPC2; without those who died without evidence of radiographic prog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1821017"/>
                    </a:xfrm>
                    <a:prstGeom prst="rect">
                      <a:avLst/>
                    </a:prstGeom>
                  </pic:spPr>
                </pic:pic>
              </a:graphicData>
            </a:graphic>
          </wp:inline>
        </w:drawing>
      </w:r>
    </w:p>
    <w:p w:rsidR="00EB25B6" w:rsidRPr="00450649" w:rsidRDefault="00EB25B6" w:rsidP="00A560A5">
      <w:r w:rsidRPr="00450649">
        <w:t xml:space="preserve">The results from the new analysis are consistent with the </w:t>
      </w:r>
      <w:proofErr w:type="spellStart"/>
      <w:r w:rsidRPr="00450649">
        <w:t>rPFS</w:t>
      </w:r>
      <w:proofErr w:type="spellEnd"/>
      <w:r w:rsidRPr="00450649">
        <w:t xml:space="preserve"> analysis results. The treatment effect, as represented by the hazard ratio, is stronger showing a 67% reduction of risk of having a progression event for patients in the enzalutamide group.</w:t>
      </w:r>
    </w:p>
    <w:p w:rsidR="00CF4143" w:rsidRPr="00CF4143" w:rsidRDefault="00CF4143" w:rsidP="00A560A5">
      <w:pPr>
        <w:pStyle w:val="Heading6"/>
      </w:pPr>
      <w:r w:rsidRPr="00CF4143">
        <w:lastRenderedPageBreak/>
        <w:t>R</w:t>
      </w:r>
      <w:r>
        <w:t xml:space="preserve">esponse to </w:t>
      </w:r>
      <w:r w:rsidR="00A560A5" w:rsidRPr="00A560A5">
        <w:t>d</w:t>
      </w:r>
      <w:r w:rsidRPr="00A560A5">
        <w:t>elegate’s</w:t>
      </w:r>
      <w:r>
        <w:t xml:space="preserve"> question 6</w:t>
      </w:r>
      <w:r w:rsidRPr="00CF4143">
        <w:t>:</w:t>
      </w:r>
    </w:p>
    <w:p w:rsidR="00EB25B6" w:rsidRPr="00450649" w:rsidRDefault="00CF4143" w:rsidP="00A560A5">
      <w:r w:rsidRPr="00450649">
        <w:t>This i</w:t>
      </w:r>
      <w:r w:rsidR="00EB25B6" w:rsidRPr="00450649">
        <w:t xml:space="preserve">nformation </w:t>
      </w:r>
      <w:r w:rsidRPr="00450649">
        <w:t xml:space="preserve">[the upper limit of the 95% CI for the placebo arm for the time to first skeletal related event] </w:t>
      </w:r>
      <w:r w:rsidR="00EB25B6" w:rsidRPr="00450649">
        <w:t>is not missing. The upper limit of the 95% CI was not included because it has not been reached.</w:t>
      </w:r>
    </w:p>
    <w:p w:rsidR="00CF4143" w:rsidRPr="00CF4143" w:rsidRDefault="00CF4143" w:rsidP="00A560A5">
      <w:pPr>
        <w:pStyle w:val="Heading6"/>
      </w:pPr>
      <w:r w:rsidRPr="00CF4143">
        <w:t>Res</w:t>
      </w:r>
      <w:r w:rsidR="00A560A5">
        <w:t xml:space="preserve">ponse to </w:t>
      </w:r>
      <w:r w:rsidR="00A560A5" w:rsidRPr="00A560A5">
        <w:t>d</w:t>
      </w:r>
      <w:r w:rsidRPr="00A560A5">
        <w:t>elegate’s</w:t>
      </w:r>
      <w:r>
        <w:t xml:space="preserve"> question 7</w:t>
      </w:r>
      <w:r w:rsidRPr="00CF4143">
        <w:t>:</w:t>
      </w:r>
    </w:p>
    <w:p w:rsidR="00EB25B6" w:rsidRPr="00450649" w:rsidRDefault="00EB25B6" w:rsidP="00A560A5">
      <w:r w:rsidRPr="00450649">
        <w:t xml:space="preserve">There were 7 patients who died of infection in the treatment arm, including 2 events of pneumonia, 2 events of sepsis, 1 event of </w:t>
      </w:r>
      <w:r w:rsidR="00CF4143" w:rsidRPr="00450649">
        <w:t>Escherichia</w:t>
      </w:r>
      <w:r w:rsidRPr="00450649">
        <w:t xml:space="preserve"> sepsis, 1 event of </w:t>
      </w:r>
      <w:proofErr w:type="spellStart"/>
      <w:r w:rsidRPr="00450649">
        <w:t>urosepsis</w:t>
      </w:r>
      <w:proofErr w:type="spellEnd"/>
      <w:r w:rsidRPr="00450649">
        <w:t>, and 1 event of infection. None of the cases reported neutrop</w:t>
      </w:r>
      <w:r w:rsidR="00CF4143" w:rsidRPr="00450649">
        <w:t>hil counts during the hospitalis</w:t>
      </w:r>
      <w:r w:rsidRPr="00450649">
        <w:t>ation for the fatal events of infections, although two cases reported elevated white blood cell count.</w:t>
      </w:r>
    </w:p>
    <w:p w:rsidR="00CF4143" w:rsidRPr="00CF4143" w:rsidRDefault="00CF4143" w:rsidP="00A560A5">
      <w:pPr>
        <w:pStyle w:val="Heading6"/>
      </w:pPr>
      <w:r w:rsidRPr="00CF4143">
        <w:t>R</w:t>
      </w:r>
      <w:r>
        <w:t xml:space="preserve">esponse to </w:t>
      </w:r>
      <w:r w:rsidR="00A560A5">
        <w:t>d</w:t>
      </w:r>
      <w:r>
        <w:t>elegate’s question 8</w:t>
      </w:r>
      <w:r w:rsidRPr="00CF4143">
        <w:t>:</w:t>
      </w:r>
    </w:p>
    <w:p w:rsidR="00EB25B6" w:rsidRPr="00FD3E55" w:rsidRDefault="00EB25B6" w:rsidP="006F49D7">
      <w:pPr>
        <w:pStyle w:val="Heading7"/>
      </w:pPr>
      <w:r w:rsidRPr="00FD3E55">
        <w:t>Seizures</w:t>
      </w:r>
    </w:p>
    <w:p w:rsidR="00EB25B6" w:rsidRPr="00FD3E55" w:rsidRDefault="00504E7F" w:rsidP="006F49D7">
      <w:pPr>
        <w:pStyle w:val="ListBullet"/>
      </w:pPr>
      <w:r>
        <w:t xml:space="preserve">Clinical </w:t>
      </w:r>
      <w:r w:rsidRPr="006F49D7">
        <w:t>d</w:t>
      </w:r>
      <w:r w:rsidR="00EB25B6" w:rsidRPr="006F49D7">
        <w:t>evelopment</w:t>
      </w:r>
      <w:r w:rsidR="00EB25B6" w:rsidRPr="00FD3E55">
        <w:t xml:space="preserve"> </w:t>
      </w:r>
      <w:r>
        <w:t>p</w:t>
      </w:r>
      <w:r w:rsidR="00EB25B6" w:rsidRPr="00FD3E55">
        <w:t>rogram</w:t>
      </w:r>
    </w:p>
    <w:p w:rsidR="00EB25B6" w:rsidRPr="00450649" w:rsidRDefault="00EB25B6" w:rsidP="006F49D7">
      <w:r w:rsidRPr="00450649">
        <w:t>S</w:t>
      </w:r>
      <w:r w:rsidR="00CF4143" w:rsidRPr="00450649">
        <w:t xml:space="preserve">eizure was identified as a dose </w:t>
      </w:r>
      <w:r w:rsidRPr="00450649">
        <w:t>limiti</w:t>
      </w:r>
      <w:r w:rsidR="00CF4143" w:rsidRPr="00450649">
        <w:t xml:space="preserve">ng toxicity in the initial dose </w:t>
      </w:r>
      <w:r w:rsidRPr="00450649">
        <w:t xml:space="preserve">escalation </w:t>
      </w:r>
      <w:r w:rsidR="00CF4143" w:rsidRPr="00450649">
        <w:t>S</w:t>
      </w:r>
      <w:r w:rsidRPr="00450649">
        <w:t>tudy S</w:t>
      </w:r>
      <w:r w:rsidR="00CF4143" w:rsidRPr="00450649">
        <w:noBreakHyphen/>
      </w:r>
      <w:r w:rsidRPr="00450649">
        <w:t>3100-1-01 at enzalutamide doses ≥ 360 mg daily. In C</w:t>
      </w:r>
      <w:r w:rsidR="00CF4143" w:rsidRPr="00450649">
        <w:t>RPC2, seizure was reported in &lt; </w:t>
      </w:r>
      <w:r w:rsidRPr="00450649">
        <w:t>1% of patients receiving enzalutamide at a dose of 160 mg daily compared with no patients in the placebo group. The overall incidence of seizure in patients with metastatic CRPC who previously received docetaxel within the larger integrated safety population was comparable with the incidence observed in CRPC2 (approximately 0.7%).</w:t>
      </w:r>
    </w:p>
    <w:p w:rsidR="00EB25B6" w:rsidRPr="00450649" w:rsidRDefault="00EB25B6" w:rsidP="006F49D7">
      <w:r w:rsidRPr="00450649">
        <w:t>An increased incidence of seizure was not observed in chemotherapy-naïve patients with metastatic CRPC treated with enzalutamide in MDV3100-03 despite the longer duration of exposure and less stringent entry criteria in this study (</w:t>
      </w:r>
      <w:r w:rsidR="00CF4143" w:rsidRPr="00450649">
        <w:t xml:space="preserve">for example, </w:t>
      </w:r>
      <w:r w:rsidRPr="00450649">
        <w:t>no exclusion for concomitant medications that lower the seizure threshold). In MDV3100-0</w:t>
      </w:r>
      <w:r w:rsidR="00CF4143" w:rsidRPr="00450649">
        <w:t xml:space="preserve">3, none of the 871 enzalutamide </w:t>
      </w:r>
      <w:r w:rsidRPr="00450649">
        <w:t>treated patients had a seizure before the data cut</w:t>
      </w:r>
      <w:r w:rsidR="003322EA" w:rsidRPr="00450649">
        <w:t>-</w:t>
      </w:r>
      <w:r w:rsidRPr="00450649">
        <w:t>off date of 16 Sep</w:t>
      </w:r>
      <w:r w:rsidR="00CF4143" w:rsidRPr="00450649">
        <w:t>tember</w:t>
      </w:r>
      <w:r w:rsidRPr="00450649">
        <w:t xml:space="preserve"> 2013. By comparison, 1 of the 844 placebo</w:t>
      </w:r>
      <w:r w:rsidR="00A76A72" w:rsidRPr="00450649">
        <w:t xml:space="preserve"> </w:t>
      </w:r>
      <w:r w:rsidRPr="00450649">
        <w:t>treated patients (0.1%) had a seizure before the data cut</w:t>
      </w:r>
      <w:r w:rsidR="003322EA" w:rsidRPr="00450649">
        <w:t>-</w:t>
      </w:r>
      <w:r w:rsidRPr="00450649">
        <w:t>off date. After the d</w:t>
      </w:r>
      <w:r w:rsidR="00CF4143" w:rsidRPr="00450649">
        <w:t>ata cut</w:t>
      </w:r>
      <w:r w:rsidR="003322EA" w:rsidRPr="00450649">
        <w:t>-</w:t>
      </w:r>
      <w:r w:rsidR="00CF4143" w:rsidRPr="00450649">
        <w:t xml:space="preserve">off date, 1 enzalutamide </w:t>
      </w:r>
      <w:r w:rsidRPr="00450649">
        <w:t>treated patient (0.1%) had a seizure.</w:t>
      </w:r>
    </w:p>
    <w:p w:rsidR="00CF4143" w:rsidRPr="00450649" w:rsidRDefault="00EB25B6" w:rsidP="006F49D7">
      <w:r w:rsidRPr="00450649">
        <w:t>One additional seizure was previously reported in a chemotherapy-naïve patient p</w:t>
      </w:r>
      <w:r w:rsidR="00CF4143" w:rsidRPr="00450649">
        <w:t>articipating in the open-label S</w:t>
      </w:r>
      <w:r w:rsidRPr="00450649">
        <w:t>tudy 9785-CL-0007, leading to an estimated seizure incidence of 0.1% (1 of 967 chemotherapy-naïve patients) through the data cut</w:t>
      </w:r>
      <w:r w:rsidR="003322EA" w:rsidRPr="00450649">
        <w:t>-</w:t>
      </w:r>
      <w:r w:rsidRPr="00450649">
        <w:t>off date of MDV3100-03 or 0.2% (2 of 967 chemotherapy-naïve patients) including the patient in MDV3100-03 with an event of seizure after the data cut</w:t>
      </w:r>
      <w:r w:rsidR="003322EA" w:rsidRPr="00450649">
        <w:t>-</w:t>
      </w:r>
      <w:r w:rsidRPr="00450649">
        <w:t>off date. In many cases, confounding factors were present that could have independently increased the risk of seizure such as the presence of brain meta</w:t>
      </w:r>
      <w:r w:rsidR="006F49D7">
        <w:t>stases or a history of seizure.</w:t>
      </w:r>
    </w:p>
    <w:p w:rsidR="00EB25B6" w:rsidRPr="00FD3E55" w:rsidRDefault="00CF4143" w:rsidP="006F49D7">
      <w:pPr>
        <w:pStyle w:val="ListBullet"/>
      </w:pPr>
      <w:r>
        <w:t>Post</w:t>
      </w:r>
      <w:r w:rsidR="00504E7F">
        <w:t xml:space="preserve"> </w:t>
      </w:r>
      <w:r>
        <w:t>marketing c</w:t>
      </w:r>
      <w:r w:rsidR="00EB25B6" w:rsidRPr="00FD3E55">
        <w:t>ases</w:t>
      </w:r>
    </w:p>
    <w:p w:rsidR="00EB25B6" w:rsidRPr="00450649" w:rsidRDefault="00EB25B6" w:rsidP="006F49D7">
      <w:r w:rsidRPr="00450649">
        <w:t>A cumulative review and evaluation of post marketing seizure events for X</w:t>
      </w:r>
      <w:r w:rsidR="00CF4143" w:rsidRPr="00450649">
        <w:t xml:space="preserve">tandi </w:t>
      </w:r>
      <w:r w:rsidRPr="00450649">
        <w:t>(enzalutamide) was performed for all cases reported through 31 Oct</w:t>
      </w:r>
      <w:r w:rsidR="00450649" w:rsidRPr="00450649">
        <w:t>ober</w:t>
      </w:r>
      <w:r w:rsidRPr="00450649">
        <w:t xml:space="preserve"> 2013. Twenty</w:t>
      </w:r>
      <w:r w:rsidR="00244B05" w:rsidRPr="00450649">
        <w:t xml:space="preserve"> </w:t>
      </w:r>
      <w:r w:rsidRPr="00450649">
        <w:t xml:space="preserve">nine cases were retrieved using the Convulsion Narrow </w:t>
      </w:r>
      <w:r w:rsidR="0082550A" w:rsidRPr="00450649">
        <w:t>Standardized MedDRA Query</w:t>
      </w:r>
      <w:r w:rsidRPr="00450649">
        <w:t>, including 23 spontaneous cases</w:t>
      </w:r>
      <w:r w:rsidR="006F49D7">
        <w:t xml:space="preserve"> and 6 compassionate use cases.</w:t>
      </w:r>
    </w:p>
    <w:p w:rsidR="00EB25B6" w:rsidRPr="00450649" w:rsidRDefault="00EB25B6" w:rsidP="006F49D7">
      <w:r w:rsidRPr="00450649">
        <w:t>Of the 29 cases, 10 reported onset latency, ranging from 1 day to 178 days after the initiation of enzalutamide treatment. Four cases reported at least 1 risk factor for seizure, including brain metastases (</w:t>
      </w:r>
      <w:r w:rsidR="0084627D" w:rsidRPr="00450649">
        <w:t>3 c</w:t>
      </w:r>
      <w:r w:rsidRPr="00450649">
        <w:t>ase</w:t>
      </w:r>
      <w:r w:rsidR="0084627D" w:rsidRPr="00450649">
        <w:t>s</w:t>
      </w:r>
      <w:r w:rsidRPr="00450649">
        <w:t>), alcohol abuse (</w:t>
      </w:r>
      <w:r w:rsidR="0084627D" w:rsidRPr="00450649">
        <w:t>1 c</w:t>
      </w:r>
      <w:r w:rsidRPr="00450649">
        <w:t>ase), and bilateral subdural hematomas/</w:t>
      </w:r>
      <w:r w:rsidR="00242E11" w:rsidRPr="00450649">
        <w:t>haemorrhage</w:t>
      </w:r>
      <w:r w:rsidRPr="00450649">
        <w:t xml:space="preserve"> (</w:t>
      </w:r>
      <w:r w:rsidR="0084627D" w:rsidRPr="00450649">
        <w:t>1 case</w:t>
      </w:r>
      <w:r w:rsidRPr="00450649">
        <w:t xml:space="preserve">). One patient’s concomitant medications included </w:t>
      </w:r>
      <w:proofErr w:type="spellStart"/>
      <w:r w:rsidRPr="00450649">
        <w:t>levetiracetam</w:t>
      </w:r>
      <w:proofErr w:type="spellEnd"/>
      <w:r w:rsidRPr="00450649">
        <w:t xml:space="preserve"> and the reporting physician was not sure whether seizure occurred before or after enzalutamide treatment. For </w:t>
      </w:r>
      <w:r w:rsidR="0084627D" w:rsidRPr="00450649">
        <w:t>another c</w:t>
      </w:r>
      <w:r w:rsidRPr="00450649">
        <w:t xml:space="preserve">ase, the reported verbatim term was “possible seizures or </w:t>
      </w:r>
      <w:r w:rsidRPr="00FD3E55">
        <w:t>TIA</w:t>
      </w:r>
      <w:r w:rsidR="00C72F07">
        <w:rPr>
          <w:rStyle w:val="FootnoteReference"/>
        </w:rPr>
        <w:footnoteReference w:id="30"/>
      </w:r>
      <w:r w:rsidRPr="00FD3E55">
        <w:t xml:space="preserve">” and no clinical information was provided for the event(s). </w:t>
      </w:r>
      <w:r w:rsidRPr="00450649">
        <w:lastRenderedPageBreak/>
        <w:t>Myoclonic movements were reported for</w:t>
      </w:r>
      <w:r w:rsidR="00C72F07" w:rsidRPr="00450649">
        <w:t xml:space="preserve"> 1</w:t>
      </w:r>
      <w:r w:rsidRPr="00450649">
        <w:t xml:space="preserve"> </w:t>
      </w:r>
      <w:r w:rsidR="00C72F07" w:rsidRPr="00450649">
        <w:t>c</w:t>
      </w:r>
      <w:r w:rsidRPr="00450649">
        <w:t xml:space="preserve">ase. The remaining cases lacked information on the clinical presentation, duration of episodes, risk factors, or triggers for the reported seizure events. The majority of the patients, for whom event outcome is known, recovered from the events, of which 3 cases reported receiving the corrective treatment of </w:t>
      </w:r>
      <w:proofErr w:type="spellStart"/>
      <w:r w:rsidRPr="00450649">
        <w:t>levetiracetam</w:t>
      </w:r>
      <w:proofErr w:type="spellEnd"/>
      <w:r w:rsidRPr="00450649">
        <w:t>.</w:t>
      </w:r>
    </w:p>
    <w:p w:rsidR="00EB25B6" w:rsidRPr="006F49D7" w:rsidRDefault="00EB25B6" w:rsidP="006F49D7">
      <w:pPr>
        <w:pStyle w:val="Heading7"/>
      </w:pPr>
      <w:r w:rsidRPr="00FD3E55">
        <w:t>Anaphylaxis</w:t>
      </w:r>
    </w:p>
    <w:p w:rsidR="00EB25B6" w:rsidRPr="00FD3E55" w:rsidRDefault="00EB25B6" w:rsidP="006F49D7">
      <w:pPr>
        <w:pStyle w:val="ListBullet"/>
      </w:pPr>
      <w:r w:rsidRPr="00FD3E55">
        <w:t xml:space="preserve">Clinical </w:t>
      </w:r>
      <w:r w:rsidR="00504E7F" w:rsidRPr="006F49D7">
        <w:t>d</w:t>
      </w:r>
      <w:r w:rsidRPr="006F49D7">
        <w:t>evelopment</w:t>
      </w:r>
      <w:r w:rsidRPr="00FD3E55">
        <w:t xml:space="preserve"> </w:t>
      </w:r>
      <w:r w:rsidR="00504E7F">
        <w:t>p</w:t>
      </w:r>
      <w:r w:rsidRPr="00FD3E55">
        <w:t>rogram</w:t>
      </w:r>
    </w:p>
    <w:p w:rsidR="00EB25B6" w:rsidRPr="00FD3E55" w:rsidRDefault="00EB25B6" w:rsidP="006F49D7">
      <w:r w:rsidRPr="00FD3E55">
        <w:t xml:space="preserve">There were three reports of anaphylaxis in the development program: one patient in the CRPC2 </w:t>
      </w:r>
      <w:r w:rsidR="00504E7F">
        <w:t>S</w:t>
      </w:r>
      <w:r w:rsidRPr="00FD3E55">
        <w:t xml:space="preserve">tudy developed an anaphylactic reaction to bee/wasp sting. The second case, in </w:t>
      </w:r>
      <w:r w:rsidR="00504E7F">
        <w:t xml:space="preserve">a </w:t>
      </w:r>
      <w:r w:rsidRPr="00FD3E55">
        <w:t xml:space="preserve">patient on placebo in </w:t>
      </w:r>
      <w:r w:rsidR="00504E7F">
        <w:t>S</w:t>
      </w:r>
      <w:r w:rsidRPr="00FD3E55">
        <w:t>tudy MDV3100-03, had anaphylactic shock to a CT scan contrast agent. Th</w:t>
      </w:r>
      <w:r w:rsidR="00504E7F">
        <w:t>e third case was reported as a G</w:t>
      </w:r>
      <w:r w:rsidRPr="00FD3E55">
        <w:t xml:space="preserve">rade 1 anaphylactic reaction in a patient on enzalutamide in the MDV3100-03 </w:t>
      </w:r>
      <w:r w:rsidR="00504E7F">
        <w:t>S</w:t>
      </w:r>
      <w:r w:rsidRPr="00FD3E55">
        <w:t>tudy. None of these cases were considered to be re</w:t>
      </w:r>
      <w:r w:rsidR="006F49D7">
        <w:t>lated to study drug or placebo.</w:t>
      </w:r>
    </w:p>
    <w:p w:rsidR="00EB25B6" w:rsidRPr="00FD3E55" w:rsidRDefault="00504E7F" w:rsidP="006F49D7">
      <w:pPr>
        <w:pStyle w:val="ListBullet"/>
      </w:pPr>
      <w:r>
        <w:t>Post marketing c</w:t>
      </w:r>
      <w:r w:rsidR="00EB25B6" w:rsidRPr="00FD3E55">
        <w:t>ases</w:t>
      </w:r>
    </w:p>
    <w:p w:rsidR="00B8655D" w:rsidRDefault="00EB25B6" w:rsidP="006F49D7">
      <w:r w:rsidRPr="00FD3E55">
        <w:t xml:space="preserve">One post marketing case had severe allergic reactions and associated anaphylactic shock due to glacial sunburn. This case was not related to </w:t>
      </w:r>
      <w:proofErr w:type="spellStart"/>
      <w:r w:rsidRPr="00FD3E55">
        <w:t>enzalut</w:t>
      </w:r>
      <w:r w:rsidR="006F49D7">
        <w:t>amide</w:t>
      </w:r>
      <w:proofErr w:type="spellEnd"/>
      <w:r w:rsidR="006F49D7">
        <w:t>.</w:t>
      </w:r>
    </w:p>
    <w:p w:rsidR="00B8655D" w:rsidRPr="006F49D7" w:rsidRDefault="00B8655D" w:rsidP="006F49D7">
      <w:pPr>
        <w:pStyle w:val="Heading6"/>
      </w:pPr>
      <w:r w:rsidRPr="00B8655D">
        <w:t xml:space="preserve">Response to </w:t>
      </w:r>
      <w:r w:rsidR="006F49D7">
        <w:t>d</w:t>
      </w:r>
      <w:r w:rsidRPr="00B8655D">
        <w:t>eleg</w:t>
      </w:r>
      <w:r>
        <w:t>ate’s question 9</w:t>
      </w:r>
      <w:r w:rsidRPr="00B8655D">
        <w:t>:</w:t>
      </w:r>
    </w:p>
    <w:p w:rsidR="00EB25B6" w:rsidRPr="00FD3E55" w:rsidRDefault="00EB25B6" w:rsidP="006F49D7">
      <w:r w:rsidRPr="00FD3E55">
        <w:t xml:space="preserve">The sponsor </w:t>
      </w:r>
      <w:r w:rsidR="00B8655D">
        <w:t>provided</w:t>
      </w:r>
      <w:r w:rsidRPr="00FD3E55">
        <w:t xml:space="preserve"> the full narrative for the single reported case of anaphylaxis in CRPC2 </w:t>
      </w:r>
      <w:r w:rsidR="00B8655D">
        <w:t>as requested</w:t>
      </w:r>
      <w:r w:rsidRPr="00FD3E55">
        <w:t>.</w:t>
      </w:r>
    </w:p>
    <w:p w:rsidR="00EB25B6" w:rsidRPr="00FD3E55" w:rsidRDefault="00EB25B6" w:rsidP="006F49D7">
      <w:pPr>
        <w:pStyle w:val="Heading5"/>
      </w:pPr>
      <w:r w:rsidRPr="00FD3E55">
        <w:t xml:space="preserve">Comments </w:t>
      </w:r>
      <w:r w:rsidRPr="006F49D7">
        <w:t>on</w:t>
      </w:r>
      <w:r w:rsidRPr="00FD3E55">
        <w:t xml:space="preserve"> efficacy and safety</w:t>
      </w:r>
    </w:p>
    <w:p w:rsidR="00EB25B6" w:rsidRPr="00FD3E55" w:rsidRDefault="00FA51A1" w:rsidP="006F49D7">
      <w:r>
        <w:t>The s</w:t>
      </w:r>
      <w:r w:rsidR="00EB25B6" w:rsidRPr="00FD3E55">
        <w:t>ponsor also provide</w:t>
      </w:r>
      <w:r>
        <w:t>d</w:t>
      </w:r>
      <w:r w:rsidR="00EB25B6" w:rsidRPr="00FD3E55">
        <w:t xml:space="preserve"> the following responses to the Delegate’s request for ACPM’s advice on several issues:</w:t>
      </w:r>
    </w:p>
    <w:p w:rsidR="00EB25B6" w:rsidRPr="00FD3E55" w:rsidRDefault="00FA51A1" w:rsidP="006F49D7">
      <w:pPr>
        <w:pStyle w:val="Heading6"/>
      </w:pPr>
      <w:r>
        <w:t xml:space="preserve">Delegate’s </w:t>
      </w:r>
      <w:r w:rsidRPr="006F49D7">
        <w:t>question</w:t>
      </w:r>
      <w:r>
        <w:t xml:space="preserve"> </w:t>
      </w:r>
      <w:r w:rsidR="00F51747">
        <w:t xml:space="preserve">1 </w:t>
      </w:r>
      <w:r>
        <w:t xml:space="preserve">to ACPM: </w:t>
      </w:r>
      <w:r w:rsidR="00EB25B6" w:rsidRPr="00FD3E55">
        <w:t>Should seizure risk be a black box warning? Should anaphylaxis or spinal cord compression be included?</w:t>
      </w:r>
    </w:p>
    <w:p w:rsidR="00EB25B6" w:rsidRPr="00FD3E55" w:rsidRDefault="00EB25B6" w:rsidP="00F61D74">
      <w:pPr>
        <w:pStyle w:val="ListBullet"/>
      </w:pPr>
      <w:r w:rsidRPr="00FD3E55">
        <w:t>Seizures</w:t>
      </w:r>
    </w:p>
    <w:p w:rsidR="00EB25B6" w:rsidRPr="00450649" w:rsidRDefault="00FA51A1" w:rsidP="00F61D74">
      <w:r w:rsidRPr="00450649">
        <w:t>The s</w:t>
      </w:r>
      <w:r w:rsidR="00EB25B6" w:rsidRPr="00450649">
        <w:t xml:space="preserve">ponsor considers inclusion of a black box warning for seizures is unwarranted. The incidence of </w:t>
      </w:r>
      <w:r w:rsidR="0092299D" w:rsidRPr="00450649">
        <w:t>seizures observed in the CRPC2 S</w:t>
      </w:r>
      <w:r w:rsidR="00EB25B6" w:rsidRPr="00450649">
        <w:t xml:space="preserve">tudy and in the clinical development program has been low to date (uncommon &lt; 1.0%). The evaluations by both the FDA and EMA have not required boxed warnings or contraindications. In addition, </w:t>
      </w:r>
      <w:r w:rsidR="0092299D" w:rsidRPr="00450649">
        <w:t xml:space="preserve">PIs </w:t>
      </w:r>
      <w:r w:rsidR="00EB25B6" w:rsidRPr="00450649">
        <w:t>for other products which may lower the seizure threshold has not included boxed warnings.</w:t>
      </w:r>
    </w:p>
    <w:p w:rsidR="00EB25B6" w:rsidRPr="00450649" w:rsidRDefault="00EB25B6" w:rsidP="00F61D74">
      <w:r w:rsidRPr="00450649">
        <w:t>An assessment of the incidence of seizure observed in the clinical development progra</w:t>
      </w:r>
      <w:r w:rsidR="0092299D" w:rsidRPr="00450649">
        <w:t>m was conducted and was summaris</w:t>
      </w:r>
      <w:r w:rsidRPr="00450649">
        <w:t xml:space="preserve">ed in </w:t>
      </w:r>
      <w:r w:rsidR="0092299D" w:rsidRPr="00450649">
        <w:t>the dossier</w:t>
      </w:r>
      <w:r w:rsidRPr="00450649">
        <w:t xml:space="preserve">. In Study CRPC2, seizure was reported as an </w:t>
      </w:r>
      <w:r w:rsidR="00763C63" w:rsidRPr="00450649">
        <w:t>AE</w:t>
      </w:r>
      <w:r w:rsidRPr="00450649">
        <w:t xml:space="preserve"> in 5 patients; no patients in the placebo group experienced seizure. Review of potential cases of seizure identified 1 additional patient in </w:t>
      </w:r>
      <w:r w:rsidR="00A76A72" w:rsidRPr="00450649">
        <w:t>CRPC2 and 1 patient in the open-</w:t>
      </w:r>
      <w:r w:rsidRPr="00450649">
        <w:t xml:space="preserve">label study, CRPC-MDA-1, </w:t>
      </w:r>
      <w:r w:rsidR="0092299D" w:rsidRPr="00450649">
        <w:t>who had events assessed by the s</w:t>
      </w:r>
      <w:r w:rsidRPr="00450649">
        <w:t xml:space="preserve">ponsor as consistent with seizure, although they were not reported as such by the investigators. In the integrated safety population of patients treated with the proposed dose of 160 mg (including those treated with 150 mg), the incidence of seizure is 0.8% (7/909). One additional patient in the PK study in CRPC (Study 9785-CL-0007) experienced seizure while being treated with enzalutamide. Including the patient in this study, the incidence of seizure is 0.9% (8/923) in all patients with CRPC treated with doses of 150/160 mg. There were a number of factors in several of the cases that could be considered to contribute to </w:t>
      </w:r>
      <w:proofErr w:type="gramStart"/>
      <w:r w:rsidRPr="00450649">
        <w:t>the</w:t>
      </w:r>
      <w:proofErr w:type="gramEnd"/>
      <w:r w:rsidRPr="00450649">
        <w:t xml:space="preserve"> risk of seizure; however, the potential for enzalutamide to lower the seizure threshold cannot be excluded.</w:t>
      </w:r>
    </w:p>
    <w:p w:rsidR="00EB25B6" w:rsidRPr="00FD3E55" w:rsidRDefault="00EB25B6" w:rsidP="00F61D74">
      <w:r w:rsidRPr="00450649">
        <w:t>During the review of</w:t>
      </w:r>
      <w:r w:rsidRPr="00FD3E55">
        <w:t xml:space="preserve"> the </w:t>
      </w:r>
      <w:r w:rsidR="0092299D">
        <w:t xml:space="preserve">application </w:t>
      </w:r>
      <w:r w:rsidRPr="00FD3E55">
        <w:t xml:space="preserve">by the US FDA </w:t>
      </w:r>
      <w:r w:rsidR="0092299D">
        <w:t>the proposed language from the s</w:t>
      </w:r>
      <w:r w:rsidRPr="00FD3E55">
        <w:t xml:space="preserve">ponsor included in the </w:t>
      </w:r>
      <w:r w:rsidRPr="0092299D">
        <w:rPr>
          <w:i/>
        </w:rPr>
        <w:t>Warnings and Precautions</w:t>
      </w:r>
      <w:r w:rsidRPr="00FD3E55">
        <w:t xml:space="preserve"> section of the US Package Insert was considered adequate, and at no stage did the </w:t>
      </w:r>
      <w:r w:rsidR="0092299D">
        <w:t xml:space="preserve">FDA </w:t>
      </w:r>
      <w:r w:rsidRPr="00FD3E55">
        <w:t xml:space="preserve">communicate that a boxed warning should be considered to inform the patients or prescribing physician of the risk of seizure </w:t>
      </w:r>
      <w:r w:rsidRPr="00FD3E55">
        <w:lastRenderedPageBreak/>
        <w:t>with enzalutamide. Similarly, the EMA has no requirement for a boxed warning in the S</w:t>
      </w:r>
      <w:r w:rsidR="0092299D">
        <w:t>ummary of Product Characteristics (</w:t>
      </w:r>
      <w:proofErr w:type="spellStart"/>
      <w:r w:rsidR="0092299D">
        <w:t>Sm</w:t>
      </w:r>
      <w:r w:rsidRPr="00FD3E55">
        <w:t>PC</w:t>
      </w:r>
      <w:proofErr w:type="spellEnd"/>
      <w:r w:rsidR="0092299D">
        <w:t>)</w:t>
      </w:r>
      <w:r w:rsidRPr="00FD3E55">
        <w:t>, and the CHMP has not requested that a contraindication be considered for patients at an increased risk of seizure taking X</w:t>
      </w:r>
      <w:r w:rsidR="0092299D">
        <w:t>tandi</w:t>
      </w:r>
      <w:r w:rsidRPr="00FD3E55">
        <w:t>. The language agreed with the CHMP, prior to the positive opinion announced on 26 April 2013, and presented in Section 4.4 (</w:t>
      </w:r>
      <w:r w:rsidRPr="00915447">
        <w:rPr>
          <w:i/>
        </w:rPr>
        <w:t>Special warnings and precautions for use</w:t>
      </w:r>
      <w:r w:rsidRPr="00FD3E55">
        <w:t xml:space="preserve">) of the </w:t>
      </w:r>
      <w:proofErr w:type="spellStart"/>
      <w:r w:rsidRPr="00FD3E55">
        <w:t>SmPC</w:t>
      </w:r>
      <w:proofErr w:type="spellEnd"/>
      <w:r w:rsidRPr="00FD3E55">
        <w:t xml:space="preserve"> is: </w:t>
      </w:r>
      <w:r w:rsidRPr="00915447">
        <w:rPr>
          <w:i/>
        </w:rPr>
        <w:t>“Caution should be used in administering Xtandi to patients with a history of seizures or other predisposing factors including, but not limited to, underlying brain injury, stroke, primary brain tumours or brain metastases, or alcoholism. In addition, the risk of seizure may be increased in patients receiving concomitant medicines that lower the seizure threshold.”</w:t>
      </w:r>
    </w:p>
    <w:p w:rsidR="00EB25B6" w:rsidRPr="00FD3E55" w:rsidRDefault="00EB25B6" w:rsidP="00F61D74">
      <w:r w:rsidRPr="00FD3E55">
        <w:t>To further determine whether a boxed warning on the risk of seizures in the Package Insert would be appropriate and helpful for the prescribing physician when evaluating treatment options for the patient and consistent with other approved products, the Sponsor has reviewed P</w:t>
      </w:r>
      <w:r w:rsidR="00915447">
        <w:t xml:space="preserve">I </w:t>
      </w:r>
      <w:r w:rsidRPr="00FD3E55">
        <w:t>for other products associated with seizure (</w:t>
      </w:r>
      <w:r w:rsidR="00915447">
        <w:t>for example, S</w:t>
      </w:r>
      <w:r w:rsidR="00915447" w:rsidRPr="00FD3E55">
        <w:t xml:space="preserve">eroquel, </w:t>
      </w:r>
      <w:r w:rsidR="00915447">
        <w:t>P</w:t>
      </w:r>
      <w:r w:rsidR="00915447" w:rsidRPr="00FD3E55">
        <w:t xml:space="preserve">rozac, </w:t>
      </w:r>
      <w:proofErr w:type="spellStart"/>
      <w:r w:rsidR="00915447">
        <w:t>C</w:t>
      </w:r>
      <w:r w:rsidR="00915447" w:rsidRPr="00FD3E55">
        <w:t>lorprax</w:t>
      </w:r>
      <w:proofErr w:type="spellEnd"/>
      <w:r w:rsidR="00915447" w:rsidRPr="00FD3E55">
        <w:t>/</w:t>
      </w:r>
      <w:proofErr w:type="spellStart"/>
      <w:r w:rsidR="00915447">
        <w:t>P</w:t>
      </w:r>
      <w:r w:rsidR="00915447" w:rsidRPr="00FD3E55">
        <w:t>rexaton</w:t>
      </w:r>
      <w:proofErr w:type="spellEnd"/>
      <w:r w:rsidR="00915447" w:rsidRPr="00FD3E55">
        <w:t>/</w:t>
      </w:r>
      <w:proofErr w:type="spellStart"/>
      <w:r w:rsidR="00915447">
        <w:t>Z</w:t>
      </w:r>
      <w:r w:rsidR="00915447" w:rsidRPr="00FD3E55">
        <w:t>yban</w:t>
      </w:r>
      <w:proofErr w:type="spellEnd"/>
      <w:r w:rsidR="00915447" w:rsidRPr="00FD3E55">
        <w:t xml:space="preserve">, </w:t>
      </w:r>
      <w:proofErr w:type="spellStart"/>
      <w:r w:rsidR="00915447">
        <w:t>A</w:t>
      </w:r>
      <w:r w:rsidR="00915447" w:rsidRPr="00FD3E55">
        <w:t>nafranil</w:t>
      </w:r>
      <w:proofErr w:type="spellEnd"/>
      <w:r w:rsidR="00915447" w:rsidRPr="00FD3E55">
        <w:t xml:space="preserve">, </w:t>
      </w:r>
      <w:r w:rsidR="00915447">
        <w:t>D</w:t>
      </w:r>
      <w:r w:rsidR="00915447" w:rsidRPr="00FD3E55">
        <w:t>examphetamine</w:t>
      </w:r>
      <w:r w:rsidRPr="00FD3E55">
        <w:t xml:space="preserve">). For these products, each of which has a similar incidence of seizure as that observed in the enzalutamide clinical development program (uncommon &lt; 1.0%), the risk of seizures is presented in the </w:t>
      </w:r>
      <w:r w:rsidRPr="00915447">
        <w:rPr>
          <w:i/>
        </w:rPr>
        <w:t>P</w:t>
      </w:r>
      <w:r w:rsidR="00915447" w:rsidRPr="00915447">
        <w:rPr>
          <w:i/>
        </w:rPr>
        <w:t>recautions</w:t>
      </w:r>
      <w:r w:rsidR="00915447">
        <w:t xml:space="preserve"> </w:t>
      </w:r>
      <w:r w:rsidRPr="00FD3E55">
        <w:t>section and none have a boxed warning for this risk.</w:t>
      </w:r>
    </w:p>
    <w:p w:rsidR="00EB25B6" w:rsidRPr="00FD3E55" w:rsidRDefault="00EB25B6" w:rsidP="00F61D74">
      <w:pPr>
        <w:pStyle w:val="ListBullet"/>
      </w:pPr>
      <w:r w:rsidRPr="00FD3E55">
        <w:t>Anaphylaxis:</w:t>
      </w:r>
    </w:p>
    <w:p w:rsidR="00EB25B6" w:rsidRPr="00FD3E55" w:rsidRDefault="00EB25B6" w:rsidP="00F61D74">
      <w:r w:rsidRPr="00FD3E55">
        <w:t>There was one reported case of anaphylaxis in a patient using</w:t>
      </w:r>
      <w:r w:rsidR="00915447">
        <w:t xml:space="preserve"> enzalutamide during the Phase III</w:t>
      </w:r>
      <w:r w:rsidRPr="00FD3E55">
        <w:t xml:space="preserve"> clinical trial, and the anaphylactic reaction was caused by bee/wasp stings. The reaction was not related to the study drug. Th</w:t>
      </w:r>
      <w:r w:rsidR="007E4F42">
        <w:t>e full narrative for this case wa</w:t>
      </w:r>
      <w:r w:rsidRPr="00FD3E55">
        <w:t>s provided</w:t>
      </w:r>
      <w:r w:rsidR="007E4F42">
        <w:t xml:space="preserve">. As such, the sponsor believes that a boxed </w:t>
      </w:r>
      <w:r w:rsidRPr="00FD3E55">
        <w:t>warning or other additional language concerning anaphylaxis is not warranted.</w:t>
      </w:r>
    </w:p>
    <w:p w:rsidR="00EB25B6" w:rsidRPr="00FD3E55" w:rsidRDefault="007E4F42" w:rsidP="00F61D74">
      <w:pPr>
        <w:pStyle w:val="ListBullet"/>
      </w:pPr>
      <w:r>
        <w:t>Spinal c</w:t>
      </w:r>
      <w:r w:rsidR="00EB25B6" w:rsidRPr="00FD3E55">
        <w:t xml:space="preserve">ord </w:t>
      </w:r>
      <w:r>
        <w:t>c</w:t>
      </w:r>
      <w:r w:rsidR="00EB25B6" w:rsidRPr="00FD3E55">
        <w:t>ompression:</w:t>
      </w:r>
    </w:p>
    <w:p w:rsidR="00EB25B6" w:rsidRDefault="007E4F42" w:rsidP="00F61D74">
      <w:r>
        <w:t>Spinal c</w:t>
      </w:r>
      <w:r w:rsidR="00EB25B6" w:rsidRPr="00FD3E55">
        <w:t xml:space="preserve">ord </w:t>
      </w:r>
      <w:r>
        <w:t>c</w:t>
      </w:r>
      <w:r w:rsidR="00EB25B6" w:rsidRPr="00FD3E55">
        <w:t>ompression is considered an “Oncology Emergency” and a number of cases were reported during the enzalutamide clinical development program, as shown in the table below. However, none of these cases were considered to be drug related by the investigators. A boxed warning is not warranted for spinal cord compression.</w:t>
      </w:r>
    </w:p>
    <w:p w:rsidR="002D0737" w:rsidRDefault="00450649" w:rsidP="00F61D74">
      <w:pPr>
        <w:pStyle w:val="TableTitle"/>
      </w:pPr>
      <w:r>
        <w:t>Table 1</w:t>
      </w:r>
      <w:r w:rsidR="00A91607">
        <w:t>3</w:t>
      </w:r>
      <w:r w:rsidR="002D0737">
        <w:t>: Spinal cord compression cases</w:t>
      </w:r>
    </w:p>
    <w:p w:rsidR="002D0737" w:rsidRPr="00FD3E55" w:rsidRDefault="002D0737" w:rsidP="00F61D74">
      <w:r>
        <w:rPr>
          <w:noProof/>
          <w:lang w:eastAsia="en-AU"/>
        </w:rPr>
        <w:drawing>
          <wp:inline distT="0" distB="0" distL="0" distR="0" wp14:anchorId="35CDA720" wp14:editId="2D9157A9">
            <wp:extent cx="5400040" cy="1048493"/>
            <wp:effectExtent l="0" t="0" r="0" b="0"/>
            <wp:docPr id="9" name="Picture 9" descr="Table 13: Spinal cord compression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1048493"/>
                    </a:xfrm>
                    <a:prstGeom prst="rect">
                      <a:avLst/>
                    </a:prstGeom>
                  </pic:spPr>
                </pic:pic>
              </a:graphicData>
            </a:graphic>
          </wp:inline>
        </w:drawing>
      </w:r>
    </w:p>
    <w:p w:rsidR="00EB25B6" w:rsidRPr="00F61D74" w:rsidRDefault="00F51747" w:rsidP="00F61D74">
      <w:pPr>
        <w:pStyle w:val="Heading6"/>
      </w:pPr>
      <w:r>
        <w:t xml:space="preserve">Delegate’s question 2 to ACPM: </w:t>
      </w:r>
      <w:r w:rsidR="00EB25B6" w:rsidRPr="00FD3E55">
        <w:t>The drug interactions and any PI and CMI recommendations.</w:t>
      </w:r>
    </w:p>
    <w:p w:rsidR="00EB25B6" w:rsidRPr="00450649" w:rsidRDefault="00EB25B6" w:rsidP="00F61D74">
      <w:r w:rsidRPr="00450649">
        <w:t xml:space="preserve">To further simplify the </w:t>
      </w:r>
      <w:r w:rsidR="00F51747" w:rsidRPr="00450649">
        <w:t>PI wording around CYP2C8, the s</w:t>
      </w:r>
      <w:r w:rsidRPr="00450649">
        <w:t>ponsor suggests revising the text</w:t>
      </w:r>
      <w:r w:rsidR="00450649">
        <w:rPr>
          <w:rStyle w:val="FootnoteReference"/>
        </w:rPr>
        <w:footnoteReference w:id="31"/>
      </w:r>
      <w:r w:rsidR="00F61D74">
        <w:t>.</w:t>
      </w:r>
    </w:p>
    <w:p w:rsidR="00EB25B6" w:rsidRPr="00FD3E55" w:rsidRDefault="00F51747" w:rsidP="00F61D74">
      <w:pPr>
        <w:pStyle w:val="Heading6"/>
      </w:pPr>
      <w:r w:rsidRPr="00F61D74">
        <w:t>Delegate’s</w:t>
      </w:r>
      <w:r>
        <w:t xml:space="preserve"> question 3</w:t>
      </w:r>
      <w:r w:rsidRPr="00F51747">
        <w:t xml:space="preserve"> to ACPM: </w:t>
      </w:r>
      <w:r w:rsidR="00EB25B6" w:rsidRPr="00FD3E55">
        <w:t>Time to first skeletal event has been statistically significantly improved?</w:t>
      </w:r>
    </w:p>
    <w:p w:rsidR="00EB25B6" w:rsidRPr="00FD3E55" w:rsidRDefault="00494BED" w:rsidP="00F61D74">
      <w:r>
        <w:t>In the CRPC2 S</w:t>
      </w:r>
      <w:r w:rsidR="00EB25B6" w:rsidRPr="00FD3E55">
        <w:t>tudy, data were collected on skeletal-related events, even after study drug discontinuation. At the time of the analysis, 287 (35.9%) of enzalutamide</w:t>
      </w:r>
      <w:r>
        <w:t xml:space="preserve"> </w:t>
      </w:r>
      <w:r w:rsidR="00EB25B6" w:rsidRPr="00FD3E55">
        <w:t>treated and 161 (40.4%) of placebo</w:t>
      </w:r>
      <w:r>
        <w:t xml:space="preserve"> </w:t>
      </w:r>
      <w:r w:rsidR="00EB25B6" w:rsidRPr="00FD3E55">
        <w:t xml:space="preserve">treated patients had experienced a skeletal-related event. The time to event analysis demonstrated a statistical and clinically significant benefit of enzalutamide over placebo on the time to first skeletal-related event with a median time in the </w:t>
      </w:r>
      <w:r w:rsidR="00EB25B6" w:rsidRPr="00FD3E55">
        <w:lastRenderedPageBreak/>
        <w:t>enz</w:t>
      </w:r>
      <w:r w:rsidR="00A76A72">
        <w:t xml:space="preserve">alutamide </w:t>
      </w:r>
      <w:r w:rsidR="00EB25B6" w:rsidRPr="00FD3E55">
        <w:t>treated arm of 16.7 months versus 13.3 months in the plac</w:t>
      </w:r>
      <w:r>
        <w:t xml:space="preserve">ebo arm (hazard ratio = 0.688, p </w:t>
      </w:r>
      <w:r w:rsidR="00EB25B6" w:rsidRPr="00FD3E55">
        <w:t>value 0.0001).</w:t>
      </w:r>
    </w:p>
    <w:p w:rsidR="00EB25B6" w:rsidRPr="00F61D74" w:rsidRDefault="00EB25B6" w:rsidP="00F61D74">
      <w:pPr>
        <w:pStyle w:val="Heading5"/>
      </w:pPr>
      <w:r w:rsidRPr="00FD3E55">
        <w:t>Other related issue</w:t>
      </w:r>
    </w:p>
    <w:p w:rsidR="00EB25B6" w:rsidRPr="00FD3E55" w:rsidRDefault="00EB25B6" w:rsidP="00F61D74">
      <w:pPr>
        <w:pStyle w:val="Heading6"/>
      </w:pPr>
      <w:r w:rsidRPr="00FD3E55">
        <w:t xml:space="preserve">Appropriate </w:t>
      </w:r>
      <w:r w:rsidRPr="00F61D74">
        <w:t>controls</w:t>
      </w:r>
      <w:r w:rsidRPr="00FD3E55">
        <w:t xml:space="preserve"> on impurities</w:t>
      </w:r>
    </w:p>
    <w:p w:rsidR="00EB25B6" w:rsidRPr="00FD3E55" w:rsidRDefault="004648EB" w:rsidP="00F61D74">
      <w:r>
        <w:t>To be n</w:t>
      </w:r>
      <w:r w:rsidR="00E05B4C">
        <w:t xml:space="preserve">egotiated with TGA quality </w:t>
      </w:r>
      <w:r>
        <w:t>evaluators</w:t>
      </w:r>
      <w:r w:rsidR="00EB25B6" w:rsidRPr="00FD3E55">
        <w:t>.</w:t>
      </w:r>
    </w:p>
    <w:p w:rsidR="00EB25B6" w:rsidRPr="00F61D74" w:rsidRDefault="00EB25B6" w:rsidP="00F61D74">
      <w:pPr>
        <w:pStyle w:val="Heading5"/>
      </w:pPr>
      <w:r w:rsidRPr="00FD3E55">
        <w:t>C</w:t>
      </w:r>
      <w:r w:rsidR="00E05B4C" w:rsidRPr="00FD3E55">
        <w:t>onclusion</w:t>
      </w:r>
    </w:p>
    <w:p w:rsidR="00EB25B6" w:rsidRPr="00FD3E55" w:rsidRDefault="00EB25B6" w:rsidP="00F61D74">
      <w:r w:rsidRPr="00FD3E55">
        <w:t>The data from the enzalutamide clinical studies demonstrate a favourable risk-benefit ratio for men with CRPC who have received docetaxel. In particular, the p</w:t>
      </w:r>
      <w:r w:rsidR="00E05B4C">
        <w:t>ivotal S</w:t>
      </w:r>
      <w:r w:rsidRPr="00FD3E55">
        <w:t xml:space="preserve">tudy CRPC2 </w:t>
      </w:r>
      <w:r w:rsidR="00E05B4C">
        <w:t>(</w:t>
      </w:r>
      <w:r w:rsidRPr="00FD3E55">
        <w:t>AFFIRM</w:t>
      </w:r>
      <w:r w:rsidR="00E05B4C">
        <w:t>)</w:t>
      </w:r>
      <w:r w:rsidRPr="00FD3E55">
        <w:t xml:space="preserve"> has demonstrated an improvement in median </w:t>
      </w:r>
      <w:r w:rsidR="004672F0">
        <w:t>OS</w:t>
      </w:r>
      <w:r w:rsidRPr="00FD3E55">
        <w:t xml:space="preserve"> of 4.8 months (hazard ratio = </w:t>
      </w:r>
      <w:r w:rsidR="00E05B4C">
        <w:t xml:space="preserve">0.631 (95% CI: 0.529, 0.752), p </w:t>
      </w:r>
      <w:r w:rsidRPr="00FD3E55">
        <w:t>value &lt; 0.0001) for the proposed indication. Overall</w:t>
      </w:r>
      <w:r w:rsidR="00E05B4C">
        <w:t>,</w:t>
      </w:r>
      <w:r w:rsidRPr="00FD3E55">
        <w:t xml:space="preserve"> enzalutamide was also well-tolerated in the studies. X</w:t>
      </w:r>
      <w:r w:rsidR="00E05B4C">
        <w:t xml:space="preserve">tandi </w:t>
      </w:r>
      <w:r w:rsidRPr="00FD3E55">
        <w:t xml:space="preserve">is orally administered without the need </w:t>
      </w:r>
      <w:r w:rsidR="00E05B4C">
        <w:t>for concomitant corticosteroids</w:t>
      </w:r>
      <w:r w:rsidRPr="00FD3E55">
        <w:t xml:space="preserve"> and can be taken with or without food. The overseas regulatory progress and priority status granted by many health authorities to date support the significant clinical benefits of enzalutamide to patients with CRPC.</w:t>
      </w:r>
    </w:p>
    <w:p w:rsidR="008E7846" w:rsidRDefault="008E7846" w:rsidP="00F61D74">
      <w:pPr>
        <w:pStyle w:val="Heading4"/>
      </w:pPr>
      <w:r>
        <w:t xml:space="preserve">Advisory </w:t>
      </w:r>
      <w:r w:rsidR="00F61D74">
        <w:t>c</w:t>
      </w:r>
      <w:r w:rsidRPr="00F61D74">
        <w:t>ommittee</w:t>
      </w:r>
      <w:r>
        <w:t xml:space="preserve"> </w:t>
      </w:r>
      <w:r w:rsidR="00F61D74" w:rsidRPr="00F61D74">
        <w:t>c</w:t>
      </w:r>
      <w:r w:rsidRPr="00F61D74">
        <w:t>onsiderations</w:t>
      </w:r>
    </w:p>
    <w:p w:rsidR="008E7846" w:rsidRPr="00333EAA" w:rsidRDefault="00D23139" w:rsidP="00F61D74">
      <w:r w:rsidRPr="00333EAA">
        <w:t>The ACPM, having considered the evaluations and the Delegate’s overview, as well as the sponsor’s response to these documents, advised the following:</w:t>
      </w:r>
    </w:p>
    <w:p w:rsidR="00333EAA" w:rsidRPr="00333EAA" w:rsidRDefault="00333EAA" w:rsidP="00F61D74">
      <w:r w:rsidRPr="00333EAA">
        <w:t>The submission seeks to register a new chemical entity for a currently registered product.</w:t>
      </w:r>
    </w:p>
    <w:p w:rsidR="00333EAA" w:rsidRPr="00333EAA" w:rsidRDefault="00333EAA" w:rsidP="00F61D74">
      <w:r w:rsidRPr="00333EAA">
        <w:t>The ACPM, taking into account the submitted evidence of efficacy, safety and quality, agreed with the delegate and considered XTANDI capsule containing 40 mg of enzalutamide to have an overall positive benefit–risk profi</w:t>
      </w:r>
      <w:r w:rsidR="00F61D74">
        <w:t>le for the proposed indication;</w:t>
      </w:r>
    </w:p>
    <w:p w:rsidR="00333EAA" w:rsidRPr="00F61D74" w:rsidRDefault="00333EAA" w:rsidP="00F61D74">
      <w:pPr>
        <w:ind w:left="720"/>
        <w:rPr>
          <w:i/>
        </w:rPr>
      </w:pPr>
      <w:r w:rsidRPr="00F61D74">
        <w:rPr>
          <w:i/>
        </w:rPr>
        <w:t>Xtandi is for the treatment of patients with metastatic castration-resistant prostate cancer who have previously received docetaxel</w:t>
      </w:r>
    </w:p>
    <w:p w:rsidR="00333EAA" w:rsidRPr="00F61D74" w:rsidRDefault="00333EAA" w:rsidP="00F61D74">
      <w:pPr>
        <w:pStyle w:val="Heading5"/>
      </w:pPr>
      <w:r w:rsidRPr="00333EAA">
        <w:t>Proposed conditions of registration:</w:t>
      </w:r>
    </w:p>
    <w:p w:rsidR="00333EAA" w:rsidRPr="00333EAA" w:rsidRDefault="000030B4" w:rsidP="00F61D74">
      <w:r>
        <w:t>The ACPM agreed with the D</w:t>
      </w:r>
      <w:r w:rsidR="00333EAA" w:rsidRPr="00333EAA">
        <w:t>elegate on the propo</w:t>
      </w:r>
      <w:r w:rsidR="00F61D74">
        <w:t>sed conditions of registration.</w:t>
      </w:r>
    </w:p>
    <w:p w:rsidR="00333EAA" w:rsidRPr="00F61D74" w:rsidRDefault="00333EAA" w:rsidP="00F61D74">
      <w:pPr>
        <w:pStyle w:val="Heading5"/>
      </w:pPr>
      <w:r w:rsidRPr="00333EAA">
        <w:t>Proposed PI/</w:t>
      </w:r>
      <w:r w:rsidR="004648EB" w:rsidRPr="00333EAA">
        <w:t xml:space="preserve"> </w:t>
      </w:r>
      <w:r w:rsidRPr="00333EAA">
        <w:t>CMI amendments:</w:t>
      </w:r>
    </w:p>
    <w:p w:rsidR="00333EAA" w:rsidRPr="00333EAA" w:rsidRDefault="00333EAA" w:rsidP="00F61D74">
      <w:r w:rsidRPr="00333EAA">
        <w:t xml:space="preserve">The ACPM agreed with the delegate to the proposed amendments to the PI and CMI and specifically advised on </w:t>
      </w:r>
      <w:r w:rsidR="00F61D74">
        <w:t>the inclusion of the following:</w:t>
      </w:r>
    </w:p>
    <w:p w:rsidR="00333EAA" w:rsidRPr="00333EAA" w:rsidRDefault="00333EAA" w:rsidP="00F61D74">
      <w:pPr>
        <w:pStyle w:val="ListBullet"/>
      </w:pPr>
      <w:r w:rsidRPr="00333EAA">
        <w:t xml:space="preserve">The current statement on seizures in the PI is </w:t>
      </w:r>
      <w:r w:rsidRPr="00F61D74">
        <w:t>inadequate</w:t>
      </w:r>
      <w:r w:rsidRPr="00333EAA">
        <w:t xml:space="preserve"> and should be changed along the lines of the Canadian PI and cross reference to the risk with Interactions with other medicines section.</w:t>
      </w:r>
    </w:p>
    <w:p w:rsidR="00333EAA" w:rsidRPr="00333EAA" w:rsidRDefault="00333EAA" w:rsidP="00F61D74">
      <w:pPr>
        <w:pStyle w:val="ListBullet"/>
      </w:pPr>
      <w:r w:rsidRPr="00333EAA">
        <w:t xml:space="preserve">A statement in the </w:t>
      </w:r>
      <w:r w:rsidRPr="004648EB">
        <w:rPr>
          <w:i/>
        </w:rPr>
        <w:t>Precautions</w:t>
      </w:r>
      <w:r w:rsidRPr="00333EAA">
        <w:t xml:space="preserve"> / </w:t>
      </w:r>
      <w:r w:rsidRPr="004648EB">
        <w:rPr>
          <w:i/>
        </w:rPr>
        <w:t>Contraindications</w:t>
      </w:r>
      <w:r w:rsidRPr="00333EAA">
        <w:t xml:space="preserve"> sections of the PI and relevant sections of the CMI to reflect the post</w:t>
      </w:r>
      <w:r w:rsidR="004648EB">
        <w:t xml:space="preserve"> </w:t>
      </w:r>
      <w:r w:rsidRPr="00333EAA">
        <w:t xml:space="preserve">marketing data from the </w:t>
      </w:r>
      <w:r w:rsidR="00973AE2">
        <w:t>periodic safety update reports (</w:t>
      </w:r>
      <w:r w:rsidRPr="00333EAA">
        <w:t>PSURs</w:t>
      </w:r>
      <w:r w:rsidR="00973AE2">
        <w:t>)</w:t>
      </w:r>
      <w:r w:rsidRPr="00333EAA">
        <w:t xml:space="preserve"> on seizures.</w:t>
      </w:r>
    </w:p>
    <w:p w:rsidR="00333EAA" w:rsidRPr="00F61D74" w:rsidRDefault="00333EAA" w:rsidP="00F61D74">
      <w:pPr>
        <w:pStyle w:val="Heading5"/>
      </w:pPr>
      <w:r w:rsidRPr="00333EAA">
        <w:t>Specific advice:</w:t>
      </w:r>
    </w:p>
    <w:p w:rsidR="00333EAA" w:rsidRPr="00333EAA" w:rsidRDefault="00333EAA" w:rsidP="00F61D74">
      <w:r w:rsidRPr="00333EAA">
        <w:t>The ACPM advised the following in response to the specific delegate’s questions on this submission:</w:t>
      </w:r>
    </w:p>
    <w:p w:rsidR="00333EAA" w:rsidRPr="00333EAA" w:rsidRDefault="00333EAA" w:rsidP="00F61D74">
      <w:pPr>
        <w:pStyle w:val="Numberbullet0"/>
        <w:numPr>
          <w:ilvl w:val="0"/>
          <w:numId w:val="21"/>
        </w:numPr>
      </w:pPr>
      <w:r w:rsidRPr="00333EAA">
        <w:t xml:space="preserve">Should seizure risk be a black box warning </w:t>
      </w:r>
      <w:r w:rsidRPr="00F61D74">
        <w:t>given</w:t>
      </w:r>
      <w:r w:rsidRPr="00333EAA">
        <w:t xml:space="preserve"> the risk is uncertain, and the target population (median age 71) are likely to have significant risk factors for the former including structural brain disease, potential medications and drug interactions that might increase this risk beyond that in a screened trial population? Should anaphylaxis be included?</w:t>
      </w:r>
    </w:p>
    <w:p w:rsidR="00333EAA" w:rsidRPr="00333EAA" w:rsidRDefault="00333EAA" w:rsidP="00F61D74">
      <w:r w:rsidRPr="00333EAA">
        <w:t>The ACPM noted seizure events in the pivotal study were uncommon (&lt;</w:t>
      </w:r>
      <w:r w:rsidR="00973AE2">
        <w:t xml:space="preserve"> </w:t>
      </w:r>
      <w:r w:rsidRPr="00333EAA">
        <w:t xml:space="preserve">1%). However, convulsions occurred in studies of both mice and dogs with plasma concentrations of </w:t>
      </w:r>
      <w:r w:rsidRPr="00333EAA">
        <w:lastRenderedPageBreak/>
        <w:t>enzalutamide similar to or marginally above the clinical Cmax. There is a plausible mechanism for the seizures and data from in vitro studies show that enzalutamide and its active metabolite cross the blood brain barrier, bind to, and inhibit the activity of the GABA-gated chloride channel. There is a dose relationship. The rates of seizure in a heavily pre-screened population give rise to concern, particularly when treatment is given in a broa</w:t>
      </w:r>
      <w:r w:rsidR="00F61D74">
        <w:t>der, nonclinical trial setting.</w:t>
      </w:r>
    </w:p>
    <w:p w:rsidR="00333EAA" w:rsidRPr="00333EAA" w:rsidRDefault="00333EAA" w:rsidP="00F61D74">
      <w:r w:rsidRPr="00333EAA">
        <w:t xml:space="preserve">The ACPM was of the view that, at this stage, a statement in the </w:t>
      </w:r>
      <w:r w:rsidRPr="00973AE2">
        <w:rPr>
          <w:i/>
        </w:rPr>
        <w:t>Precautions</w:t>
      </w:r>
      <w:r w:rsidRPr="00333EAA">
        <w:t xml:space="preserve"> section of the PI is adequate. However, the current Australian PI statement on seizures is inadequate and should be changed along the lines of the Canadian PI and cross reference to the risk with Interactions with other medicines section.</w:t>
      </w:r>
    </w:p>
    <w:p w:rsidR="00333EAA" w:rsidRPr="00B5589B" w:rsidRDefault="00333EAA" w:rsidP="00F61D74">
      <w:r w:rsidRPr="00B5589B">
        <w:t>A statement in line with the EMA statement, as suggested by the sponsor, may be sufficient. Post marketing surveillance will be critical in this regard and may modify this advice. The PI should also include mention of the number of post-marketing cases from PSURs.</w:t>
      </w:r>
    </w:p>
    <w:p w:rsidR="00333EAA" w:rsidRPr="00333EAA" w:rsidRDefault="00333EAA" w:rsidP="00F61D74">
      <w:r w:rsidRPr="00333EAA">
        <w:t>The statement currently proposed for the PI includes</w:t>
      </w:r>
      <w:r w:rsidR="00F61D74">
        <w:t xml:space="preserve"> </w:t>
      </w:r>
      <w:r w:rsidRPr="00F61D74">
        <w:rPr>
          <w:i/>
        </w:rPr>
        <w:t>…Because of the risk of seizure associated with XTANDI use, patients should be advised of the risk of engaging in any activity where sudden loss of consciousness could cause serious harm to themselves or others</w:t>
      </w:r>
      <w:r w:rsidRPr="009E16E5">
        <w:t>.</w:t>
      </w:r>
    </w:p>
    <w:p w:rsidR="00333EAA" w:rsidRPr="00333EAA" w:rsidRDefault="00333EAA" w:rsidP="00F61D74">
      <w:r w:rsidRPr="00333EAA">
        <w:t>The latter comment does not really help clinicians. The ACPM thought more practical suggestions might be of more use.</w:t>
      </w:r>
    </w:p>
    <w:p w:rsidR="00333EAA" w:rsidRPr="00333EAA" w:rsidRDefault="00333EAA" w:rsidP="00F61D74">
      <w:r w:rsidRPr="00333EAA">
        <w:t>The ACPM was of the view that a black box warning was unnecessary for anaphylaxis as this was reported in only one case and was unrelated.</w:t>
      </w:r>
    </w:p>
    <w:p w:rsidR="00333EAA" w:rsidRPr="00333EAA" w:rsidRDefault="00333EAA" w:rsidP="00F61D74">
      <w:pPr>
        <w:pStyle w:val="Numberbullet0"/>
      </w:pPr>
      <w:r w:rsidRPr="00333EAA">
        <w:t xml:space="preserve">To provide advice regarding </w:t>
      </w:r>
      <w:r w:rsidRPr="00F61D74">
        <w:t>the</w:t>
      </w:r>
      <w:r w:rsidRPr="00333EAA">
        <w:t xml:space="preserve"> drug interactions and any corresponding PI and CMI recommendations.</w:t>
      </w:r>
    </w:p>
    <w:p w:rsidR="00333EAA" w:rsidRPr="00333EAA" w:rsidRDefault="00333EAA" w:rsidP="00F61D74">
      <w:r w:rsidRPr="00333EAA">
        <w:t>The ACPM noted the PI has extensive information on drug interactions; approximately 2.5 pages. As the issue of drug interaction is significant and complex it was felt this section needed to be made cle</w:t>
      </w:r>
      <w:r w:rsidR="00F61D74">
        <w:t>arer and perhaps more succinct.</w:t>
      </w:r>
    </w:p>
    <w:p w:rsidR="00333EAA" w:rsidRPr="00333EAA" w:rsidRDefault="00333EAA" w:rsidP="00F61D74">
      <w:r w:rsidRPr="00333EAA">
        <w:t xml:space="preserve">The </w:t>
      </w:r>
      <w:r w:rsidRPr="00973AE2">
        <w:rPr>
          <w:i/>
        </w:rPr>
        <w:t>Interactions with other medicines</w:t>
      </w:r>
      <w:r w:rsidRPr="00333EAA">
        <w:t xml:space="preserve"> section seems to be a mix of providing data in some cases and giving advice on what to do, </w:t>
      </w:r>
      <w:r w:rsidR="00B5589B">
        <w:t xml:space="preserve">for example, </w:t>
      </w:r>
      <w:r w:rsidRPr="00333EAA">
        <w:t xml:space="preserve">avoid Warfarin + E or increase </w:t>
      </w:r>
      <w:r w:rsidR="00B5589B">
        <w:t>international normalised ratio (</w:t>
      </w:r>
      <w:r w:rsidRPr="00333EAA">
        <w:t>INR</w:t>
      </w:r>
      <w:r w:rsidR="00B5589B">
        <w:t>)</w:t>
      </w:r>
      <w:r w:rsidR="00F61D74">
        <w:t xml:space="preserve"> monitoring.</w:t>
      </w:r>
    </w:p>
    <w:p w:rsidR="00333EAA" w:rsidRPr="00333EAA" w:rsidRDefault="00333EAA" w:rsidP="00F61D74">
      <w:r w:rsidRPr="00333EAA">
        <w:t>The list of potential drugs to consider, which is already in PI, was considered very useful for the clinician, who may not be able to bring to mind that list easily. However, statements like …</w:t>
      </w:r>
      <w:r w:rsidRPr="009E16E5">
        <w:rPr>
          <w:i/>
        </w:rPr>
        <w:t xml:space="preserve">In vitro data indicate that enzalutamide is not a substrate for the organic anion transporting polypeptide 1B1 (OATP1B1), OATP1B3, organic </w:t>
      </w:r>
      <w:proofErr w:type="spellStart"/>
      <w:r w:rsidRPr="009E16E5">
        <w:rPr>
          <w:i/>
        </w:rPr>
        <w:t>cation</w:t>
      </w:r>
      <w:proofErr w:type="spellEnd"/>
      <w:r w:rsidRPr="009E16E5">
        <w:rPr>
          <w:i/>
        </w:rPr>
        <w:t xml:space="preserve"> transporter 1 (OCT1), or P- glycoprotein</w:t>
      </w:r>
      <w:r w:rsidRPr="00333EAA">
        <w:t>…probably are not as imm</w:t>
      </w:r>
      <w:r w:rsidR="00F61D74">
        <w:t>ediately useful to a clinician.</w:t>
      </w:r>
    </w:p>
    <w:p w:rsidR="00333EAA" w:rsidRPr="00333EAA" w:rsidRDefault="00333EAA" w:rsidP="00333EAA">
      <w:r w:rsidRPr="00333EAA">
        <w:t>The CYP2C8 inhibitors and inducers paragraph could usefully include a table of potent inhibitors and inducers.</w:t>
      </w:r>
    </w:p>
    <w:p w:rsidR="00333EAA" w:rsidRPr="00333EAA" w:rsidRDefault="00333EAA" w:rsidP="00F61D74">
      <w:pPr>
        <w:pStyle w:val="Numberbullet0"/>
      </w:pPr>
      <w:r w:rsidRPr="00333EAA">
        <w:t>Does the ACPM consider that time to first skeletal event has been statistically significantly improved?</w:t>
      </w:r>
    </w:p>
    <w:p w:rsidR="00333EAA" w:rsidRPr="00333EAA" w:rsidRDefault="00333EAA" w:rsidP="00F61D74">
      <w:r w:rsidRPr="00333EAA">
        <w:t xml:space="preserve">The ACPM was of the view that time to first </w:t>
      </w:r>
      <w:r w:rsidR="00B5589B">
        <w:t xml:space="preserve">skeletal-related event </w:t>
      </w:r>
      <w:r w:rsidRPr="00333EAA">
        <w:t xml:space="preserve">was longer with enzalutamide but considered the </w:t>
      </w:r>
      <w:r w:rsidR="004672F0">
        <w:t>OS</w:t>
      </w:r>
      <w:r w:rsidRPr="00333EAA">
        <w:t xml:space="preserve"> data more compelling.</w:t>
      </w:r>
    </w:p>
    <w:p w:rsidR="00333EAA" w:rsidRPr="00333EAA" w:rsidRDefault="00333EAA" w:rsidP="00F61D74">
      <w:r w:rsidRPr="00333EAA">
        <w:t>The ACPM advised that the implementation by the sponsor of the recommendations outlined above to the satisfaction of the TGA, in addition to the evidence of efficacy and safety provided would support the safe and</w:t>
      </w:r>
      <w:r w:rsidR="00F61D74">
        <w:t xml:space="preserve"> effective use of this product.</w:t>
      </w:r>
    </w:p>
    <w:p w:rsidR="008E7846" w:rsidRPr="00F61D74" w:rsidRDefault="008E7846" w:rsidP="00F61D74">
      <w:pPr>
        <w:pStyle w:val="Heading3"/>
      </w:pPr>
      <w:bookmarkStart w:id="247" w:name="_Toc247691532"/>
      <w:bookmarkStart w:id="248" w:name="_Toc314842516"/>
      <w:bookmarkStart w:id="249" w:name="_Toc408300860"/>
      <w:bookmarkEnd w:id="119"/>
      <w:bookmarkEnd w:id="244"/>
      <w:bookmarkEnd w:id="245"/>
      <w:r>
        <w:t>Outcome</w:t>
      </w:r>
      <w:bookmarkEnd w:id="247"/>
      <w:bookmarkEnd w:id="248"/>
      <w:bookmarkEnd w:id="249"/>
    </w:p>
    <w:p w:rsidR="00D23139" w:rsidRPr="00D23139" w:rsidRDefault="00D23139" w:rsidP="00F61D74">
      <w:bookmarkStart w:id="250" w:name="_Toc247691533"/>
      <w:bookmarkStart w:id="251" w:name="_Toc314842517"/>
      <w:r w:rsidRPr="00D23139">
        <w:t xml:space="preserve">Based on a review of quality, safety and efficacy, TGA approved the registration of </w:t>
      </w:r>
      <w:r w:rsidR="00333EAA">
        <w:t xml:space="preserve">Xtandi capsule containing </w:t>
      </w:r>
      <w:r w:rsidR="00333EAA" w:rsidRPr="009E16E5">
        <w:t>enzalutamide</w:t>
      </w:r>
      <w:r w:rsidR="00333EAA">
        <w:t xml:space="preserve"> 40 mg</w:t>
      </w:r>
      <w:r w:rsidRPr="00D23139">
        <w:t>, indicated for:</w:t>
      </w:r>
    </w:p>
    <w:p w:rsidR="00D23139" w:rsidRPr="00F61D74" w:rsidRDefault="00333EAA" w:rsidP="00F61D74">
      <w:pPr>
        <w:rPr>
          <w:i/>
        </w:rPr>
      </w:pPr>
      <w:proofErr w:type="gramStart"/>
      <w:r w:rsidRPr="00F61D74">
        <w:rPr>
          <w:i/>
        </w:rPr>
        <w:lastRenderedPageBreak/>
        <w:t>the</w:t>
      </w:r>
      <w:proofErr w:type="gramEnd"/>
      <w:r w:rsidRPr="00F61D74">
        <w:rPr>
          <w:i/>
        </w:rPr>
        <w:t xml:space="preserve"> treatment of patients with metastatic castration-resistant prostate cancer who have previously received docetaxel.</w:t>
      </w:r>
    </w:p>
    <w:p w:rsidR="00D23139" w:rsidRPr="00D23139" w:rsidRDefault="00D23139" w:rsidP="00F61D74">
      <w:pPr>
        <w:pStyle w:val="Heading4"/>
      </w:pPr>
      <w:r w:rsidRPr="00D23139">
        <w:t xml:space="preserve">Specific conditions of </w:t>
      </w:r>
      <w:r w:rsidRPr="00F61D74">
        <w:t>registration</w:t>
      </w:r>
      <w:r w:rsidRPr="00D23139">
        <w:t xml:space="preserve"> applying to these goods</w:t>
      </w:r>
    </w:p>
    <w:p w:rsidR="00CA2B50" w:rsidRPr="00333EAA" w:rsidRDefault="00CA2B50" w:rsidP="00F61D74">
      <w:pPr>
        <w:pStyle w:val="ListBullet"/>
      </w:pPr>
      <w:r w:rsidRPr="00333EAA">
        <w:t xml:space="preserve">The Xtandi EU Risk </w:t>
      </w:r>
      <w:r w:rsidRPr="00F61D74">
        <w:t>Management</w:t>
      </w:r>
      <w:r w:rsidRPr="00333EAA">
        <w:t xml:space="preserve"> Plan (EU-RMP), version 14.0, dated 25 April2013 with an Australian Specific Annex dated 23 May 2013, include</w:t>
      </w:r>
      <w:r w:rsidR="00333EAA" w:rsidRPr="00333EAA">
        <w:t>d with submission PM-2013-01155</w:t>
      </w:r>
      <w:r w:rsidR="00333EAA" w:rsidRPr="00333EAA">
        <w:noBreakHyphen/>
        <w:t>1-</w:t>
      </w:r>
      <w:r w:rsidRPr="00333EAA">
        <w:t>4, and any subsequent revisions, as agreed with the TGA will be</w:t>
      </w:r>
      <w:r w:rsidR="00333EAA" w:rsidRPr="00333EAA">
        <w:t xml:space="preserve"> </w:t>
      </w:r>
      <w:r w:rsidRPr="00333EAA">
        <w:t>implemented in Australia.</w:t>
      </w:r>
    </w:p>
    <w:p w:rsidR="008E7846" w:rsidRDefault="008E7846" w:rsidP="00F61D74">
      <w:pPr>
        <w:pStyle w:val="Heading2"/>
      </w:pPr>
      <w:bookmarkStart w:id="252" w:name="_Toc408300861"/>
      <w:proofErr w:type="gramStart"/>
      <w:r>
        <w:t>Attachment 1.</w:t>
      </w:r>
      <w:proofErr w:type="gramEnd"/>
      <w:r>
        <w:tab/>
      </w:r>
      <w:r w:rsidRPr="00F61D74">
        <w:t>Product</w:t>
      </w:r>
      <w:r>
        <w:t xml:space="preserve"> </w:t>
      </w:r>
      <w:r w:rsidR="00AA0ED0">
        <w:t>I</w:t>
      </w:r>
      <w:r>
        <w:t>nformation</w:t>
      </w:r>
      <w:bookmarkEnd w:id="250"/>
      <w:bookmarkEnd w:id="251"/>
      <w:bookmarkEnd w:id="252"/>
    </w:p>
    <w:p w:rsidR="00C80137" w:rsidRDefault="002B3624" w:rsidP="00F61D74">
      <w:pPr>
        <w:rPr>
          <w:color w:val="000000"/>
          <w:lang w:eastAsia="en-AU"/>
        </w:rPr>
      </w:pPr>
      <w:r w:rsidRPr="002B3624">
        <w:t xml:space="preserve">The Product Information approved for </w:t>
      </w:r>
      <w:r w:rsidR="00CA2B50">
        <w:t xml:space="preserve">Xtandi </w:t>
      </w:r>
      <w:r w:rsidRPr="002B3624">
        <w:t>at the time this AusPAR was published is at Attachment 1. For the most recent Product Information please refer to the TGA website at &lt;</w:t>
      </w:r>
      <w:hyperlink r:id="rId28" w:history="1">
        <w:r w:rsidRPr="000734D8">
          <w:rPr>
            <w:rStyle w:val="Hyperlink"/>
          </w:rPr>
          <w:t>http://www.tga.gov.au/hp/information-medicines-pi.htm</w:t>
        </w:r>
      </w:hyperlink>
      <w:r w:rsidR="00F61D74">
        <w:t>&gt;.</w:t>
      </w:r>
    </w:p>
    <w:p w:rsidR="00291957" w:rsidRDefault="003615B1" w:rsidP="00F61D74">
      <w:pPr>
        <w:pStyle w:val="Heading2"/>
        <w:rPr>
          <w:lang w:eastAsia="en-AU"/>
        </w:rPr>
      </w:pPr>
      <w:bookmarkStart w:id="253" w:name="_Toc408300862"/>
      <w:proofErr w:type="gramStart"/>
      <w:r>
        <w:rPr>
          <w:lang w:eastAsia="en-AU"/>
        </w:rPr>
        <w:t>Attachment 2.</w:t>
      </w:r>
      <w:proofErr w:type="gramEnd"/>
      <w:r>
        <w:rPr>
          <w:lang w:eastAsia="en-AU"/>
        </w:rPr>
        <w:tab/>
      </w:r>
      <w:r w:rsidR="00C80137">
        <w:rPr>
          <w:lang w:eastAsia="en-AU"/>
        </w:rPr>
        <w:t xml:space="preserve">Extract from the </w:t>
      </w:r>
      <w:r w:rsidR="00C80137" w:rsidRPr="00F61D74">
        <w:t>Clinical</w:t>
      </w:r>
      <w:r w:rsidR="00C80137">
        <w:rPr>
          <w:lang w:eastAsia="en-AU"/>
        </w:rPr>
        <w:t xml:space="preserve"> Evaluation Report</w:t>
      </w:r>
      <w:bookmarkEnd w:id="253"/>
    </w:p>
    <w:p w:rsidR="00C80137" w:rsidRPr="001D043B" w:rsidRDefault="00C80137" w:rsidP="003A7F6C">
      <w:pPr>
        <w:pStyle w:val="TableTitle"/>
        <w:sectPr w:rsidR="00C80137" w:rsidRPr="001D043B" w:rsidSect="00B452CE">
          <w:headerReference w:type="even" r:id="rId29"/>
          <w:headerReference w:type="default" r:id="rId30"/>
          <w:headerReference w:type="first" r:id="rId31"/>
          <w:footerReference w:type="first" r:id="rId3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CA2B50">
        <w:trPr>
          <w:trHeight w:hRule="exact" w:val="704"/>
        </w:trPr>
        <w:tc>
          <w:tcPr>
            <w:tcW w:w="9175" w:type="dxa"/>
          </w:tcPr>
          <w:p w:rsidR="001C32CD" w:rsidRPr="00487162" w:rsidRDefault="001C32CD" w:rsidP="00CA2B50">
            <w:pPr>
              <w:pStyle w:val="TGASignoff"/>
            </w:pPr>
            <w:r w:rsidRPr="00487162">
              <w:lastRenderedPageBreak/>
              <w:t>Therapeutic Goods Administration</w:t>
            </w:r>
          </w:p>
        </w:tc>
      </w:tr>
      <w:tr w:rsidR="001C32CD" w:rsidRPr="004C239D" w:rsidTr="00CA2B50">
        <w:trPr>
          <w:trHeight w:val="1221"/>
        </w:trPr>
        <w:tc>
          <w:tcPr>
            <w:tcW w:w="9175" w:type="dxa"/>
            <w:tcMar>
              <w:top w:w="28" w:type="dxa"/>
            </w:tcMar>
          </w:tcPr>
          <w:p w:rsidR="001C32CD" w:rsidRPr="00487162" w:rsidRDefault="001C32CD" w:rsidP="00CA2B50">
            <w:pPr>
              <w:pStyle w:val="Address"/>
            </w:pPr>
            <w:r w:rsidRPr="00487162">
              <w:t>PO Box 100 Woden ACT 2606 Australia</w:t>
            </w:r>
          </w:p>
          <w:p w:rsidR="001C32CD" w:rsidRPr="00487162" w:rsidRDefault="001C32CD" w:rsidP="00CA2B50">
            <w:pPr>
              <w:pStyle w:val="Address"/>
            </w:pPr>
            <w:r w:rsidRPr="00487162">
              <w:t xml:space="preserve">Email: </w:t>
            </w:r>
            <w:hyperlink r:id="rId33" w:history="1">
              <w:r w:rsidRPr="004C239D">
                <w:rPr>
                  <w:rStyle w:val="Hyperlink"/>
                </w:rPr>
                <w:t>info@tga.gov.au</w:t>
              </w:r>
            </w:hyperlink>
            <w:r w:rsidRPr="00487162">
              <w:t xml:space="preserve">  Phone: 1800 020 653  Fax: 02 6232 8605</w:t>
            </w:r>
          </w:p>
          <w:p w:rsidR="001C32CD" w:rsidRPr="004C239D" w:rsidRDefault="00A560A5" w:rsidP="00CA2B50">
            <w:pPr>
              <w:pStyle w:val="Address"/>
              <w:spacing w:line="260" w:lineRule="atLeast"/>
              <w:rPr>
                <w:b/>
                <w:color w:val="0000FF"/>
                <w:u w:val="single"/>
              </w:rPr>
            </w:pPr>
            <w:hyperlink r:id="rId34"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35"/>
      <w:headerReference w:type="default" r:id="rId36"/>
      <w:footerReference w:type="default" r:id="rId37"/>
      <w:headerReference w:type="first" r:id="rId38"/>
      <w:footerReference w:type="first" r:id="rId3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0A5" w:rsidRDefault="00A560A5" w:rsidP="00C40A36">
      <w:pPr>
        <w:spacing w:after="0"/>
      </w:pPr>
      <w:r>
        <w:separator/>
      </w:r>
    </w:p>
  </w:endnote>
  <w:endnote w:type="continuationSeparator" w:id="0">
    <w:p w:rsidR="00A560A5" w:rsidRDefault="00A560A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altName w:val="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560A5" w:rsidRPr="00487162" w:rsidTr="00DB750B">
      <w:trPr>
        <w:trHeight w:val="269"/>
      </w:trPr>
      <w:tc>
        <w:tcPr>
          <w:tcW w:w="7371" w:type="dxa"/>
          <w:tcMar>
            <w:top w:w="142" w:type="dxa"/>
            <w:bottom w:w="0" w:type="dxa"/>
          </w:tcMar>
        </w:tcPr>
        <w:p w:rsidR="00A560A5" w:rsidRPr="00487162" w:rsidRDefault="00A560A5" w:rsidP="005B2969">
          <w:pPr>
            <w:pStyle w:val="Footer"/>
          </w:pPr>
          <w:proofErr w:type="spellStart"/>
          <w:r w:rsidRPr="00487162">
            <w:t>AusPAR</w:t>
          </w:r>
          <w:proofErr w:type="spellEnd"/>
          <w:r w:rsidRPr="00487162">
            <w:t xml:space="preserve"> </w:t>
          </w:r>
          <w:proofErr w:type="spellStart"/>
          <w:r w:rsidRPr="00CA2B50">
            <w:t>Xtandi</w:t>
          </w:r>
          <w:proofErr w:type="spellEnd"/>
          <w:r w:rsidRPr="00CA2B50">
            <w:t xml:space="preserve"> </w:t>
          </w:r>
          <w:proofErr w:type="spellStart"/>
          <w:r w:rsidRPr="00CA2B50">
            <w:t>Enzalutamide</w:t>
          </w:r>
          <w:proofErr w:type="spellEnd"/>
          <w:r w:rsidRPr="00CA2B50">
            <w:t xml:space="preserve"> </w:t>
          </w:r>
          <w:proofErr w:type="spellStart"/>
          <w:r w:rsidRPr="00CA2B50">
            <w:t>Astellas</w:t>
          </w:r>
          <w:proofErr w:type="spellEnd"/>
          <w:r w:rsidRPr="00CA2B50">
            <w:t xml:space="preserve"> </w:t>
          </w:r>
          <w:proofErr w:type="spellStart"/>
          <w:r w:rsidRPr="00CA2B50">
            <w:t>Pharma</w:t>
          </w:r>
          <w:proofErr w:type="spellEnd"/>
          <w:r>
            <w:t xml:space="preserve"> Australia Pty Ltd PM-2013-01155-1-4</w:t>
          </w:r>
          <w:r>
            <w:br/>
          </w:r>
          <w:r w:rsidRPr="00487162">
            <w:t>Date of Finalisation</w:t>
          </w:r>
          <w:r>
            <w:t xml:space="preserve"> 24 November 2014</w:t>
          </w:r>
        </w:p>
      </w:tc>
      <w:tc>
        <w:tcPr>
          <w:tcW w:w="1490" w:type="dxa"/>
          <w:tcMar>
            <w:top w:w="142" w:type="dxa"/>
            <w:bottom w:w="0" w:type="dxa"/>
          </w:tcMar>
        </w:tcPr>
        <w:p w:rsidR="00A560A5" w:rsidRPr="00487162" w:rsidRDefault="00A560A5" w:rsidP="00DB750B">
          <w:pPr>
            <w:pStyle w:val="Footer"/>
            <w:jc w:val="right"/>
          </w:pPr>
          <w:r w:rsidRPr="00487162">
            <w:t xml:space="preserve">Page </w:t>
          </w:r>
          <w:r>
            <w:fldChar w:fldCharType="begin"/>
          </w:r>
          <w:r>
            <w:instrText xml:space="preserve"> PAGE  \* Arabic </w:instrText>
          </w:r>
          <w:r>
            <w:fldChar w:fldCharType="separate"/>
          </w:r>
          <w:r w:rsidR="004C358D">
            <w:rPr>
              <w:noProof/>
            </w:rPr>
            <w:t>4</w:t>
          </w:r>
          <w:r>
            <w:fldChar w:fldCharType="end"/>
          </w:r>
          <w:r w:rsidRPr="00487162">
            <w:t xml:space="preserve"> of </w:t>
          </w:r>
          <w:r>
            <w:fldChar w:fldCharType="begin"/>
          </w:r>
          <w:r>
            <w:instrText xml:space="preserve"> NUMPAGES  \* Arabic </w:instrText>
          </w:r>
          <w:r>
            <w:fldChar w:fldCharType="separate"/>
          </w:r>
          <w:r w:rsidR="004C358D">
            <w:rPr>
              <w:noProof/>
            </w:rPr>
            <w:t>79</w:t>
          </w:r>
          <w:r>
            <w:rPr>
              <w:noProof/>
            </w:rPr>
            <w:fldChar w:fldCharType="end"/>
          </w:r>
        </w:p>
      </w:tc>
    </w:tr>
  </w:tbl>
  <w:p w:rsidR="00A560A5" w:rsidRDefault="00A560A5"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560A5" w:rsidRPr="00487162" w:rsidTr="00E45619">
      <w:trPr>
        <w:trHeight w:val="269"/>
      </w:trPr>
      <w:tc>
        <w:tcPr>
          <w:tcW w:w="4519" w:type="dxa"/>
          <w:tcBorders>
            <w:top w:val="single" w:sz="4" w:space="0" w:color="auto"/>
          </w:tcBorders>
          <w:tcMar>
            <w:top w:w="142" w:type="dxa"/>
            <w:bottom w:w="0" w:type="dxa"/>
          </w:tcMar>
        </w:tcPr>
        <w:p w:rsidR="00A560A5" w:rsidRPr="00487162" w:rsidRDefault="00A560A5" w:rsidP="00FE1DEE">
          <w:pPr>
            <w:pStyle w:val="Footer"/>
          </w:pPr>
          <w:r w:rsidRPr="00487162">
            <w:t>Document title, Part #, Section # - Section title</w:t>
          </w:r>
        </w:p>
        <w:p w:rsidR="00A560A5" w:rsidRPr="00487162" w:rsidRDefault="00A560A5" w:rsidP="00FE1DEE">
          <w:pPr>
            <w:pStyle w:val="Footer"/>
          </w:pPr>
          <w:r w:rsidRPr="00487162">
            <w:t>V1.0 October 2010</w:t>
          </w:r>
        </w:p>
      </w:tc>
      <w:tc>
        <w:tcPr>
          <w:tcW w:w="4342" w:type="dxa"/>
          <w:tcBorders>
            <w:top w:val="single" w:sz="4" w:space="0" w:color="auto"/>
          </w:tcBorders>
          <w:tcMar>
            <w:top w:w="142" w:type="dxa"/>
            <w:bottom w:w="0" w:type="dxa"/>
          </w:tcMar>
        </w:tcPr>
        <w:p w:rsidR="00A560A5" w:rsidRPr="00487162" w:rsidRDefault="00A560A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w:t>
          </w:r>
          <w:r>
            <w:rPr>
              <w:noProof/>
            </w:rPr>
            <w:fldChar w:fldCharType="end"/>
          </w:r>
        </w:p>
      </w:tc>
    </w:tr>
  </w:tbl>
  <w:p w:rsidR="00A560A5" w:rsidRDefault="00A560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A5" w:rsidRPr="001C32CD" w:rsidRDefault="00A560A5"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560A5" w:rsidTr="0010601F">
      <w:trPr>
        <w:trHeight w:val="108"/>
      </w:trPr>
      <w:tc>
        <w:tcPr>
          <w:tcW w:w="8875" w:type="dxa"/>
          <w:gridSpan w:val="2"/>
          <w:tcBorders>
            <w:bottom w:val="single" w:sz="4" w:space="0" w:color="auto"/>
          </w:tcBorders>
          <w:tcMar>
            <w:right w:w="284" w:type="dxa"/>
          </w:tcMar>
        </w:tcPr>
        <w:p w:rsidR="00A560A5" w:rsidRDefault="00A560A5" w:rsidP="006E08B3">
          <w:pPr>
            <w:pStyle w:val="Heading3"/>
          </w:pPr>
          <w:r>
            <w:t>Copyright</w:t>
          </w:r>
        </w:p>
        <w:p w:rsidR="00A560A5" w:rsidRDefault="00A560A5" w:rsidP="006E08B3">
          <w:r>
            <w:rPr>
              <w:rFonts w:cs="Arial"/>
            </w:rPr>
            <w:t>©</w:t>
          </w:r>
          <w:r>
            <w:t xml:space="preserve"> Commonwealth of Australia [add year]</w:t>
          </w:r>
        </w:p>
        <w:p w:rsidR="00A560A5" w:rsidRDefault="00A560A5" w:rsidP="006E08B3"/>
        <w:p w:rsidR="00A560A5" w:rsidRDefault="00A560A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560A5" w:rsidRDefault="00A560A5" w:rsidP="006E08B3"/>
        <w:p w:rsidR="00A560A5" w:rsidRDefault="00A560A5" w:rsidP="006E08B3">
          <w:pPr>
            <w:pStyle w:val="Heading3"/>
          </w:pPr>
          <w:r>
            <w:t>Confidentiality</w:t>
          </w:r>
        </w:p>
        <w:p w:rsidR="00A560A5" w:rsidRDefault="00A560A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560A5" w:rsidRDefault="00A560A5" w:rsidP="006E08B3"/>
        <w:p w:rsidR="00A560A5" w:rsidRDefault="00A560A5" w:rsidP="006E08B3">
          <w:r>
            <w:t>For submission made by individuals, all personal details, other than your name, will be removed from your submission before it is published on the TGA’s Internet site.</w:t>
          </w:r>
        </w:p>
        <w:p w:rsidR="00A560A5" w:rsidRDefault="00A560A5" w:rsidP="006E08B3"/>
        <w:p w:rsidR="00A560A5" w:rsidRDefault="00A560A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560A5" w:rsidTr="0010601F">
      <w:trPr>
        <w:trHeight w:val="417"/>
      </w:trPr>
      <w:tc>
        <w:tcPr>
          <w:tcW w:w="4519" w:type="dxa"/>
          <w:tcBorders>
            <w:top w:val="single" w:sz="4" w:space="0" w:color="auto"/>
          </w:tcBorders>
          <w:tcMar>
            <w:top w:w="142" w:type="dxa"/>
            <w:bottom w:w="0" w:type="dxa"/>
          </w:tcMar>
        </w:tcPr>
        <w:p w:rsidR="00A560A5" w:rsidRDefault="00A560A5" w:rsidP="006E08B3">
          <w:r>
            <w:t>Document title, Part #, Section # - Section title</w:t>
          </w:r>
        </w:p>
        <w:p w:rsidR="00A560A5" w:rsidRDefault="00A560A5" w:rsidP="006E08B3">
          <w:r>
            <w:t>V1.0 October 2010</w:t>
          </w:r>
        </w:p>
      </w:tc>
      <w:tc>
        <w:tcPr>
          <w:tcW w:w="4356" w:type="dxa"/>
          <w:tcBorders>
            <w:top w:val="single" w:sz="4" w:space="0" w:color="auto"/>
          </w:tcBorders>
          <w:tcMar>
            <w:top w:w="142" w:type="dxa"/>
            <w:bottom w:w="0" w:type="dxa"/>
          </w:tcMar>
        </w:tcPr>
        <w:p w:rsidR="00A560A5" w:rsidRDefault="00A560A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w:t>
          </w:r>
          <w:r>
            <w:rPr>
              <w:noProof/>
            </w:rPr>
            <w:fldChar w:fldCharType="end"/>
          </w:r>
          <w:r>
            <w:t xml:space="preserve">  </w:t>
          </w:r>
        </w:p>
      </w:tc>
    </w:tr>
  </w:tbl>
  <w:p w:rsidR="00A560A5" w:rsidRDefault="00A560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0A5" w:rsidRDefault="00A560A5" w:rsidP="00C40A36">
      <w:pPr>
        <w:spacing w:after="0"/>
      </w:pPr>
      <w:r>
        <w:separator/>
      </w:r>
    </w:p>
  </w:footnote>
  <w:footnote w:type="continuationSeparator" w:id="0">
    <w:p w:rsidR="00A560A5" w:rsidRDefault="00A560A5" w:rsidP="00C40A36">
      <w:pPr>
        <w:spacing w:after="0"/>
      </w:pPr>
      <w:r>
        <w:continuationSeparator/>
      </w:r>
    </w:p>
  </w:footnote>
  <w:footnote w:id="1">
    <w:p w:rsidR="00A560A5" w:rsidRPr="00046980" w:rsidRDefault="00A560A5" w:rsidP="001B5658">
      <w:pPr>
        <w:pStyle w:val="FootnoteText"/>
      </w:pPr>
      <w:r w:rsidRPr="00046980">
        <w:rPr>
          <w:vertAlign w:val="superscript"/>
        </w:rPr>
        <w:footnoteRef/>
      </w:r>
      <w:r w:rsidRPr="00046980">
        <w:t xml:space="preserve"> Androgen-deprivation therapies include surgical castration or medical therapy with </w:t>
      </w:r>
      <w:proofErr w:type="spellStart"/>
      <w:r w:rsidRPr="00046980">
        <w:t>GnRH</w:t>
      </w:r>
      <w:proofErr w:type="spellEnd"/>
      <w:r w:rsidRPr="00046980">
        <w:t xml:space="preserve"> analogues, anti-androgens (such as </w:t>
      </w:r>
      <w:proofErr w:type="spellStart"/>
      <w:r w:rsidRPr="00046980">
        <w:t>bicalutamide</w:t>
      </w:r>
      <w:proofErr w:type="spellEnd"/>
      <w:r w:rsidRPr="00046980">
        <w:t xml:space="preserve">, </w:t>
      </w:r>
      <w:proofErr w:type="spellStart"/>
      <w:r w:rsidRPr="00046980">
        <w:t>flutamide</w:t>
      </w:r>
      <w:proofErr w:type="spellEnd"/>
      <w:r w:rsidRPr="00046980">
        <w:t xml:space="preserve">, and </w:t>
      </w:r>
      <w:proofErr w:type="spellStart"/>
      <w:r w:rsidRPr="00046980">
        <w:t>nilutamide</w:t>
      </w:r>
      <w:proofErr w:type="spellEnd"/>
      <w:r w:rsidRPr="00046980">
        <w:t xml:space="preserve">), androgen synthesis blockers (such as </w:t>
      </w:r>
      <w:proofErr w:type="spellStart"/>
      <w:r w:rsidRPr="00046980">
        <w:t>abiraterone</w:t>
      </w:r>
      <w:proofErr w:type="spellEnd"/>
      <w:r w:rsidRPr="00046980">
        <w:t>)</w:t>
      </w:r>
      <w:r>
        <w:t>, and/or oestrogenic compounds.</w:t>
      </w:r>
    </w:p>
  </w:footnote>
  <w:footnote w:id="2">
    <w:p w:rsidR="00A560A5" w:rsidRPr="00593CCA" w:rsidRDefault="00A560A5" w:rsidP="00BA4960">
      <w:pPr>
        <w:pStyle w:val="FootnoteText"/>
      </w:pPr>
      <w:r w:rsidRPr="00593CCA">
        <w:rPr>
          <w:vertAlign w:val="superscript"/>
        </w:rPr>
        <w:footnoteRef/>
      </w:r>
      <w:r w:rsidRPr="00593CCA">
        <w:t xml:space="preserve"> </w:t>
      </w:r>
      <w:proofErr w:type="spellStart"/>
      <w:proofErr w:type="gramStart"/>
      <w:r w:rsidRPr="00593CCA">
        <w:t>Golshayan</w:t>
      </w:r>
      <w:proofErr w:type="spellEnd"/>
      <w:r w:rsidRPr="00593CCA">
        <w:t xml:space="preserve">, A.R. and E. S. </w:t>
      </w:r>
      <w:proofErr w:type="spellStart"/>
      <w:r w:rsidRPr="00593CCA">
        <w:t>Antonarakis</w:t>
      </w:r>
      <w:proofErr w:type="spellEnd"/>
      <w:r w:rsidRPr="00593CCA">
        <w:t>.</w:t>
      </w:r>
      <w:proofErr w:type="gramEnd"/>
      <w:r w:rsidRPr="00593CCA">
        <w:t xml:space="preserve"> Enzalutamide: an evidence-based review of its use in the treatment of prostate cancer. </w:t>
      </w:r>
      <w:r w:rsidRPr="00593CCA">
        <w:rPr>
          <w:i/>
        </w:rPr>
        <w:t>Core Evidence</w:t>
      </w:r>
      <w:r w:rsidRPr="00593CCA">
        <w:t xml:space="preserve"> </w:t>
      </w:r>
      <w:r>
        <w:t>2013</w:t>
      </w:r>
      <w:proofErr w:type="gramStart"/>
      <w:r>
        <w:t>;</w:t>
      </w:r>
      <w:r w:rsidRPr="00593CCA">
        <w:t>8:</w:t>
      </w:r>
      <w:r>
        <w:t>27</w:t>
      </w:r>
      <w:proofErr w:type="gramEnd"/>
      <w:r>
        <w:t>-</w:t>
      </w:r>
      <w:r w:rsidRPr="00593CCA">
        <w:t>35.</w:t>
      </w:r>
    </w:p>
  </w:footnote>
  <w:footnote w:id="3">
    <w:p w:rsidR="00A560A5" w:rsidRPr="00593CCA" w:rsidRDefault="00A560A5" w:rsidP="00BA4960">
      <w:pPr>
        <w:pStyle w:val="FootnoteText"/>
      </w:pPr>
      <w:r w:rsidRPr="00593CCA">
        <w:rPr>
          <w:vertAlign w:val="superscript"/>
        </w:rPr>
        <w:footnoteRef/>
      </w:r>
      <w:r w:rsidRPr="00593CCA">
        <w:t xml:space="preserve"> Foster, W.R., B.D. Car, H. Shi et al. Drug safety is a barrier to the discovery and development of new androgen receptor antagonists. </w:t>
      </w:r>
      <w:r w:rsidRPr="00593CCA">
        <w:rPr>
          <w:i/>
        </w:rPr>
        <w:t>The Prostate</w:t>
      </w:r>
      <w:r w:rsidRPr="00593CCA">
        <w:t xml:space="preserve"> </w:t>
      </w:r>
      <w:r>
        <w:t>2011</w:t>
      </w:r>
      <w:proofErr w:type="gramStart"/>
      <w:r>
        <w:t>;</w:t>
      </w:r>
      <w:r w:rsidRPr="00593CCA">
        <w:t>71:</w:t>
      </w:r>
      <w:r>
        <w:t>480</w:t>
      </w:r>
      <w:proofErr w:type="gramEnd"/>
      <w:r>
        <w:t>-</w:t>
      </w:r>
      <w:r w:rsidRPr="00593CCA">
        <w:t>488.</w:t>
      </w:r>
    </w:p>
  </w:footnote>
  <w:footnote w:id="4">
    <w:p w:rsidR="00A560A5" w:rsidRPr="00593CCA" w:rsidRDefault="00A560A5" w:rsidP="00BA4960">
      <w:pPr>
        <w:pStyle w:val="FootnoteText"/>
      </w:pPr>
      <w:r w:rsidRPr="00593CCA">
        <w:rPr>
          <w:vertAlign w:val="superscript"/>
        </w:rPr>
        <w:footnoteRef/>
      </w:r>
      <w:r w:rsidRPr="00593CCA">
        <w:t xml:space="preserve"> This study was chosen as exposures to enzalutamide, M1 and M2 were subclinical in the in vivo cardiovascular safety pharmacology study.</w:t>
      </w:r>
    </w:p>
  </w:footnote>
  <w:footnote w:id="5">
    <w:p w:rsidR="00A560A5" w:rsidRPr="00593CCA" w:rsidRDefault="00A560A5" w:rsidP="00BA4960">
      <w:pPr>
        <w:pStyle w:val="FootnoteText"/>
      </w:pPr>
      <w:r w:rsidRPr="00593CCA">
        <w:rPr>
          <w:vertAlign w:val="superscript"/>
        </w:rPr>
        <w:footnoteRef/>
      </w:r>
      <w:r w:rsidRPr="00593CCA">
        <w:t xml:space="preserve"> Redfern, W.S., L. </w:t>
      </w:r>
      <w:proofErr w:type="spellStart"/>
      <w:r w:rsidRPr="00593CCA">
        <w:t>Carlsson</w:t>
      </w:r>
      <w:proofErr w:type="spellEnd"/>
      <w:r w:rsidRPr="00593CCA">
        <w:t xml:space="preserve">, A.S. Davis, </w:t>
      </w:r>
      <w:r>
        <w:t xml:space="preserve">et al. </w:t>
      </w:r>
      <w:r w:rsidRPr="00593CCA">
        <w:t xml:space="preserve">Relationships between preclinical cardiac electrophysiology, clinical QT interval prolongation and torsade de pointes for a broad range of drugs: evidence for a provisional safety margin in drug development. </w:t>
      </w:r>
      <w:r w:rsidRPr="00E86AD5">
        <w:rPr>
          <w:i/>
        </w:rPr>
        <w:t>Cardiovascular Res</w:t>
      </w:r>
      <w:r w:rsidRPr="00593CCA">
        <w:t xml:space="preserve">. </w:t>
      </w:r>
      <w:r>
        <w:t>2003</w:t>
      </w:r>
      <w:proofErr w:type="gramStart"/>
      <w:r>
        <w:t>;</w:t>
      </w:r>
      <w:r w:rsidRPr="00593CCA">
        <w:t>58:32</w:t>
      </w:r>
      <w:proofErr w:type="gramEnd"/>
      <w:r w:rsidRPr="00593CCA">
        <w:t>-45.</w:t>
      </w:r>
    </w:p>
  </w:footnote>
  <w:footnote w:id="6">
    <w:p w:rsidR="00A560A5" w:rsidRDefault="00A560A5" w:rsidP="00BA4960">
      <w:pPr>
        <w:pStyle w:val="FootnoteText"/>
      </w:pPr>
      <w:r>
        <w:rPr>
          <w:rStyle w:val="FootnoteReference"/>
        </w:rPr>
        <w:footnoteRef/>
      </w:r>
      <w:r>
        <w:t xml:space="preserve"> </w:t>
      </w:r>
      <w:r w:rsidRPr="00E86AD5">
        <w:t xml:space="preserve">The QT interval is the portion of an </w:t>
      </w:r>
      <w:r w:rsidRPr="00BA4960">
        <w:t>electrocardiogram</w:t>
      </w:r>
      <w:r w:rsidRPr="00E86AD5">
        <w:t xml:space="preserve"> between the onset of the Q wave and the end of the T wave, representing the total time for ventricular depolarization and repolarization. A prolonged QT interval is a risk factor for ventricular </w:t>
      </w:r>
      <w:proofErr w:type="spellStart"/>
      <w:r w:rsidRPr="00E86AD5">
        <w:t>tachyarrhythmias</w:t>
      </w:r>
      <w:proofErr w:type="spellEnd"/>
      <w:r w:rsidRPr="00E86AD5">
        <w:t xml:space="preserve"> such as torsade de pointes and sudden death.</w:t>
      </w:r>
    </w:p>
  </w:footnote>
  <w:footnote w:id="7">
    <w:p w:rsidR="00A560A5" w:rsidRPr="00593CCA" w:rsidRDefault="00A560A5" w:rsidP="00BA4960">
      <w:pPr>
        <w:pStyle w:val="FootnoteText"/>
      </w:pPr>
      <w:r w:rsidRPr="00E86AD5">
        <w:rPr>
          <w:vertAlign w:val="superscript"/>
        </w:rPr>
        <w:footnoteRef/>
      </w:r>
      <w:r w:rsidRPr="00593CCA">
        <w:t xml:space="preserve"> Based on data in the </w:t>
      </w:r>
      <w:proofErr w:type="spellStart"/>
      <w:r w:rsidRPr="00593CCA">
        <w:t>toxicokinetic</w:t>
      </w:r>
      <w:proofErr w:type="spellEnd"/>
      <w:r w:rsidRPr="00593CCA">
        <w:t xml:space="preserve"> study (9785-TX-0011) in rats at 100 mg/kg, at which enzalutamide was dosed as a solution in Labrasol. Plasma enzalutamide concentrations for the 200 mg/kg dose as a suspension in Labrasol were below those at 100 mg/kg in the </w:t>
      </w:r>
      <w:proofErr w:type="spellStart"/>
      <w:r w:rsidRPr="00593CCA">
        <w:t>toxicokinetic</w:t>
      </w:r>
      <w:proofErr w:type="spellEnd"/>
      <w:r w:rsidRPr="00593CCA">
        <w:t xml:space="preserve"> study. In the safety pharmacology studies, enzalutamide was dosed at 200 mg/kg as a solution in</w:t>
      </w:r>
      <w:r>
        <w:t xml:space="preserve"> </w:t>
      </w:r>
      <w:proofErr w:type="spellStart"/>
      <w:r>
        <w:t>Labrasol</w:t>
      </w:r>
      <w:proofErr w:type="spellEnd"/>
      <w:r>
        <w:t>.</w:t>
      </w:r>
    </w:p>
  </w:footnote>
  <w:footnote w:id="8">
    <w:p w:rsidR="00A560A5" w:rsidRPr="00593CCA" w:rsidRDefault="00A560A5" w:rsidP="00BA4960">
      <w:pPr>
        <w:pStyle w:val="FootnoteText"/>
      </w:pPr>
      <w:r w:rsidRPr="00E86AD5">
        <w:rPr>
          <w:vertAlign w:val="superscript"/>
        </w:rPr>
        <w:footnoteRef/>
      </w:r>
      <w:r w:rsidRPr="00593CCA">
        <w:t xml:space="preserve"> </w:t>
      </w:r>
      <w:proofErr w:type="spellStart"/>
      <w:r w:rsidRPr="00593CCA">
        <w:t>Damsch</w:t>
      </w:r>
      <w:proofErr w:type="spellEnd"/>
      <w:r w:rsidRPr="00593CCA">
        <w:t xml:space="preserve">, S., G. </w:t>
      </w:r>
      <w:proofErr w:type="spellStart"/>
      <w:r w:rsidRPr="00593CCA">
        <w:t>Eichenbaum</w:t>
      </w:r>
      <w:proofErr w:type="spellEnd"/>
      <w:r w:rsidRPr="00593CCA">
        <w:t xml:space="preserve">, A. </w:t>
      </w:r>
      <w:proofErr w:type="spellStart"/>
      <w:r w:rsidRPr="00593CCA">
        <w:t>Tonelli</w:t>
      </w:r>
      <w:proofErr w:type="spellEnd"/>
      <w:r w:rsidRPr="00593CCA">
        <w:t xml:space="preserve"> et al. Gavage-related reflux in rats: identification, pathogenesis, and toxicological implications (review). </w:t>
      </w:r>
      <w:proofErr w:type="spellStart"/>
      <w:proofErr w:type="gramStart"/>
      <w:r w:rsidRPr="00E86AD5">
        <w:rPr>
          <w:i/>
        </w:rPr>
        <w:t>Toxicol</w:t>
      </w:r>
      <w:proofErr w:type="spellEnd"/>
      <w:r w:rsidRPr="00E86AD5">
        <w:rPr>
          <w:i/>
        </w:rPr>
        <w:t>.</w:t>
      </w:r>
      <w:proofErr w:type="gramEnd"/>
      <w:r w:rsidRPr="00E86AD5">
        <w:rPr>
          <w:i/>
        </w:rPr>
        <w:t xml:space="preserve"> </w:t>
      </w:r>
      <w:proofErr w:type="spellStart"/>
      <w:proofErr w:type="gramStart"/>
      <w:r w:rsidRPr="00E86AD5">
        <w:rPr>
          <w:i/>
        </w:rPr>
        <w:t>Pathol</w:t>
      </w:r>
      <w:proofErr w:type="spellEnd"/>
      <w:r w:rsidRPr="00593CCA">
        <w:t>.</w:t>
      </w:r>
      <w:proofErr w:type="gramEnd"/>
      <w:r w:rsidRPr="00593CCA">
        <w:t xml:space="preserve"> </w:t>
      </w:r>
      <w:r>
        <w:t>2011</w:t>
      </w:r>
      <w:proofErr w:type="gramStart"/>
      <w:r>
        <w:t>;</w:t>
      </w:r>
      <w:r w:rsidRPr="00593CCA">
        <w:t>39:348</w:t>
      </w:r>
      <w:proofErr w:type="gramEnd"/>
      <w:r w:rsidRPr="00593CCA">
        <w:t>‒360.</w:t>
      </w:r>
    </w:p>
  </w:footnote>
  <w:footnote w:id="9">
    <w:p w:rsidR="00A560A5" w:rsidRPr="00BA4960" w:rsidRDefault="00A560A5" w:rsidP="00BA4960">
      <w:pPr>
        <w:pStyle w:val="FootnoteText"/>
      </w:pPr>
      <w:r>
        <w:rPr>
          <w:rStyle w:val="FootnoteReference"/>
        </w:rPr>
        <w:footnoteRef/>
      </w:r>
      <w:r>
        <w:t xml:space="preserve"> While the nonclinical overview states 0.5 mL/kg for dogs, the dose volumes used in the dog studies were generally greater than this value and the dose volume in the pivotal dog study was 1.0 mL/kg/day. Based on the findings in the other dog studies, this can be considered the maximum tolerated dose volume.</w:t>
      </w:r>
    </w:p>
  </w:footnote>
  <w:footnote w:id="10">
    <w:p w:rsidR="00A560A5" w:rsidRPr="000F30C5" w:rsidRDefault="00A560A5" w:rsidP="00BA4960">
      <w:pPr>
        <w:pStyle w:val="FootnoteText"/>
      </w:pPr>
      <w:r w:rsidRPr="000F30C5">
        <w:rPr>
          <w:vertAlign w:val="superscript"/>
        </w:rPr>
        <w:footnoteRef/>
      </w:r>
      <w:r w:rsidRPr="000F30C5">
        <w:t xml:space="preserve"> </w:t>
      </w:r>
      <w:proofErr w:type="spellStart"/>
      <w:proofErr w:type="gramStart"/>
      <w:r w:rsidRPr="000F30C5">
        <w:t>Pinski</w:t>
      </w:r>
      <w:proofErr w:type="spellEnd"/>
      <w:r w:rsidRPr="000F30C5">
        <w:t xml:space="preserve">, J., T. Yano, K. </w:t>
      </w:r>
      <w:proofErr w:type="spellStart"/>
      <w:r w:rsidRPr="000F30C5">
        <w:t>Szepeshazi</w:t>
      </w:r>
      <w:proofErr w:type="spellEnd"/>
      <w:r w:rsidRPr="000F30C5">
        <w:t>, K. Groot and A.V. Schally.</w:t>
      </w:r>
      <w:proofErr w:type="gramEnd"/>
      <w:r w:rsidRPr="000F30C5">
        <w:t xml:space="preserve"> </w:t>
      </w:r>
      <w:proofErr w:type="gramStart"/>
      <w:r w:rsidRPr="000F30C5">
        <w:t xml:space="preserve">Recovery of pituitary-gonadal function in male rats after long-term suppression induced by a single injection of microcapsules of LH-RH antagonist </w:t>
      </w:r>
      <w:proofErr w:type="spellStart"/>
      <w:r w:rsidRPr="000F30C5">
        <w:t>Cetrorelix</w:t>
      </w:r>
      <w:proofErr w:type="spellEnd"/>
      <w:r w:rsidRPr="000F30C5">
        <w:t xml:space="preserve"> (SB-75).</w:t>
      </w:r>
      <w:proofErr w:type="gramEnd"/>
      <w:r w:rsidRPr="000F30C5">
        <w:t xml:space="preserve"> </w:t>
      </w:r>
      <w:r w:rsidRPr="000F30C5">
        <w:rPr>
          <w:i/>
        </w:rPr>
        <w:t xml:space="preserve">J. </w:t>
      </w:r>
      <w:proofErr w:type="spellStart"/>
      <w:r w:rsidRPr="000F30C5">
        <w:rPr>
          <w:i/>
        </w:rPr>
        <w:t>Androl</w:t>
      </w:r>
      <w:proofErr w:type="spellEnd"/>
      <w:r w:rsidRPr="000F30C5">
        <w:t xml:space="preserve">. </w:t>
      </w:r>
      <w:r>
        <w:t>1993</w:t>
      </w:r>
      <w:proofErr w:type="gramStart"/>
      <w:r>
        <w:t>;</w:t>
      </w:r>
      <w:r w:rsidRPr="000F30C5">
        <w:t>14:164</w:t>
      </w:r>
      <w:proofErr w:type="gramEnd"/>
      <w:r w:rsidRPr="000F30C5">
        <w:t>-169.</w:t>
      </w:r>
    </w:p>
  </w:footnote>
  <w:footnote w:id="11">
    <w:p w:rsidR="00A560A5" w:rsidRPr="000F30C5" w:rsidRDefault="00A560A5" w:rsidP="00BA4960">
      <w:pPr>
        <w:pStyle w:val="FootnoteText"/>
      </w:pPr>
      <w:r w:rsidRPr="000F30C5">
        <w:rPr>
          <w:vertAlign w:val="superscript"/>
        </w:rPr>
        <w:footnoteRef/>
      </w:r>
      <w:r w:rsidRPr="000F30C5">
        <w:t xml:space="preserve"> </w:t>
      </w:r>
      <w:proofErr w:type="spellStart"/>
      <w:proofErr w:type="gramStart"/>
      <w:r w:rsidRPr="000F30C5">
        <w:t>Iswaran</w:t>
      </w:r>
      <w:proofErr w:type="spellEnd"/>
      <w:r w:rsidRPr="000F30C5">
        <w:t xml:space="preserve">, T.J., M. Imai, G.R. </w:t>
      </w:r>
      <w:proofErr w:type="spellStart"/>
      <w:r w:rsidRPr="000F30C5">
        <w:t>Betton</w:t>
      </w:r>
      <w:proofErr w:type="spellEnd"/>
      <w:r w:rsidRPr="000F30C5">
        <w:t xml:space="preserve"> and R.A. </w:t>
      </w:r>
      <w:proofErr w:type="spellStart"/>
      <w:r w:rsidRPr="000F30C5">
        <w:t>Siddall</w:t>
      </w:r>
      <w:proofErr w:type="spellEnd"/>
      <w:r w:rsidRPr="000F30C5">
        <w:t>.</w:t>
      </w:r>
      <w:proofErr w:type="gramEnd"/>
      <w:r w:rsidRPr="000F30C5">
        <w:t xml:space="preserve"> An overview of animal toxicology studies with </w:t>
      </w:r>
      <w:proofErr w:type="spellStart"/>
      <w:r w:rsidRPr="000F30C5">
        <w:t>bicalutamide</w:t>
      </w:r>
      <w:proofErr w:type="spellEnd"/>
      <w:r w:rsidRPr="000F30C5">
        <w:t xml:space="preserve"> (ICI 176,334). </w:t>
      </w:r>
      <w:r w:rsidRPr="000F30C5">
        <w:rPr>
          <w:i/>
        </w:rPr>
        <w:t xml:space="preserve">J. </w:t>
      </w:r>
      <w:proofErr w:type="spellStart"/>
      <w:r w:rsidRPr="000F30C5">
        <w:rPr>
          <w:i/>
        </w:rPr>
        <w:t>Toxicol</w:t>
      </w:r>
      <w:proofErr w:type="spellEnd"/>
      <w:r w:rsidRPr="000F30C5">
        <w:rPr>
          <w:i/>
        </w:rPr>
        <w:t>. Sci.</w:t>
      </w:r>
      <w:r w:rsidRPr="000F30C5">
        <w:t xml:space="preserve"> </w:t>
      </w:r>
      <w:r>
        <w:t>1997</w:t>
      </w:r>
      <w:proofErr w:type="gramStart"/>
      <w:r>
        <w:t>;</w:t>
      </w:r>
      <w:r w:rsidRPr="000F30C5">
        <w:t>22:75</w:t>
      </w:r>
      <w:proofErr w:type="gramEnd"/>
      <w:r w:rsidRPr="000F30C5">
        <w:t>‒88.</w:t>
      </w:r>
    </w:p>
  </w:footnote>
  <w:footnote w:id="12">
    <w:p w:rsidR="00A560A5" w:rsidRPr="00514E07" w:rsidRDefault="00A560A5" w:rsidP="00BA4960">
      <w:pPr>
        <w:pStyle w:val="FootnoteText"/>
      </w:pPr>
      <w:r w:rsidRPr="00514E07">
        <w:rPr>
          <w:vertAlign w:val="superscript"/>
        </w:rPr>
        <w:footnoteRef/>
      </w:r>
      <w:r w:rsidRPr="00514E07">
        <w:t xml:space="preserve"> Hard G. C., Khan K. N. </w:t>
      </w:r>
      <w:proofErr w:type="gramStart"/>
      <w:r w:rsidRPr="00514E07">
        <w:t>A contemporary overview of chronic progressive nephropathy in the laboratory rat, and its significance for human risk assessment.</w:t>
      </w:r>
      <w:proofErr w:type="gramEnd"/>
      <w:r w:rsidRPr="00514E07">
        <w:t xml:space="preserve"> </w:t>
      </w:r>
      <w:proofErr w:type="spellStart"/>
      <w:proofErr w:type="gramStart"/>
      <w:r w:rsidRPr="00C40200">
        <w:rPr>
          <w:i/>
        </w:rPr>
        <w:t>Toxicol</w:t>
      </w:r>
      <w:proofErr w:type="spellEnd"/>
      <w:r w:rsidRPr="00C40200">
        <w:rPr>
          <w:i/>
        </w:rPr>
        <w:t>.</w:t>
      </w:r>
      <w:proofErr w:type="gramEnd"/>
      <w:r w:rsidRPr="00C40200">
        <w:rPr>
          <w:i/>
        </w:rPr>
        <w:t xml:space="preserve"> </w:t>
      </w:r>
      <w:proofErr w:type="spellStart"/>
      <w:r w:rsidRPr="00C40200">
        <w:rPr>
          <w:i/>
        </w:rPr>
        <w:t>Pathol</w:t>
      </w:r>
      <w:proofErr w:type="spellEnd"/>
      <w:r w:rsidRPr="00514E07">
        <w:t xml:space="preserve"> </w:t>
      </w:r>
      <w:r>
        <w:t>2004</w:t>
      </w:r>
      <w:proofErr w:type="gramStart"/>
      <w:r>
        <w:t>;32:171</w:t>
      </w:r>
      <w:proofErr w:type="gramEnd"/>
      <w:r>
        <w:t>-</w:t>
      </w:r>
      <w:r w:rsidRPr="00514E07">
        <w:t>180.</w:t>
      </w:r>
    </w:p>
  </w:footnote>
  <w:footnote w:id="13">
    <w:p w:rsidR="00A560A5" w:rsidRPr="00C40200" w:rsidRDefault="00A560A5" w:rsidP="00BA4960">
      <w:pPr>
        <w:pStyle w:val="FootnoteText"/>
      </w:pPr>
      <w:r w:rsidRPr="00514E07">
        <w:rPr>
          <w:vertAlign w:val="superscript"/>
        </w:rPr>
        <w:footnoteRef/>
      </w:r>
      <w:r w:rsidRPr="00514E07">
        <w:t xml:space="preserve"> </w:t>
      </w:r>
      <w:proofErr w:type="gramStart"/>
      <w:r w:rsidRPr="00514E07">
        <w:t>Hard G. C., Johnson K. J., Cohen S. M</w:t>
      </w:r>
      <w:r>
        <w:t>.</w:t>
      </w:r>
      <w:proofErr w:type="gramEnd"/>
      <w:r w:rsidRPr="00514E07">
        <w:t xml:space="preserve"> </w:t>
      </w:r>
      <w:proofErr w:type="gramStart"/>
      <w:r w:rsidRPr="00514E07">
        <w:t>A comparison of rat chronic progressive nephr</w:t>
      </w:r>
      <w:r>
        <w:t xml:space="preserve">opathy with human renal disease - </w:t>
      </w:r>
      <w:r w:rsidRPr="00514E07">
        <w:t>Implications for human risk assessment</w:t>
      </w:r>
      <w:r>
        <w:t>.</w:t>
      </w:r>
      <w:proofErr w:type="gramEnd"/>
      <w:r>
        <w:t xml:space="preserve"> </w:t>
      </w:r>
      <w:r w:rsidRPr="00C40200">
        <w:rPr>
          <w:i/>
        </w:rPr>
        <w:t xml:space="preserve">Crit. Rev. </w:t>
      </w:r>
      <w:proofErr w:type="spellStart"/>
      <w:r w:rsidRPr="00C40200">
        <w:rPr>
          <w:i/>
        </w:rPr>
        <w:t>Toxicol</w:t>
      </w:r>
      <w:proofErr w:type="spellEnd"/>
      <w:r>
        <w:t xml:space="preserve">. </w:t>
      </w:r>
      <w:r w:rsidRPr="00C40200">
        <w:t>2009</w:t>
      </w:r>
      <w:r>
        <w:t>;39:332-</w:t>
      </w:r>
      <w:r w:rsidRPr="00514E07">
        <w:t>346</w:t>
      </w:r>
    </w:p>
  </w:footnote>
  <w:footnote w:id="14">
    <w:p w:rsidR="00A560A5" w:rsidRPr="00C40200" w:rsidRDefault="00A560A5" w:rsidP="00BA4960">
      <w:pPr>
        <w:pStyle w:val="FootnoteText"/>
      </w:pPr>
      <w:r w:rsidRPr="00C40200">
        <w:rPr>
          <w:vertAlign w:val="superscript"/>
        </w:rPr>
        <w:footnoteRef/>
      </w:r>
      <w:r w:rsidRPr="00C40200">
        <w:t xml:space="preserve"> </w:t>
      </w:r>
      <w:proofErr w:type="spellStart"/>
      <w:proofErr w:type="gramStart"/>
      <w:r w:rsidRPr="00C40200">
        <w:t>Iswaran</w:t>
      </w:r>
      <w:proofErr w:type="spellEnd"/>
      <w:r w:rsidRPr="00C40200">
        <w:t xml:space="preserve">, T.J., M. Imai, G.R. </w:t>
      </w:r>
      <w:proofErr w:type="spellStart"/>
      <w:r w:rsidRPr="00C40200">
        <w:t>Betton</w:t>
      </w:r>
      <w:proofErr w:type="spellEnd"/>
      <w:r w:rsidRPr="00C40200">
        <w:t xml:space="preserve"> and R.A. </w:t>
      </w:r>
      <w:proofErr w:type="spellStart"/>
      <w:r w:rsidRPr="00C40200">
        <w:t>Siddall</w:t>
      </w:r>
      <w:proofErr w:type="spellEnd"/>
      <w:r w:rsidRPr="00C40200">
        <w:t>.</w:t>
      </w:r>
      <w:proofErr w:type="gramEnd"/>
      <w:r w:rsidRPr="00C40200">
        <w:t xml:space="preserve"> An overview of animal toxicology studies with </w:t>
      </w:r>
      <w:proofErr w:type="spellStart"/>
      <w:r w:rsidRPr="00C40200">
        <w:t>bicalutamide</w:t>
      </w:r>
      <w:proofErr w:type="spellEnd"/>
      <w:r w:rsidRPr="00C40200">
        <w:t xml:space="preserve"> (ICI 176,334). </w:t>
      </w:r>
      <w:r w:rsidRPr="00C40200">
        <w:rPr>
          <w:i/>
        </w:rPr>
        <w:t xml:space="preserve">J. </w:t>
      </w:r>
      <w:proofErr w:type="spellStart"/>
      <w:r w:rsidRPr="00C40200">
        <w:rPr>
          <w:i/>
        </w:rPr>
        <w:t>Toxicol</w:t>
      </w:r>
      <w:proofErr w:type="spellEnd"/>
      <w:r w:rsidRPr="00C40200">
        <w:rPr>
          <w:i/>
        </w:rPr>
        <w:t>. Sci</w:t>
      </w:r>
      <w:r w:rsidRPr="00C40200">
        <w:t>. 1997</w:t>
      </w:r>
      <w:proofErr w:type="gramStart"/>
      <w:r w:rsidRPr="00C40200">
        <w:t>;22:</w:t>
      </w:r>
      <w:r>
        <w:t>75</w:t>
      </w:r>
      <w:proofErr w:type="gramEnd"/>
      <w:r>
        <w:t>-</w:t>
      </w:r>
      <w:r w:rsidRPr="00C40200">
        <w:t>88.</w:t>
      </w:r>
    </w:p>
  </w:footnote>
  <w:footnote w:id="15">
    <w:p w:rsidR="00A560A5" w:rsidRPr="00C40200" w:rsidRDefault="00A560A5" w:rsidP="00BA4960">
      <w:pPr>
        <w:pStyle w:val="FootnoteText"/>
      </w:pPr>
      <w:r w:rsidRPr="00C40200">
        <w:rPr>
          <w:vertAlign w:val="superscript"/>
        </w:rPr>
        <w:footnoteRef/>
      </w:r>
      <w:r w:rsidRPr="00C40200">
        <w:t xml:space="preserve"> </w:t>
      </w:r>
      <w:proofErr w:type="spellStart"/>
      <w:r w:rsidRPr="00C40200">
        <w:t>Damsch</w:t>
      </w:r>
      <w:proofErr w:type="spellEnd"/>
      <w:r w:rsidRPr="00C40200">
        <w:t xml:space="preserve">, S., G. </w:t>
      </w:r>
      <w:proofErr w:type="spellStart"/>
      <w:r w:rsidRPr="00C40200">
        <w:t>Eichenbaum</w:t>
      </w:r>
      <w:proofErr w:type="spellEnd"/>
      <w:r w:rsidRPr="00C40200">
        <w:t xml:space="preserve">, A. </w:t>
      </w:r>
      <w:proofErr w:type="spellStart"/>
      <w:r w:rsidRPr="00C40200">
        <w:t>Tonelli</w:t>
      </w:r>
      <w:proofErr w:type="spellEnd"/>
      <w:r w:rsidRPr="00C40200">
        <w:t xml:space="preserve"> et al. Gavage-related reflux in rats: identification, pathogenesis, and toxicological implications (review). </w:t>
      </w:r>
      <w:proofErr w:type="spellStart"/>
      <w:proofErr w:type="gramStart"/>
      <w:r w:rsidRPr="00C40200">
        <w:rPr>
          <w:i/>
        </w:rPr>
        <w:t>Toxicol</w:t>
      </w:r>
      <w:proofErr w:type="spellEnd"/>
      <w:r w:rsidRPr="00C40200">
        <w:rPr>
          <w:i/>
        </w:rPr>
        <w:t>.</w:t>
      </w:r>
      <w:proofErr w:type="gramEnd"/>
      <w:r w:rsidRPr="00C40200">
        <w:rPr>
          <w:i/>
        </w:rPr>
        <w:t xml:space="preserve"> </w:t>
      </w:r>
      <w:proofErr w:type="spellStart"/>
      <w:proofErr w:type="gramStart"/>
      <w:r w:rsidRPr="00C40200">
        <w:rPr>
          <w:i/>
        </w:rPr>
        <w:t>Pathol</w:t>
      </w:r>
      <w:proofErr w:type="spellEnd"/>
      <w:r w:rsidRPr="00C40200">
        <w:t>.</w:t>
      </w:r>
      <w:proofErr w:type="gramEnd"/>
      <w:r w:rsidRPr="00C40200">
        <w:t xml:space="preserve"> 2011</w:t>
      </w:r>
      <w:proofErr w:type="gramStart"/>
      <w:r w:rsidRPr="00C40200">
        <w:t>;39:348</w:t>
      </w:r>
      <w:proofErr w:type="gramEnd"/>
      <w:r>
        <w:t>-</w:t>
      </w:r>
      <w:r w:rsidRPr="00C40200">
        <w:t>360.</w:t>
      </w:r>
    </w:p>
  </w:footnote>
  <w:footnote w:id="16">
    <w:p w:rsidR="00A560A5" w:rsidRPr="00E03E90" w:rsidRDefault="00A560A5" w:rsidP="00531C9B">
      <w:pPr>
        <w:pStyle w:val="FootnoteText"/>
      </w:pPr>
      <w:r w:rsidRPr="00E03E90">
        <w:rPr>
          <w:vertAlign w:val="superscript"/>
        </w:rPr>
        <w:footnoteRef/>
      </w:r>
      <w:r w:rsidRPr="00E03E90">
        <w:t xml:space="preserve"> Australian P</w:t>
      </w:r>
      <w:r>
        <w:t xml:space="preserve">I </w:t>
      </w:r>
      <w:r w:rsidRPr="00E03E90">
        <w:t xml:space="preserve">for </w:t>
      </w:r>
      <w:proofErr w:type="spellStart"/>
      <w:r w:rsidRPr="00E03E90">
        <w:t>Zytiga</w:t>
      </w:r>
      <w:proofErr w:type="spellEnd"/>
      <w:r w:rsidRPr="00E03E90">
        <w:t>, March 2012</w:t>
      </w:r>
    </w:p>
  </w:footnote>
  <w:footnote w:id="17">
    <w:p w:rsidR="00A560A5" w:rsidRPr="00BB6145" w:rsidRDefault="00A560A5" w:rsidP="001B7D48">
      <w:pPr>
        <w:pStyle w:val="FootnoteText"/>
      </w:pPr>
      <w:r w:rsidRPr="00BB6145">
        <w:rPr>
          <w:vertAlign w:val="superscript"/>
        </w:rPr>
        <w:footnoteRef/>
      </w:r>
      <w:r w:rsidRPr="00BB6145">
        <w:t xml:space="preserve"> The Child-Pugh score is used to assess the prognosis of chronic liver disease. The score employs five clinical measures of liver disease</w:t>
      </w:r>
      <w:r>
        <w:t xml:space="preserve"> (encephalopathy, ascites, serum bilirubin, serum albumin and prothrombin time)</w:t>
      </w:r>
      <w:r w:rsidRPr="00BB6145">
        <w:t>. Each measure is scored 1-3, with 3 indicating most severe derangement.</w:t>
      </w:r>
      <w:r>
        <w:t xml:space="preserve"> </w:t>
      </w:r>
      <w:r w:rsidRPr="00BB6145">
        <w:t>Assessment as good operative risk (A or mild) if 5 or 6 points; moderate risk (B or moderate)</w:t>
      </w:r>
      <w:r>
        <w:t xml:space="preserve"> </w:t>
      </w:r>
      <w:r w:rsidRPr="00BB6145">
        <w:t>if 7 to 9 points; and poor operative risk (</w:t>
      </w:r>
      <w:r>
        <w:t>C or severe) if 10 to 15 points</w:t>
      </w:r>
      <w:r w:rsidRPr="00BB6145">
        <w:t xml:space="preserve"> (</w:t>
      </w:r>
      <w:r>
        <w:t>d</w:t>
      </w:r>
      <w:r w:rsidRPr="00BB6145">
        <w:t>eveloped for</w:t>
      </w:r>
      <w:r>
        <w:t xml:space="preserve"> </w:t>
      </w:r>
      <w:r w:rsidRPr="00BB6145">
        <w:t xml:space="preserve">surgical evaluation of alcoholic </w:t>
      </w:r>
      <w:proofErr w:type="spellStart"/>
      <w:r w:rsidRPr="00BB6145">
        <w:t>cirrhotics</w:t>
      </w:r>
      <w:proofErr w:type="spellEnd"/>
      <w:r w:rsidRPr="00BB6145">
        <w:t>.)</w:t>
      </w:r>
      <w:r>
        <w:t>.</w:t>
      </w:r>
    </w:p>
  </w:footnote>
  <w:footnote w:id="18">
    <w:p w:rsidR="00A560A5" w:rsidRPr="00E44F74" w:rsidRDefault="00A560A5" w:rsidP="004C3058">
      <w:pPr>
        <w:pStyle w:val="FootnoteText"/>
      </w:pPr>
      <w:r w:rsidRPr="00E44F74">
        <w:rPr>
          <w:vertAlign w:val="superscript"/>
        </w:rPr>
        <w:footnoteRef/>
      </w:r>
      <w:r w:rsidRPr="00E44F74">
        <w:t xml:space="preserve"> The CSR of study 9785-CL-0111 </w:t>
      </w:r>
      <w:r>
        <w:t xml:space="preserve">was </w:t>
      </w:r>
      <w:r w:rsidRPr="00E44F74">
        <w:t xml:space="preserve">not submitted in this application dossier. According to the sponsor, </w:t>
      </w:r>
      <w:r>
        <w:t>S</w:t>
      </w:r>
      <w:r w:rsidRPr="00E44F74">
        <w:t xml:space="preserve">tudy 9785-CL-0111 was an ongoing Phase I-II multi-centre, open-label, uncontrolled, dose-escalation study in Japanese patients with CRPC. At the time of the 07 October 2011 cut-off date for safety analyses, 27 of the anticipated 46 patients (9 patients in dose escalation cohorts and 37 patients in dose expansion cohorts) were enrolled into the study. Study objectives include a determination of the safety and PK of single doses of 80, 160, and 240 mg of </w:t>
      </w:r>
      <w:r w:rsidRPr="00763C63">
        <w:t>enzalutamide</w:t>
      </w:r>
      <w:r w:rsidRPr="00E44F74">
        <w:t xml:space="preserve"> in Japanese patients, safety and PK of multiple daily doses of 160 mg </w:t>
      </w:r>
      <w:r w:rsidRPr="00763C63">
        <w:t>enzalutamide</w:t>
      </w:r>
      <w:r w:rsidRPr="00E44F74">
        <w:t xml:space="preserve"> in Japanese patients, and efficacy measures such as PSA response, circulating tumour cell counts, disease progression, and markers of bone turnover.</w:t>
      </w:r>
    </w:p>
  </w:footnote>
  <w:footnote w:id="19">
    <w:p w:rsidR="00A560A5" w:rsidRPr="00DD0E6B" w:rsidRDefault="00A560A5" w:rsidP="007E328E">
      <w:pPr>
        <w:pStyle w:val="FootnoteText"/>
      </w:pPr>
      <w:r w:rsidRPr="00DD0E6B">
        <w:rPr>
          <w:vertAlign w:val="superscript"/>
        </w:rPr>
        <w:footnoteRef/>
      </w:r>
      <w:r w:rsidRPr="00DD0E6B">
        <w:t xml:space="preserve"> The remaining AE was that of a patient in the </w:t>
      </w:r>
      <w:r w:rsidRPr="00C01786">
        <w:t>enzalutamide</w:t>
      </w:r>
      <w:r w:rsidRPr="00DD0E6B">
        <w:t xml:space="preserve"> group with an event term of syncope but with several features suggestive of seizure, and included in the incidence calculation by the sponsor following an additional review of the AEs of seizures.</w:t>
      </w:r>
    </w:p>
  </w:footnote>
  <w:footnote w:id="20">
    <w:p w:rsidR="00A560A5" w:rsidRPr="007D562F" w:rsidRDefault="00A560A5" w:rsidP="007D562F">
      <w:pPr>
        <w:pStyle w:val="FootnoteText"/>
      </w:pPr>
      <w:r>
        <w:rPr>
          <w:rStyle w:val="FootnoteReference"/>
        </w:rPr>
        <w:footnoteRef/>
      </w:r>
      <w:r>
        <w:t xml:space="preserve"> </w:t>
      </w:r>
      <w:proofErr w:type="spellStart"/>
      <w:r w:rsidRPr="00C6361B">
        <w:t>QTc</w:t>
      </w:r>
      <w:proofErr w:type="spellEnd"/>
      <w:r w:rsidRPr="00C6361B">
        <w:t xml:space="preserve"> </w:t>
      </w:r>
      <w:proofErr w:type="spellStart"/>
      <w:r w:rsidRPr="00C6361B">
        <w:t>Fridericia’s</w:t>
      </w:r>
      <w:proofErr w:type="spellEnd"/>
      <w:r w:rsidRPr="00C6361B">
        <w:t xml:space="preserve"> correction</w:t>
      </w:r>
    </w:p>
  </w:footnote>
  <w:footnote w:id="21">
    <w:p w:rsidR="00A560A5" w:rsidRPr="00117F25" w:rsidRDefault="00A560A5" w:rsidP="007D562F">
      <w:pPr>
        <w:pStyle w:val="FootnoteText"/>
      </w:pPr>
      <w:r w:rsidRPr="0001091D">
        <w:rPr>
          <w:vertAlign w:val="superscript"/>
        </w:rPr>
        <w:footnoteRef/>
      </w:r>
      <w:r w:rsidRPr="00117F25">
        <w:t xml:space="preserve"> Go AS, </w:t>
      </w:r>
      <w:proofErr w:type="spellStart"/>
      <w:r w:rsidRPr="00117F25">
        <w:t>Mozaffarian</w:t>
      </w:r>
      <w:proofErr w:type="spellEnd"/>
      <w:r w:rsidRPr="00117F25">
        <w:t xml:space="preserve"> D, Roger VL, Benjamin EJ, Berry JD, Borden WB, et al. Heart</w:t>
      </w:r>
      <w:r>
        <w:t xml:space="preserve"> disease and stroke statistics-2013 update</w:t>
      </w:r>
      <w:r w:rsidRPr="00117F25">
        <w:t xml:space="preserve">: a report from the American Heart Association. </w:t>
      </w:r>
      <w:proofErr w:type="gramStart"/>
      <w:r w:rsidRPr="0001091D">
        <w:rPr>
          <w:i/>
        </w:rPr>
        <w:t>Circulation</w:t>
      </w:r>
      <w:r w:rsidRPr="00117F25">
        <w:t>.</w:t>
      </w:r>
      <w:proofErr w:type="gramEnd"/>
      <w:r w:rsidRPr="00117F25">
        <w:t xml:space="preserve"> 2013</w:t>
      </w:r>
      <w:proofErr w:type="gramStart"/>
      <w:r w:rsidRPr="00117F25">
        <w:t>;127:e6</w:t>
      </w:r>
      <w:proofErr w:type="gramEnd"/>
      <w:r w:rsidRPr="00117F25">
        <w:t>-e245.</w:t>
      </w:r>
    </w:p>
  </w:footnote>
  <w:footnote w:id="22">
    <w:p w:rsidR="00A560A5" w:rsidRDefault="00A560A5" w:rsidP="007D562F">
      <w:pPr>
        <w:pStyle w:val="FootnoteText"/>
      </w:pPr>
      <w:r w:rsidRPr="0001091D">
        <w:rPr>
          <w:vertAlign w:val="superscript"/>
        </w:rPr>
        <w:footnoteRef/>
      </w:r>
      <w:r w:rsidRPr="00117F25">
        <w:t xml:space="preserve"> </w:t>
      </w:r>
      <w:proofErr w:type="spellStart"/>
      <w:r w:rsidRPr="00117F25">
        <w:t>Fahridin</w:t>
      </w:r>
      <w:proofErr w:type="spellEnd"/>
      <w:r w:rsidRPr="00117F25">
        <w:t xml:space="preserve"> S, Charles J, Miller G. Atrial fibrillation in Australian general practice. </w:t>
      </w:r>
      <w:proofErr w:type="spellStart"/>
      <w:r w:rsidRPr="0001091D">
        <w:rPr>
          <w:i/>
        </w:rPr>
        <w:t>Aust</w:t>
      </w:r>
      <w:proofErr w:type="spellEnd"/>
      <w:r w:rsidRPr="0001091D">
        <w:rPr>
          <w:i/>
        </w:rPr>
        <w:t xml:space="preserve"> </w:t>
      </w:r>
      <w:proofErr w:type="spellStart"/>
      <w:proofErr w:type="gramStart"/>
      <w:r w:rsidRPr="0001091D">
        <w:rPr>
          <w:i/>
        </w:rPr>
        <w:t>Fam</w:t>
      </w:r>
      <w:proofErr w:type="spellEnd"/>
      <w:proofErr w:type="gramEnd"/>
      <w:r w:rsidRPr="0001091D">
        <w:rPr>
          <w:i/>
        </w:rPr>
        <w:t xml:space="preserve"> Physician</w:t>
      </w:r>
      <w:r w:rsidRPr="00117F25">
        <w:t>. 2007</w:t>
      </w:r>
      <w:proofErr w:type="gramStart"/>
      <w:r w:rsidRPr="00117F25">
        <w:t>;36:490</w:t>
      </w:r>
      <w:proofErr w:type="gramEnd"/>
      <w:r w:rsidRPr="00117F25">
        <w:t>-1.</w:t>
      </w:r>
    </w:p>
  </w:footnote>
  <w:footnote w:id="23">
    <w:p w:rsidR="00A560A5" w:rsidRDefault="00A560A5" w:rsidP="007D562F">
      <w:pPr>
        <w:pStyle w:val="FootnoteText"/>
      </w:pPr>
      <w:r>
        <w:rPr>
          <w:rStyle w:val="FootnoteReference"/>
        </w:rPr>
        <w:footnoteRef/>
      </w:r>
      <w:r>
        <w:t xml:space="preserve"> </w:t>
      </w:r>
      <w:r w:rsidRPr="00117F25">
        <w:t>Wong CX, Brooks AG, Lau DH, Leong DP, Sun MT, Sullivan T, et al. Factors associated with the</w:t>
      </w:r>
      <w:r>
        <w:t xml:space="preserve"> </w:t>
      </w:r>
      <w:r w:rsidRPr="00117F25">
        <w:t xml:space="preserve">epidemic of hospitalizations due to atrial fibrillation. </w:t>
      </w:r>
      <w:proofErr w:type="gramStart"/>
      <w:r w:rsidRPr="0001091D">
        <w:rPr>
          <w:i/>
        </w:rPr>
        <w:t xml:space="preserve">Am J </w:t>
      </w:r>
      <w:proofErr w:type="spellStart"/>
      <w:r w:rsidRPr="0001091D">
        <w:rPr>
          <w:i/>
        </w:rPr>
        <w:t>Cardiol</w:t>
      </w:r>
      <w:proofErr w:type="spellEnd"/>
      <w:r w:rsidRPr="00117F25">
        <w:t>.</w:t>
      </w:r>
      <w:proofErr w:type="gramEnd"/>
      <w:r w:rsidRPr="00117F25">
        <w:t xml:space="preserve"> 2012</w:t>
      </w:r>
      <w:proofErr w:type="gramStart"/>
      <w:r w:rsidRPr="00117F25">
        <w:t>;110:1496</w:t>
      </w:r>
      <w:proofErr w:type="gramEnd"/>
      <w:r w:rsidRPr="00117F25">
        <w:t>-9.</w:t>
      </w:r>
    </w:p>
  </w:footnote>
  <w:footnote w:id="24">
    <w:p w:rsidR="00A560A5" w:rsidRDefault="00A560A5" w:rsidP="007D562F">
      <w:pPr>
        <w:pStyle w:val="FootnoteText"/>
      </w:pPr>
      <w:r>
        <w:rPr>
          <w:rStyle w:val="FootnoteReference"/>
        </w:rPr>
        <w:footnoteRef/>
      </w:r>
      <w:r>
        <w:t xml:space="preserve"> </w:t>
      </w:r>
      <w:r w:rsidRPr="00117F25">
        <w:t xml:space="preserve">Jensen PN, Thacker EL, Dublin S, </w:t>
      </w:r>
      <w:proofErr w:type="spellStart"/>
      <w:r w:rsidRPr="00117F25">
        <w:t>Psaty</w:t>
      </w:r>
      <w:proofErr w:type="spellEnd"/>
      <w:r w:rsidRPr="00117F25">
        <w:t xml:space="preserve"> BM, </w:t>
      </w:r>
      <w:proofErr w:type="spellStart"/>
      <w:r w:rsidRPr="00117F25">
        <w:t>Heckbert</w:t>
      </w:r>
      <w:proofErr w:type="spellEnd"/>
      <w:r w:rsidRPr="00117F25">
        <w:t xml:space="preserve"> SR. Racial differences in the </w:t>
      </w:r>
      <w:r w:rsidRPr="007D562F">
        <w:t>incidence</w:t>
      </w:r>
      <w:r w:rsidRPr="00117F25">
        <w:t xml:space="preserve"> of</w:t>
      </w:r>
      <w:r>
        <w:t xml:space="preserve"> </w:t>
      </w:r>
      <w:r w:rsidRPr="00117F25">
        <w:t xml:space="preserve">and risk factors for atrial fibrillation in older adults: the cardiovascular health study. </w:t>
      </w:r>
      <w:r w:rsidRPr="0001091D">
        <w:rPr>
          <w:i/>
        </w:rPr>
        <w:t xml:space="preserve">J Am </w:t>
      </w:r>
      <w:proofErr w:type="spellStart"/>
      <w:r w:rsidRPr="0001091D">
        <w:rPr>
          <w:i/>
        </w:rPr>
        <w:t>Geriatr</w:t>
      </w:r>
      <w:proofErr w:type="spellEnd"/>
      <w:r w:rsidRPr="0001091D">
        <w:rPr>
          <w:i/>
        </w:rPr>
        <w:t xml:space="preserve"> Soc</w:t>
      </w:r>
      <w:r w:rsidRPr="00117F25">
        <w:t>. 2013</w:t>
      </w:r>
      <w:proofErr w:type="gramStart"/>
      <w:r w:rsidRPr="00117F25">
        <w:t>;61:276</w:t>
      </w:r>
      <w:proofErr w:type="gramEnd"/>
      <w:r w:rsidRPr="00117F25">
        <w:t>-80.</w:t>
      </w:r>
    </w:p>
  </w:footnote>
  <w:footnote w:id="25">
    <w:p w:rsidR="00A560A5" w:rsidRDefault="00A560A5" w:rsidP="007D562F">
      <w:pPr>
        <w:pStyle w:val="FootnoteText"/>
      </w:pPr>
      <w:r>
        <w:rPr>
          <w:rStyle w:val="FootnoteReference"/>
        </w:rPr>
        <w:footnoteRef/>
      </w:r>
      <w:r>
        <w:t xml:space="preserve"> </w:t>
      </w:r>
      <w:proofErr w:type="spellStart"/>
      <w:r w:rsidRPr="00117F25">
        <w:t>Piccini</w:t>
      </w:r>
      <w:proofErr w:type="spellEnd"/>
      <w:r w:rsidRPr="00117F25">
        <w:t xml:space="preserve"> JP, </w:t>
      </w:r>
      <w:proofErr w:type="spellStart"/>
      <w:r w:rsidRPr="00117F25">
        <w:t>Hammill</w:t>
      </w:r>
      <w:proofErr w:type="spellEnd"/>
      <w:r w:rsidRPr="00117F25">
        <w:t xml:space="preserve"> BG, Sinner MF, Jensen PN, Hernandez AF, </w:t>
      </w:r>
      <w:proofErr w:type="spellStart"/>
      <w:r w:rsidRPr="00117F25">
        <w:t>Heckbert</w:t>
      </w:r>
      <w:proofErr w:type="spellEnd"/>
      <w:r w:rsidRPr="00117F25">
        <w:t xml:space="preserve"> SR, et al. Incidence and</w:t>
      </w:r>
      <w:r>
        <w:t xml:space="preserve"> </w:t>
      </w:r>
      <w:r w:rsidRPr="00117F25">
        <w:t>prevalence of atrial fibrillation and associated mortality among Medicare beneficiaries: 1993</w:t>
      </w:r>
      <w:r>
        <w:t xml:space="preserve"> </w:t>
      </w:r>
      <w:r w:rsidRPr="00117F25">
        <w:t xml:space="preserve">-2007. </w:t>
      </w:r>
      <w:proofErr w:type="spellStart"/>
      <w:proofErr w:type="gramStart"/>
      <w:r w:rsidRPr="0001091D">
        <w:rPr>
          <w:i/>
        </w:rPr>
        <w:t>Circ</w:t>
      </w:r>
      <w:proofErr w:type="spellEnd"/>
      <w:r w:rsidRPr="0001091D">
        <w:rPr>
          <w:i/>
        </w:rPr>
        <w:t xml:space="preserve"> </w:t>
      </w:r>
      <w:proofErr w:type="spellStart"/>
      <w:r w:rsidRPr="0001091D">
        <w:rPr>
          <w:i/>
        </w:rPr>
        <w:t>Cardiovasc</w:t>
      </w:r>
      <w:proofErr w:type="spellEnd"/>
      <w:r w:rsidRPr="0001091D">
        <w:rPr>
          <w:i/>
        </w:rPr>
        <w:t xml:space="preserve"> Qual Outcomes</w:t>
      </w:r>
      <w:r w:rsidRPr="00117F25">
        <w:t>.</w:t>
      </w:r>
      <w:proofErr w:type="gramEnd"/>
      <w:r w:rsidRPr="00117F25">
        <w:t xml:space="preserve"> 2012</w:t>
      </w:r>
      <w:proofErr w:type="gramStart"/>
      <w:r w:rsidRPr="00117F25">
        <w:t>;5:85</w:t>
      </w:r>
      <w:proofErr w:type="gramEnd"/>
      <w:r w:rsidRPr="00117F25">
        <w:t>-93.</w:t>
      </w:r>
    </w:p>
  </w:footnote>
  <w:footnote w:id="26">
    <w:p w:rsidR="00A560A5" w:rsidRDefault="00A560A5" w:rsidP="007D562F">
      <w:pPr>
        <w:pStyle w:val="FootnoteText"/>
      </w:pPr>
      <w:r>
        <w:rPr>
          <w:rStyle w:val="FootnoteReference"/>
        </w:rPr>
        <w:footnoteRef/>
      </w:r>
      <w:r>
        <w:t xml:space="preserve"> </w:t>
      </w:r>
      <w:proofErr w:type="spellStart"/>
      <w:r w:rsidRPr="00117F25">
        <w:t>Stefansdottir</w:t>
      </w:r>
      <w:proofErr w:type="spellEnd"/>
      <w:r w:rsidRPr="00117F25">
        <w:t xml:space="preserve"> H, </w:t>
      </w:r>
      <w:proofErr w:type="spellStart"/>
      <w:r w:rsidRPr="00117F25">
        <w:t>Aspelund</w:t>
      </w:r>
      <w:proofErr w:type="spellEnd"/>
      <w:r w:rsidRPr="00117F25">
        <w:t xml:space="preserve"> T, </w:t>
      </w:r>
      <w:proofErr w:type="spellStart"/>
      <w:r w:rsidRPr="00117F25">
        <w:t>Gudnason</w:t>
      </w:r>
      <w:proofErr w:type="spellEnd"/>
      <w:r w:rsidRPr="00117F25">
        <w:t xml:space="preserve"> V, </w:t>
      </w:r>
      <w:proofErr w:type="spellStart"/>
      <w:r w:rsidRPr="00117F25">
        <w:t>Arnar</w:t>
      </w:r>
      <w:proofErr w:type="spellEnd"/>
      <w:r w:rsidRPr="00117F25">
        <w:t xml:space="preserve"> DO. </w:t>
      </w:r>
      <w:proofErr w:type="gramStart"/>
      <w:r w:rsidRPr="00117F25">
        <w:t xml:space="preserve">Trends in the incidence and </w:t>
      </w:r>
      <w:r w:rsidRPr="007D562F">
        <w:t>prevalence</w:t>
      </w:r>
      <w:r w:rsidRPr="00117F25">
        <w:t xml:space="preserve"> of</w:t>
      </w:r>
      <w:r>
        <w:t xml:space="preserve"> </w:t>
      </w:r>
      <w:r w:rsidRPr="00117F25">
        <w:t>atrial fibrillation in Iceland and future projections.</w:t>
      </w:r>
      <w:proofErr w:type="gramEnd"/>
      <w:r w:rsidRPr="00117F25">
        <w:t xml:space="preserve"> </w:t>
      </w:r>
      <w:proofErr w:type="spellStart"/>
      <w:proofErr w:type="gramStart"/>
      <w:r w:rsidRPr="0001091D">
        <w:rPr>
          <w:i/>
        </w:rPr>
        <w:t>Europace</w:t>
      </w:r>
      <w:proofErr w:type="spellEnd"/>
      <w:r w:rsidRPr="00117F25">
        <w:t>.</w:t>
      </w:r>
      <w:proofErr w:type="gramEnd"/>
      <w:r w:rsidRPr="00117F25">
        <w:t xml:space="preserve"> 2011</w:t>
      </w:r>
      <w:proofErr w:type="gramStart"/>
      <w:r w:rsidRPr="00117F25">
        <w:t>;13:1110</w:t>
      </w:r>
      <w:proofErr w:type="gramEnd"/>
      <w:r w:rsidRPr="00117F25">
        <w:t>-17.</w:t>
      </w:r>
    </w:p>
  </w:footnote>
  <w:footnote w:id="27">
    <w:p w:rsidR="00A560A5" w:rsidRPr="006A59EC" w:rsidRDefault="00A560A5" w:rsidP="005048A4">
      <w:pPr>
        <w:pStyle w:val="FootnoteText"/>
      </w:pPr>
      <w:r w:rsidRPr="006A59EC">
        <w:rPr>
          <w:vertAlign w:val="superscript"/>
        </w:rPr>
        <w:footnoteRef/>
      </w:r>
      <w:r w:rsidRPr="006A59EC">
        <w:rPr>
          <w:vertAlign w:val="superscript"/>
        </w:rPr>
        <w:t xml:space="preserve"> </w:t>
      </w:r>
      <w:r w:rsidRPr="006A59EC">
        <w:t xml:space="preserve">Androgen-deprivation therapies include surgical castration or medical therapy with </w:t>
      </w:r>
      <w:proofErr w:type="spellStart"/>
      <w:r w:rsidRPr="006A59EC">
        <w:t>GnRH</w:t>
      </w:r>
      <w:proofErr w:type="spellEnd"/>
      <w:r w:rsidRPr="006A59EC">
        <w:t xml:space="preserve"> analogues, anti-androgens (</w:t>
      </w:r>
      <w:r>
        <w:t xml:space="preserve">such as </w:t>
      </w:r>
      <w:proofErr w:type="spellStart"/>
      <w:r>
        <w:t>bicalutamide</w:t>
      </w:r>
      <w:proofErr w:type="spellEnd"/>
      <w:r>
        <w:t xml:space="preserve">, </w:t>
      </w:r>
      <w:proofErr w:type="spellStart"/>
      <w:r w:rsidRPr="005048A4">
        <w:t>flutamide</w:t>
      </w:r>
      <w:proofErr w:type="spellEnd"/>
      <w:r>
        <w:t>,</w:t>
      </w:r>
      <w:r w:rsidRPr="006A59EC">
        <w:t xml:space="preserve"> and </w:t>
      </w:r>
      <w:proofErr w:type="spellStart"/>
      <w:r w:rsidRPr="006A59EC">
        <w:t>nilutamide</w:t>
      </w:r>
      <w:proofErr w:type="spellEnd"/>
      <w:r w:rsidRPr="006A59EC">
        <w:t>), androgen synthesis blockers (e.g. abiraterone, ketoconazole; the latter is no longer available for this indication in Australia), a</w:t>
      </w:r>
      <w:r>
        <w:t>nd/or oestrogenic compounds.</w:t>
      </w:r>
    </w:p>
  </w:footnote>
  <w:footnote w:id="28">
    <w:p w:rsidR="00A560A5" w:rsidRPr="00166E24" w:rsidRDefault="00A560A5" w:rsidP="0033756C">
      <w:pPr>
        <w:pStyle w:val="FootnoteText"/>
      </w:pPr>
      <w:r>
        <w:rPr>
          <w:rStyle w:val="FootnoteReference"/>
        </w:rPr>
        <w:footnoteRef/>
      </w:r>
      <w:r>
        <w:t xml:space="preserve"> </w:t>
      </w:r>
      <w:bookmarkStart w:id="232" w:name="ich2"/>
      <w:bookmarkEnd w:id="232"/>
      <w:r w:rsidRPr="00166E24">
        <w:rPr>
          <w:lang w:val="en"/>
        </w:rPr>
        <w:t xml:space="preserve">CHMP/ICH/2/04 ICH Topic E 14 </w:t>
      </w:r>
      <w:r w:rsidRPr="0033756C">
        <w:rPr>
          <w:i/>
          <w:lang w:val="en"/>
        </w:rPr>
        <w:t>Note for Guidance on Clinical Evaluation of QT/</w:t>
      </w:r>
      <w:proofErr w:type="spellStart"/>
      <w:r w:rsidRPr="0033756C">
        <w:rPr>
          <w:i/>
          <w:lang w:val="en"/>
        </w:rPr>
        <w:t>QTc</w:t>
      </w:r>
      <w:proofErr w:type="spellEnd"/>
      <w:r w:rsidRPr="0033756C">
        <w:rPr>
          <w:i/>
          <w:lang w:val="en"/>
        </w:rPr>
        <w:t xml:space="preserve"> Interval Prolongation and </w:t>
      </w:r>
      <w:proofErr w:type="spellStart"/>
      <w:r w:rsidRPr="0033756C">
        <w:rPr>
          <w:i/>
          <w:lang w:val="en"/>
        </w:rPr>
        <w:t>Proarrhythmic</w:t>
      </w:r>
      <w:proofErr w:type="spellEnd"/>
      <w:r w:rsidRPr="0033756C">
        <w:rPr>
          <w:i/>
          <w:lang w:val="en"/>
        </w:rPr>
        <w:t xml:space="preserve"> Potential for Non-Antiarrhythmic Drugs</w:t>
      </w:r>
    </w:p>
  </w:footnote>
  <w:footnote w:id="29">
    <w:p w:rsidR="00A560A5" w:rsidRPr="000B6F84" w:rsidRDefault="00A560A5" w:rsidP="000B6F84">
      <w:pPr>
        <w:pStyle w:val="FootnoteText"/>
      </w:pPr>
      <w:r>
        <w:rPr>
          <w:rStyle w:val="FootnoteReference"/>
        </w:rPr>
        <w:footnoteRef/>
      </w:r>
      <w:r>
        <w:t xml:space="preserve"> </w:t>
      </w:r>
      <w:r w:rsidRPr="00AF719F">
        <w:rPr>
          <w:lang w:val="en"/>
        </w:rPr>
        <w:t>A boxed warning is a succinct warning statement printed at the start of the approved product information, designed to alert prescribers to an important safety issue with a medicine. The warning is highlighted by a bold black surround or "box".</w:t>
      </w:r>
    </w:p>
  </w:footnote>
  <w:footnote w:id="30">
    <w:p w:rsidR="00A560A5" w:rsidRPr="006F49D7" w:rsidRDefault="00A560A5" w:rsidP="006F49D7">
      <w:pPr>
        <w:pStyle w:val="FootnoteText"/>
      </w:pPr>
      <w:r>
        <w:rPr>
          <w:rStyle w:val="FootnoteReference"/>
        </w:rPr>
        <w:footnoteRef/>
      </w:r>
      <w:r>
        <w:t xml:space="preserve"> transient ischemic attack</w:t>
      </w:r>
    </w:p>
  </w:footnote>
  <w:footnote w:id="31">
    <w:p w:rsidR="00A560A5" w:rsidRPr="00F61D74" w:rsidRDefault="00A560A5" w:rsidP="00F61D74">
      <w:pPr>
        <w:pStyle w:val="FootnoteText"/>
      </w:pPr>
      <w:r>
        <w:rPr>
          <w:rStyle w:val="FootnoteReference"/>
        </w:rPr>
        <w:footnoteRef/>
      </w:r>
      <w:r>
        <w:t xml:space="preserve"> </w:t>
      </w:r>
      <w:r w:rsidRPr="00450649">
        <w:t xml:space="preserve">Details of the proposed revision are beyond the scope of the </w:t>
      </w:r>
      <w:proofErr w:type="spellStart"/>
      <w:r w:rsidRPr="00450649">
        <w:t>AusPAR</w:t>
      </w:r>
      <w:proofErr w:type="spellEnd"/>
      <w:r w:rsidRPr="0045064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A5" w:rsidRDefault="00A560A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A5" w:rsidRDefault="00A560A5">
    <w:pPr>
      <w:rPr>
        <w:noProof/>
        <w:lang w:eastAsia="en-AU"/>
      </w:rPr>
    </w:pPr>
    <w:r w:rsidRPr="00347824">
      <w:rPr>
        <w:noProof/>
        <w:lang w:eastAsia="en-AU"/>
      </w:rPr>
      <w:drawing>
        <wp:anchor distT="0" distB="0" distL="114300" distR="114300" simplePos="0" relativeHeight="251659264" behindDoc="1" locked="0" layoutInCell="1" allowOverlap="1" wp14:anchorId="73D75ACE" wp14:editId="27C38880">
          <wp:simplePos x="0" y="0"/>
          <wp:positionH relativeFrom="column">
            <wp:posOffset>-1081709</wp:posOffset>
          </wp:positionH>
          <wp:positionV relativeFrom="paragraph">
            <wp:posOffset>-585470</wp:posOffset>
          </wp:positionV>
          <wp:extent cx="7572375" cy="10706100"/>
          <wp:effectExtent l="0" t="0" r="952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A560A5" w:rsidRDefault="00A560A5" w:rsidP="00593AD1">
    <w:pPr>
      <w:pStyle w:val="HeaderNoLine"/>
    </w:pPr>
    <w:r>
      <w:rPr>
        <w:noProof/>
        <w:lang w:eastAsia="en-AU"/>
      </w:rPr>
      <w:drawing>
        <wp:inline distT="0" distB="0" distL="0" distR="0" wp14:anchorId="13584D20" wp14:editId="3D93881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A5" w:rsidRDefault="00A560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A5" w:rsidRDefault="00A560A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A5" w:rsidRDefault="00A560A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A5" w:rsidRDefault="00A560A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A5" w:rsidRDefault="00A560A5"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0A5" w:rsidRDefault="00A560A5" w:rsidP="006E08B3">
    <w:r>
      <w:t>Therapeutic Goods Administration</w:t>
    </w:r>
  </w:p>
  <w:p w:rsidR="00A560A5" w:rsidRDefault="00A560A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0B5447E2"/>
    <w:multiLevelType w:val="multilevel"/>
    <w:tmpl w:val="EA7A0B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20330ED2"/>
    <w:multiLevelType w:val="multilevel"/>
    <w:tmpl w:val="6A803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CF57AC"/>
    <w:multiLevelType w:val="hybridMultilevel"/>
    <w:tmpl w:val="C3564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cs="Times New Roman" w:hint="default"/>
      </w:rPr>
    </w:lvl>
    <w:lvl w:ilvl="3" w:tplc="0C090001">
      <w:start w:val="1"/>
      <w:numFmt w:val="bullet"/>
      <w:lvlText w:val=""/>
      <w:lvlJc w:val="left"/>
      <w:pPr>
        <w:tabs>
          <w:tab w:val="num" w:pos="3164"/>
        </w:tabs>
        <w:ind w:left="3164" w:hanging="360"/>
      </w:pPr>
      <w:rPr>
        <w:rFonts w:ascii="Symbol" w:hAnsi="Symbol" w:cs="Times New Roman"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cs="Times New Roman" w:hint="default"/>
      </w:rPr>
    </w:lvl>
    <w:lvl w:ilvl="6" w:tplc="0C090001">
      <w:start w:val="1"/>
      <w:numFmt w:val="bullet"/>
      <w:lvlText w:val=""/>
      <w:lvlJc w:val="left"/>
      <w:pPr>
        <w:tabs>
          <w:tab w:val="num" w:pos="5324"/>
        </w:tabs>
        <w:ind w:left="5324" w:hanging="360"/>
      </w:pPr>
      <w:rPr>
        <w:rFonts w:ascii="Symbol" w:hAnsi="Symbol" w:cs="Times New Roman"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cs="Times New Roman" w:hint="default"/>
      </w:rPr>
    </w:lvl>
  </w:abstractNum>
  <w:abstractNum w:abstractNumId="7">
    <w:nsid w:val="31D61288"/>
    <w:multiLevelType w:val="hybridMultilevel"/>
    <w:tmpl w:val="74069F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Times"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Times"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Times"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455054B7"/>
    <w:multiLevelType w:val="hybridMultilevel"/>
    <w:tmpl w:val="BEA2E1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C9C4A55"/>
    <w:multiLevelType w:val="hybridMultilevel"/>
    <w:tmpl w:val="BCF0D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E2766B5"/>
    <w:multiLevelType w:val="hybridMultilevel"/>
    <w:tmpl w:val="C0FAC1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37A1801"/>
    <w:multiLevelType w:val="hybridMultilevel"/>
    <w:tmpl w:val="E98C54C2"/>
    <w:lvl w:ilvl="0" w:tplc="97C4DB48">
      <w:start w:val="1"/>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48B67FD"/>
    <w:multiLevelType w:val="hybridMultilevel"/>
    <w:tmpl w:val="D346C7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3"/>
  </w:num>
  <w:num w:numId="4">
    <w:abstractNumId w:val="2"/>
  </w:num>
  <w:num w:numId="5">
    <w:abstractNumId w:val="10"/>
  </w:num>
  <w:num w:numId="6">
    <w:abstractNumId w:val="8"/>
  </w:num>
  <w:num w:numId="7">
    <w:abstractNumId w:val="6"/>
  </w:num>
  <w:num w:numId="8">
    <w:abstractNumId w:val="16"/>
  </w:num>
  <w:num w:numId="9">
    <w:abstractNumId w:val="0"/>
  </w:num>
  <w:num w:numId="10">
    <w:abstractNumId w:val="15"/>
  </w:num>
  <w:num w:numId="11">
    <w:abstractNumId w:val="4"/>
  </w:num>
  <w:num w:numId="12">
    <w:abstractNumId w:val="1"/>
  </w:num>
  <w:num w:numId="13">
    <w:abstractNumId w:val="12"/>
  </w:num>
  <w:num w:numId="14">
    <w:abstractNumId w:val="14"/>
  </w:num>
  <w:num w:numId="15">
    <w:abstractNumId w:val="9"/>
  </w:num>
  <w:num w:numId="16">
    <w:abstractNumId w:val="7"/>
  </w:num>
  <w:num w:numId="17">
    <w:abstractNumId w:val="5"/>
  </w:num>
  <w:num w:numId="18">
    <w:abstractNumId w:val="17"/>
  </w:num>
  <w:num w:numId="19">
    <w:abstractNumId w:val="11"/>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235"/>
    <w:rsid w:val="00002031"/>
    <w:rsid w:val="000030B4"/>
    <w:rsid w:val="00004734"/>
    <w:rsid w:val="00004B9E"/>
    <w:rsid w:val="000062E4"/>
    <w:rsid w:val="00006B22"/>
    <w:rsid w:val="0001091D"/>
    <w:rsid w:val="0001276A"/>
    <w:rsid w:val="000164B8"/>
    <w:rsid w:val="000246AE"/>
    <w:rsid w:val="00025C67"/>
    <w:rsid w:val="00044772"/>
    <w:rsid w:val="00046980"/>
    <w:rsid w:val="0005559E"/>
    <w:rsid w:val="000604D6"/>
    <w:rsid w:val="000734D8"/>
    <w:rsid w:val="00077775"/>
    <w:rsid w:val="0008493B"/>
    <w:rsid w:val="000900C6"/>
    <w:rsid w:val="00090471"/>
    <w:rsid w:val="00096AA7"/>
    <w:rsid w:val="000A3AED"/>
    <w:rsid w:val="000B3532"/>
    <w:rsid w:val="000B3A75"/>
    <w:rsid w:val="000B6F84"/>
    <w:rsid w:val="000C5B0F"/>
    <w:rsid w:val="000C690F"/>
    <w:rsid w:val="000D1295"/>
    <w:rsid w:val="000D391B"/>
    <w:rsid w:val="000D3D6D"/>
    <w:rsid w:val="000D4FC7"/>
    <w:rsid w:val="000E4B9A"/>
    <w:rsid w:val="000F30C5"/>
    <w:rsid w:val="000F4869"/>
    <w:rsid w:val="000F5B42"/>
    <w:rsid w:val="000F6E6F"/>
    <w:rsid w:val="00101C69"/>
    <w:rsid w:val="0010601F"/>
    <w:rsid w:val="0010788A"/>
    <w:rsid w:val="00107A31"/>
    <w:rsid w:val="00110EA5"/>
    <w:rsid w:val="00112F56"/>
    <w:rsid w:val="00117F25"/>
    <w:rsid w:val="00121195"/>
    <w:rsid w:val="00125318"/>
    <w:rsid w:val="001305A2"/>
    <w:rsid w:val="00133238"/>
    <w:rsid w:val="0014197B"/>
    <w:rsid w:val="00143110"/>
    <w:rsid w:val="001447CD"/>
    <w:rsid w:val="001516B1"/>
    <w:rsid w:val="0015288A"/>
    <w:rsid w:val="00154EBB"/>
    <w:rsid w:val="00156316"/>
    <w:rsid w:val="00162D14"/>
    <w:rsid w:val="00165389"/>
    <w:rsid w:val="00166E24"/>
    <w:rsid w:val="0017227D"/>
    <w:rsid w:val="0017693F"/>
    <w:rsid w:val="0018110E"/>
    <w:rsid w:val="00181684"/>
    <w:rsid w:val="001843C6"/>
    <w:rsid w:val="001850E0"/>
    <w:rsid w:val="001A2158"/>
    <w:rsid w:val="001A525F"/>
    <w:rsid w:val="001A5B87"/>
    <w:rsid w:val="001B09F9"/>
    <w:rsid w:val="001B5658"/>
    <w:rsid w:val="001B5C90"/>
    <w:rsid w:val="001B6448"/>
    <w:rsid w:val="001B7D48"/>
    <w:rsid w:val="001C32CD"/>
    <w:rsid w:val="001D2984"/>
    <w:rsid w:val="001E07CF"/>
    <w:rsid w:val="001E59F1"/>
    <w:rsid w:val="001F49EB"/>
    <w:rsid w:val="001F6CBA"/>
    <w:rsid w:val="00201D4E"/>
    <w:rsid w:val="002076C9"/>
    <w:rsid w:val="00220B8A"/>
    <w:rsid w:val="002212EE"/>
    <w:rsid w:val="002257F3"/>
    <w:rsid w:val="00233456"/>
    <w:rsid w:val="002339A5"/>
    <w:rsid w:val="0023410C"/>
    <w:rsid w:val="00242E11"/>
    <w:rsid w:val="00244B05"/>
    <w:rsid w:val="00247466"/>
    <w:rsid w:val="00252D23"/>
    <w:rsid w:val="00257848"/>
    <w:rsid w:val="00266A5B"/>
    <w:rsid w:val="0027084A"/>
    <w:rsid w:val="00286434"/>
    <w:rsid w:val="00286C59"/>
    <w:rsid w:val="00291957"/>
    <w:rsid w:val="002942D1"/>
    <w:rsid w:val="0029501A"/>
    <w:rsid w:val="002957EF"/>
    <w:rsid w:val="002B1638"/>
    <w:rsid w:val="002B1B32"/>
    <w:rsid w:val="002B3624"/>
    <w:rsid w:val="002C1D2D"/>
    <w:rsid w:val="002D0737"/>
    <w:rsid w:val="002D210C"/>
    <w:rsid w:val="002E40B3"/>
    <w:rsid w:val="002E4C9A"/>
    <w:rsid w:val="002F11F8"/>
    <w:rsid w:val="002F3F56"/>
    <w:rsid w:val="002F44B5"/>
    <w:rsid w:val="00302359"/>
    <w:rsid w:val="003047C0"/>
    <w:rsid w:val="00305557"/>
    <w:rsid w:val="00311AC0"/>
    <w:rsid w:val="00314044"/>
    <w:rsid w:val="0032583B"/>
    <w:rsid w:val="00327883"/>
    <w:rsid w:val="003322EA"/>
    <w:rsid w:val="00333EAA"/>
    <w:rsid w:val="00335504"/>
    <w:rsid w:val="0033756C"/>
    <w:rsid w:val="00340F75"/>
    <w:rsid w:val="00347824"/>
    <w:rsid w:val="00350567"/>
    <w:rsid w:val="003521E8"/>
    <w:rsid w:val="003615B1"/>
    <w:rsid w:val="00361A55"/>
    <w:rsid w:val="003728F3"/>
    <w:rsid w:val="0037496E"/>
    <w:rsid w:val="00376B37"/>
    <w:rsid w:val="00386150"/>
    <w:rsid w:val="00386245"/>
    <w:rsid w:val="003874CE"/>
    <w:rsid w:val="00390900"/>
    <w:rsid w:val="003A345C"/>
    <w:rsid w:val="003A7F6C"/>
    <w:rsid w:val="003B4D60"/>
    <w:rsid w:val="003B7E39"/>
    <w:rsid w:val="003C58DC"/>
    <w:rsid w:val="003D1E62"/>
    <w:rsid w:val="003E2486"/>
    <w:rsid w:val="003E3208"/>
    <w:rsid w:val="003E4F36"/>
    <w:rsid w:val="003F0B04"/>
    <w:rsid w:val="00400672"/>
    <w:rsid w:val="0040134E"/>
    <w:rsid w:val="00423EB2"/>
    <w:rsid w:val="004321FA"/>
    <w:rsid w:val="004334C7"/>
    <w:rsid w:val="00440A2D"/>
    <w:rsid w:val="00450649"/>
    <w:rsid w:val="004564A7"/>
    <w:rsid w:val="004617BF"/>
    <w:rsid w:val="00463658"/>
    <w:rsid w:val="0046476B"/>
    <w:rsid w:val="004648EB"/>
    <w:rsid w:val="004672F0"/>
    <w:rsid w:val="004722CC"/>
    <w:rsid w:val="0047304B"/>
    <w:rsid w:val="00483533"/>
    <w:rsid w:val="004936E4"/>
    <w:rsid w:val="00494BED"/>
    <w:rsid w:val="00494E60"/>
    <w:rsid w:val="00497487"/>
    <w:rsid w:val="004A7390"/>
    <w:rsid w:val="004B0745"/>
    <w:rsid w:val="004B7B76"/>
    <w:rsid w:val="004C239D"/>
    <w:rsid w:val="004C2DCA"/>
    <w:rsid w:val="004C3058"/>
    <w:rsid w:val="004C358D"/>
    <w:rsid w:val="004C4551"/>
    <w:rsid w:val="004C61BC"/>
    <w:rsid w:val="004D6CD4"/>
    <w:rsid w:val="004E395D"/>
    <w:rsid w:val="004F0C4A"/>
    <w:rsid w:val="004F0F38"/>
    <w:rsid w:val="00501921"/>
    <w:rsid w:val="00502363"/>
    <w:rsid w:val="005048A4"/>
    <w:rsid w:val="00504E7F"/>
    <w:rsid w:val="00514E07"/>
    <w:rsid w:val="00516E3B"/>
    <w:rsid w:val="00530354"/>
    <w:rsid w:val="00531C9B"/>
    <w:rsid w:val="00532575"/>
    <w:rsid w:val="0053625B"/>
    <w:rsid w:val="00536612"/>
    <w:rsid w:val="005434C6"/>
    <w:rsid w:val="00543B39"/>
    <w:rsid w:val="00546154"/>
    <w:rsid w:val="005477B7"/>
    <w:rsid w:val="00550096"/>
    <w:rsid w:val="005506E0"/>
    <w:rsid w:val="005512AF"/>
    <w:rsid w:val="00555280"/>
    <w:rsid w:val="00557FF9"/>
    <w:rsid w:val="00576378"/>
    <w:rsid w:val="00577130"/>
    <w:rsid w:val="00577945"/>
    <w:rsid w:val="00577E38"/>
    <w:rsid w:val="005841C6"/>
    <w:rsid w:val="00585322"/>
    <w:rsid w:val="005857C6"/>
    <w:rsid w:val="00592F6E"/>
    <w:rsid w:val="00593AD1"/>
    <w:rsid w:val="00593CCA"/>
    <w:rsid w:val="005A33EE"/>
    <w:rsid w:val="005A68B6"/>
    <w:rsid w:val="005B2969"/>
    <w:rsid w:val="005B7F57"/>
    <w:rsid w:val="005C5570"/>
    <w:rsid w:val="005C79A4"/>
    <w:rsid w:val="005D117A"/>
    <w:rsid w:val="005D5442"/>
    <w:rsid w:val="005D68B9"/>
    <w:rsid w:val="005E280D"/>
    <w:rsid w:val="005E62B9"/>
    <w:rsid w:val="005E7571"/>
    <w:rsid w:val="005F3F18"/>
    <w:rsid w:val="00603F32"/>
    <w:rsid w:val="00605AD4"/>
    <w:rsid w:val="006142E4"/>
    <w:rsid w:val="00615C79"/>
    <w:rsid w:val="0061678B"/>
    <w:rsid w:val="00625A6E"/>
    <w:rsid w:val="00626817"/>
    <w:rsid w:val="00632398"/>
    <w:rsid w:val="00640FC3"/>
    <w:rsid w:val="00642020"/>
    <w:rsid w:val="00642536"/>
    <w:rsid w:val="00643E83"/>
    <w:rsid w:val="0064588F"/>
    <w:rsid w:val="00646228"/>
    <w:rsid w:val="0065337B"/>
    <w:rsid w:val="0065419D"/>
    <w:rsid w:val="006547DD"/>
    <w:rsid w:val="006563D1"/>
    <w:rsid w:val="006604D8"/>
    <w:rsid w:val="00664A5B"/>
    <w:rsid w:val="006763D2"/>
    <w:rsid w:val="00680C08"/>
    <w:rsid w:val="006914CF"/>
    <w:rsid w:val="006931B1"/>
    <w:rsid w:val="006A15C0"/>
    <w:rsid w:val="006A21E5"/>
    <w:rsid w:val="006A59EC"/>
    <w:rsid w:val="006C3E2A"/>
    <w:rsid w:val="006C642F"/>
    <w:rsid w:val="006D03E5"/>
    <w:rsid w:val="006D5D3E"/>
    <w:rsid w:val="006D7F7D"/>
    <w:rsid w:val="006E08B3"/>
    <w:rsid w:val="006F17AC"/>
    <w:rsid w:val="006F25B8"/>
    <w:rsid w:val="006F49D7"/>
    <w:rsid w:val="006F572E"/>
    <w:rsid w:val="006F774B"/>
    <w:rsid w:val="00702168"/>
    <w:rsid w:val="007046D6"/>
    <w:rsid w:val="00705DB0"/>
    <w:rsid w:val="00722B57"/>
    <w:rsid w:val="00730F8A"/>
    <w:rsid w:val="00732698"/>
    <w:rsid w:val="00733A71"/>
    <w:rsid w:val="007369AC"/>
    <w:rsid w:val="0074253D"/>
    <w:rsid w:val="00742B55"/>
    <w:rsid w:val="0074429B"/>
    <w:rsid w:val="007469B4"/>
    <w:rsid w:val="00755DBA"/>
    <w:rsid w:val="007615BC"/>
    <w:rsid w:val="00762F05"/>
    <w:rsid w:val="00763C63"/>
    <w:rsid w:val="007652FF"/>
    <w:rsid w:val="00765C39"/>
    <w:rsid w:val="00770EF1"/>
    <w:rsid w:val="00773EF7"/>
    <w:rsid w:val="00774E1D"/>
    <w:rsid w:val="0077646B"/>
    <w:rsid w:val="0077675A"/>
    <w:rsid w:val="00780355"/>
    <w:rsid w:val="007819FD"/>
    <w:rsid w:val="00785721"/>
    <w:rsid w:val="00793A59"/>
    <w:rsid w:val="0079640E"/>
    <w:rsid w:val="00797CF8"/>
    <w:rsid w:val="007A3DD9"/>
    <w:rsid w:val="007B5F40"/>
    <w:rsid w:val="007B6132"/>
    <w:rsid w:val="007B650C"/>
    <w:rsid w:val="007B6E9F"/>
    <w:rsid w:val="007C1216"/>
    <w:rsid w:val="007C1AF7"/>
    <w:rsid w:val="007D1CD1"/>
    <w:rsid w:val="007D562F"/>
    <w:rsid w:val="007E328E"/>
    <w:rsid w:val="007E4F42"/>
    <w:rsid w:val="007E6DB4"/>
    <w:rsid w:val="007F2B1B"/>
    <w:rsid w:val="00801235"/>
    <w:rsid w:val="00805D27"/>
    <w:rsid w:val="00821776"/>
    <w:rsid w:val="0082320F"/>
    <w:rsid w:val="0082550A"/>
    <w:rsid w:val="008321F5"/>
    <w:rsid w:val="00832369"/>
    <w:rsid w:val="00832D81"/>
    <w:rsid w:val="00834660"/>
    <w:rsid w:val="00836BC2"/>
    <w:rsid w:val="0084627D"/>
    <w:rsid w:val="0085156D"/>
    <w:rsid w:val="00854775"/>
    <w:rsid w:val="0085641B"/>
    <w:rsid w:val="00857136"/>
    <w:rsid w:val="00885B11"/>
    <w:rsid w:val="00886D15"/>
    <w:rsid w:val="00887DD8"/>
    <w:rsid w:val="0089059D"/>
    <w:rsid w:val="00896018"/>
    <w:rsid w:val="008960DD"/>
    <w:rsid w:val="0089635C"/>
    <w:rsid w:val="008A2B9D"/>
    <w:rsid w:val="008A38B9"/>
    <w:rsid w:val="008A3D9F"/>
    <w:rsid w:val="008A5E0B"/>
    <w:rsid w:val="008A6D59"/>
    <w:rsid w:val="008B4B03"/>
    <w:rsid w:val="008B596F"/>
    <w:rsid w:val="008C159F"/>
    <w:rsid w:val="008C1623"/>
    <w:rsid w:val="008C1850"/>
    <w:rsid w:val="008C2725"/>
    <w:rsid w:val="008C45CE"/>
    <w:rsid w:val="008C5063"/>
    <w:rsid w:val="008C51A9"/>
    <w:rsid w:val="008C7438"/>
    <w:rsid w:val="008E290D"/>
    <w:rsid w:val="008E7846"/>
    <w:rsid w:val="008F044E"/>
    <w:rsid w:val="008F1CCC"/>
    <w:rsid w:val="008F2967"/>
    <w:rsid w:val="008F6943"/>
    <w:rsid w:val="00902A21"/>
    <w:rsid w:val="00904C4D"/>
    <w:rsid w:val="00915447"/>
    <w:rsid w:val="00916EB0"/>
    <w:rsid w:val="00920330"/>
    <w:rsid w:val="009219D7"/>
    <w:rsid w:val="0092262E"/>
    <w:rsid w:val="0092299D"/>
    <w:rsid w:val="00922D53"/>
    <w:rsid w:val="00923B70"/>
    <w:rsid w:val="00924482"/>
    <w:rsid w:val="00930237"/>
    <w:rsid w:val="00932836"/>
    <w:rsid w:val="00940A89"/>
    <w:rsid w:val="00946EA5"/>
    <w:rsid w:val="00956DB4"/>
    <w:rsid w:val="009619B1"/>
    <w:rsid w:val="00963C08"/>
    <w:rsid w:val="009661B0"/>
    <w:rsid w:val="00973AE2"/>
    <w:rsid w:val="00977A4D"/>
    <w:rsid w:val="0098284C"/>
    <w:rsid w:val="00983985"/>
    <w:rsid w:val="0098585A"/>
    <w:rsid w:val="009908FF"/>
    <w:rsid w:val="0099659A"/>
    <w:rsid w:val="009A4CED"/>
    <w:rsid w:val="009A690D"/>
    <w:rsid w:val="009B1D12"/>
    <w:rsid w:val="009B416B"/>
    <w:rsid w:val="009B5AFB"/>
    <w:rsid w:val="009C4BD5"/>
    <w:rsid w:val="009D3816"/>
    <w:rsid w:val="009D7B77"/>
    <w:rsid w:val="009E0BB0"/>
    <w:rsid w:val="009E16E5"/>
    <w:rsid w:val="009E31F6"/>
    <w:rsid w:val="009E3FBB"/>
    <w:rsid w:val="009E4124"/>
    <w:rsid w:val="00A00383"/>
    <w:rsid w:val="00A05231"/>
    <w:rsid w:val="00A102E4"/>
    <w:rsid w:val="00A11444"/>
    <w:rsid w:val="00A12C42"/>
    <w:rsid w:val="00A14DF7"/>
    <w:rsid w:val="00A3246D"/>
    <w:rsid w:val="00A36FA7"/>
    <w:rsid w:val="00A44DDB"/>
    <w:rsid w:val="00A475B7"/>
    <w:rsid w:val="00A47AF7"/>
    <w:rsid w:val="00A47C3E"/>
    <w:rsid w:val="00A50226"/>
    <w:rsid w:val="00A560A5"/>
    <w:rsid w:val="00A60BAD"/>
    <w:rsid w:val="00A76A72"/>
    <w:rsid w:val="00A81F60"/>
    <w:rsid w:val="00A84E36"/>
    <w:rsid w:val="00A91607"/>
    <w:rsid w:val="00A964D1"/>
    <w:rsid w:val="00AA0ED0"/>
    <w:rsid w:val="00AA18C8"/>
    <w:rsid w:val="00AA61AD"/>
    <w:rsid w:val="00AB086F"/>
    <w:rsid w:val="00AC2B40"/>
    <w:rsid w:val="00AC2BB2"/>
    <w:rsid w:val="00AC2C3C"/>
    <w:rsid w:val="00AC4634"/>
    <w:rsid w:val="00AC512D"/>
    <w:rsid w:val="00AD0083"/>
    <w:rsid w:val="00AD30DF"/>
    <w:rsid w:val="00AD3935"/>
    <w:rsid w:val="00AD64EE"/>
    <w:rsid w:val="00AE0298"/>
    <w:rsid w:val="00AE4B5F"/>
    <w:rsid w:val="00AE65EB"/>
    <w:rsid w:val="00AE67A7"/>
    <w:rsid w:val="00AF1D94"/>
    <w:rsid w:val="00AF60C5"/>
    <w:rsid w:val="00AF719F"/>
    <w:rsid w:val="00B009C6"/>
    <w:rsid w:val="00B01548"/>
    <w:rsid w:val="00B21D29"/>
    <w:rsid w:val="00B25034"/>
    <w:rsid w:val="00B33588"/>
    <w:rsid w:val="00B33863"/>
    <w:rsid w:val="00B37D17"/>
    <w:rsid w:val="00B4175E"/>
    <w:rsid w:val="00B452CE"/>
    <w:rsid w:val="00B526DD"/>
    <w:rsid w:val="00B54C25"/>
    <w:rsid w:val="00B5589B"/>
    <w:rsid w:val="00B76B91"/>
    <w:rsid w:val="00B77EB1"/>
    <w:rsid w:val="00B811C6"/>
    <w:rsid w:val="00B84263"/>
    <w:rsid w:val="00B855B0"/>
    <w:rsid w:val="00B8655D"/>
    <w:rsid w:val="00B92E08"/>
    <w:rsid w:val="00BA4960"/>
    <w:rsid w:val="00BB5490"/>
    <w:rsid w:val="00BB6145"/>
    <w:rsid w:val="00BC430F"/>
    <w:rsid w:val="00BC622A"/>
    <w:rsid w:val="00BE0A78"/>
    <w:rsid w:val="00BE20AF"/>
    <w:rsid w:val="00BE23A9"/>
    <w:rsid w:val="00BE69ED"/>
    <w:rsid w:val="00BE79F0"/>
    <w:rsid w:val="00BF046D"/>
    <w:rsid w:val="00BF1190"/>
    <w:rsid w:val="00BF1C4B"/>
    <w:rsid w:val="00BF5D04"/>
    <w:rsid w:val="00C01786"/>
    <w:rsid w:val="00C04990"/>
    <w:rsid w:val="00C100AB"/>
    <w:rsid w:val="00C1164D"/>
    <w:rsid w:val="00C16861"/>
    <w:rsid w:val="00C25498"/>
    <w:rsid w:val="00C313D0"/>
    <w:rsid w:val="00C31B96"/>
    <w:rsid w:val="00C40200"/>
    <w:rsid w:val="00C404A6"/>
    <w:rsid w:val="00C40A36"/>
    <w:rsid w:val="00C44419"/>
    <w:rsid w:val="00C44760"/>
    <w:rsid w:val="00C45A4E"/>
    <w:rsid w:val="00C45E7B"/>
    <w:rsid w:val="00C471B1"/>
    <w:rsid w:val="00C5177E"/>
    <w:rsid w:val="00C600DB"/>
    <w:rsid w:val="00C62722"/>
    <w:rsid w:val="00C6316B"/>
    <w:rsid w:val="00C634A9"/>
    <w:rsid w:val="00C6361B"/>
    <w:rsid w:val="00C64586"/>
    <w:rsid w:val="00C66AF6"/>
    <w:rsid w:val="00C70D53"/>
    <w:rsid w:val="00C72F07"/>
    <w:rsid w:val="00C73D0B"/>
    <w:rsid w:val="00C772FF"/>
    <w:rsid w:val="00C77F99"/>
    <w:rsid w:val="00C80137"/>
    <w:rsid w:val="00C801AF"/>
    <w:rsid w:val="00C80256"/>
    <w:rsid w:val="00C92F58"/>
    <w:rsid w:val="00C93CB7"/>
    <w:rsid w:val="00C95B07"/>
    <w:rsid w:val="00C9747E"/>
    <w:rsid w:val="00CA2B50"/>
    <w:rsid w:val="00CB6BC0"/>
    <w:rsid w:val="00CC1B7C"/>
    <w:rsid w:val="00CC727F"/>
    <w:rsid w:val="00CD15F9"/>
    <w:rsid w:val="00CD6DB5"/>
    <w:rsid w:val="00CE09A7"/>
    <w:rsid w:val="00CE3DCA"/>
    <w:rsid w:val="00CF15C3"/>
    <w:rsid w:val="00CF2B6F"/>
    <w:rsid w:val="00CF4143"/>
    <w:rsid w:val="00CF58B6"/>
    <w:rsid w:val="00D017ED"/>
    <w:rsid w:val="00D040D3"/>
    <w:rsid w:val="00D04C65"/>
    <w:rsid w:val="00D166E8"/>
    <w:rsid w:val="00D201D2"/>
    <w:rsid w:val="00D224FE"/>
    <w:rsid w:val="00D23139"/>
    <w:rsid w:val="00D36D73"/>
    <w:rsid w:val="00D425BB"/>
    <w:rsid w:val="00D44977"/>
    <w:rsid w:val="00D540D1"/>
    <w:rsid w:val="00D6493E"/>
    <w:rsid w:val="00D71406"/>
    <w:rsid w:val="00D7195D"/>
    <w:rsid w:val="00D7301E"/>
    <w:rsid w:val="00D816C1"/>
    <w:rsid w:val="00D83547"/>
    <w:rsid w:val="00D83AE1"/>
    <w:rsid w:val="00D855D4"/>
    <w:rsid w:val="00D93466"/>
    <w:rsid w:val="00DA1124"/>
    <w:rsid w:val="00DA252D"/>
    <w:rsid w:val="00DA5E15"/>
    <w:rsid w:val="00DB6124"/>
    <w:rsid w:val="00DB750B"/>
    <w:rsid w:val="00DB75B7"/>
    <w:rsid w:val="00DC6E02"/>
    <w:rsid w:val="00DE02AE"/>
    <w:rsid w:val="00DE755D"/>
    <w:rsid w:val="00DF1D7F"/>
    <w:rsid w:val="00DF4BE4"/>
    <w:rsid w:val="00E02FB4"/>
    <w:rsid w:val="00E05B4C"/>
    <w:rsid w:val="00E11BD5"/>
    <w:rsid w:val="00E16F36"/>
    <w:rsid w:val="00E20571"/>
    <w:rsid w:val="00E235F7"/>
    <w:rsid w:val="00E23659"/>
    <w:rsid w:val="00E239D4"/>
    <w:rsid w:val="00E26130"/>
    <w:rsid w:val="00E40B22"/>
    <w:rsid w:val="00E43907"/>
    <w:rsid w:val="00E44ED1"/>
    <w:rsid w:val="00E45619"/>
    <w:rsid w:val="00E4588F"/>
    <w:rsid w:val="00E46DA3"/>
    <w:rsid w:val="00E51BB1"/>
    <w:rsid w:val="00E602E6"/>
    <w:rsid w:val="00E624A5"/>
    <w:rsid w:val="00E7344E"/>
    <w:rsid w:val="00E86AD5"/>
    <w:rsid w:val="00EA23B5"/>
    <w:rsid w:val="00EA3403"/>
    <w:rsid w:val="00EB0798"/>
    <w:rsid w:val="00EB25B6"/>
    <w:rsid w:val="00EB40AD"/>
    <w:rsid w:val="00EB586E"/>
    <w:rsid w:val="00EB5FC8"/>
    <w:rsid w:val="00EC715A"/>
    <w:rsid w:val="00EC7A85"/>
    <w:rsid w:val="00ED3CAD"/>
    <w:rsid w:val="00ED5A41"/>
    <w:rsid w:val="00EE12F4"/>
    <w:rsid w:val="00EE1DE8"/>
    <w:rsid w:val="00EE61EF"/>
    <w:rsid w:val="00EF4DA6"/>
    <w:rsid w:val="00F017C2"/>
    <w:rsid w:val="00F033EC"/>
    <w:rsid w:val="00F04F68"/>
    <w:rsid w:val="00F11936"/>
    <w:rsid w:val="00F12670"/>
    <w:rsid w:val="00F14B27"/>
    <w:rsid w:val="00F173C5"/>
    <w:rsid w:val="00F30CA2"/>
    <w:rsid w:val="00F3148D"/>
    <w:rsid w:val="00F325C5"/>
    <w:rsid w:val="00F32FE0"/>
    <w:rsid w:val="00F35298"/>
    <w:rsid w:val="00F47333"/>
    <w:rsid w:val="00F47E37"/>
    <w:rsid w:val="00F51747"/>
    <w:rsid w:val="00F53C07"/>
    <w:rsid w:val="00F53D68"/>
    <w:rsid w:val="00F54B65"/>
    <w:rsid w:val="00F551AA"/>
    <w:rsid w:val="00F61D74"/>
    <w:rsid w:val="00F640B6"/>
    <w:rsid w:val="00F779C9"/>
    <w:rsid w:val="00F80E40"/>
    <w:rsid w:val="00F848D9"/>
    <w:rsid w:val="00F87BA0"/>
    <w:rsid w:val="00FA51A1"/>
    <w:rsid w:val="00FA5B82"/>
    <w:rsid w:val="00FA639E"/>
    <w:rsid w:val="00FB03ED"/>
    <w:rsid w:val="00FB180C"/>
    <w:rsid w:val="00FB7185"/>
    <w:rsid w:val="00FC25E4"/>
    <w:rsid w:val="00FC4EF7"/>
    <w:rsid w:val="00FD0824"/>
    <w:rsid w:val="00FD119B"/>
    <w:rsid w:val="00FD723D"/>
    <w:rsid w:val="00FE1DEE"/>
    <w:rsid w:val="00FE5DFA"/>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semiHidden="0"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8"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uiPriority w:val="1"/>
    <w:qFormat/>
    <w:rsid w:val="001B565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nhideWhenUsed/>
    <w:qFormat/>
    <w:rsid w:val="00AC463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AC4634"/>
    <w:pPr>
      <w:keepNext/>
      <w:spacing w:before="0" w:line="240" w:lineRule="auto"/>
      <w:outlineLvl w:val="8"/>
    </w:pPr>
    <w:rPr>
      <w:rFonts w:ascii="Arial" w:eastAsia="Times New Roman" w:hAnsi="Arial" w:cs="Arial"/>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ListParagraph">
    <w:name w:val="List Paragraph"/>
    <w:basedOn w:val="Normal"/>
    <w:uiPriority w:val="34"/>
    <w:qFormat/>
    <w:rsid w:val="00333EAA"/>
    <w:pPr>
      <w:adjustRightInd w:val="0"/>
      <w:snapToGrid w:val="0"/>
      <w:spacing w:before="0" w:after="0"/>
      <w:ind w:left="720"/>
      <w:contextualSpacing/>
    </w:pPr>
    <w:rPr>
      <w:rFonts w:eastAsia="MS Mincho"/>
      <w:szCs w:val="20"/>
      <w:lang w:eastAsia="ja-JP"/>
    </w:rPr>
  </w:style>
  <w:style w:type="paragraph" w:customStyle="1" w:styleId="Standard">
    <w:name w:val="Standard"/>
    <w:basedOn w:val="Normal"/>
    <w:link w:val="StandardChar"/>
    <w:qFormat/>
    <w:rsid w:val="00EF4DA6"/>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EF4DA6"/>
    <w:pPr>
      <w:keepNext/>
      <w:outlineLvl w:val="0"/>
    </w:pPr>
    <w:rPr>
      <w:b/>
      <w:caps/>
    </w:rPr>
  </w:style>
  <w:style w:type="character" w:customStyle="1" w:styleId="StandardChar">
    <w:name w:val="Standard Char"/>
    <w:basedOn w:val="DefaultParagraphFont"/>
    <w:link w:val="Standard"/>
    <w:rsid w:val="00EF4DA6"/>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EF4DA6"/>
    <w:rPr>
      <w:rFonts w:ascii="Cambria" w:eastAsia="Times New Roman" w:hAnsi="Cambria" w:cs="Times New Roman"/>
      <w:b/>
      <w:caps/>
      <w:snapToGrid w:val="0"/>
      <w:kern w:val="16"/>
      <w:szCs w:val="24"/>
    </w:rPr>
  </w:style>
  <w:style w:type="paragraph" w:customStyle="1" w:styleId="Bulletpoint">
    <w:name w:val="Bullet point"/>
    <w:basedOn w:val="Standard"/>
    <w:rsid w:val="00EF4DA6"/>
    <w:pPr>
      <w:numPr>
        <w:numId w:val="5"/>
      </w:numPr>
      <w:tabs>
        <w:tab w:val="clear" w:pos="369"/>
        <w:tab w:val="left" w:pos="397"/>
        <w:tab w:val="num" w:pos="511"/>
      </w:tabs>
      <w:spacing w:after="180"/>
      <w:ind w:left="397" w:firstLine="0"/>
    </w:pPr>
  </w:style>
  <w:style w:type="paragraph" w:customStyle="1" w:styleId="WhiteSpace">
    <w:name w:val="White Space"/>
    <w:basedOn w:val="Standard"/>
    <w:link w:val="WhiteSpaceChar"/>
    <w:rsid w:val="00EF4DA6"/>
    <w:pPr>
      <w:spacing w:after="0"/>
    </w:pPr>
    <w:rPr>
      <w:sz w:val="16"/>
      <w:szCs w:val="16"/>
    </w:rPr>
  </w:style>
  <w:style w:type="paragraph" w:customStyle="1" w:styleId="AssessmentSubsection">
    <w:name w:val="Assessment Subsection"/>
    <w:basedOn w:val="Standard"/>
    <w:next w:val="Standard"/>
    <w:rsid w:val="00EF4DA6"/>
    <w:pPr>
      <w:keepNext/>
      <w:spacing w:after="110"/>
      <w:outlineLvl w:val="2"/>
    </w:pPr>
    <w:rPr>
      <w:b/>
      <w:i/>
    </w:rPr>
  </w:style>
  <w:style w:type="character" w:customStyle="1" w:styleId="WhiteSpaceChar">
    <w:name w:val="White Space Char"/>
    <w:basedOn w:val="DefaultParagraphFont"/>
    <w:link w:val="WhiteSpace"/>
    <w:rsid w:val="00EF4DA6"/>
    <w:rPr>
      <w:rFonts w:ascii="Cambria" w:eastAsia="Times New Roman" w:hAnsi="Cambria" w:cs="Times New Roman"/>
      <w:snapToGrid w:val="0"/>
      <w:kern w:val="16"/>
      <w:sz w:val="16"/>
      <w:szCs w:val="16"/>
    </w:rPr>
  </w:style>
  <w:style w:type="paragraph" w:customStyle="1" w:styleId="TableCaption">
    <w:name w:val="Table Caption"/>
    <w:basedOn w:val="Standard"/>
    <w:next w:val="Standard"/>
    <w:link w:val="TableCaptionChar"/>
    <w:qFormat/>
    <w:rsid w:val="00EF4DA6"/>
    <w:pPr>
      <w:spacing w:before="60" w:after="440" w:line="215" w:lineRule="exact"/>
      <w:ind w:left="170"/>
    </w:pPr>
    <w:rPr>
      <w:rFonts w:eastAsia="Cambria"/>
      <w:snapToGrid/>
      <w:kern w:val="0"/>
      <w:sz w:val="19"/>
      <w:szCs w:val="22"/>
    </w:rPr>
  </w:style>
  <w:style w:type="character" w:customStyle="1" w:styleId="TableTitleChar">
    <w:name w:val="Table Title Char"/>
    <w:basedOn w:val="StandardChar"/>
    <w:link w:val="TableTitle"/>
    <w:rsid w:val="00EF4DA6"/>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EF4DA6"/>
    <w:rPr>
      <w:rFonts w:ascii="Cambria" w:eastAsia="Cambria" w:hAnsi="Cambria" w:cs="Times New Roman"/>
      <w:sz w:val="19"/>
    </w:rPr>
  </w:style>
  <w:style w:type="character" w:customStyle="1" w:styleId="TableCaptionChar">
    <w:name w:val="Table Caption Char"/>
    <w:basedOn w:val="TabletextChar"/>
    <w:link w:val="TableCaption"/>
    <w:rsid w:val="00EF4DA6"/>
    <w:rPr>
      <w:rFonts w:ascii="Cambria" w:eastAsia="Cambria" w:hAnsi="Cambria" w:cs="Times New Roman"/>
      <w:sz w:val="19"/>
    </w:rPr>
  </w:style>
  <w:style w:type="paragraph" w:customStyle="1" w:styleId="AssessmentSubsection2">
    <w:name w:val="Assessment Subsection 2"/>
    <w:basedOn w:val="AssessmentSubsection"/>
    <w:next w:val="Standard"/>
    <w:rsid w:val="00EF4DA6"/>
    <w:pPr>
      <w:outlineLvl w:val="3"/>
    </w:pPr>
    <w:rPr>
      <w:b w:val="0"/>
    </w:rPr>
  </w:style>
  <w:style w:type="character" w:customStyle="1" w:styleId="Heading8Char">
    <w:name w:val="Heading 8 Char"/>
    <w:basedOn w:val="DefaultParagraphFont"/>
    <w:link w:val="Heading8"/>
    <w:rsid w:val="00AC463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AC4634"/>
    <w:rPr>
      <w:rFonts w:ascii="Arial" w:eastAsia="Times New Roman" w:hAnsi="Arial" w:cs="Arial"/>
      <w:u w:val="single"/>
      <w:lang w:eastAsia="en-AU"/>
    </w:rPr>
  </w:style>
  <w:style w:type="paragraph" w:customStyle="1" w:styleId="FigureCaption">
    <w:name w:val="Figure Caption"/>
    <w:basedOn w:val="Normal"/>
    <w:qFormat/>
    <w:rsid w:val="00AC4634"/>
    <w:pPr>
      <w:spacing w:before="180" w:after="0"/>
    </w:pPr>
  </w:style>
  <w:style w:type="table" w:styleId="MediumGrid3-Accent2">
    <w:name w:val="Medium Grid 3 Accent 2"/>
    <w:basedOn w:val="TableNormal"/>
    <w:uiPriority w:val="60"/>
    <w:rsid w:val="00AC4634"/>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6">
    <w:name w:val="Medium Shading 1 Accent 6"/>
    <w:basedOn w:val="TableNormal"/>
    <w:uiPriority w:val="68"/>
    <w:rsid w:val="00AC4634"/>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Subject">
    <w:name w:val="Subject"/>
    <w:basedOn w:val="Normal"/>
    <w:qFormat/>
    <w:rsid w:val="00AC4634"/>
    <w:pPr>
      <w:spacing w:before="180" w:after="180"/>
    </w:pPr>
    <w:rPr>
      <w:b/>
    </w:rPr>
  </w:style>
  <w:style w:type="paragraph" w:customStyle="1" w:styleId="Footnote">
    <w:name w:val="Footnote"/>
    <w:qFormat/>
    <w:rsid w:val="00AC4634"/>
    <w:pPr>
      <w:spacing w:after="0" w:line="240" w:lineRule="auto"/>
    </w:pPr>
    <w:rPr>
      <w:rFonts w:ascii="Cambria" w:eastAsia="Cambria" w:hAnsi="Cambria" w:cs="Times New Roman"/>
      <w:sz w:val="20"/>
      <w:szCs w:val="20"/>
    </w:rPr>
  </w:style>
  <w:style w:type="paragraph" w:customStyle="1" w:styleId="ColorfulList-Accent11">
    <w:name w:val="Colorful List - Accent 11"/>
    <w:basedOn w:val="Normal"/>
    <w:uiPriority w:val="34"/>
    <w:qFormat/>
    <w:locked/>
    <w:rsid w:val="00AC4634"/>
    <w:pPr>
      <w:adjustRightInd w:val="0"/>
      <w:snapToGrid w:val="0"/>
      <w:spacing w:before="180" w:after="180"/>
      <w:ind w:left="720"/>
      <w:contextualSpacing/>
    </w:pPr>
    <w:rPr>
      <w:rFonts w:eastAsia="MS Mincho"/>
      <w:szCs w:val="20"/>
      <w:lang w:eastAsia="ja-JP"/>
    </w:rPr>
  </w:style>
  <w:style w:type="paragraph" w:customStyle="1" w:styleId="Default">
    <w:name w:val="Default"/>
    <w:rsid w:val="00AC4634"/>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customStyle="1" w:styleId="CM4">
    <w:name w:val="CM4"/>
    <w:basedOn w:val="Default"/>
    <w:next w:val="Default"/>
    <w:uiPriority w:val="99"/>
    <w:rsid w:val="00AC4634"/>
    <w:pPr>
      <w:spacing w:line="186" w:lineRule="atLeast"/>
    </w:pPr>
    <w:rPr>
      <w:color w:val="auto"/>
    </w:rPr>
  </w:style>
  <w:style w:type="paragraph" w:customStyle="1" w:styleId="CM5">
    <w:name w:val="CM5"/>
    <w:basedOn w:val="Default"/>
    <w:next w:val="Default"/>
    <w:uiPriority w:val="99"/>
    <w:rsid w:val="00AC4634"/>
    <w:pPr>
      <w:spacing w:line="186" w:lineRule="atLeast"/>
    </w:pPr>
    <w:rPr>
      <w:color w:val="auto"/>
    </w:rPr>
  </w:style>
  <w:style w:type="paragraph" w:customStyle="1" w:styleId="CM1">
    <w:name w:val="CM1"/>
    <w:basedOn w:val="Default"/>
    <w:next w:val="Default"/>
    <w:uiPriority w:val="99"/>
    <w:rsid w:val="00AC4634"/>
    <w:pPr>
      <w:spacing w:line="186" w:lineRule="atLeast"/>
    </w:pPr>
    <w:rPr>
      <w:color w:val="auto"/>
    </w:rPr>
  </w:style>
  <w:style w:type="paragraph" w:customStyle="1" w:styleId="BodytextAgency">
    <w:name w:val="Body text (Agency)"/>
    <w:basedOn w:val="Normal"/>
    <w:link w:val="BodytextAgencyChar"/>
    <w:qFormat/>
    <w:rsid w:val="00AC4634"/>
    <w:pPr>
      <w:spacing w:before="0" w:after="140" w:line="280" w:lineRule="atLeast"/>
    </w:pPr>
    <w:rPr>
      <w:rFonts w:ascii="Verdana" w:eastAsia="SimSun" w:hAnsi="Verdana" w:cs="Verdana"/>
      <w:sz w:val="18"/>
      <w:szCs w:val="18"/>
      <w:lang w:val="en-GB" w:eastAsia="en-GB"/>
    </w:rPr>
  </w:style>
  <w:style w:type="character" w:customStyle="1" w:styleId="BodytextAgencyChar">
    <w:name w:val="Body text (Agency) Char"/>
    <w:link w:val="BodytextAgency"/>
    <w:locked/>
    <w:rsid w:val="00AC4634"/>
    <w:rPr>
      <w:rFonts w:ascii="Verdana" w:eastAsia="SimSun" w:hAnsi="Verdana" w:cs="Verdana"/>
      <w:sz w:val="18"/>
      <w:szCs w:val="18"/>
      <w:lang w:val="en-GB" w:eastAsia="en-GB"/>
    </w:rPr>
  </w:style>
  <w:style w:type="paragraph" w:styleId="NormalWeb">
    <w:name w:val="Normal (Web)"/>
    <w:basedOn w:val="Normal"/>
    <w:uiPriority w:val="99"/>
    <w:rsid w:val="00AC4634"/>
    <w:pPr>
      <w:spacing w:beforeLines="1" w:before="180" w:afterLines="1" w:after="180" w:line="240" w:lineRule="auto"/>
      <w:jc w:val="both"/>
    </w:pPr>
    <w:rPr>
      <w:rFonts w:ascii="Times" w:eastAsia="Times New Roman" w:hAnsi="Times"/>
      <w:sz w:val="20"/>
      <w:szCs w:val="20"/>
    </w:rPr>
  </w:style>
  <w:style w:type="paragraph" w:customStyle="1" w:styleId="PISubsection">
    <w:name w:val="PI Subsection"/>
    <w:basedOn w:val="Standard"/>
    <w:next w:val="Standard"/>
    <w:rsid w:val="00AC4634"/>
    <w:pPr>
      <w:spacing w:after="120"/>
    </w:pPr>
    <w:rPr>
      <w:b/>
      <w:i/>
      <w:kern w:val="2"/>
    </w:rPr>
  </w:style>
  <w:style w:type="paragraph" w:styleId="Quote">
    <w:name w:val="Quote"/>
    <w:basedOn w:val="Standard"/>
    <w:next w:val="Standard"/>
    <w:link w:val="QuoteChar"/>
    <w:uiPriority w:val="29"/>
    <w:qFormat/>
    <w:rsid w:val="00AC4634"/>
    <w:pPr>
      <w:spacing w:after="280"/>
      <w:ind w:left="482" w:right="397" w:hanging="85"/>
    </w:pPr>
  </w:style>
  <w:style w:type="character" w:customStyle="1" w:styleId="QuoteChar">
    <w:name w:val="Quote Char"/>
    <w:basedOn w:val="DefaultParagraphFont"/>
    <w:link w:val="Quote"/>
    <w:uiPriority w:val="29"/>
    <w:rsid w:val="00AC4634"/>
    <w:rPr>
      <w:rFonts w:ascii="Cambria" w:eastAsia="Times New Roman" w:hAnsi="Cambria" w:cs="Times New Roman"/>
      <w:snapToGrid w:val="0"/>
      <w:kern w:val="16"/>
      <w:szCs w:val="24"/>
    </w:rPr>
  </w:style>
  <w:style w:type="paragraph" w:customStyle="1" w:styleId="Bullet2">
    <w:name w:val="Bullet 2"/>
    <w:basedOn w:val="Normal"/>
    <w:rsid w:val="00AC4634"/>
    <w:pPr>
      <w:numPr>
        <w:numId w:val="6"/>
      </w:numPr>
      <w:spacing w:line="240" w:lineRule="auto"/>
      <w:jc w:val="both"/>
    </w:pPr>
    <w:rPr>
      <w:rFonts w:eastAsia="Times New Roman"/>
      <w:kern w:val="24"/>
      <w:szCs w:val="24"/>
      <w:lang w:eastAsia="en-AU"/>
    </w:rPr>
  </w:style>
  <w:style w:type="paragraph" w:customStyle="1" w:styleId="Source">
    <w:name w:val="Source"/>
    <w:basedOn w:val="Normal"/>
    <w:qFormat/>
    <w:rsid w:val="00AC46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6"/>
      <w:szCs w:val="24"/>
      <w:lang w:val="en-US" w:eastAsia="en-AU"/>
    </w:rPr>
  </w:style>
  <w:style w:type="character" w:customStyle="1" w:styleId="nowrap1">
    <w:name w:val="nowrap1"/>
    <w:rsid w:val="00AC4634"/>
  </w:style>
  <w:style w:type="paragraph" w:customStyle="1" w:styleId="Bullet1">
    <w:name w:val="Bullet 1"/>
    <w:basedOn w:val="Normal"/>
    <w:rsid w:val="00AC4634"/>
    <w:pPr>
      <w:numPr>
        <w:numId w:val="7"/>
      </w:numPr>
      <w:spacing w:after="0" w:line="240" w:lineRule="auto"/>
    </w:pPr>
    <w:rPr>
      <w:rFonts w:eastAsia="Times New Roman"/>
      <w:kern w:val="24"/>
      <w:lang w:eastAsia="en-AU"/>
    </w:rPr>
  </w:style>
  <w:style w:type="character" w:customStyle="1" w:styleId="A8">
    <w:name w:val="A8"/>
    <w:uiPriority w:val="99"/>
    <w:rsid w:val="00AC4634"/>
    <w:rPr>
      <w:rFonts w:cs="Garamond"/>
      <w:color w:val="221E1F"/>
      <w:sz w:val="22"/>
      <w:szCs w:val="22"/>
    </w:rPr>
  </w:style>
  <w:style w:type="paragraph" w:customStyle="1" w:styleId="Comment2">
    <w:name w:val="Comment 2"/>
    <w:basedOn w:val="Normal"/>
    <w:qFormat/>
    <w:rsid w:val="00AC463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kern w:val="16"/>
      <w:lang w:eastAsia="en-AU"/>
    </w:rPr>
  </w:style>
  <w:style w:type="paragraph" w:customStyle="1" w:styleId="Comment1">
    <w:name w:val="Comment 1"/>
    <w:basedOn w:val="Normal"/>
    <w:next w:val="Comment2"/>
    <w:qFormat/>
    <w:rsid w:val="00AC463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kern w:val="16"/>
      <w:lang w:eastAsia="en-AU"/>
    </w:rPr>
  </w:style>
  <w:style w:type="paragraph" w:styleId="BodyText">
    <w:name w:val="Body Text"/>
    <w:basedOn w:val="Normal"/>
    <w:link w:val="BodyTextChar"/>
    <w:semiHidden/>
    <w:rsid w:val="00AC46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b/>
      <w:bCs/>
      <w:lang w:val="en-US"/>
    </w:rPr>
  </w:style>
  <w:style w:type="character" w:customStyle="1" w:styleId="BodyTextChar">
    <w:name w:val="Body Text Char"/>
    <w:basedOn w:val="DefaultParagraphFont"/>
    <w:link w:val="BodyText"/>
    <w:semiHidden/>
    <w:rsid w:val="00AC4634"/>
    <w:rPr>
      <w:rFonts w:ascii="Cambria" w:eastAsia="Times New Roman" w:hAnsi="Cambria" w:cs="Times New Roman"/>
      <w:b/>
      <w:bCs/>
      <w:lang w:val="en-US"/>
    </w:rPr>
  </w:style>
  <w:style w:type="paragraph" w:customStyle="1" w:styleId="Heading0inTOC">
    <w:name w:val="Heading 0 (in TOC)"/>
    <w:basedOn w:val="Heading1"/>
    <w:next w:val="Normal"/>
    <w:rsid w:val="00AC4634"/>
    <w:pPr>
      <w:keepLines w:val="0"/>
      <w:spacing w:before="0" w:after="120" w:line="240" w:lineRule="auto"/>
    </w:pPr>
    <w:rPr>
      <w:rFonts w:ascii="Cambria" w:hAnsi="Cambria" w:cs="Times New Roman"/>
      <w:bCs w:val="0"/>
      <w:sz w:val="22"/>
      <w:szCs w:val="24"/>
      <w:lang w:eastAsia="en-AU"/>
    </w:rPr>
  </w:style>
  <w:style w:type="character" w:styleId="PageNumber">
    <w:name w:val="page number"/>
    <w:rsid w:val="00AC4634"/>
    <w:rPr>
      <w:sz w:val="20"/>
    </w:rPr>
  </w:style>
  <w:style w:type="paragraph" w:customStyle="1" w:styleId="TableBullet">
    <w:name w:val="Table Bullet"/>
    <w:basedOn w:val="Normal"/>
    <w:rsid w:val="00AC4634"/>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 w:val="20"/>
      <w:szCs w:val="24"/>
      <w:lang w:eastAsia="en-AU"/>
    </w:rPr>
  </w:style>
  <w:style w:type="paragraph" w:styleId="TOC4">
    <w:name w:val="toc 4"/>
    <w:basedOn w:val="Normal"/>
    <w:next w:val="Normal"/>
    <w:uiPriority w:val="39"/>
    <w:rsid w:val="00AC4634"/>
    <w:pPr>
      <w:tabs>
        <w:tab w:val="left" w:pos="1247"/>
        <w:tab w:val="right" w:leader="dot" w:pos="9356"/>
      </w:tabs>
      <w:spacing w:before="0" w:after="0" w:line="240" w:lineRule="auto"/>
      <w:ind w:left="1247" w:hanging="907"/>
    </w:pPr>
    <w:rPr>
      <w:rFonts w:eastAsia="Times New Roman"/>
      <w:sz w:val="20"/>
      <w:szCs w:val="24"/>
      <w:lang w:eastAsia="en-AU"/>
    </w:rPr>
  </w:style>
  <w:style w:type="paragraph" w:styleId="TOC5">
    <w:name w:val="toc 5"/>
    <w:basedOn w:val="Normal"/>
    <w:next w:val="Normal"/>
    <w:uiPriority w:val="39"/>
    <w:rsid w:val="00AC4634"/>
    <w:pPr>
      <w:spacing w:before="0" w:after="0" w:line="240" w:lineRule="auto"/>
      <w:ind w:left="454"/>
    </w:pPr>
    <w:rPr>
      <w:rFonts w:eastAsia="Times New Roman"/>
      <w:sz w:val="20"/>
      <w:szCs w:val="24"/>
      <w:lang w:eastAsia="en-AU"/>
    </w:rPr>
  </w:style>
  <w:style w:type="paragraph" w:styleId="TOC6">
    <w:name w:val="toc 6"/>
    <w:basedOn w:val="Normal"/>
    <w:next w:val="Normal"/>
    <w:uiPriority w:val="39"/>
    <w:rsid w:val="00AC4634"/>
    <w:pPr>
      <w:spacing w:before="0" w:after="0" w:line="240" w:lineRule="auto"/>
      <w:ind w:left="567"/>
    </w:pPr>
    <w:rPr>
      <w:rFonts w:eastAsia="Times New Roman"/>
      <w:sz w:val="20"/>
      <w:szCs w:val="24"/>
      <w:lang w:eastAsia="en-AU"/>
    </w:rPr>
  </w:style>
  <w:style w:type="paragraph" w:styleId="TOC7">
    <w:name w:val="toc 7"/>
    <w:basedOn w:val="Normal"/>
    <w:next w:val="Normal"/>
    <w:uiPriority w:val="39"/>
    <w:rsid w:val="00AC4634"/>
    <w:pPr>
      <w:spacing w:before="0" w:after="0" w:line="240" w:lineRule="auto"/>
      <w:ind w:left="680"/>
    </w:pPr>
    <w:rPr>
      <w:rFonts w:eastAsia="Times New Roman"/>
      <w:sz w:val="20"/>
      <w:szCs w:val="24"/>
      <w:lang w:eastAsia="en-AU"/>
    </w:rPr>
  </w:style>
  <w:style w:type="paragraph" w:styleId="TOC8">
    <w:name w:val="toc 8"/>
    <w:basedOn w:val="Normal"/>
    <w:next w:val="Normal"/>
    <w:uiPriority w:val="39"/>
    <w:rsid w:val="00AC4634"/>
    <w:pPr>
      <w:spacing w:before="0" w:after="0" w:line="240" w:lineRule="auto"/>
      <w:ind w:left="907"/>
    </w:pPr>
    <w:rPr>
      <w:rFonts w:eastAsia="Times New Roman"/>
      <w:sz w:val="20"/>
      <w:szCs w:val="24"/>
      <w:lang w:eastAsia="en-AU"/>
    </w:rPr>
  </w:style>
  <w:style w:type="paragraph" w:styleId="TOC9">
    <w:name w:val="toc 9"/>
    <w:basedOn w:val="Normal"/>
    <w:next w:val="Normal"/>
    <w:uiPriority w:val="39"/>
    <w:rsid w:val="00AC4634"/>
    <w:pPr>
      <w:spacing w:before="0" w:after="0" w:line="240" w:lineRule="auto"/>
      <w:ind w:left="1134"/>
    </w:pPr>
    <w:rPr>
      <w:rFonts w:eastAsia="Times New Roman"/>
      <w:sz w:val="20"/>
      <w:szCs w:val="24"/>
      <w:lang w:eastAsia="en-AU"/>
    </w:rPr>
  </w:style>
  <w:style w:type="paragraph" w:styleId="EndnoteText">
    <w:name w:val="endnote text"/>
    <w:basedOn w:val="Normal"/>
    <w:link w:val="EndnoteTextChar"/>
    <w:semiHidden/>
    <w:rsid w:val="00AC46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 w:val="20"/>
      <w:szCs w:val="20"/>
      <w:lang w:eastAsia="en-AU"/>
    </w:rPr>
  </w:style>
  <w:style w:type="character" w:customStyle="1" w:styleId="EndnoteTextChar">
    <w:name w:val="Endnote Text Char"/>
    <w:basedOn w:val="DefaultParagraphFont"/>
    <w:link w:val="EndnoteText"/>
    <w:semiHidden/>
    <w:rsid w:val="00AC4634"/>
    <w:rPr>
      <w:rFonts w:ascii="Cambria" w:eastAsia="Times New Roman" w:hAnsi="Cambria" w:cs="Times New Roman"/>
      <w:sz w:val="20"/>
      <w:szCs w:val="20"/>
      <w:lang w:eastAsia="en-AU"/>
    </w:rPr>
  </w:style>
  <w:style w:type="character" w:styleId="EndnoteReference">
    <w:name w:val="endnote reference"/>
    <w:semiHidden/>
    <w:rsid w:val="00AC4634"/>
    <w:rPr>
      <w:dstrike w:val="0"/>
      <w:vertAlign w:val="baseline"/>
    </w:rPr>
  </w:style>
  <w:style w:type="paragraph" w:customStyle="1" w:styleId="Abbreviations">
    <w:name w:val="Abbreviations"/>
    <w:basedOn w:val="Normal"/>
    <w:rsid w:val="00AC463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Cs w:val="24"/>
      <w:lang w:eastAsia="en-AU"/>
    </w:rPr>
  </w:style>
  <w:style w:type="paragraph" w:styleId="TableofFigures">
    <w:name w:val="table of figures"/>
    <w:basedOn w:val="Normal"/>
    <w:next w:val="Normal"/>
    <w:uiPriority w:val="99"/>
    <w:rsid w:val="00AC4634"/>
    <w:pPr>
      <w:spacing w:before="0" w:after="0" w:line="240" w:lineRule="auto"/>
      <w:ind w:left="1134" w:hanging="1134"/>
    </w:pPr>
    <w:rPr>
      <w:rFonts w:eastAsia="Times New Roman" w:cs="Calibri"/>
      <w:szCs w:val="20"/>
      <w:lang w:eastAsia="en-AU"/>
    </w:rPr>
  </w:style>
  <w:style w:type="paragraph" w:customStyle="1" w:styleId="CommentDot">
    <w:name w:val="Comment Dot"/>
    <w:basedOn w:val="Comment2"/>
    <w:qFormat/>
    <w:rsid w:val="00AC4634"/>
    <w:pPr>
      <w:numPr>
        <w:numId w:val="9"/>
      </w:numPr>
      <w:tabs>
        <w:tab w:val="clear" w:pos="1134"/>
      </w:tabs>
      <w:spacing w:before="120"/>
      <w:ind w:left="1418" w:hanging="284"/>
    </w:pPr>
    <w:rPr>
      <w:rFonts w:cs="Arial"/>
      <w:kern w:val="0"/>
    </w:rPr>
  </w:style>
  <w:style w:type="paragraph" w:customStyle="1" w:styleId="Instructions1">
    <w:name w:val="Instructions 1"/>
    <w:basedOn w:val="Normal"/>
    <w:qFormat/>
    <w:rsid w:val="00AC463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lang w:eastAsia="en-AU"/>
    </w:rPr>
  </w:style>
  <w:style w:type="paragraph" w:customStyle="1" w:styleId="Instructions2">
    <w:name w:val="Instructions 2"/>
    <w:basedOn w:val="Normal"/>
    <w:qFormat/>
    <w:rsid w:val="00AC4634"/>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lang w:eastAsia="en-AU"/>
    </w:rPr>
  </w:style>
  <w:style w:type="character" w:styleId="CommentReference">
    <w:name w:val="annotation reference"/>
    <w:rsid w:val="00AC4634"/>
    <w:rPr>
      <w:sz w:val="16"/>
      <w:szCs w:val="16"/>
    </w:rPr>
  </w:style>
  <w:style w:type="paragraph" w:styleId="CommentText">
    <w:name w:val="annotation text"/>
    <w:basedOn w:val="Normal"/>
    <w:link w:val="CommentTextChar"/>
    <w:rsid w:val="00AC46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sz w:val="20"/>
      <w:szCs w:val="20"/>
      <w:lang w:eastAsia="en-AU"/>
    </w:rPr>
  </w:style>
  <w:style w:type="character" w:customStyle="1" w:styleId="CommentTextChar">
    <w:name w:val="Comment Text Char"/>
    <w:basedOn w:val="DefaultParagraphFont"/>
    <w:link w:val="CommentText"/>
    <w:rsid w:val="00AC4634"/>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rsid w:val="00AC4634"/>
    <w:rPr>
      <w:b/>
      <w:bCs/>
    </w:rPr>
  </w:style>
  <w:style w:type="character" w:customStyle="1" w:styleId="CommentSubjectChar">
    <w:name w:val="Comment Subject Char"/>
    <w:basedOn w:val="CommentTextChar"/>
    <w:link w:val="CommentSubject"/>
    <w:rsid w:val="00AC4634"/>
    <w:rPr>
      <w:rFonts w:ascii="Times New Roman" w:eastAsia="Times New Roman" w:hAnsi="Times New Roman" w:cs="Times New Roman"/>
      <w:b/>
      <w:bCs/>
      <w:sz w:val="20"/>
      <w:szCs w:val="20"/>
      <w:lang w:eastAsia="en-AU"/>
    </w:rPr>
  </w:style>
  <w:style w:type="paragraph" w:customStyle="1" w:styleId="Contentslist1">
    <w:name w:val="Contents list 1"/>
    <w:basedOn w:val="Normal"/>
    <w:qFormat/>
    <w:rsid w:val="00AC4634"/>
    <w:pPr>
      <w:tabs>
        <w:tab w:val="right" w:leader="dot" w:pos="9356"/>
      </w:tabs>
      <w:spacing w:line="240" w:lineRule="auto"/>
    </w:pPr>
    <w:rPr>
      <w:rFonts w:eastAsia="Times New Roman"/>
      <w:b/>
      <w:sz w:val="20"/>
      <w:szCs w:val="24"/>
      <w:lang w:eastAsia="en-AU"/>
    </w:rPr>
  </w:style>
  <w:style w:type="paragraph" w:customStyle="1" w:styleId="Contentslist2">
    <w:name w:val="Contents list 2"/>
    <w:basedOn w:val="Contentslist1"/>
    <w:qFormat/>
    <w:rsid w:val="00AC4634"/>
    <w:pPr>
      <w:spacing w:before="0" w:after="0"/>
    </w:pPr>
    <w:rPr>
      <w:b w:val="0"/>
    </w:rPr>
  </w:style>
  <w:style w:type="character" w:customStyle="1" w:styleId="st1">
    <w:name w:val="st1"/>
    <w:rsid w:val="00AC4634"/>
    <w:rPr>
      <w:b w:val="0"/>
      <w:bCs w:val="0"/>
      <w:color w:val="222222"/>
      <w:sz w:val="27"/>
      <w:szCs w:val="27"/>
    </w:rPr>
  </w:style>
  <w:style w:type="character" w:customStyle="1" w:styleId="Char">
    <w:name w:val="Char"/>
    <w:rsid w:val="00AC4634"/>
    <w:rPr>
      <w:rFonts w:ascii="Cambria" w:eastAsia="MS Mincho" w:hAnsi="Cambria"/>
      <w:kern w:val="16"/>
      <w:sz w:val="22"/>
      <w:szCs w:val="24"/>
      <w:lang w:val="en-AU" w:eastAsia="en-AU" w:bidi="ar-SA"/>
    </w:rPr>
  </w:style>
  <w:style w:type="character" w:customStyle="1" w:styleId="Bullet1CharCharCharCharCharCharCharCharCharChar">
    <w:name w:val="Bullet 1 Char Char Char Char Char Char Char Char Char Char"/>
    <w:link w:val="Bullet1CharCharCharCharCharCharCharCharChar"/>
    <w:rsid w:val="00AC4634"/>
    <w:rPr>
      <w:kern w:val="24"/>
      <w:szCs w:val="24"/>
      <w:lang w:eastAsia="en-AU"/>
    </w:rPr>
  </w:style>
  <w:style w:type="paragraph" w:customStyle="1" w:styleId="Bullet1CharCharCharCharCharCharCharCharChar">
    <w:name w:val="Bullet 1 Char Char Char Char Char Char Char Char Char"/>
    <w:basedOn w:val="Normal"/>
    <w:link w:val="Bullet1CharCharCharCharCharCharCharCharCharChar"/>
    <w:rsid w:val="00AC4634"/>
    <w:pPr>
      <w:tabs>
        <w:tab w:val="num" w:pos="284"/>
      </w:tabs>
      <w:spacing w:after="0" w:line="240" w:lineRule="auto"/>
      <w:ind w:left="284" w:hanging="284"/>
    </w:pPr>
    <w:rPr>
      <w:rFonts w:asciiTheme="minorHAnsi" w:eastAsiaTheme="minorHAnsi" w:hAnsiTheme="minorHAnsi" w:cstheme="minorBidi"/>
      <w:kern w:val="24"/>
      <w:szCs w:val="24"/>
      <w:lang w:eastAsia="en-AU"/>
    </w:rPr>
  </w:style>
  <w:style w:type="paragraph" w:customStyle="1" w:styleId="t1">
    <w:name w:val="t1"/>
    <w:basedOn w:val="Normal"/>
    <w:rsid w:val="00AC4634"/>
    <w:pPr>
      <w:spacing w:before="0" w:after="0" w:line="280" w:lineRule="atLeast"/>
    </w:pPr>
    <w:rPr>
      <w:rFonts w:ascii="Times New Roman" w:eastAsia="Times New Roman" w:hAnsi="Times New Roman"/>
      <w:sz w:val="24"/>
      <w:szCs w:val="20"/>
      <w:lang w:val="en-US"/>
    </w:rPr>
  </w:style>
  <w:style w:type="paragraph" w:customStyle="1" w:styleId="p7">
    <w:name w:val="p7"/>
    <w:basedOn w:val="Normal"/>
    <w:rsid w:val="00AC4634"/>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customStyle="1" w:styleId="TableParagraph">
    <w:name w:val="Table Paragraph"/>
    <w:basedOn w:val="Normal"/>
    <w:uiPriority w:val="1"/>
    <w:qFormat/>
    <w:rsid w:val="00AC4634"/>
    <w:pPr>
      <w:autoSpaceDE w:val="0"/>
      <w:autoSpaceDN w:val="0"/>
      <w:adjustRightInd w:val="0"/>
      <w:spacing w:before="0" w:after="0" w:line="240" w:lineRule="auto"/>
    </w:pPr>
    <w:rPr>
      <w:rFonts w:ascii="Times New Roman" w:hAnsi="Times New Roman"/>
      <w:sz w:val="24"/>
      <w:szCs w:val="24"/>
    </w:rPr>
  </w:style>
  <w:style w:type="character" w:styleId="Emphasis">
    <w:name w:val="Emphasis"/>
    <w:basedOn w:val="DefaultParagraphFont"/>
    <w:uiPriority w:val="20"/>
    <w:qFormat/>
    <w:rsid w:val="00AC463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semiHidden="0"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8"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uiPriority w:val="1"/>
    <w:qFormat/>
    <w:rsid w:val="001B565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nhideWhenUsed/>
    <w:qFormat/>
    <w:rsid w:val="00AC463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AC4634"/>
    <w:pPr>
      <w:keepNext/>
      <w:spacing w:before="0" w:line="240" w:lineRule="auto"/>
      <w:outlineLvl w:val="8"/>
    </w:pPr>
    <w:rPr>
      <w:rFonts w:ascii="Arial" w:eastAsia="Times New Roman" w:hAnsi="Arial" w:cs="Arial"/>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ListParagraph">
    <w:name w:val="List Paragraph"/>
    <w:basedOn w:val="Normal"/>
    <w:uiPriority w:val="34"/>
    <w:qFormat/>
    <w:rsid w:val="00333EAA"/>
    <w:pPr>
      <w:adjustRightInd w:val="0"/>
      <w:snapToGrid w:val="0"/>
      <w:spacing w:before="0" w:after="0"/>
      <w:ind w:left="720"/>
      <w:contextualSpacing/>
    </w:pPr>
    <w:rPr>
      <w:rFonts w:eastAsia="MS Mincho"/>
      <w:szCs w:val="20"/>
      <w:lang w:eastAsia="ja-JP"/>
    </w:rPr>
  </w:style>
  <w:style w:type="paragraph" w:customStyle="1" w:styleId="Standard">
    <w:name w:val="Standard"/>
    <w:basedOn w:val="Normal"/>
    <w:link w:val="StandardChar"/>
    <w:qFormat/>
    <w:rsid w:val="00EF4DA6"/>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EF4DA6"/>
    <w:pPr>
      <w:keepNext/>
      <w:outlineLvl w:val="0"/>
    </w:pPr>
    <w:rPr>
      <w:b/>
      <w:caps/>
    </w:rPr>
  </w:style>
  <w:style w:type="character" w:customStyle="1" w:styleId="StandardChar">
    <w:name w:val="Standard Char"/>
    <w:basedOn w:val="DefaultParagraphFont"/>
    <w:link w:val="Standard"/>
    <w:rsid w:val="00EF4DA6"/>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EF4DA6"/>
    <w:rPr>
      <w:rFonts w:ascii="Cambria" w:eastAsia="Times New Roman" w:hAnsi="Cambria" w:cs="Times New Roman"/>
      <w:b/>
      <w:caps/>
      <w:snapToGrid w:val="0"/>
      <w:kern w:val="16"/>
      <w:szCs w:val="24"/>
    </w:rPr>
  </w:style>
  <w:style w:type="paragraph" w:customStyle="1" w:styleId="Bulletpoint">
    <w:name w:val="Bullet point"/>
    <w:basedOn w:val="Standard"/>
    <w:rsid w:val="00EF4DA6"/>
    <w:pPr>
      <w:numPr>
        <w:numId w:val="5"/>
      </w:numPr>
      <w:tabs>
        <w:tab w:val="clear" w:pos="369"/>
        <w:tab w:val="left" w:pos="397"/>
        <w:tab w:val="num" w:pos="511"/>
      </w:tabs>
      <w:spacing w:after="180"/>
      <w:ind w:left="397" w:firstLine="0"/>
    </w:pPr>
  </w:style>
  <w:style w:type="paragraph" w:customStyle="1" w:styleId="WhiteSpace">
    <w:name w:val="White Space"/>
    <w:basedOn w:val="Standard"/>
    <w:link w:val="WhiteSpaceChar"/>
    <w:rsid w:val="00EF4DA6"/>
    <w:pPr>
      <w:spacing w:after="0"/>
    </w:pPr>
    <w:rPr>
      <w:sz w:val="16"/>
      <w:szCs w:val="16"/>
    </w:rPr>
  </w:style>
  <w:style w:type="paragraph" w:customStyle="1" w:styleId="AssessmentSubsection">
    <w:name w:val="Assessment Subsection"/>
    <w:basedOn w:val="Standard"/>
    <w:next w:val="Standard"/>
    <w:rsid w:val="00EF4DA6"/>
    <w:pPr>
      <w:keepNext/>
      <w:spacing w:after="110"/>
      <w:outlineLvl w:val="2"/>
    </w:pPr>
    <w:rPr>
      <w:b/>
      <w:i/>
    </w:rPr>
  </w:style>
  <w:style w:type="character" w:customStyle="1" w:styleId="WhiteSpaceChar">
    <w:name w:val="White Space Char"/>
    <w:basedOn w:val="DefaultParagraphFont"/>
    <w:link w:val="WhiteSpace"/>
    <w:rsid w:val="00EF4DA6"/>
    <w:rPr>
      <w:rFonts w:ascii="Cambria" w:eastAsia="Times New Roman" w:hAnsi="Cambria" w:cs="Times New Roman"/>
      <w:snapToGrid w:val="0"/>
      <w:kern w:val="16"/>
      <w:sz w:val="16"/>
      <w:szCs w:val="16"/>
    </w:rPr>
  </w:style>
  <w:style w:type="paragraph" w:customStyle="1" w:styleId="TableCaption">
    <w:name w:val="Table Caption"/>
    <w:basedOn w:val="Standard"/>
    <w:next w:val="Standard"/>
    <w:link w:val="TableCaptionChar"/>
    <w:qFormat/>
    <w:rsid w:val="00EF4DA6"/>
    <w:pPr>
      <w:spacing w:before="60" w:after="440" w:line="215" w:lineRule="exact"/>
      <w:ind w:left="170"/>
    </w:pPr>
    <w:rPr>
      <w:rFonts w:eastAsia="Cambria"/>
      <w:snapToGrid/>
      <w:kern w:val="0"/>
      <w:sz w:val="19"/>
      <w:szCs w:val="22"/>
    </w:rPr>
  </w:style>
  <w:style w:type="character" w:customStyle="1" w:styleId="TableTitleChar">
    <w:name w:val="Table Title Char"/>
    <w:basedOn w:val="StandardChar"/>
    <w:link w:val="TableTitle"/>
    <w:rsid w:val="00EF4DA6"/>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EF4DA6"/>
    <w:rPr>
      <w:rFonts w:ascii="Cambria" w:eastAsia="Cambria" w:hAnsi="Cambria" w:cs="Times New Roman"/>
      <w:sz w:val="19"/>
    </w:rPr>
  </w:style>
  <w:style w:type="character" w:customStyle="1" w:styleId="TableCaptionChar">
    <w:name w:val="Table Caption Char"/>
    <w:basedOn w:val="TabletextChar"/>
    <w:link w:val="TableCaption"/>
    <w:rsid w:val="00EF4DA6"/>
    <w:rPr>
      <w:rFonts w:ascii="Cambria" w:eastAsia="Cambria" w:hAnsi="Cambria" w:cs="Times New Roman"/>
      <w:sz w:val="19"/>
    </w:rPr>
  </w:style>
  <w:style w:type="paragraph" w:customStyle="1" w:styleId="AssessmentSubsection2">
    <w:name w:val="Assessment Subsection 2"/>
    <w:basedOn w:val="AssessmentSubsection"/>
    <w:next w:val="Standard"/>
    <w:rsid w:val="00EF4DA6"/>
    <w:pPr>
      <w:outlineLvl w:val="3"/>
    </w:pPr>
    <w:rPr>
      <w:b w:val="0"/>
    </w:rPr>
  </w:style>
  <w:style w:type="character" w:customStyle="1" w:styleId="Heading8Char">
    <w:name w:val="Heading 8 Char"/>
    <w:basedOn w:val="DefaultParagraphFont"/>
    <w:link w:val="Heading8"/>
    <w:rsid w:val="00AC463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AC4634"/>
    <w:rPr>
      <w:rFonts w:ascii="Arial" w:eastAsia="Times New Roman" w:hAnsi="Arial" w:cs="Arial"/>
      <w:u w:val="single"/>
      <w:lang w:eastAsia="en-AU"/>
    </w:rPr>
  </w:style>
  <w:style w:type="paragraph" w:customStyle="1" w:styleId="FigureCaption">
    <w:name w:val="Figure Caption"/>
    <w:basedOn w:val="Normal"/>
    <w:qFormat/>
    <w:rsid w:val="00AC4634"/>
    <w:pPr>
      <w:spacing w:before="180" w:after="0"/>
    </w:pPr>
  </w:style>
  <w:style w:type="table" w:styleId="MediumGrid3-Accent2">
    <w:name w:val="Medium Grid 3 Accent 2"/>
    <w:basedOn w:val="TableNormal"/>
    <w:uiPriority w:val="60"/>
    <w:rsid w:val="00AC4634"/>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6">
    <w:name w:val="Medium Shading 1 Accent 6"/>
    <w:basedOn w:val="TableNormal"/>
    <w:uiPriority w:val="68"/>
    <w:rsid w:val="00AC4634"/>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Subject">
    <w:name w:val="Subject"/>
    <w:basedOn w:val="Normal"/>
    <w:qFormat/>
    <w:rsid w:val="00AC4634"/>
    <w:pPr>
      <w:spacing w:before="180" w:after="180"/>
    </w:pPr>
    <w:rPr>
      <w:b/>
    </w:rPr>
  </w:style>
  <w:style w:type="paragraph" w:customStyle="1" w:styleId="Footnote">
    <w:name w:val="Footnote"/>
    <w:qFormat/>
    <w:rsid w:val="00AC4634"/>
    <w:pPr>
      <w:spacing w:after="0" w:line="240" w:lineRule="auto"/>
    </w:pPr>
    <w:rPr>
      <w:rFonts w:ascii="Cambria" w:eastAsia="Cambria" w:hAnsi="Cambria" w:cs="Times New Roman"/>
      <w:sz w:val="20"/>
      <w:szCs w:val="20"/>
    </w:rPr>
  </w:style>
  <w:style w:type="paragraph" w:customStyle="1" w:styleId="ColorfulList-Accent11">
    <w:name w:val="Colorful List - Accent 11"/>
    <w:basedOn w:val="Normal"/>
    <w:uiPriority w:val="34"/>
    <w:qFormat/>
    <w:locked/>
    <w:rsid w:val="00AC4634"/>
    <w:pPr>
      <w:adjustRightInd w:val="0"/>
      <w:snapToGrid w:val="0"/>
      <w:spacing w:before="180" w:after="180"/>
      <w:ind w:left="720"/>
      <w:contextualSpacing/>
    </w:pPr>
    <w:rPr>
      <w:rFonts w:eastAsia="MS Mincho"/>
      <w:szCs w:val="20"/>
      <w:lang w:eastAsia="ja-JP"/>
    </w:rPr>
  </w:style>
  <w:style w:type="paragraph" w:customStyle="1" w:styleId="Default">
    <w:name w:val="Default"/>
    <w:rsid w:val="00AC4634"/>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customStyle="1" w:styleId="CM4">
    <w:name w:val="CM4"/>
    <w:basedOn w:val="Default"/>
    <w:next w:val="Default"/>
    <w:uiPriority w:val="99"/>
    <w:rsid w:val="00AC4634"/>
    <w:pPr>
      <w:spacing w:line="186" w:lineRule="atLeast"/>
    </w:pPr>
    <w:rPr>
      <w:color w:val="auto"/>
    </w:rPr>
  </w:style>
  <w:style w:type="paragraph" w:customStyle="1" w:styleId="CM5">
    <w:name w:val="CM5"/>
    <w:basedOn w:val="Default"/>
    <w:next w:val="Default"/>
    <w:uiPriority w:val="99"/>
    <w:rsid w:val="00AC4634"/>
    <w:pPr>
      <w:spacing w:line="186" w:lineRule="atLeast"/>
    </w:pPr>
    <w:rPr>
      <w:color w:val="auto"/>
    </w:rPr>
  </w:style>
  <w:style w:type="paragraph" w:customStyle="1" w:styleId="CM1">
    <w:name w:val="CM1"/>
    <w:basedOn w:val="Default"/>
    <w:next w:val="Default"/>
    <w:uiPriority w:val="99"/>
    <w:rsid w:val="00AC4634"/>
    <w:pPr>
      <w:spacing w:line="186" w:lineRule="atLeast"/>
    </w:pPr>
    <w:rPr>
      <w:color w:val="auto"/>
    </w:rPr>
  </w:style>
  <w:style w:type="paragraph" w:customStyle="1" w:styleId="BodytextAgency">
    <w:name w:val="Body text (Agency)"/>
    <w:basedOn w:val="Normal"/>
    <w:link w:val="BodytextAgencyChar"/>
    <w:qFormat/>
    <w:rsid w:val="00AC4634"/>
    <w:pPr>
      <w:spacing w:before="0" w:after="140" w:line="280" w:lineRule="atLeast"/>
    </w:pPr>
    <w:rPr>
      <w:rFonts w:ascii="Verdana" w:eastAsia="SimSun" w:hAnsi="Verdana" w:cs="Verdana"/>
      <w:sz w:val="18"/>
      <w:szCs w:val="18"/>
      <w:lang w:val="en-GB" w:eastAsia="en-GB"/>
    </w:rPr>
  </w:style>
  <w:style w:type="character" w:customStyle="1" w:styleId="BodytextAgencyChar">
    <w:name w:val="Body text (Agency) Char"/>
    <w:link w:val="BodytextAgency"/>
    <w:locked/>
    <w:rsid w:val="00AC4634"/>
    <w:rPr>
      <w:rFonts w:ascii="Verdana" w:eastAsia="SimSun" w:hAnsi="Verdana" w:cs="Verdana"/>
      <w:sz w:val="18"/>
      <w:szCs w:val="18"/>
      <w:lang w:val="en-GB" w:eastAsia="en-GB"/>
    </w:rPr>
  </w:style>
  <w:style w:type="paragraph" w:styleId="NormalWeb">
    <w:name w:val="Normal (Web)"/>
    <w:basedOn w:val="Normal"/>
    <w:uiPriority w:val="99"/>
    <w:rsid w:val="00AC4634"/>
    <w:pPr>
      <w:spacing w:beforeLines="1" w:before="180" w:afterLines="1" w:after="180" w:line="240" w:lineRule="auto"/>
      <w:jc w:val="both"/>
    </w:pPr>
    <w:rPr>
      <w:rFonts w:ascii="Times" w:eastAsia="Times New Roman" w:hAnsi="Times"/>
      <w:sz w:val="20"/>
      <w:szCs w:val="20"/>
    </w:rPr>
  </w:style>
  <w:style w:type="paragraph" w:customStyle="1" w:styleId="PISubsection">
    <w:name w:val="PI Subsection"/>
    <w:basedOn w:val="Standard"/>
    <w:next w:val="Standard"/>
    <w:rsid w:val="00AC4634"/>
    <w:pPr>
      <w:spacing w:after="120"/>
    </w:pPr>
    <w:rPr>
      <w:b/>
      <w:i/>
      <w:kern w:val="2"/>
    </w:rPr>
  </w:style>
  <w:style w:type="paragraph" w:styleId="Quote">
    <w:name w:val="Quote"/>
    <w:basedOn w:val="Standard"/>
    <w:next w:val="Standard"/>
    <w:link w:val="QuoteChar"/>
    <w:uiPriority w:val="29"/>
    <w:qFormat/>
    <w:rsid w:val="00AC4634"/>
    <w:pPr>
      <w:spacing w:after="280"/>
      <w:ind w:left="482" w:right="397" w:hanging="85"/>
    </w:pPr>
  </w:style>
  <w:style w:type="character" w:customStyle="1" w:styleId="QuoteChar">
    <w:name w:val="Quote Char"/>
    <w:basedOn w:val="DefaultParagraphFont"/>
    <w:link w:val="Quote"/>
    <w:uiPriority w:val="29"/>
    <w:rsid w:val="00AC4634"/>
    <w:rPr>
      <w:rFonts w:ascii="Cambria" w:eastAsia="Times New Roman" w:hAnsi="Cambria" w:cs="Times New Roman"/>
      <w:snapToGrid w:val="0"/>
      <w:kern w:val="16"/>
      <w:szCs w:val="24"/>
    </w:rPr>
  </w:style>
  <w:style w:type="paragraph" w:customStyle="1" w:styleId="Bullet2">
    <w:name w:val="Bullet 2"/>
    <w:basedOn w:val="Normal"/>
    <w:rsid w:val="00AC4634"/>
    <w:pPr>
      <w:numPr>
        <w:numId w:val="6"/>
      </w:numPr>
      <w:spacing w:line="240" w:lineRule="auto"/>
      <w:jc w:val="both"/>
    </w:pPr>
    <w:rPr>
      <w:rFonts w:eastAsia="Times New Roman"/>
      <w:kern w:val="24"/>
      <w:szCs w:val="24"/>
      <w:lang w:eastAsia="en-AU"/>
    </w:rPr>
  </w:style>
  <w:style w:type="paragraph" w:customStyle="1" w:styleId="Source">
    <w:name w:val="Source"/>
    <w:basedOn w:val="Normal"/>
    <w:qFormat/>
    <w:rsid w:val="00AC46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6"/>
      <w:szCs w:val="24"/>
      <w:lang w:val="en-US" w:eastAsia="en-AU"/>
    </w:rPr>
  </w:style>
  <w:style w:type="character" w:customStyle="1" w:styleId="nowrap1">
    <w:name w:val="nowrap1"/>
    <w:rsid w:val="00AC4634"/>
  </w:style>
  <w:style w:type="paragraph" w:customStyle="1" w:styleId="Bullet1">
    <w:name w:val="Bullet 1"/>
    <w:basedOn w:val="Normal"/>
    <w:rsid w:val="00AC4634"/>
    <w:pPr>
      <w:numPr>
        <w:numId w:val="7"/>
      </w:numPr>
      <w:spacing w:after="0" w:line="240" w:lineRule="auto"/>
    </w:pPr>
    <w:rPr>
      <w:rFonts w:eastAsia="Times New Roman"/>
      <w:kern w:val="24"/>
      <w:lang w:eastAsia="en-AU"/>
    </w:rPr>
  </w:style>
  <w:style w:type="character" w:customStyle="1" w:styleId="A8">
    <w:name w:val="A8"/>
    <w:uiPriority w:val="99"/>
    <w:rsid w:val="00AC4634"/>
    <w:rPr>
      <w:rFonts w:cs="Garamond"/>
      <w:color w:val="221E1F"/>
      <w:sz w:val="22"/>
      <w:szCs w:val="22"/>
    </w:rPr>
  </w:style>
  <w:style w:type="paragraph" w:customStyle="1" w:styleId="Comment2">
    <w:name w:val="Comment 2"/>
    <w:basedOn w:val="Normal"/>
    <w:qFormat/>
    <w:rsid w:val="00AC463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kern w:val="16"/>
      <w:lang w:eastAsia="en-AU"/>
    </w:rPr>
  </w:style>
  <w:style w:type="paragraph" w:customStyle="1" w:styleId="Comment1">
    <w:name w:val="Comment 1"/>
    <w:basedOn w:val="Normal"/>
    <w:next w:val="Comment2"/>
    <w:qFormat/>
    <w:rsid w:val="00AC463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kern w:val="16"/>
      <w:lang w:eastAsia="en-AU"/>
    </w:rPr>
  </w:style>
  <w:style w:type="paragraph" w:styleId="BodyText">
    <w:name w:val="Body Text"/>
    <w:basedOn w:val="Normal"/>
    <w:link w:val="BodyTextChar"/>
    <w:semiHidden/>
    <w:rsid w:val="00AC46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b/>
      <w:bCs/>
      <w:lang w:val="en-US"/>
    </w:rPr>
  </w:style>
  <w:style w:type="character" w:customStyle="1" w:styleId="BodyTextChar">
    <w:name w:val="Body Text Char"/>
    <w:basedOn w:val="DefaultParagraphFont"/>
    <w:link w:val="BodyText"/>
    <w:semiHidden/>
    <w:rsid w:val="00AC4634"/>
    <w:rPr>
      <w:rFonts w:ascii="Cambria" w:eastAsia="Times New Roman" w:hAnsi="Cambria" w:cs="Times New Roman"/>
      <w:b/>
      <w:bCs/>
      <w:lang w:val="en-US"/>
    </w:rPr>
  </w:style>
  <w:style w:type="paragraph" w:customStyle="1" w:styleId="Heading0inTOC">
    <w:name w:val="Heading 0 (in TOC)"/>
    <w:basedOn w:val="Heading1"/>
    <w:next w:val="Normal"/>
    <w:rsid w:val="00AC4634"/>
    <w:pPr>
      <w:keepLines w:val="0"/>
      <w:spacing w:before="0" w:after="120" w:line="240" w:lineRule="auto"/>
    </w:pPr>
    <w:rPr>
      <w:rFonts w:ascii="Cambria" w:hAnsi="Cambria" w:cs="Times New Roman"/>
      <w:bCs w:val="0"/>
      <w:sz w:val="22"/>
      <w:szCs w:val="24"/>
      <w:lang w:eastAsia="en-AU"/>
    </w:rPr>
  </w:style>
  <w:style w:type="character" w:styleId="PageNumber">
    <w:name w:val="page number"/>
    <w:rsid w:val="00AC4634"/>
    <w:rPr>
      <w:sz w:val="20"/>
    </w:rPr>
  </w:style>
  <w:style w:type="paragraph" w:customStyle="1" w:styleId="TableBullet">
    <w:name w:val="Table Bullet"/>
    <w:basedOn w:val="Normal"/>
    <w:rsid w:val="00AC4634"/>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 w:val="20"/>
      <w:szCs w:val="24"/>
      <w:lang w:eastAsia="en-AU"/>
    </w:rPr>
  </w:style>
  <w:style w:type="paragraph" w:styleId="TOC4">
    <w:name w:val="toc 4"/>
    <w:basedOn w:val="Normal"/>
    <w:next w:val="Normal"/>
    <w:uiPriority w:val="39"/>
    <w:rsid w:val="00AC4634"/>
    <w:pPr>
      <w:tabs>
        <w:tab w:val="left" w:pos="1247"/>
        <w:tab w:val="right" w:leader="dot" w:pos="9356"/>
      </w:tabs>
      <w:spacing w:before="0" w:after="0" w:line="240" w:lineRule="auto"/>
      <w:ind w:left="1247" w:hanging="907"/>
    </w:pPr>
    <w:rPr>
      <w:rFonts w:eastAsia="Times New Roman"/>
      <w:sz w:val="20"/>
      <w:szCs w:val="24"/>
      <w:lang w:eastAsia="en-AU"/>
    </w:rPr>
  </w:style>
  <w:style w:type="paragraph" w:styleId="TOC5">
    <w:name w:val="toc 5"/>
    <w:basedOn w:val="Normal"/>
    <w:next w:val="Normal"/>
    <w:uiPriority w:val="39"/>
    <w:rsid w:val="00AC4634"/>
    <w:pPr>
      <w:spacing w:before="0" w:after="0" w:line="240" w:lineRule="auto"/>
      <w:ind w:left="454"/>
    </w:pPr>
    <w:rPr>
      <w:rFonts w:eastAsia="Times New Roman"/>
      <w:sz w:val="20"/>
      <w:szCs w:val="24"/>
      <w:lang w:eastAsia="en-AU"/>
    </w:rPr>
  </w:style>
  <w:style w:type="paragraph" w:styleId="TOC6">
    <w:name w:val="toc 6"/>
    <w:basedOn w:val="Normal"/>
    <w:next w:val="Normal"/>
    <w:uiPriority w:val="39"/>
    <w:rsid w:val="00AC4634"/>
    <w:pPr>
      <w:spacing w:before="0" w:after="0" w:line="240" w:lineRule="auto"/>
      <w:ind w:left="567"/>
    </w:pPr>
    <w:rPr>
      <w:rFonts w:eastAsia="Times New Roman"/>
      <w:sz w:val="20"/>
      <w:szCs w:val="24"/>
      <w:lang w:eastAsia="en-AU"/>
    </w:rPr>
  </w:style>
  <w:style w:type="paragraph" w:styleId="TOC7">
    <w:name w:val="toc 7"/>
    <w:basedOn w:val="Normal"/>
    <w:next w:val="Normal"/>
    <w:uiPriority w:val="39"/>
    <w:rsid w:val="00AC4634"/>
    <w:pPr>
      <w:spacing w:before="0" w:after="0" w:line="240" w:lineRule="auto"/>
      <w:ind w:left="680"/>
    </w:pPr>
    <w:rPr>
      <w:rFonts w:eastAsia="Times New Roman"/>
      <w:sz w:val="20"/>
      <w:szCs w:val="24"/>
      <w:lang w:eastAsia="en-AU"/>
    </w:rPr>
  </w:style>
  <w:style w:type="paragraph" w:styleId="TOC8">
    <w:name w:val="toc 8"/>
    <w:basedOn w:val="Normal"/>
    <w:next w:val="Normal"/>
    <w:uiPriority w:val="39"/>
    <w:rsid w:val="00AC4634"/>
    <w:pPr>
      <w:spacing w:before="0" w:after="0" w:line="240" w:lineRule="auto"/>
      <w:ind w:left="907"/>
    </w:pPr>
    <w:rPr>
      <w:rFonts w:eastAsia="Times New Roman"/>
      <w:sz w:val="20"/>
      <w:szCs w:val="24"/>
      <w:lang w:eastAsia="en-AU"/>
    </w:rPr>
  </w:style>
  <w:style w:type="paragraph" w:styleId="TOC9">
    <w:name w:val="toc 9"/>
    <w:basedOn w:val="Normal"/>
    <w:next w:val="Normal"/>
    <w:uiPriority w:val="39"/>
    <w:rsid w:val="00AC4634"/>
    <w:pPr>
      <w:spacing w:before="0" w:after="0" w:line="240" w:lineRule="auto"/>
      <w:ind w:left="1134"/>
    </w:pPr>
    <w:rPr>
      <w:rFonts w:eastAsia="Times New Roman"/>
      <w:sz w:val="20"/>
      <w:szCs w:val="24"/>
      <w:lang w:eastAsia="en-AU"/>
    </w:rPr>
  </w:style>
  <w:style w:type="paragraph" w:styleId="EndnoteText">
    <w:name w:val="endnote text"/>
    <w:basedOn w:val="Normal"/>
    <w:link w:val="EndnoteTextChar"/>
    <w:semiHidden/>
    <w:rsid w:val="00AC46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 w:val="20"/>
      <w:szCs w:val="20"/>
      <w:lang w:eastAsia="en-AU"/>
    </w:rPr>
  </w:style>
  <w:style w:type="character" w:customStyle="1" w:styleId="EndnoteTextChar">
    <w:name w:val="Endnote Text Char"/>
    <w:basedOn w:val="DefaultParagraphFont"/>
    <w:link w:val="EndnoteText"/>
    <w:semiHidden/>
    <w:rsid w:val="00AC4634"/>
    <w:rPr>
      <w:rFonts w:ascii="Cambria" w:eastAsia="Times New Roman" w:hAnsi="Cambria" w:cs="Times New Roman"/>
      <w:sz w:val="20"/>
      <w:szCs w:val="20"/>
      <w:lang w:eastAsia="en-AU"/>
    </w:rPr>
  </w:style>
  <w:style w:type="character" w:styleId="EndnoteReference">
    <w:name w:val="endnote reference"/>
    <w:semiHidden/>
    <w:rsid w:val="00AC4634"/>
    <w:rPr>
      <w:dstrike w:val="0"/>
      <w:vertAlign w:val="baseline"/>
    </w:rPr>
  </w:style>
  <w:style w:type="paragraph" w:customStyle="1" w:styleId="Abbreviations">
    <w:name w:val="Abbreviations"/>
    <w:basedOn w:val="Normal"/>
    <w:rsid w:val="00AC463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Cs w:val="24"/>
      <w:lang w:eastAsia="en-AU"/>
    </w:rPr>
  </w:style>
  <w:style w:type="paragraph" w:styleId="TableofFigures">
    <w:name w:val="table of figures"/>
    <w:basedOn w:val="Normal"/>
    <w:next w:val="Normal"/>
    <w:uiPriority w:val="99"/>
    <w:rsid w:val="00AC4634"/>
    <w:pPr>
      <w:spacing w:before="0" w:after="0" w:line="240" w:lineRule="auto"/>
      <w:ind w:left="1134" w:hanging="1134"/>
    </w:pPr>
    <w:rPr>
      <w:rFonts w:eastAsia="Times New Roman" w:cs="Calibri"/>
      <w:szCs w:val="20"/>
      <w:lang w:eastAsia="en-AU"/>
    </w:rPr>
  </w:style>
  <w:style w:type="paragraph" w:customStyle="1" w:styleId="CommentDot">
    <w:name w:val="Comment Dot"/>
    <w:basedOn w:val="Comment2"/>
    <w:qFormat/>
    <w:rsid w:val="00AC4634"/>
    <w:pPr>
      <w:numPr>
        <w:numId w:val="9"/>
      </w:numPr>
      <w:tabs>
        <w:tab w:val="clear" w:pos="1134"/>
      </w:tabs>
      <w:spacing w:before="120"/>
      <w:ind w:left="1418" w:hanging="284"/>
    </w:pPr>
    <w:rPr>
      <w:rFonts w:cs="Arial"/>
      <w:kern w:val="0"/>
    </w:rPr>
  </w:style>
  <w:style w:type="paragraph" w:customStyle="1" w:styleId="Instructions1">
    <w:name w:val="Instructions 1"/>
    <w:basedOn w:val="Normal"/>
    <w:qFormat/>
    <w:rsid w:val="00AC463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lang w:eastAsia="en-AU"/>
    </w:rPr>
  </w:style>
  <w:style w:type="paragraph" w:customStyle="1" w:styleId="Instructions2">
    <w:name w:val="Instructions 2"/>
    <w:basedOn w:val="Normal"/>
    <w:qFormat/>
    <w:rsid w:val="00AC4634"/>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lang w:eastAsia="en-AU"/>
    </w:rPr>
  </w:style>
  <w:style w:type="character" w:styleId="CommentReference">
    <w:name w:val="annotation reference"/>
    <w:rsid w:val="00AC4634"/>
    <w:rPr>
      <w:sz w:val="16"/>
      <w:szCs w:val="16"/>
    </w:rPr>
  </w:style>
  <w:style w:type="paragraph" w:styleId="CommentText">
    <w:name w:val="annotation text"/>
    <w:basedOn w:val="Normal"/>
    <w:link w:val="CommentTextChar"/>
    <w:rsid w:val="00AC46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sz w:val="20"/>
      <w:szCs w:val="20"/>
      <w:lang w:eastAsia="en-AU"/>
    </w:rPr>
  </w:style>
  <w:style w:type="character" w:customStyle="1" w:styleId="CommentTextChar">
    <w:name w:val="Comment Text Char"/>
    <w:basedOn w:val="DefaultParagraphFont"/>
    <w:link w:val="CommentText"/>
    <w:rsid w:val="00AC4634"/>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rsid w:val="00AC4634"/>
    <w:rPr>
      <w:b/>
      <w:bCs/>
    </w:rPr>
  </w:style>
  <w:style w:type="character" w:customStyle="1" w:styleId="CommentSubjectChar">
    <w:name w:val="Comment Subject Char"/>
    <w:basedOn w:val="CommentTextChar"/>
    <w:link w:val="CommentSubject"/>
    <w:rsid w:val="00AC4634"/>
    <w:rPr>
      <w:rFonts w:ascii="Times New Roman" w:eastAsia="Times New Roman" w:hAnsi="Times New Roman" w:cs="Times New Roman"/>
      <w:b/>
      <w:bCs/>
      <w:sz w:val="20"/>
      <w:szCs w:val="20"/>
      <w:lang w:eastAsia="en-AU"/>
    </w:rPr>
  </w:style>
  <w:style w:type="paragraph" w:customStyle="1" w:styleId="Contentslist1">
    <w:name w:val="Contents list 1"/>
    <w:basedOn w:val="Normal"/>
    <w:qFormat/>
    <w:rsid w:val="00AC4634"/>
    <w:pPr>
      <w:tabs>
        <w:tab w:val="right" w:leader="dot" w:pos="9356"/>
      </w:tabs>
      <w:spacing w:line="240" w:lineRule="auto"/>
    </w:pPr>
    <w:rPr>
      <w:rFonts w:eastAsia="Times New Roman"/>
      <w:b/>
      <w:sz w:val="20"/>
      <w:szCs w:val="24"/>
      <w:lang w:eastAsia="en-AU"/>
    </w:rPr>
  </w:style>
  <w:style w:type="paragraph" w:customStyle="1" w:styleId="Contentslist2">
    <w:name w:val="Contents list 2"/>
    <w:basedOn w:val="Contentslist1"/>
    <w:qFormat/>
    <w:rsid w:val="00AC4634"/>
    <w:pPr>
      <w:spacing w:before="0" w:after="0"/>
    </w:pPr>
    <w:rPr>
      <w:b w:val="0"/>
    </w:rPr>
  </w:style>
  <w:style w:type="character" w:customStyle="1" w:styleId="st1">
    <w:name w:val="st1"/>
    <w:rsid w:val="00AC4634"/>
    <w:rPr>
      <w:b w:val="0"/>
      <w:bCs w:val="0"/>
      <w:color w:val="222222"/>
      <w:sz w:val="27"/>
      <w:szCs w:val="27"/>
    </w:rPr>
  </w:style>
  <w:style w:type="character" w:customStyle="1" w:styleId="Char">
    <w:name w:val="Char"/>
    <w:rsid w:val="00AC4634"/>
    <w:rPr>
      <w:rFonts w:ascii="Cambria" w:eastAsia="MS Mincho" w:hAnsi="Cambria"/>
      <w:kern w:val="16"/>
      <w:sz w:val="22"/>
      <w:szCs w:val="24"/>
      <w:lang w:val="en-AU" w:eastAsia="en-AU" w:bidi="ar-SA"/>
    </w:rPr>
  </w:style>
  <w:style w:type="character" w:customStyle="1" w:styleId="Bullet1CharCharCharCharCharCharCharCharCharChar">
    <w:name w:val="Bullet 1 Char Char Char Char Char Char Char Char Char Char"/>
    <w:link w:val="Bullet1CharCharCharCharCharCharCharCharChar"/>
    <w:rsid w:val="00AC4634"/>
    <w:rPr>
      <w:kern w:val="24"/>
      <w:szCs w:val="24"/>
      <w:lang w:eastAsia="en-AU"/>
    </w:rPr>
  </w:style>
  <w:style w:type="paragraph" w:customStyle="1" w:styleId="Bullet1CharCharCharCharCharCharCharCharChar">
    <w:name w:val="Bullet 1 Char Char Char Char Char Char Char Char Char"/>
    <w:basedOn w:val="Normal"/>
    <w:link w:val="Bullet1CharCharCharCharCharCharCharCharCharChar"/>
    <w:rsid w:val="00AC4634"/>
    <w:pPr>
      <w:tabs>
        <w:tab w:val="num" w:pos="284"/>
      </w:tabs>
      <w:spacing w:after="0" w:line="240" w:lineRule="auto"/>
      <w:ind w:left="284" w:hanging="284"/>
    </w:pPr>
    <w:rPr>
      <w:rFonts w:asciiTheme="minorHAnsi" w:eastAsiaTheme="minorHAnsi" w:hAnsiTheme="minorHAnsi" w:cstheme="minorBidi"/>
      <w:kern w:val="24"/>
      <w:szCs w:val="24"/>
      <w:lang w:eastAsia="en-AU"/>
    </w:rPr>
  </w:style>
  <w:style w:type="paragraph" w:customStyle="1" w:styleId="t1">
    <w:name w:val="t1"/>
    <w:basedOn w:val="Normal"/>
    <w:rsid w:val="00AC4634"/>
    <w:pPr>
      <w:spacing w:before="0" w:after="0" w:line="280" w:lineRule="atLeast"/>
    </w:pPr>
    <w:rPr>
      <w:rFonts w:ascii="Times New Roman" w:eastAsia="Times New Roman" w:hAnsi="Times New Roman"/>
      <w:sz w:val="24"/>
      <w:szCs w:val="20"/>
      <w:lang w:val="en-US"/>
    </w:rPr>
  </w:style>
  <w:style w:type="paragraph" w:customStyle="1" w:styleId="p7">
    <w:name w:val="p7"/>
    <w:basedOn w:val="Normal"/>
    <w:rsid w:val="00AC4634"/>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customStyle="1" w:styleId="TableParagraph">
    <w:name w:val="Table Paragraph"/>
    <w:basedOn w:val="Normal"/>
    <w:uiPriority w:val="1"/>
    <w:qFormat/>
    <w:rsid w:val="00AC4634"/>
    <w:pPr>
      <w:autoSpaceDE w:val="0"/>
      <w:autoSpaceDN w:val="0"/>
      <w:adjustRightInd w:val="0"/>
      <w:spacing w:before="0" w:after="0" w:line="240" w:lineRule="auto"/>
    </w:pPr>
    <w:rPr>
      <w:rFonts w:ascii="Times New Roman" w:hAnsi="Times New Roman"/>
      <w:sz w:val="24"/>
      <w:szCs w:val="24"/>
    </w:rPr>
  </w:style>
  <w:style w:type="character" w:styleId="Emphasis">
    <w:name w:val="Emphasis"/>
    <w:basedOn w:val="DefaultParagraphFont"/>
    <w:uiPriority w:val="20"/>
    <w:qFormat/>
    <w:rsid w:val="00AC46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1834">
      <w:bodyDiv w:val="1"/>
      <w:marLeft w:val="0"/>
      <w:marRight w:val="0"/>
      <w:marTop w:val="0"/>
      <w:marBottom w:val="0"/>
      <w:divBdr>
        <w:top w:val="none" w:sz="0" w:space="0" w:color="auto"/>
        <w:left w:val="none" w:sz="0" w:space="0" w:color="auto"/>
        <w:bottom w:val="none" w:sz="0" w:space="0" w:color="auto"/>
        <w:right w:val="none" w:sz="0" w:space="0" w:color="auto"/>
      </w:divBdr>
    </w:div>
    <w:div w:id="44565899">
      <w:bodyDiv w:val="1"/>
      <w:marLeft w:val="0"/>
      <w:marRight w:val="0"/>
      <w:marTop w:val="0"/>
      <w:marBottom w:val="0"/>
      <w:divBdr>
        <w:top w:val="none" w:sz="0" w:space="0" w:color="auto"/>
        <w:left w:val="none" w:sz="0" w:space="0" w:color="auto"/>
        <w:bottom w:val="none" w:sz="0" w:space="0" w:color="auto"/>
        <w:right w:val="none" w:sz="0" w:space="0" w:color="auto"/>
      </w:divBdr>
    </w:div>
    <w:div w:id="86465277">
      <w:bodyDiv w:val="1"/>
      <w:marLeft w:val="0"/>
      <w:marRight w:val="0"/>
      <w:marTop w:val="0"/>
      <w:marBottom w:val="0"/>
      <w:divBdr>
        <w:top w:val="none" w:sz="0" w:space="0" w:color="auto"/>
        <w:left w:val="none" w:sz="0" w:space="0" w:color="auto"/>
        <w:bottom w:val="none" w:sz="0" w:space="0" w:color="auto"/>
        <w:right w:val="none" w:sz="0" w:space="0" w:color="auto"/>
      </w:divBdr>
      <w:divsChild>
        <w:div w:id="806094241">
          <w:marLeft w:val="0"/>
          <w:marRight w:val="0"/>
          <w:marTop w:val="0"/>
          <w:marBottom w:val="0"/>
          <w:divBdr>
            <w:top w:val="none" w:sz="0" w:space="0" w:color="auto"/>
            <w:left w:val="none" w:sz="0" w:space="0" w:color="auto"/>
            <w:bottom w:val="none" w:sz="0" w:space="0" w:color="auto"/>
            <w:right w:val="none" w:sz="0" w:space="0" w:color="auto"/>
          </w:divBdr>
          <w:divsChild>
            <w:div w:id="1715153664">
              <w:marLeft w:val="0"/>
              <w:marRight w:val="0"/>
              <w:marTop w:val="0"/>
              <w:marBottom w:val="0"/>
              <w:divBdr>
                <w:top w:val="none" w:sz="0" w:space="0" w:color="auto"/>
                <w:left w:val="none" w:sz="0" w:space="0" w:color="auto"/>
                <w:bottom w:val="none" w:sz="0" w:space="0" w:color="auto"/>
                <w:right w:val="none" w:sz="0" w:space="0" w:color="auto"/>
              </w:divBdr>
              <w:divsChild>
                <w:div w:id="785275219">
                  <w:marLeft w:val="0"/>
                  <w:marRight w:val="0"/>
                  <w:marTop w:val="0"/>
                  <w:marBottom w:val="0"/>
                  <w:divBdr>
                    <w:top w:val="none" w:sz="0" w:space="0" w:color="auto"/>
                    <w:left w:val="none" w:sz="0" w:space="0" w:color="auto"/>
                    <w:bottom w:val="none" w:sz="0" w:space="0" w:color="auto"/>
                    <w:right w:val="none" w:sz="0" w:space="0" w:color="auto"/>
                  </w:divBdr>
                  <w:divsChild>
                    <w:div w:id="1899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43915">
      <w:bodyDiv w:val="1"/>
      <w:marLeft w:val="0"/>
      <w:marRight w:val="0"/>
      <w:marTop w:val="0"/>
      <w:marBottom w:val="0"/>
      <w:divBdr>
        <w:top w:val="none" w:sz="0" w:space="0" w:color="auto"/>
        <w:left w:val="none" w:sz="0" w:space="0" w:color="auto"/>
        <w:bottom w:val="none" w:sz="0" w:space="0" w:color="auto"/>
        <w:right w:val="none" w:sz="0" w:space="0" w:color="auto"/>
      </w:divBdr>
    </w:div>
    <w:div w:id="140931292">
      <w:bodyDiv w:val="1"/>
      <w:marLeft w:val="0"/>
      <w:marRight w:val="0"/>
      <w:marTop w:val="0"/>
      <w:marBottom w:val="0"/>
      <w:divBdr>
        <w:top w:val="none" w:sz="0" w:space="0" w:color="auto"/>
        <w:left w:val="none" w:sz="0" w:space="0" w:color="auto"/>
        <w:bottom w:val="none" w:sz="0" w:space="0" w:color="auto"/>
        <w:right w:val="none" w:sz="0" w:space="0" w:color="auto"/>
      </w:divBdr>
    </w:div>
    <w:div w:id="142964364">
      <w:bodyDiv w:val="1"/>
      <w:marLeft w:val="0"/>
      <w:marRight w:val="0"/>
      <w:marTop w:val="0"/>
      <w:marBottom w:val="0"/>
      <w:divBdr>
        <w:top w:val="none" w:sz="0" w:space="0" w:color="auto"/>
        <w:left w:val="none" w:sz="0" w:space="0" w:color="auto"/>
        <w:bottom w:val="none" w:sz="0" w:space="0" w:color="auto"/>
        <w:right w:val="none" w:sz="0" w:space="0" w:color="auto"/>
      </w:divBdr>
      <w:divsChild>
        <w:div w:id="2121026712">
          <w:marLeft w:val="0"/>
          <w:marRight w:val="0"/>
          <w:marTop w:val="100"/>
          <w:marBottom w:val="100"/>
          <w:divBdr>
            <w:top w:val="none" w:sz="0" w:space="0" w:color="auto"/>
            <w:left w:val="single" w:sz="6" w:space="0" w:color="CCCCCC"/>
            <w:bottom w:val="none" w:sz="0" w:space="0" w:color="auto"/>
            <w:right w:val="single" w:sz="6" w:space="0" w:color="CCCCCC"/>
          </w:divBdr>
          <w:divsChild>
            <w:div w:id="580606552">
              <w:marLeft w:val="0"/>
              <w:marRight w:val="0"/>
              <w:marTop w:val="0"/>
              <w:marBottom w:val="0"/>
              <w:divBdr>
                <w:top w:val="none" w:sz="0" w:space="0" w:color="auto"/>
                <w:left w:val="none" w:sz="0" w:space="0" w:color="auto"/>
                <w:bottom w:val="none" w:sz="0" w:space="0" w:color="auto"/>
                <w:right w:val="none" w:sz="0" w:space="0" w:color="auto"/>
              </w:divBdr>
              <w:divsChild>
                <w:div w:id="266013110">
                  <w:marLeft w:val="0"/>
                  <w:marRight w:val="0"/>
                  <w:marTop w:val="0"/>
                  <w:marBottom w:val="0"/>
                  <w:divBdr>
                    <w:top w:val="none" w:sz="0" w:space="0" w:color="auto"/>
                    <w:left w:val="none" w:sz="0" w:space="0" w:color="auto"/>
                    <w:bottom w:val="none" w:sz="0" w:space="0" w:color="auto"/>
                    <w:right w:val="none" w:sz="0" w:space="0" w:color="auto"/>
                  </w:divBdr>
                  <w:divsChild>
                    <w:div w:id="1725518304">
                      <w:marLeft w:val="0"/>
                      <w:marRight w:val="0"/>
                      <w:marTop w:val="168"/>
                      <w:marBottom w:val="0"/>
                      <w:divBdr>
                        <w:top w:val="none" w:sz="0" w:space="0" w:color="auto"/>
                        <w:left w:val="none" w:sz="0" w:space="0" w:color="auto"/>
                        <w:bottom w:val="none" w:sz="0" w:space="0" w:color="auto"/>
                        <w:right w:val="none" w:sz="0" w:space="0" w:color="auto"/>
                      </w:divBdr>
                      <w:divsChild>
                        <w:div w:id="11032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43749">
      <w:bodyDiv w:val="1"/>
      <w:marLeft w:val="0"/>
      <w:marRight w:val="0"/>
      <w:marTop w:val="0"/>
      <w:marBottom w:val="0"/>
      <w:divBdr>
        <w:top w:val="none" w:sz="0" w:space="0" w:color="auto"/>
        <w:left w:val="none" w:sz="0" w:space="0" w:color="auto"/>
        <w:bottom w:val="none" w:sz="0" w:space="0" w:color="auto"/>
        <w:right w:val="none" w:sz="0" w:space="0" w:color="auto"/>
      </w:divBdr>
      <w:divsChild>
        <w:div w:id="699428225">
          <w:marLeft w:val="0"/>
          <w:marRight w:val="0"/>
          <w:marTop w:val="100"/>
          <w:marBottom w:val="100"/>
          <w:divBdr>
            <w:top w:val="none" w:sz="0" w:space="0" w:color="auto"/>
            <w:left w:val="single" w:sz="6" w:space="0" w:color="CCCCCC"/>
            <w:bottom w:val="none" w:sz="0" w:space="0" w:color="auto"/>
            <w:right w:val="single" w:sz="6" w:space="0" w:color="CCCCCC"/>
          </w:divBdr>
          <w:divsChild>
            <w:div w:id="1551771578">
              <w:marLeft w:val="0"/>
              <w:marRight w:val="0"/>
              <w:marTop w:val="0"/>
              <w:marBottom w:val="0"/>
              <w:divBdr>
                <w:top w:val="none" w:sz="0" w:space="0" w:color="auto"/>
                <w:left w:val="none" w:sz="0" w:space="0" w:color="auto"/>
                <w:bottom w:val="none" w:sz="0" w:space="0" w:color="auto"/>
                <w:right w:val="none" w:sz="0" w:space="0" w:color="auto"/>
              </w:divBdr>
              <w:divsChild>
                <w:div w:id="1120756662">
                  <w:marLeft w:val="0"/>
                  <w:marRight w:val="0"/>
                  <w:marTop w:val="0"/>
                  <w:marBottom w:val="0"/>
                  <w:divBdr>
                    <w:top w:val="none" w:sz="0" w:space="0" w:color="auto"/>
                    <w:left w:val="none" w:sz="0" w:space="0" w:color="auto"/>
                    <w:bottom w:val="none" w:sz="0" w:space="0" w:color="auto"/>
                    <w:right w:val="none" w:sz="0" w:space="0" w:color="auto"/>
                  </w:divBdr>
                  <w:divsChild>
                    <w:div w:id="2122798688">
                      <w:marLeft w:val="0"/>
                      <w:marRight w:val="0"/>
                      <w:marTop w:val="168"/>
                      <w:marBottom w:val="0"/>
                      <w:divBdr>
                        <w:top w:val="none" w:sz="0" w:space="0" w:color="auto"/>
                        <w:left w:val="none" w:sz="0" w:space="0" w:color="auto"/>
                        <w:bottom w:val="none" w:sz="0" w:space="0" w:color="auto"/>
                        <w:right w:val="none" w:sz="0" w:space="0" w:color="auto"/>
                      </w:divBdr>
                      <w:divsChild>
                        <w:div w:id="16656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65730">
      <w:bodyDiv w:val="1"/>
      <w:marLeft w:val="0"/>
      <w:marRight w:val="0"/>
      <w:marTop w:val="0"/>
      <w:marBottom w:val="0"/>
      <w:divBdr>
        <w:top w:val="none" w:sz="0" w:space="0" w:color="auto"/>
        <w:left w:val="none" w:sz="0" w:space="0" w:color="auto"/>
        <w:bottom w:val="none" w:sz="0" w:space="0" w:color="auto"/>
        <w:right w:val="none" w:sz="0" w:space="0" w:color="auto"/>
      </w:divBdr>
    </w:div>
    <w:div w:id="174729875">
      <w:bodyDiv w:val="1"/>
      <w:marLeft w:val="0"/>
      <w:marRight w:val="0"/>
      <w:marTop w:val="0"/>
      <w:marBottom w:val="0"/>
      <w:divBdr>
        <w:top w:val="none" w:sz="0" w:space="0" w:color="auto"/>
        <w:left w:val="none" w:sz="0" w:space="0" w:color="auto"/>
        <w:bottom w:val="none" w:sz="0" w:space="0" w:color="auto"/>
        <w:right w:val="none" w:sz="0" w:space="0" w:color="auto"/>
      </w:divBdr>
    </w:div>
    <w:div w:id="188877142">
      <w:bodyDiv w:val="1"/>
      <w:marLeft w:val="0"/>
      <w:marRight w:val="0"/>
      <w:marTop w:val="0"/>
      <w:marBottom w:val="0"/>
      <w:divBdr>
        <w:top w:val="none" w:sz="0" w:space="0" w:color="auto"/>
        <w:left w:val="none" w:sz="0" w:space="0" w:color="auto"/>
        <w:bottom w:val="none" w:sz="0" w:space="0" w:color="auto"/>
        <w:right w:val="none" w:sz="0" w:space="0" w:color="auto"/>
      </w:divBdr>
    </w:div>
    <w:div w:id="273828786">
      <w:bodyDiv w:val="1"/>
      <w:marLeft w:val="0"/>
      <w:marRight w:val="0"/>
      <w:marTop w:val="0"/>
      <w:marBottom w:val="0"/>
      <w:divBdr>
        <w:top w:val="none" w:sz="0" w:space="0" w:color="auto"/>
        <w:left w:val="none" w:sz="0" w:space="0" w:color="auto"/>
        <w:bottom w:val="none" w:sz="0" w:space="0" w:color="auto"/>
        <w:right w:val="none" w:sz="0" w:space="0" w:color="auto"/>
      </w:divBdr>
    </w:div>
    <w:div w:id="321856281">
      <w:bodyDiv w:val="1"/>
      <w:marLeft w:val="0"/>
      <w:marRight w:val="0"/>
      <w:marTop w:val="0"/>
      <w:marBottom w:val="0"/>
      <w:divBdr>
        <w:top w:val="none" w:sz="0" w:space="0" w:color="auto"/>
        <w:left w:val="none" w:sz="0" w:space="0" w:color="auto"/>
        <w:bottom w:val="none" w:sz="0" w:space="0" w:color="auto"/>
        <w:right w:val="none" w:sz="0" w:space="0" w:color="auto"/>
      </w:divBdr>
    </w:div>
    <w:div w:id="355277555">
      <w:bodyDiv w:val="1"/>
      <w:marLeft w:val="0"/>
      <w:marRight w:val="0"/>
      <w:marTop w:val="0"/>
      <w:marBottom w:val="0"/>
      <w:divBdr>
        <w:top w:val="none" w:sz="0" w:space="0" w:color="auto"/>
        <w:left w:val="none" w:sz="0" w:space="0" w:color="auto"/>
        <w:bottom w:val="none" w:sz="0" w:space="0" w:color="auto"/>
        <w:right w:val="none" w:sz="0" w:space="0" w:color="auto"/>
      </w:divBdr>
    </w:div>
    <w:div w:id="406657764">
      <w:bodyDiv w:val="1"/>
      <w:marLeft w:val="0"/>
      <w:marRight w:val="0"/>
      <w:marTop w:val="0"/>
      <w:marBottom w:val="0"/>
      <w:divBdr>
        <w:top w:val="none" w:sz="0" w:space="0" w:color="auto"/>
        <w:left w:val="none" w:sz="0" w:space="0" w:color="auto"/>
        <w:bottom w:val="none" w:sz="0" w:space="0" w:color="auto"/>
        <w:right w:val="none" w:sz="0" w:space="0" w:color="auto"/>
      </w:divBdr>
    </w:div>
    <w:div w:id="422264694">
      <w:bodyDiv w:val="1"/>
      <w:marLeft w:val="0"/>
      <w:marRight w:val="0"/>
      <w:marTop w:val="0"/>
      <w:marBottom w:val="0"/>
      <w:divBdr>
        <w:top w:val="none" w:sz="0" w:space="0" w:color="auto"/>
        <w:left w:val="none" w:sz="0" w:space="0" w:color="auto"/>
        <w:bottom w:val="none" w:sz="0" w:space="0" w:color="auto"/>
        <w:right w:val="none" w:sz="0" w:space="0" w:color="auto"/>
      </w:divBdr>
    </w:div>
    <w:div w:id="432163792">
      <w:bodyDiv w:val="1"/>
      <w:marLeft w:val="0"/>
      <w:marRight w:val="0"/>
      <w:marTop w:val="0"/>
      <w:marBottom w:val="0"/>
      <w:divBdr>
        <w:top w:val="none" w:sz="0" w:space="0" w:color="auto"/>
        <w:left w:val="none" w:sz="0" w:space="0" w:color="auto"/>
        <w:bottom w:val="none" w:sz="0" w:space="0" w:color="auto"/>
        <w:right w:val="none" w:sz="0" w:space="0" w:color="auto"/>
      </w:divBdr>
    </w:div>
    <w:div w:id="534540411">
      <w:bodyDiv w:val="1"/>
      <w:marLeft w:val="0"/>
      <w:marRight w:val="0"/>
      <w:marTop w:val="0"/>
      <w:marBottom w:val="0"/>
      <w:divBdr>
        <w:top w:val="none" w:sz="0" w:space="0" w:color="auto"/>
        <w:left w:val="none" w:sz="0" w:space="0" w:color="auto"/>
        <w:bottom w:val="none" w:sz="0" w:space="0" w:color="auto"/>
        <w:right w:val="none" w:sz="0" w:space="0" w:color="auto"/>
      </w:divBdr>
    </w:div>
    <w:div w:id="540479555">
      <w:bodyDiv w:val="1"/>
      <w:marLeft w:val="0"/>
      <w:marRight w:val="0"/>
      <w:marTop w:val="0"/>
      <w:marBottom w:val="0"/>
      <w:divBdr>
        <w:top w:val="none" w:sz="0" w:space="0" w:color="auto"/>
        <w:left w:val="none" w:sz="0" w:space="0" w:color="auto"/>
        <w:bottom w:val="none" w:sz="0" w:space="0" w:color="auto"/>
        <w:right w:val="none" w:sz="0" w:space="0" w:color="auto"/>
      </w:divBdr>
    </w:div>
    <w:div w:id="563374753">
      <w:bodyDiv w:val="1"/>
      <w:marLeft w:val="0"/>
      <w:marRight w:val="0"/>
      <w:marTop w:val="0"/>
      <w:marBottom w:val="0"/>
      <w:divBdr>
        <w:top w:val="none" w:sz="0" w:space="0" w:color="auto"/>
        <w:left w:val="none" w:sz="0" w:space="0" w:color="auto"/>
        <w:bottom w:val="none" w:sz="0" w:space="0" w:color="auto"/>
        <w:right w:val="none" w:sz="0" w:space="0" w:color="auto"/>
      </w:divBdr>
    </w:div>
    <w:div w:id="565922681">
      <w:bodyDiv w:val="1"/>
      <w:marLeft w:val="0"/>
      <w:marRight w:val="0"/>
      <w:marTop w:val="0"/>
      <w:marBottom w:val="0"/>
      <w:divBdr>
        <w:top w:val="none" w:sz="0" w:space="0" w:color="auto"/>
        <w:left w:val="none" w:sz="0" w:space="0" w:color="auto"/>
        <w:bottom w:val="none" w:sz="0" w:space="0" w:color="auto"/>
        <w:right w:val="none" w:sz="0" w:space="0" w:color="auto"/>
      </w:divBdr>
    </w:div>
    <w:div w:id="634412995">
      <w:bodyDiv w:val="1"/>
      <w:marLeft w:val="0"/>
      <w:marRight w:val="0"/>
      <w:marTop w:val="0"/>
      <w:marBottom w:val="0"/>
      <w:divBdr>
        <w:top w:val="none" w:sz="0" w:space="0" w:color="auto"/>
        <w:left w:val="none" w:sz="0" w:space="0" w:color="auto"/>
        <w:bottom w:val="none" w:sz="0" w:space="0" w:color="auto"/>
        <w:right w:val="none" w:sz="0" w:space="0" w:color="auto"/>
      </w:divBdr>
      <w:divsChild>
        <w:div w:id="922031493">
          <w:marLeft w:val="0"/>
          <w:marRight w:val="0"/>
          <w:marTop w:val="100"/>
          <w:marBottom w:val="100"/>
          <w:divBdr>
            <w:top w:val="none" w:sz="0" w:space="0" w:color="auto"/>
            <w:left w:val="single" w:sz="6" w:space="0" w:color="CCCCCC"/>
            <w:bottom w:val="none" w:sz="0" w:space="0" w:color="auto"/>
            <w:right w:val="single" w:sz="6" w:space="0" w:color="CCCCCC"/>
          </w:divBdr>
          <w:divsChild>
            <w:div w:id="1103067963">
              <w:marLeft w:val="0"/>
              <w:marRight w:val="0"/>
              <w:marTop w:val="0"/>
              <w:marBottom w:val="0"/>
              <w:divBdr>
                <w:top w:val="none" w:sz="0" w:space="0" w:color="auto"/>
                <w:left w:val="none" w:sz="0" w:space="0" w:color="auto"/>
                <w:bottom w:val="none" w:sz="0" w:space="0" w:color="auto"/>
                <w:right w:val="none" w:sz="0" w:space="0" w:color="auto"/>
              </w:divBdr>
              <w:divsChild>
                <w:div w:id="1957323071">
                  <w:marLeft w:val="0"/>
                  <w:marRight w:val="0"/>
                  <w:marTop w:val="0"/>
                  <w:marBottom w:val="0"/>
                  <w:divBdr>
                    <w:top w:val="none" w:sz="0" w:space="0" w:color="auto"/>
                    <w:left w:val="none" w:sz="0" w:space="0" w:color="auto"/>
                    <w:bottom w:val="none" w:sz="0" w:space="0" w:color="auto"/>
                    <w:right w:val="none" w:sz="0" w:space="0" w:color="auto"/>
                  </w:divBdr>
                  <w:divsChild>
                    <w:div w:id="722754379">
                      <w:marLeft w:val="0"/>
                      <w:marRight w:val="0"/>
                      <w:marTop w:val="168"/>
                      <w:marBottom w:val="0"/>
                      <w:divBdr>
                        <w:top w:val="none" w:sz="0" w:space="0" w:color="auto"/>
                        <w:left w:val="none" w:sz="0" w:space="0" w:color="auto"/>
                        <w:bottom w:val="none" w:sz="0" w:space="0" w:color="auto"/>
                        <w:right w:val="none" w:sz="0" w:space="0" w:color="auto"/>
                      </w:divBdr>
                      <w:divsChild>
                        <w:div w:id="86405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91303">
      <w:bodyDiv w:val="1"/>
      <w:marLeft w:val="0"/>
      <w:marRight w:val="0"/>
      <w:marTop w:val="0"/>
      <w:marBottom w:val="0"/>
      <w:divBdr>
        <w:top w:val="none" w:sz="0" w:space="0" w:color="auto"/>
        <w:left w:val="none" w:sz="0" w:space="0" w:color="auto"/>
        <w:bottom w:val="none" w:sz="0" w:space="0" w:color="auto"/>
        <w:right w:val="none" w:sz="0" w:space="0" w:color="auto"/>
      </w:divBdr>
    </w:div>
    <w:div w:id="749155229">
      <w:bodyDiv w:val="1"/>
      <w:marLeft w:val="0"/>
      <w:marRight w:val="0"/>
      <w:marTop w:val="0"/>
      <w:marBottom w:val="0"/>
      <w:divBdr>
        <w:top w:val="none" w:sz="0" w:space="0" w:color="auto"/>
        <w:left w:val="none" w:sz="0" w:space="0" w:color="auto"/>
        <w:bottom w:val="none" w:sz="0" w:space="0" w:color="auto"/>
        <w:right w:val="none" w:sz="0" w:space="0" w:color="auto"/>
      </w:divBdr>
    </w:div>
    <w:div w:id="783116734">
      <w:bodyDiv w:val="1"/>
      <w:marLeft w:val="0"/>
      <w:marRight w:val="0"/>
      <w:marTop w:val="0"/>
      <w:marBottom w:val="0"/>
      <w:divBdr>
        <w:top w:val="none" w:sz="0" w:space="0" w:color="auto"/>
        <w:left w:val="none" w:sz="0" w:space="0" w:color="auto"/>
        <w:bottom w:val="none" w:sz="0" w:space="0" w:color="auto"/>
        <w:right w:val="none" w:sz="0" w:space="0" w:color="auto"/>
      </w:divBdr>
    </w:div>
    <w:div w:id="802120658">
      <w:bodyDiv w:val="1"/>
      <w:marLeft w:val="0"/>
      <w:marRight w:val="0"/>
      <w:marTop w:val="0"/>
      <w:marBottom w:val="0"/>
      <w:divBdr>
        <w:top w:val="none" w:sz="0" w:space="0" w:color="auto"/>
        <w:left w:val="none" w:sz="0" w:space="0" w:color="auto"/>
        <w:bottom w:val="none" w:sz="0" w:space="0" w:color="auto"/>
        <w:right w:val="none" w:sz="0" w:space="0" w:color="auto"/>
      </w:divBdr>
    </w:div>
    <w:div w:id="938373154">
      <w:bodyDiv w:val="1"/>
      <w:marLeft w:val="0"/>
      <w:marRight w:val="0"/>
      <w:marTop w:val="0"/>
      <w:marBottom w:val="0"/>
      <w:divBdr>
        <w:top w:val="none" w:sz="0" w:space="0" w:color="auto"/>
        <w:left w:val="none" w:sz="0" w:space="0" w:color="auto"/>
        <w:bottom w:val="none" w:sz="0" w:space="0" w:color="auto"/>
        <w:right w:val="none" w:sz="0" w:space="0" w:color="auto"/>
      </w:divBdr>
    </w:div>
    <w:div w:id="1034576611">
      <w:bodyDiv w:val="1"/>
      <w:marLeft w:val="0"/>
      <w:marRight w:val="0"/>
      <w:marTop w:val="0"/>
      <w:marBottom w:val="0"/>
      <w:divBdr>
        <w:top w:val="none" w:sz="0" w:space="0" w:color="auto"/>
        <w:left w:val="none" w:sz="0" w:space="0" w:color="auto"/>
        <w:bottom w:val="none" w:sz="0" w:space="0" w:color="auto"/>
        <w:right w:val="none" w:sz="0" w:space="0" w:color="auto"/>
      </w:divBdr>
    </w:div>
    <w:div w:id="1049692249">
      <w:bodyDiv w:val="1"/>
      <w:marLeft w:val="0"/>
      <w:marRight w:val="0"/>
      <w:marTop w:val="0"/>
      <w:marBottom w:val="0"/>
      <w:divBdr>
        <w:top w:val="none" w:sz="0" w:space="0" w:color="auto"/>
        <w:left w:val="none" w:sz="0" w:space="0" w:color="auto"/>
        <w:bottom w:val="none" w:sz="0" w:space="0" w:color="auto"/>
        <w:right w:val="none" w:sz="0" w:space="0" w:color="auto"/>
      </w:divBdr>
    </w:div>
    <w:div w:id="1098326919">
      <w:bodyDiv w:val="1"/>
      <w:marLeft w:val="0"/>
      <w:marRight w:val="0"/>
      <w:marTop w:val="0"/>
      <w:marBottom w:val="0"/>
      <w:divBdr>
        <w:top w:val="none" w:sz="0" w:space="0" w:color="auto"/>
        <w:left w:val="none" w:sz="0" w:space="0" w:color="auto"/>
        <w:bottom w:val="none" w:sz="0" w:space="0" w:color="auto"/>
        <w:right w:val="none" w:sz="0" w:space="0" w:color="auto"/>
      </w:divBdr>
    </w:div>
    <w:div w:id="1098871975">
      <w:bodyDiv w:val="1"/>
      <w:marLeft w:val="0"/>
      <w:marRight w:val="0"/>
      <w:marTop w:val="0"/>
      <w:marBottom w:val="0"/>
      <w:divBdr>
        <w:top w:val="none" w:sz="0" w:space="0" w:color="auto"/>
        <w:left w:val="none" w:sz="0" w:space="0" w:color="auto"/>
        <w:bottom w:val="none" w:sz="0" w:space="0" w:color="auto"/>
        <w:right w:val="none" w:sz="0" w:space="0" w:color="auto"/>
      </w:divBdr>
      <w:divsChild>
        <w:div w:id="978728101">
          <w:marLeft w:val="0"/>
          <w:marRight w:val="0"/>
          <w:marTop w:val="0"/>
          <w:marBottom w:val="0"/>
          <w:divBdr>
            <w:top w:val="none" w:sz="0" w:space="0" w:color="auto"/>
            <w:left w:val="none" w:sz="0" w:space="0" w:color="auto"/>
            <w:bottom w:val="none" w:sz="0" w:space="0" w:color="auto"/>
            <w:right w:val="none" w:sz="0" w:space="0" w:color="auto"/>
          </w:divBdr>
          <w:divsChild>
            <w:div w:id="1029792993">
              <w:marLeft w:val="0"/>
              <w:marRight w:val="0"/>
              <w:marTop w:val="0"/>
              <w:marBottom w:val="0"/>
              <w:divBdr>
                <w:top w:val="none" w:sz="0" w:space="0" w:color="auto"/>
                <w:left w:val="none" w:sz="0" w:space="0" w:color="auto"/>
                <w:bottom w:val="none" w:sz="0" w:space="0" w:color="auto"/>
                <w:right w:val="none" w:sz="0" w:space="0" w:color="auto"/>
              </w:divBdr>
              <w:divsChild>
                <w:div w:id="717045639">
                  <w:marLeft w:val="0"/>
                  <w:marRight w:val="0"/>
                  <w:marTop w:val="0"/>
                  <w:marBottom w:val="0"/>
                  <w:divBdr>
                    <w:top w:val="none" w:sz="0" w:space="0" w:color="auto"/>
                    <w:left w:val="none" w:sz="0" w:space="0" w:color="auto"/>
                    <w:bottom w:val="none" w:sz="0" w:space="0" w:color="auto"/>
                    <w:right w:val="none" w:sz="0" w:space="0" w:color="auto"/>
                  </w:divBdr>
                  <w:divsChild>
                    <w:div w:id="34317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728451">
      <w:bodyDiv w:val="1"/>
      <w:marLeft w:val="0"/>
      <w:marRight w:val="0"/>
      <w:marTop w:val="0"/>
      <w:marBottom w:val="0"/>
      <w:divBdr>
        <w:top w:val="none" w:sz="0" w:space="0" w:color="auto"/>
        <w:left w:val="none" w:sz="0" w:space="0" w:color="auto"/>
        <w:bottom w:val="none" w:sz="0" w:space="0" w:color="auto"/>
        <w:right w:val="none" w:sz="0" w:space="0" w:color="auto"/>
      </w:divBdr>
    </w:div>
    <w:div w:id="1170220874">
      <w:bodyDiv w:val="1"/>
      <w:marLeft w:val="0"/>
      <w:marRight w:val="0"/>
      <w:marTop w:val="0"/>
      <w:marBottom w:val="0"/>
      <w:divBdr>
        <w:top w:val="none" w:sz="0" w:space="0" w:color="auto"/>
        <w:left w:val="none" w:sz="0" w:space="0" w:color="auto"/>
        <w:bottom w:val="none" w:sz="0" w:space="0" w:color="auto"/>
        <w:right w:val="none" w:sz="0" w:space="0" w:color="auto"/>
      </w:divBdr>
    </w:div>
    <w:div w:id="1191260878">
      <w:bodyDiv w:val="1"/>
      <w:marLeft w:val="0"/>
      <w:marRight w:val="0"/>
      <w:marTop w:val="0"/>
      <w:marBottom w:val="0"/>
      <w:divBdr>
        <w:top w:val="none" w:sz="0" w:space="0" w:color="auto"/>
        <w:left w:val="none" w:sz="0" w:space="0" w:color="auto"/>
        <w:bottom w:val="none" w:sz="0" w:space="0" w:color="auto"/>
        <w:right w:val="none" w:sz="0" w:space="0" w:color="auto"/>
      </w:divBdr>
    </w:div>
    <w:div w:id="1221749729">
      <w:bodyDiv w:val="1"/>
      <w:marLeft w:val="0"/>
      <w:marRight w:val="0"/>
      <w:marTop w:val="0"/>
      <w:marBottom w:val="0"/>
      <w:divBdr>
        <w:top w:val="none" w:sz="0" w:space="0" w:color="auto"/>
        <w:left w:val="none" w:sz="0" w:space="0" w:color="auto"/>
        <w:bottom w:val="none" w:sz="0" w:space="0" w:color="auto"/>
        <w:right w:val="none" w:sz="0" w:space="0" w:color="auto"/>
      </w:divBdr>
    </w:div>
    <w:div w:id="1237980356">
      <w:bodyDiv w:val="1"/>
      <w:marLeft w:val="0"/>
      <w:marRight w:val="0"/>
      <w:marTop w:val="0"/>
      <w:marBottom w:val="0"/>
      <w:divBdr>
        <w:top w:val="none" w:sz="0" w:space="0" w:color="auto"/>
        <w:left w:val="none" w:sz="0" w:space="0" w:color="auto"/>
        <w:bottom w:val="none" w:sz="0" w:space="0" w:color="auto"/>
        <w:right w:val="none" w:sz="0" w:space="0" w:color="auto"/>
      </w:divBdr>
    </w:div>
    <w:div w:id="1271474283">
      <w:bodyDiv w:val="1"/>
      <w:marLeft w:val="0"/>
      <w:marRight w:val="0"/>
      <w:marTop w:val="0"/>
      <w:marBottom w:val="0"/>
      <w:divBdr>
        <w:top w:val="none" w:sz="0" w:space="0" w:color="auto"/>
        <w:left w:val="none" w:sz="0" w:space="0" w:color="auto"/>
        <w:bottom w:val="none" w:sz="0" w:space="0" w:color="auto"/>
        <w:right w:val="none" w:sz="0" w:space="0" w:color="auto"/>
      </w:divBdr>
    </w:div>
    <w:div w:id="1301766220">
      <w:bodyDiv w:val="1"/>
      <w:marLeft w:val="0"/>
      <w:marRight w:val="0"/>
      <w:marTop w:val="0"/>
      <w:marBottom w:val="0"/>
      <w:divBdr>
        <w:top w:val="none" w:sz="0" w:space="0" w:color="auto"/>
        <w:left w:val="none" w:sz="0" w:space="0" w:color="auto"/>
        <w:bottom w:val="none" w:sz="0" w:space="0" w:color="auto"/>
        <w:right w:val="none" w:sz="0" w:space="0" w:color="auto"/>
      </w:divBdr>
    </w:div>
    <w:div w:id="1403062079">
      <w:bodyDiv w:val="1"/>
      <w:marLeft w:val="0"/>
      <w:marRight w:val="0"/>
      <w:marTop w:val="0"/>
      <w:marBottom w:val="0"/>
      <w:divBdr>
        <w:top w:val="none" w:sz="0" w:space="0" w:color="auto"/>
        <w:left w:val="none" w:sz="0" w:space="0" w:color="auto"/>
        <w:bottom w:val="none" w:sz="0" w:space="0" w:color="auto"/>
        <w:right w:val="none" w:sz="0" w:space="0" w:color="auto"/>
      </w:divBdr>
    </w:div>
    <w:div w:id="1418206739">
      <w:bodyDiv w:val="1"/>
      <w:marLeft w:val="0"/>
      <w:marRight w:val="0"/>
      <w:marTop w:val="0"/>
      <w:marBottom w:val="0"/>
      <w:divBdr>
        <w:top w:val="none" w:sz="0" w:space="0" w:color="auto"/>
        <w:left w:val="none" w:sz="0" w:space="0" w:color="auto"/>
        <w:bottom w:val="none" w:sz="0" w:space="0" w:color="auto"/>
        <w:right w:val="none" w:sz="0" w:space="0" w:color="auto"/>
      </w:divBdr>
    </w:div>
    <w:div w:id="1438481004">
      <w:bodyDiv w:val="1"/>
      <w:marLeft w:val="0"/>
      <w:marRight w:val="0"/>
      <w:marTop w:val="0"/>
      <w:marBottom w:val="0"/>
      <w:divBdr>
        <w:top w:val="none" w:sz="0" w:space="0" w:color="auto"/>
        <w:left w:val="none" w:sz="0" w:space="0" w:color="auto"/>
        <w:bottom w:val="none" w:sz="0" w:space="0" w:color="auto"/>
        <w:right w:val="none" w:sz="0" w:space="0" w:color="auto"/>
      </w:divBdr>
    </w:div>
    <w:div w:id="1485123907">
      <w:bodyDiv w:val="1"/>
      <w:marLeft w:val="0"/>
      <w:marRight w:val="0"/>
      <w:marTop w:val="0"/>
      <w:marBottom w:val="0"/>
      <w:divBdr>
        <w:top w:val="none" w:sz="0" w:space="0" w:color="auto"/>
        <w:left w:val="none" w:sz="0" w:space="0" w:color="auto"/>
        <w:bottom w:val="none" w:sz="0" w:space="0" w:color="auto"/>
        <w:right w:val="none" w:sz="0" w:space="0" w:color="auto"/>
      </w:divBdr>
    </w:div>
    <w:div w:id="1487281034">
      <w:bodyDiv w:val="1"/>
      <w:marLeft w:val="0"/>
      <w:marRight w:val="0"/>
      <w:marTop w:val="0"/>
      <w:marBottom w:val="0"/>
      <w:divBdr>
        <w:top w:val="none" w:sz="0" w:space="0" w:color="auto"/>
        <w:left w:val="none" w:sz="0" w:space="0" w:color="auto"/>
        <w:bottom w:val="none" w:sz="0" w:space="0" w:color="auto"/>
        <w:right w:val="none" w:sz="0" w:space="0" w:color="auto"/>
      </w:divBdr>
    </w:div>
    <w:div w:id="1510146180">
      <w:bodyDiv w:val="1"/>
      <w:marLeft w:val="0"/>
      <w:marRight w:val="0"/>
      <w:marTop w:val="0"/>
      <w:marBottom w:val="0"/>
      <w:divBdr>
        <w:top w:val="none" w:sz="0" w:space="0" w:color="auto"/>
        <w:left w:val="none" w:sz="0" w:space="0" w:color="auto"/>
        <w:bottom w:val="none" w:sz="0" w:space="0" w:color="auto"/>
        <w:right w:val="none" w:sz="0" w:space="0" w:color="auto"/>
      </w:divBdr>
    </w:div>
    <w:div w:id="1526745599">
      <w:bodyDiv w:val="1"/>
      <w:marLeft w:val="0"/>
      <w:marRight w:val="0"/>
      <w:marTop w:val="0"/>
      <w:marBottom w:val="0"/>
      <w:divBdr>
        <w:top w:val="none" w:sz="0" w:space="0" w:color="auto"/>
        <w:left w:val="none" w:sz="0" w:space="0" w:color="auto"/>
        <w:bottom w:val="none" w:sz="0" w:space="0" w:color="auto"/>
        <w:right w:val="none" w:sz="0" w:space="0" w:color="auto"/>
      </w:divBdr>
    </w:div>
    <w:div w:id="1609115780">
      <w:bodyDiv w:val="1"/>
      <w:marLeft w:val="0"/>
      <w:marRight w:val="0"/>
      <w:marTop w:val="0"/>
      <w:marBottom w:val="0"/>
      <w:divBdr>
        <w:top w:val="none" w:sz="0" w:space="0" w:color="auto"/>
        <w:left w:val="none" w:sz="0" w:space="0" w:color="auto"/>
        <w:bottom w:val="none" w:sz="0" w:space="0" w:color="auto"/>
        <w:right w:val="none" w:sz="0" w:space="0" w:color="auto"/>
      </w:divBdr>
    </w:div>
    <w:div w:id="1614247469">
      <w:bodyDiv w:val="1"/>
      <w:marLeft w:val="0"/>
      <w:marRight w:val="0"/>
      <w:marTop w:val="0"/>
      <w:marBottom w:val="0"/>
      <w:divBdr>
        <w:top w:val="none" w:sz="0" w:space="0" w:color="auto"/>
        <w:left w:val="none" w:sz="0" w:space="0" w:color="auto"/>
        <w:bottom w:val="none" w:sz="0" w:space="0" w:color="auto"/>
        <w:right w:val="none" w:sz="0" w:space="0" w:color="auto"/>
      </w:divBdr>
    </w:div>
    <w:div w:id="1622299764">
      <w:bodyDiv w:val="1"/>
      <w:marLeft w:val="0"/>
      <w:marRight w:val="0"/>
      <w:marTop w:val="0"/>
      <w:marBottom w:val="0"/>
      <w:divBdr>
        <w:top w:val="none" w:sz="0" w:space="0" w:color="auto"/>
        <w:left w:val="none" w:sz="0" w:space="0" w:color="auto"/>
        <w:bottom w:val="none" w:sz="0" w:space="0" w:color="auto"/>
        <w:right w:val="none" w:sz="0" w:space="0" w:color="auto"/>
      </w:divBdr>
    </w:div>
    <w:div w:id="1715616760">
      <w:bodyDiv w:val="1"/>
      <w:marLeft w:val="0"/>
      <w:marRight w:val="0"/>
      <w:marTop w:val="0"/>
      <w:marBottom w:val="0"/>
      <w:divBdr>
        <w:top w:val="none" w:sz="0" w:space="0" w:color="auto"/>
        <w:left w:val="none" w:sz="0" w:space="0" w:color="auto"/>
        <w:bottom w:val="none" w:sz="0" w:space="0" w:color="auto"/>
        <w:right w:val="none" w:sz="0" w:space="0" w:color="auto"/>
      </w:divBdr>
    </w:div>
    <w:div w:id="1869903021">
      <w:bodyDiv w:val="1"/>
      <w:marLeft w:val="0"/>
      <w:marRight w:val="0"/>
      <w:marTop w:val="0"/>
      <w:marBottom w:val="0"/>
      <w:divBdr>
        <w:top w:val="none" w:sz="0" w:space="0" w:color="auto"/>
        <w:left w:val="none" w:sz="0" w:space="0" w:color="auto"/>
        <w:bottom w:val="none" w:sz="0" w:space="0" w:color="auto"/>
        <w:right w:val="none" w:sz="0" w:space="0" w:color="auto"/>
      </w:divBdr>
    </w:div>
    <w:div w:id="1900750672">
      <w:bodyDiv w:val="1"/>
      <w:marLeft w:val="0"/>
      <w:marRight w:val="0"/>
      <w:marTop w:val="0"/>
      <w:marBottom w:val="0"/>
      <w:divBdr>
        <w:top w:val="none" w:sz="0" w:space="0" w:color="auto"/>
        <w:left w:val="none" w:sz="0" w:space="0" w:color="auto"/>
        <w:bottom w:val="none" w:sz="0" w:space="0" w:color="auto"/>
        <w:right w:val="none" w:sz="0" w:space="0" w:color="auto"/>
      </w:divBdr>
    </w:div>
    <w:div w:id="1942565531">
      <w:bodyDiv w:val="1"/>
      <w:marLeft w:val="0"/>
      <w:marRight w:val="0"/>
      <w:marTop w:val="0"/>
      <w:marBottom w:val="0"/>
      <w:divBdr>
        <w:top w:val="none" w:sz="0" w:space="0" w:color="auto"/>
        <w:left w:val="none" w:sz="0" w:space="0" w:color="auto"/>
        <w:bottom w:val="none" w:sz="0" w:space="0" w:color="auto"/>
        <w:right w:val="none" w:sz="0" w:space="0" w:color="auto"/>
      </w:divBdr>
    </w:div>
    <w:div w:id="1989354523">
      <w:bodyDiv w:val="1"/>
      <w:marLeft w:val="0"/>
      <w:marRight w:val="0"/>
      <w:marTop w:val="0"/>
      <w:marBottom w:val="0"/>
      <w:divBdr>
        <w:top w:val="none" w:sz="0" w:space="0" w:color="auto"/>
        <w:left w:val="none" w:sz="0" w:space="0" w:color="auto"/>
        <w:bottom w:val="none" w:sz="0" w:space="0" w:color="auto"/>
        <w:right w:val="none" w:sz="0" w:space="0" w:color="auto"/>
      </w:divBdr>
    </w:div>
    <w:div w:id="1994798421">
      <w:bodyDiv w:val="1"/>
      <w:marLeft w:val="0"/>
      <w:marRight w:val="0"/>
      <w:marTop w:val="0"/>
      <w:marBottom w:val="0"/>
      <w:divBdr>
        <w:top w:val="none" w:sz="0" w:space="0" w:color="auto"/>
        <w:left w:val="none" w:sz="0" w:space="0" w:color="auto"/>
        <w:bottom w:val="none" w:sz="0" w:space="0" w:color="auto"/>
        <w:right w:val="none" w:sz="0" w:space="0" w:color="auto"/>
      </w:divBdr>
    </w:div>
    <w:div w:id="2038772755">
      <w:bodyDiv w:val="1"/>
      <w:marLeft w:val="0"/>
      <w:marRight w:val="0"/>
      <w:marTop w:val="0"/>
      <w:marBottom w:val="0"/>
      <w:divBdr>
        <w:top w:val="none" w:sz="0" w:space="0" w:color="auto"/>
        <w:left w:val="none" w:sz="0" w:space="0" w:color="auto"/>
        <w:bottom w:val="none" w:sz="0" w:space="0" w:color="auto"/>
        <w:right w:val="none" w:sz="0" w:space="0" w:color="auto"/>
      </w:divBdr>
      <w:divsChild>
        <w:div w:id="856965508">
          <w:marLeft w:val="0"/>
          <w:marRight w:val="0"/>
          <w:marTop w:val="100"/>
          <w:marBottom w:val="100"/>
          <w:divBdr>
            <w:top w:val="none" w:sz="0" w:space="0" w:color="auto"/>
            <w:left w:val="single" w:sz="6" w:space="0" w:color="CCCCCC"/>
            <w:bottom w:val="none" w:sz="0" w:space="0" w:color="auto"/>
            <w:right w:val="single" w:sz="6" w:space="0" w:color="CCCCCC"/>
          </w:divBdr>
          <w:divsChild>
            <w:div w:id="1100832823">
              <w:marLeft w:val="0"/>
              <w:marRight w:val="0"/>
              <w:marTop w:val="0"/>
              <w:marBottom w:val="0"/>
              <w:divBdr>
                <w:top w:val="none" w:sz="0" w:space="0" w:color="auto"/>
                <w:left w:val="none" w:sz="0" w:space="0" w:color="auto"/>
                <w:bottom w:val="none" w:sz="0" w:space="0" w:color="auto"/>
                <w:right w:val="none" w:sz="0" w:space="0" w:color="auto"/>
              </w:divBdr>
              <w:divsChild>
                <w:div w:id="110781612">
                  <w:marLeft w:val="0"/>
                  <w:marRight w:val="0"/>
                  <w:marTop w:val="0"/>
                  <w:marBottom w:val="0"/>
                  <w:divBdr>
                    <w:top w:val="none" w:sz="0" w:space="0" w:color="auto"/>
                    <w:left w:val="none" w:sz="0" w:space="0" w:color="auto"/>
                    <w:bottom w:val="none" w:sz="0" w:space="0" w:color="auto"/>
                    <w:right w:val="none" w:sz="0" w:space="0" w:color="auto"/>
                  </w:divBdr>
                  <w:divsChild>
                    <w:div w:id="1077481073">
                      <w:marLeft w:val="0"/>
                      <w:marRight w:val="0"/>
                      <w:marTop w:val="168"/>
                      <w:marBottom w:val="0"/>
                      <w:divBdr>
                        <w:top w:val="none" w:sz="0" w:space="0" w:color="auto"/>
                        <w:left w:val="none" w:sz="0" w:space="0" w:color="auto"/>
                        <w:bottom w:val="none" w:sz="0" w:space="0" w:color="auto"/>
                        <w:right w:val="none" w:sz="0" w:space="0" w:color="auto"/>
                      </w:divBdr>
                      <w:divsChild>
                        <w:div w:id="4645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127678">
      <w:bodyDiv w:val="1"/>
      <w:marLeft w:val="0"/>
      <w:marRight w:val="0"/>
      <w:marTop w:val="0"/>
      <w:marBottom w:val="0"/>
      <w:divBdr>
        <w:top w:val="none" w:sz="0" w:space="0" w:color="auto"/>
        <w:left w:val="none" w:sz="0" w:space="0" w:color="auto"/>
        <w:bottom w:val="none" w:sz="0" w:space="0" w:color="auto"/>
        <w:right w:val="none" w:sz="0" w:space="0" w:color="auto"/>
      </w:divBdr>
    </w:div>
    <w:div w:id="2092189970">
      <w:bodyDiv w:val="1"/>
      <w:marLeft w:val="0"/>
      <w:marRight w:val="0"/>
      <w:marTop w:val="0"/>
      <w:marBottom w:val="0"/>
      <w:divBdr>
        <w:top w:val="none" w:sz="0" w:space="0" w:color="auto"/>
        <w:left w:val="none" w:sz="0" w:space="0" w:color="auto"/>
        <w:bottom w:val="none" w:sz="0" w:space="0" w:color="auto"/>
        <w:right w:val="none" w:sz="0" w:space="0" w:color="auto"/>
      </w:divBdr>
    </w:div>
    <w:div w:id="212711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tga.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mailto:info@tga.gov.au" TargetMode="Externa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nsa.org.au/documents/item/48" TargetMode="External"/><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hyperlink" Target="http://www.tga.gov.au/hp/information-medicines-pi.htm" TargetMode="External"/><Relationship Id="rId36"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hyperlink" Target="http://www.uptodate.com" TargetMode="Externa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www.tga.gov.au/hp/information-medicines-pi.ht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447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23B5D-9E19-4733-8FFA-4B8A228EF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197</TotalTime>
  <Pages>79</Pages>
  <Words>32895</Words>
  <Characters>187506</Characters>
  <Application>Microsoft Office Word</Application>
  <DocSecurity>0</DocSecurity>
  <Lines>1562</Lines>
  <Paragraphs>439</Paragraphs>
  <ScaleCrop>false</ScaleCrop>
  <HeadingPairs>
    <vt:vector size="2" baseType="variant">
      <vt:variant>
        <vt:lpstr>Title</vt:lpstr>
      </vt:variant>
      <vt:variant>
        <vt:i4>1</vt:i4>
      </vt:variant>
    </vt:vector>
  </HeadingPairs>
  <TitlesOfParts>
    <vt:vector size="1" baseType="lpstr">
      <vt:lpstr>Australian public assessment for Enzalutamide</vt:lpstr>
    </vt:vector>
  </TitlesOfParts>
  <Company>Department of Health Therapeutic Goods Administration</Company>
  <LinksUpToDate>false</LinksUpToDate>
  <CharactersWithSpaces>219962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Enzalutamide</dc:title>
  <dc:subject>prescription medicine regulation</dc:subject>
  <dc:creator>Therapeutic Goods Administration</dc:creator>
  <cp:keywords>auspar, prescription, medicine, assessment, regulation, australia, enzalutamide, xtandi, astellas, pharma</cp:keywords>
  <cp:lastModifiedBy>Dixon, Jenna</cp:lastModifiedBy>
  <cp:revision>40</cp:revision>
  <cp:lastPrinted>2010-12-20T22:59:00Z</cp:lastPrinted>
  <dcterms:created xsi:type="dcterms:W3CDTF">2014-11-20T02:55:00Z</dcterms:created>
  <dcterms:modified xsi:type="dcterms:W3CDTF">2015-01-05T22:44:00Z</dcterms:modified>
  <cp:category>external publication</cp:category>
</cp:coreProperties>
</file>